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EEBE0" w14:textId="43C601CD" w:rsidR="003074DD" w:rsidRPr="000B7B8D" w:rsidRDefault="00150E6A" w:rsidP="00062217">
      <w:pPr>
        <w:pStyle w:val="ChapterTitle"/>
        <w:rPr>
          <w:rFonts w:asciiTheme="minorHAnsi" w:hAnsiTheme="minorHAnsi"/>
        </w:rPr>
      </w:pPr>
      <w:r w:rsidRPr="000B7B8D">
        <w:rPr>
          <w:rFonts w:asciiTheme="minorHAnsi" w:hAnsiTheme="minorHAnsi"/>
        </w:rPr>
        <w:t xml:space="preserve">Experimentalist Interactions: </w:t>
      </w:r>
      <w:r w:rsidR="003074DD" w:rsidRPr="000B7B8D">
        <w:rPr>
          <w:rFonts w:asciiTheme="minorHAnsi" w:hAnsiTheme="minorHAnsi"/>
        </w:rPr>
        <w:t xml:space="preserve">The </w:t>
      </w:r>
      <w:r w:rsidR="00062217" w:rsidRPr="000B7B8D">
        <w:rPr>
          <w:rFonts w:asciiTheme="minorHAnsi" w:hAnsiTheme="minorHAnsi"/>
        </w:rPr>
        <w:t xml:space="preserve">EU Forest Law Enforcement, Governance and Trade (FLEGT) Initiative and the </w:t>
      </w:r>
      <w:r w:rsidR="00550C1C" w:rsidRPr="000B7B8D">
        <w:rPr>
          <w:rFonts w:asciiTheme="minorHAnsi" w:hAnsiTheme="minorHAnsi"/>
        </w:rPr>
        <w:t xml:space="preserve">Emerging </w:t>
      </w:r>
      <w:r w:rsidR="00062217" w:rsidRPr="000B7B8D">
        <w:rPr>
          <w:rFonts w:asciiTheme="minorHAnsi" w:hAnsiTheme="minorHAnsi"/>
        </w:rPr>
        <w:t xml:space="preserve">Transnational </w:t>
      </w:r>
      <w:r w:rsidR="003074DD" w:rsidRPr="000B7B8D">
        <w:rPr>
          <w:rFonts w:asciiTheme="minorHAnsi" w:hAnsiTheme="minorHAnsi"/>
        </w:rPr>
        <w:t xml:space="preserve">Timber Legality Regime </w:t>
      </w:r>
      <w:r w:rsidRPr="000B7B8D">
        <w:rPr>
          <w:rFonts w:asciiTheme="minorHAnsi" w:hAnsiTheme="minorHAnsi"/>
        </w:rPr>
        <w:br/>
      </w:r>
      <w:r w:rsidR="003074DD" w:rsidRPr="000B7B8D">
        <w:rPr>
          <w:rFonts w:asciiTheme="minorHAnsi" w:hAnsiTheme="minorHAnsi"/>
        </w:rPr>
        <w:br/>
      </w:r>
      <w:r w:rsidR="007F0E92" w:rsidRPr="000B7B8D">
        <w:rPr>
          <w:rFonts w:asciiTheme="minorHAnsi" w:hAnsiTheme="minorHAnsi"/>
          <w:i/>
          <w:sz w:val="24"/>
          <w:szCs w:val="24"/>
        </w:rPr>
        <w:t xml:space="preserve">Jonathan Zeitlin (University of Amsterdam) and </w:t>
      </w:r>
      <w:r w:rsidR="003074DD" w:rsidRPr="000B7B8D">
        <w:rPr>
          <w:rFonts w:asciiTheme="minorHAnsi" w:hAnsiTheme="minorHAnsi"/>
          <w:i/>
          <w:sz w:val="24"/>
          <w:szCs w:val="24"/>
        </w:rPr>
        <w:t xml:space="preserve">Christine Overdevest (University of Florida) </w:t>
      </w:r>
      <w:r w:rsidR="00ED5D1B" w:rsidRPr="000B7B8D">
        <w:rPr>
          <w:rFonts w:asciiTheme="minorHAnsi" w:hAnsiTheme="minorHAnsi"/>
          <w:b w:val="0"/>
          <w:sz w:val="24"/>
          <w:szCs w:val="24"/>
        </w:rPr>
        <w:br/>
      </w:r>
      <w:r w:rsidR="00ED5D1B" w:rsidRPr="000B7B8D">
        <w:rPr>
          <w:rFonts w:asciiTheme="minorHAnsi" w:hAnsiTheme="minorHAnsi"/>
          <w:b w:val="0"/>
          <w:sz w:val="24"/>
          <w:szCs w:val="24"/>
        </w:rPr>
        <w:br/>
      </w:r>
      <w:r w:rsidR="00DB04E8">
        <w:rPr>
          <w:rFonts w:asciiTheme="minorHAnsi" w:hAnsiTheme="minorHAnsi"/>
          <w:b w:val="0"/>
          <w:sz w:val="24"/>
          <w:szCs w:val="24"/>
        </w:rPr>
        <w:t xml:space="preserve">Paper prepared for presentation at the International Biennial Conference of the European Union Studies Association, Denver, Colorado, </w:t>
      </w:r>
      <w:bookmarkStart w:id="0" w:name="_GoBack"/>
      <w:bookmarkEnd w:id="0"/>
      <w:r w:rsidR="00ED5D1B" w:rsidRPr="000B7B8D">
        <w:rPr>
          <w:rFonts w:asciiTheme="minorHAnsi" w:hAnsiTheme="minorHAnsi"/>
          <w:b w:val="0"/>
          <w:sz w:val="24"/>
          <w:szCs w:val="24"/>
        </w:rPr>
        <w:t>May</w:t>
      </w:r>
      <w:r w:rsidR="0085678E" w:rsidRPr="000B7B8D">
        <w:rPr>
          <w:rFonts w:asciiTheme="minorHAnsi" w:hAnsiTheme="minorHAnsi"/>
          <w:b w:val="0"/>
          <w:sz w:val="24"/>
          <w:szCs w:val="24"/>
        </w:rPr>
        <w:t xml:space="preserve"> </w:t>
      </w:r>
      <w:r w:rsidR="00DB04E8">
        <w:rPr>
          <w:rFonts w:asciiTheme="minorHAnsi" w:hAnsiTheme="minorHAnsi"/>
          <w:b w:val="0"/>
          <w:sz w:val="24"/>
          <w:szCs w:val="24"/>
        </w:rPr>
        <w:t xml:space="preserve">9-11, </w:t>
      </w:r>
      <w:r w:rsidR="0085678E" w:rsidRPr="000B7B8D">
        <w:rPr>
          <w:rFonts w:asciiTheme="minorHAnsi" w:hAnsiTheme="minorHAnsi"/>
          <w:b w:val="0"/>
          <w:sz w:val="24"/>
          <w:szCs w:val="24"/>
        </w:rPr>
        <w:t>2019</w:t>
      </w:r>
    </w:p>
    <w:p w14:paraId="7E2BE902" w14:textId="034EDE6C" w:rsidR="00D81120" w:rsidRPr="000B7B8D" w:rsidRDefault="00650366" w:rsidP="00650583">
      <w:pPr>
        <w:pStyle w:val="Heading1"/>
        <w:numPr>
          <w:ilvl w:val="0"/>
          <w:numId w:val="25"/>
        </w:numPr>
        <w:rPr>
          <w:rFonts w:asciiTheme="minorHAnsi" w:hAnsiTheme="minorHAnsi"/>
        </w:rPr>
      </w:pPr>
      <w:r w:rsidRPr="000B7B8D">
        <w:rPr>
          <w:rFonts w:asciiTheme="minorHAnsi" w:hAnsiTheme="minorHAnsi"/>
        </w:rPr>
        <w:t>Introduction</w:t>
      </w:r>
    </w:p>
    <w:p w14:paraId="7596DCA5" w14:textId="1325B5EA" w:rsidR="00650366" w:rsidRPr="000B7B8D" w:rsidRDefault="008179DB" w:rsidP="00523396">
      <w:pPr>
        <w:pStyle w:val="BodyText"/>
        <w:jc w:val="both"/>
        <w:rPr>
          <w:rFonts w:asciiTheme="minorHAnsi" w:hAnsiTheme="minorHAnsi"/>
        </w:rPr>
      </w:pPr>
      <w:r w:rsidRPr="000B7B8D">
        <w:rPr>
          <w:rFonts w:asciiTheme="minorHAnsi" w:hAnsiTheme="minorHAnsi"/>
        </w:rPr>
        <w:t xml:space="preserve">Over the past 15 years, something approaching a </w:t>
      </w:r>
      <w:r w:rsidR="0085678E" w:rsidRPr="000B7B8D">
        <w:rPr>
          <w:rFonts w:asciiTheme="minorHAnsi" w:hAnsiTheme="minorHAnsi"/>
        </w:rPr>
        <w:t xml:space="preserve">joined-up </w:t>
      </w:r>
      <w:r w:rsidRPr="000B7B8D">
        <w:rPr>
          <w:rFonts w:asciiTheme="minorHAnsi" w:hAnsiTheme="minorHAnsi"/>
        </w:rPr>
        <w:t xml:space="preserve">transnational timber legality regime has progressively emerged from the intersection of multiple public and private initiatives across different geographical regions and levels of governance.  At the heart of this </w:t>
      </w:r>
      <w:r w:rsidR="0085678E" w:rsidRPr="000B7B8D">
        <w:rPr>
          <w:rFonts w:asciiTheme="minorHAnsi" w:hAnsiTheme="minorHAnsi"/>
        </w:rPr>
        <w:t xml:space="preserve">joined-up </w:t>
      </w:r>
      <w:r w:rsidRPr="000B7B8D">
        <w:rPr>
          <w:rFonts w:asciiTheme="minorHAnsi" w:hAnsiTheme="minorHAnsi"/>
        </w:rPr>
        <w:t xml:space="preserve">regime is the European Union’s Forest Law Enforcement, Governance and Trade (FLEGT) initiative, which includes two </w:t>
      </w:r>
      <w:r w:rsidR="00C97189" w:rsidRPr="000B7B8D">
        <w:rPr>
          <w:rFonts w:asciiTheme="minorHAnsi" w:hAnsiTheme="minorHAnsi"/>
        </w:rPr>
        <w:t xml:space="preserve">main components: (1) negotiating Voluntary Partnership Agreements (VPAs) with producer countries to build domestic institutions that assure the legality of exported timber and promote sustainable forest governance; and (2) implementing legislation in the form of the EU Timber Regulation (EUTR) that makes it an offense </w:t>
      </w:r>
      <w:r w:rsidR="00B85A7C" w:rsidRPr="000B7B8D">
        <w:rPr>
          <w:rFonts w:asciiTheme="minorHAnsi" w:hAnsiTheme="minorHAnsi"/>
        </w:rPr>
        <w:t>to place illegally harvested timber from whatever source on the European market and obliges firms to demonstrate “due diligence</w:t>
      </w:r>
      <w:r w:rsidR="00CA5A9E" w:rsidRPr="000B7B8D">
        <w:rPr>
          <w:rFonts w:asciiTheme="minorHAnsi" w:hAnsiTheme="minorHAnsi"/>
        </w:rPr>
        <w:t>”</w:t>
      </w:r>
      <w:r w:rsidR="00B85A7C" w:rsidRPr="000B7B8D">
        <w:rPr>
          <w:rFonts w:asciiTheme="minorHAnsi" w:hAnsiTheme="minorHAnsi"/>
        </w:rPr>
        <w:t xml:space="preserve"> that they have not done so.  As we have argued elsewhere (Overdevest 2014, 2018), the EU FLEGT initiative </w:t>
      </w:r>
      <w:r w:rsidR="00B02262" w:rsidRPr="000B7B8D">
        <w:rPr>
          <w:rFonts w:asciiTheme="minorHAnsi" w:hAnsiTheme="minorHAnsi"/>
        </w:rPr>
        <w:t>is built around</w:t>
      </w:r>
      <w:r w:rsidR="00323AED" w:rsidRPr="000B7B8D">
        <w:rPr>
          <w:rFonts w:asciiTheme="minorHAnsi" w:hAnsiTheme="minorHAnsi"/>
        </w:rPr>
        <w:t xml:space="preserve"> an experimentalist governance </w:t>
      </w:r>
      <w:r w:rsidR="00EF3562" w:rsidRPr="000B7B8D">
        <w:rPr>
          <w:rFonts w:asciiTheme="minorHAnsi" w:hAnsiTheme="minorHAnsi"/>
        </w:rPr>
        <w:t xml:space="preserve">architecture, based on extensive participation by public and private stakeholders in establishing and revising open-ended framework goals and metrics for assessing progress towards them through </w:t>
      </w:r>
      <w:r w:rsidR="009E0892" w:rsidRPr="000B7B8D">
        <w:rPr>
          <w:rFonts w:asciiTheme="minorHAnsi" w:hAnsiTheme="minorHAnsi"/>
        </w:rPr>
        <w:t>continuous</w:t>
      </w:r>
      <w:r w:rsidR="00EF3562" w:rsidRPr="000B7B8D">
        <w:rPr>
          <w:rFonts w:asciiTheme="minorHAnsi" w:hAnsiTheme="minorHAnsi"/>
        </w:rPr>
        <w:t xml:space="preserve"> monitoring and </w:t>
      </w:r>
      <w:r w:rsidR="009E0892" w:rsidRPr="000B7B8D">
        <w:rPr>
          <w:rFonts w:asciiTheme="minorHAnsi" w:hAnsiTheme="minorHAnsi"/>
        </w:rPr>
        <w:t xml:space="preserve">regular </w:t>
      </w:r>
      <w:r w:rsidR="00EF3562" w:rsidRPr="000B7B8D">
        <w:rPr>
          <w:rFonts w:asciiTheme="minorHAnsi" w:hAnsiTheme="minorHAnsi"/>
        </w:rPr>
        <w:t>review of local implementation, underpinned by a penalty default to sanction non-cooperation.</w:t>
      </w:r>
    </w:p>
    <w:p w14:paraId="379BADF0" w14:textId="3148381C" w:rsidR="00EF3562" w:rsidRPr="000B7B8D" w:rsidRDefault="009E0892" w:rsidP="00523396">
      <w:pPr>
        <w:pStyle w:val="BodyText"/>
        <w:jc w:val="both"/>
        <w:rPr>
          <w:rFonts w:asciiTheme="minorHAnsi" w:hAnsiTheme="minorHAnsi"/>
        </w:rPr>
      </w:pPr>
      <w:r w:rsidRPr="000B7B8D">
        <w:rPr>
          <w:rFonts w:asciiTheme="minorHAnsi" w:hAnsiTheme="minorHAnsi"/>
        </w:rPr>
        <w:t>During the same period</w:t>
      </w:r>
      <w:r w:rsidR="009370E3" w:rsidRPr="000B7B8D">
        <w:rPr>
          <w:rFonts w:asciiTheme="minorHAnsi" w:hAnsiTheme="minorHAnsi"/>
        </w:rPr>
        <w:t xml:space="preserve">, other major consumer markets such as the United States, Australia, and South Korea have likewise adopted legislation prohibiting the import of wood harvested illegally in its country of origin.  </w:t>
      </w:r>
      <w:r w:rsidR="00CA5A9E" w:rsidRPr="000B7B8D">
        <w:rPr>
          <w:rFonts w:asciiTheme="minorHAnsi" w:hAnsiTheme="minorHAnsi"/>
        </w:rPr>
        <w:t xml:space="preserve">In response, </w:t>
      </w:r>
      <w:r w:rsidRPr="000B7B8D">
        <w:rPr>
          <w:rFonts w:asciiTheme="minorHAnsi" w:hAnsiTheme="minorHAnsi"/>
        </w:rPr>
        <w:t xml:space="preserve">the </w:t>
      </w:r>
      <w:r w:rsidR="005E6D21" w:rsidRPr="000B7B8D">
        <w:rPr>
          <w:rFonts w:asciiTheme="minorHAnsi" w:hAnsiTheme="minorHAnsi"/>
        </w:rPr>
        <w:t>major</w:t>
      </w:r>
      <w:r w:rsidRPr="000B7B8D">
        <w:rPr>
          <w:rFonts w:asciiTheme="minorHAnsi" w:hAnsiTheme="minorHAnsi"/>
        </w:rPr>
        <w:t xml:space="preserve"> transnational private forest certification schemes – the Forest Stewardship Council (FSC) and the Programme for the Endorsement of Forest Certification (PEFC) – have revised their standards and indicators to meet the ensuing timber legality verification requirements in these jurisdictions.  These developments, </w:t>
      </w:r>
      <w:r w:rsidRPr="000B7B8D">
        <w:rPr>
          <w:rFonts w:asciiTheme="minorHAnsi" w:hAnsiTheme="minorHAnsi"/>
        </w:rPr>
        <w:lastRenderedPageBreak/>
        <w:t>together with ongoing campaigns by transnational NGOs and advocacy networks to expose legality violations, have put growing pressure on both consumer and producer countries around the world to adopt measures of various kinds to combat trade in illegal wood.</w:t>
      </w:r>
    </w:p>
    <w:p w14:paraId="68F74F19" w14:textId="35299EE0" w:rsidR="00ED6D6E" w:rsidRPr="000B7B8D" w:rsidRDefault="005E6D21" w:rsidP="008C6AD3">
      <w:pPr>
        <w:pStyle w:val="BodyText"/>
        <w:jc w:val="both"/>
        <w:rPr>
          <w:rFonts w:asciiTheme="minorHAnsi" w:hAnsiTheme="minorHAnsi"/>
        </w:rPr>
      </w:pPr>
      <w:r w:rsidRPr="000B7B8D">
        <w:rPr>
          <w:rFonts w:asciiTheme="minorHAnsi" w:hAnsiTheme="minorHAnsi"/>
        </w:rPr>
        <w:t>This paper analyze</w:t>
      </w:r>
      <w:r w:rsidR="008C6AD3" w:rsidRPr="000B7B8D">
        <w:rPr>
          <w:rFonts w:asciiTheme="minorHAnsi" w:hAnsiTheme="minorHAnsi"/>
        </w:rPr>
        <w:t>s</w:t>
      </w:r>
      <w:r w:rsidRPr="000B7B8D">
        <w:rPr>
          <w:rFonts w:asciiTheme="minorHAnsi" w:hAnsiTheme="minorHAnsi"/>
        </w:rPr>
        <w:t xml:space="preserve"> the interactions between the EU FLEGT initiative and the other </w:t>
      </w:r>
      <w:r w:rsidR="00691741" w:rsidRPr="000B7B8D">
        <w:rPr>
          <w:rFonts w:asciiTheme="minorHAnsi" w:hAnsiTheme="minorHAnsi"/>
        </w:rPr>
        <w:t>major</w:t>
      </w:r>
      <w:r w:rsidRPr="000B7B8D">
        <w:rPr>
          <w:rFonts w:asciiTheme="minorHAnsi" w:hAnsiTheme="minorHAnsi"/>
        </w:rPr>
        <w:t xml:space="preserve"> components of the timber legality regime</w:t>
      </w:r>
      <w:r w:rsidR="006E0F5A" w:rsidRPr="000B7B8D">
        <w:rPr>
          <w:rFonts w:asciiTheme="minorHAnsi" w:hAnsiTheme="minorHAnsi"/>
        </w:rPr>
        <w:t xml:space="preserve"> complex</w:t>
      </w:r>
      <w:r w:rsidRPr="000B7B8D">
        <w:rPr>
          <w:rFonts w:asciiTheme="minorHAnsi" w:hAnsiTheme="minorHAnsi"/>
        </w:rPr>
        <w:t>.  It explore</w:t>
      </w:r>
      <w:r w:rsidR="008C6AD3" w:rsidRPr="000B7B8D">
        <w:rPr>
          <w:rFonts w:asciiTheme="minorHAnsi" w:hAnsiTheme="minorHAnsi"/>
        </w:rPr>
        <w:t>s</w:t>
      </w:r>
      <w:r w:rsidRPr="000B7B8D">
        <w:rPr>
          <w:rFonts w:asciiTheme="minorHAnsi" w:hAnsiTheme="minorHAnsi"/>
        </w:rPr>
        <w:t xml:space="preserve"> how far, and through what institutional </w:t>
      </w:r>
      <w:r w:rsidR="005956EE" w:rsidRPr="000B7B8D">
        <w:rPr>
          <w:rFonts w:asciiTheme="minorHAnsi" w:hAnsiTheme="minorHAnsi"/>
        </w:rPr>
        <w:t>channels and mechanisms</w:t>
      </w:r>
      <w:r w:rsidR="00BA60CE" w:rsidRPr="000B7B8D">
        <w:rPr>
          <w:rFonts w:asciiTheme="minorHAnsi" w:hAnsiTheme="minorHAnsi"/>
        </w:rPr>
        <w:t xml:space="preserve">, these interactions are producing a joined-up transnational regime, based on a shared normative commitment to combat illegal logging and cooperative efforts to implement and enforce it. </w:t>
      </w:r>
      <w:r w:rsidR="008C6AD3" w:rsidRPr="000B7B8D">
        <w:rPr>
          <w:rFonts w:asciiTheme="minorHAnsi" w:hAnsiTheme="minorHAnsi"/>
        </w:rPr>
        <w:t xml:space="preserve"> </w:t>
      </w:r>
      <w:r w:rsidR="007F76D6" w:rsidRPr="000B7B8D">
        <w:rPr>
          <w:rFonts w:asciiTheme="minorHAnsi" w:hAnsiTheme="minorHAnsi"/>
        </w:rPr>
        <w:t xml:space="preserve">First, however, </w:t>
      </w:r>
      <w:r w:rsidR="00564DC6" w:rsidRPr="000B7B8D">
        <w:rPr>
          <w:rFonts w:asciiTheme="minorHAnsi" w:hAnsiTheme="minorHAnsi"/>
        </w:rPr>
        <w:t>s</w:t>
      </w:r>
      <w:r w:rsidR="008C6AD3" w:rsidRPr="000B7B8D">
        <w:rPr>
          <w:rFonts w:asciiTheme="minorHAnsi" w:hAnsiTheme="minorHAnsi"/>
        </w:rPr>
        <w:t>ection</w:t>
      </w:r>
      <w:r w:rsidR="007F76D6" w:rsidRPr="000B7B8D">
        <w:rPr>
          <w:rFonts w:asciiTheme="minorHAnsi" w:hAnsiTheme="minorHAnsi"/>
        </w:rPr>
        <w:t xml:space="preserve"> </w:t>
      </w:r>
      <w:r w:rsidR="00564DC6" w:rsidRPr="000B7B8D">
        <w:rPr>
          <w:rFonts w:asciiTheme="minorHAnsi" w:hAnsiTheme="minorHAnsi"/>
        </w:rPr>
        <w:t xml:space="preserve">2 </w:t>
      </w:r>
      <w:r w:rsidR="00FA1406" w:rsidRPr="000B7B8D">
        <w:rPr>
          <w:rFonts w:asciiTheme="minorHAnsi" w:hAnsiTheme="minorHAnsi"/>
        </w:rPr>
        <w:t>set</w:t>
      </w:r>
      <w:r w:rsidR="008C6AD3" w:rsidRPr="000B7B8D">
        <w:rPr>
          <w:rFonts w:asciiTheme="minorHAnsi" w:hAnsiTheme="minorHAnsi"/>
        </w:rPr>
        <w:t>s</w:t>
      </w:r>
      <w:r w:rsidR="00FA1406" w:rsidRPr="000B7B8D">
        <w:rPr>
          <w:rFonts w:asciiTheme="minorHAnsi" w:hAnsiTheme="minorHAnsi"/>
        </w:rPr>
        <w:t xml:space="preserve"> out </w:t>
      </w:r>
      <w:r w:rsidR="00575249" w:rsidRPr="000B7B8D">
        <w:rPr>
          <w:rFonts w:asciiTheme="minorHAnsi" w:hAnsiTheme="minorHAnsi"/>
        </w:rPr>
        <w:t xml:space="preserve">what is meant by a “joined-up transnational regime” for timber legality and </w:t>
      </w:r>
      <w:r w:rsidR="007A7FD4" w:rsidRPr="000B7B8D">
        <w:rPr>
          <w:rFonts w:asciiTheme="minorHAnsi" w:hAnsiTheme="minorHAnsi"/>
        </w:rPr>
        <w:t>discuss</w:t>
      </w:r>
      <w:r w:rsidR="008C6AD3" w:rsidRPr="000B7B8D">
        <w:rPr>
          <w:rFonts w:asciiTheme="minorHAnsi" w:hAnsiTheme="minorHAnsi"/>
        </w:rPr>
        <w:t>es</w:t>
      </w:r>
      <w:r w:rsidR="00575249" w:rsidRPr="000B7B8D">
        <w:rPr>
          <w:rFonts w:asciiTheme="minorHAnsi" w:hAnsiTheme="minorHAnsi"/>
        </w:rPr>
        <w:t xml:space="preserve"> how </w:t>
      </w:r>
      <w:r w:rsidR="007A7FD4" w:rsidRPr="000B7B8D">
        <w:rPr>
          <w:rFonts w:asciiTheme="minorHAnsi" w:hAnsiTheme="minorHAnsi"/>
        </w:rPr>
        <w:t>to characterize it theoretically.</w:t>
      </w:r>
      <w:r w:rsidR="008C6AD3" w:rsidRPr="000B7B8D">
        <w:rPr>
          <w:rFonts w:asciiTheme="minorHAnsi" w:hAnsiTheme="minorHAnsi"/>
        </w:rPr>
        <w:t xml:space="preserve">  Section 3 </w:t>
      </w:r>
      <w:r w:rsidR="00A506AE" w:rsidRPr="000B7B8D">
        <w:rPr>
          <w:rFonts w:asciiTheme="minorHAnsi" w:hAnsiTheme="minorHAnsi"/>
        </w:rPr>
        <w:t>analyzes</w:t>
      </w:r>
      <w:r w:rsidR="008C6AD3" w:rsidRPr="000B7B8D">
        <w:rPr>
          <w:rFonts w:asciiTheme="minorHAnsi" w:hAnsiTheme="minorHAnsi"/>
        </w:rPr>
        <w:t xml:space="preserve"> the EU FLEGT initiative </w:t>
      </w:r>
      <w:r w:rsidR="00950524" w:rsidRPr="000B7B8D">
        <w:rPr>
          <w:rFonts w:asciiTheme="minorHAnsi" w:hAnsiTheme="minorHAnsi"/>
        </w:rPr>
        <w:t xml:space="preserve">as the experimentalist core of the transnational timber legality regime complex, while sections 4 and 5 examine its interactions with public legality regulations in other consumer countries and private certification </w:t>
      </w:r>
      <w:r w:rsidR="00A506AE" w:rsidRPr="000B7B8D">
        <w:rPr>
          <w:rFonts w:asciiTheme="minorHAnsi" w:hAnsiTheme="minorHAnsi"/>
        </w:rPr>
        <w:t xml:space="preserve">and service provision </w:t>
      </w:r>
      <w:r w:rsidR="00950524" w:rsidRPr="000B7B8D">
        <w:rPr>
          <w:rFonts w:asciiTheme="minorHAnsi" w:hAnsiTheme="minorHAnsi"/>
        </w:rPr>
        <w:t>schemes respectively.</w:t>
      </w:r>
      <w:r w:rsidR="00F55EBC" w:rsidRPr="000B7B8D">
        <w:rPr>
          <w:rFonts w:asciiTheme="minorHAnsi" w:hAnsiTheme="minorHAnsi"/>
        </w:rPr>
        <w:t xml:space="preserve"> </w:t>
      </w:r>
      <w:r w:rsidR="00950524" w:rsidRPr="000B7B8D">
        <w:rPr>
          <w:rFonts w:asciiTheme="minorHAnsi" w:hAnsiTheme="minorHAnsi"/>
        </w:rPr>
        <w:t xml:space="preserve">  Section 6 discusses the prospects for integrating China, the world’s biggest importer and exporter of wood products, into the emerging transnational </w:t>
      </w:r>
      <w:r w:rsidR="001750DC" w:rsidRPr="000B7B8D">
        <w:rPr>
          <w:rFonts w:asciiTheme="minorHAnsi" w:hAnsiTheme="minorHAnsi"/>
        </w:rPr>
        <w:t xml:space="preserve">legality </w:t>
      </w:r>
      <w:r w:rsidR="00950524" w:rsidRPr="000B7B8D">
        <w:rPr>
          <w:rFonts w:asciiTheme="minorHAnsi" w:hAnsiTheme="minorHAnsi"/>
        </w:rPr>
        <w:t xml:space="preserve">regime.  Section 7 </w:t>
      </w:r>
      <w:r w:rsidR="00512A7A" w:rsidRPr="000B7B8D">
        <w:rPr>
          <w:rFonts w:asciiTheme="minorHAnsi" w:hAnsiTheme="minorHAnsi"/>
        </w:rPr>
        <w:t>concludes by reviewing</w:t>
      </w:r>
      <w:r w:rsidR="00950524" w:rsidRPr="000B7B8D">
        <w:rPr>
          <w:rFonts w:asciiTheme="minorHAnsi" w:hAnsiTheme="minorHAnsi"/>
        </w:rPr>
        <w:t xml:space="preserve"> the key experimentalist mechanisms fostering horizontal coordination within the transnational timber leg</w:t>
      </w:r>
      <w:r w:rsidR="00512A7A" w:rsidRPr="000B7B8D">
        <w:rPr>
          <w:rFonts w:asciiTheme="minorHAnsi" w:hAnsiTheme="minorHAnsi"/>
        </w:rPr>
        <w:t>ality regime, identifying</w:t>
      </w:r>
      <w:r w:rsidR="00950524" w:rsidRPr="000B7B8D">
        <w:rPr>
          <w:rFonts w:asciiTheme="minorHAnsi" w:hAnsiTheme="minorHAnsi"/>
        </w:rPr>
        <w:t xml:space="preserve"> outstanding </w:t>
      </w:r>
      <w:r w:rsidR="005661C8" w:rsidRPr="000B7B8D">
        <w:rPr>
          <w:rFonts w:asciiTheme="minorHAnsi" w:hAnsiTheme="minorHAnsi"/>
        </w:rPr>
        <w:t>gaps</w:t>
      </w:r>
      <w:r w:rsidR="00950524" w:rsidRPr="000B7B8D">
        <w:rPr>
          <w:rFonts w:asciiTheme="minorHAnsi" w:hAnsiTheme="minorHAnsi"/>
        </w:rPr>
        <w:t xml:space="preserve">, and </w:t>
      </w:r>
      <w:r w:rsidR="00512A7A" w:rsidRPr="000B7B8D">
        <w:rPr>
          <w:rFonts w:asciiTheme="minorHAnsi" w:hAnsiTheme="minorHAnsi"/>
        </w:rPr>
        <w:t>considering</w:t>
      </w:r>
      <w:r w:rsidR="00950524" w:rsidRPr="000B7B8D">
        <w:rPr>
          <w:rFonts w:asciiTheme="minorHAnsi" w:hAnsiTheme="minorHAnsi"/>
        </w:rPr>
        <w:t xml:space="preserve"> </w:t>
      </w:r>
      <w:r w:rsidR="00F55EBC" w:rsidRPr="000B7B8D">
        <w:rPr>
          <w:rFonts w:asciiTheme="minorHAnsi" w:hAnsiTheme="minorHAnsi"/>
        </w:rPr>
        <w:t xml:space="preserve">the </w:t>
      </w:r>
      <w:r w:rsidR="00950524" w:rsidRPr="000B7B8D">
        <w:rPr>
          <w:rFonts w:asciiTheme="minorHAnsi" w:hAnsiTheme="minorHAnsi"/>
        </w:rPr>
        <w:t xml:space="preserve">prospects </w:t>
      </w:r>
      <w:r w:rsidR="00F55EBC" w:rsidRPr="000B7B8D">
        <w:rPr>
          <w:rFonts w:asciiTheme="minorHAnsi" w:hAnsiTheme="minorHAnsi"/>
        </w:rPr>
        <w:t>for further integration</w:t>
      </w:r>
      <w:r w:rsidR="00950524" w:rsidRPr="000B7B8D">
        <w:rPr>
          <w:rFonts w:asciiTheme="minorHAnsi" w:hAnsiTheme="minorHAnsi"/>
        </w:rPr>
        <w:t xml:space="preserve">. </w:t>
      </w:r>
    </w:p>
    <w:p w14:paraId="496A0427" w14:textId="6A8ECD89" w:rsidR="00F55EBC" w:rsidRPr="000B7B8D" w:rsidRDefault="00F55EBC" w:rsidP="008C6AD3">
      <w:pPr>
        <w:pStyle w:val="BodyText"/>
        <w:jc w:val="both"/>
        <w:rPr>
          <w:rFonts w:asciiTheme="minorHAnsi" w:hAnsiTheme="minorHAnsi"/>
        </w:rPr>
      </w:pPr>
      <w:r w:rsidRPr="000B7B8D">
        <w:rPr>
          <w:rFonts w:asciiTheme="minorHAnsi" w:hAnsiTheme="minorHAnsi"/>
        </w:rPr>
        <w:t xml:space="preserve">This paper is based on exhaustive documentary research </w:t>
      </w:r>
      <w:r w:rsidR="00101DAE" w:rsidRPr="000B7B8D">
        <w:rPr>
          <w:rFonts w:asciiTheme="minorHAnsi" w:hAnsiTheme="minorHAnsi"/>
        </w:rPr>
        <w:t xml:space="preserve">on materials produced by the principal </w:t>
      </w:r>
      <w:r w:rsidR="00081C5F" w:rsidRPr="000B7B8D">
        <w:rPr>
          <w:rFonts w:asciiTheme="minorHAnsi" w:hAnsiTheme="minorHAnsi"/>
        </w:rPr>
        <w:t>institutions</w:t>
      </w:r>
      <w:r w:rsidR="00101DAE" w:rsidRPr="000B7B8D">
        <w:rPr>
          <w:rFonts w:asciiTheme="minorHAnsi" w:hAnsiTheme="minorHAnsi"/>
        </w:rPr>
        <w:t xml:space="preserve"> comprising the transnational timber leg</w:t>
      </w:r>
      <w:r w:rsidR="000C48CF" w:rsidRPr="000B7B8D">
        <w:rPr>
          <w:rFonts w:asciiTheme="minorHAnsi" w:hAnsiTheme="minorHAnsi"/>
        </w:rPr>
        <w:t>ality regime complex, including the EU, national governments, international organizations, transgovernmental networks, NGOs, business</w:t>
      </w:r>
      <w:r w:rsidR="002F0A8E" w:rsidRPr="000B7B8D">
        <w:rPr>
          <w:rFonts w:asciiTheme="minorHAnsi" w:hAnsiTheme="minorHAnsi"/>
        </w:rPr>
        <w:t xml:space="preserve"> associations, and think tanks, together with participation in a variety of expert and stakeholder meetings.  It also draws </w:t>
      </w:r>
      <w:r w:rsidR="000C48CF" w:rsidRPr="000B7B8D">
        <w:rPr>
          <w:rFonts w:asciiTheme="minorHAnsi" w:hAnsiTheme="minorHAnsi"/>
        </w:rPr>
        <w:t xml:space="preserve">more than </w:t>
      </w:r>
      <w:r w:rsidR="002F0A8E" w:rsidRPr="000B7B8D">
        <w:rPr>
          <w:rFonts w:asciiTheme="minorHAnsi" w:hAnsiTheme="minorHAnsi"/>
        </w:rPr>
        <w:t>100</w:t>
      </w:r>
      <w:r w:rsidR="000C48CF" w:rsidRPr="000B7B8D">
        <w:rPr>
          <w:rFonts w:asciiTheme="minorHAnsi" w:hAnsiTheme="minorHAnsi"/>
        </w:rPr>
        <w:t xml:space="preserve"> interviews with public</w:t>
      </w:r>
      <w:r w:rsidR="00081C5F" w:rsidRPr="000B7B8D">
        <w:rPr>
          <w:rFonts w:asciiTheme="minorHAnsi" w:hAnsiTheme="minorHAnsi"/>
        </w:rPr>
        <w:t xml:space="preserve"> officials, civil society activ</w:t>
      </w:r>
      <w:r w:rsidR="000C48CF" w:rsidRPr="000B7B8D">
        <w:rPr>
          <w:rFonts w:asciiTheme="minorHAnsi" w:hAnsiTheme="minorHAnsi"/>
        </w:rPr>
        <w:t>ists, business leaders</w:t>
      </w:r>
      <w:r w:rsidR="002F0A8E" w:rsidRPr="000B7B8D">
        <w:rPr>
          <w:rFonts w:asciiTheme="minorHAnsi" w:hAnsiTheme="minorHAnsi"/>
        </w:rPr>
        <w:t>,</w:t>
      </w:r>
      <w:r w:rsidR="000C48CF" w:rsidRPr="000B7B8D">
        <w:rPr>
          <w:rFonts w:asciiTheme="minorHAnsi" w:hAnsiTheme="minorHAnsi"/>
        </w:rPr>
        <w:t xml:space="preserve"> </w:t>
      </w:r>
      <w:r w:rsidR="002F0A8E" w:rsidRPr="000B7B8D">
        <w:rPr>
          <w:rFonts w:asciiTheme="minorHAnsi" w:hAnsiTheme="minorHAnsi"/>
        </w:rPr>
        <w:t xml:space="preserve">consultants, </w:t>
      </w:r>
      <w:r w:rsidR="000C48CF" w:rsidRPr="000B7B8D">
        <w:rPr>
          <w:rFonts w:asciiTheme="minorHAnsi" w:hAnsiTheme="minorHAnsi"/>
        </w:rPr>
        <w:t xml:space="preserve">and independent experts </w:t>
      </w:r>
      <w:r w:rsidR="002F0A8E" w:rsidRPr="000B7B8D">
        <w:rPr>
          <w:rFonts w:asciiTheme="minorHAnsi" w:hAnsiTheme="minorHAnsi"/>
        </w:rPr>
        <w:t xml:space="preserve">in the EU, Ghana, and Indonesia </w:t>
      </w:r>
      <w:r w:rsidR="000C48CF" w:rsidRPr="000B7B8D">
        <w:rPr>
          <w:rFonts w:asciiTheme="minorHAnsi" w:hAnsiTheme="minorHAnsi"/>
        </w:rPr>
        <w:lastRenderedPageBreak/>
        <w:t xml:space="preserve">conducted </w:t>
      </w:r>
      <w:r w:rsidR="002F0A8E" w:rsidRPr="000B7B8D">
        <w:rPr>
          <w:rFonts w:asciiTheme="minorHAnsi" w:hAnsiTheme="minorHAnsi"/>
        </w:rPr>
        <w:t>since 2011.</w:t>
      </w:r>
      <w:r w:rsidR="00081C5F" w:rsidRPr="000B7B8D">
        <w:rPr>
          <w:rStyle w:val="FootnoteReference"/>
          <w:rFonts w:asciiTheme="minorHAnsi" w:hAnsiTheme="minorHAnsi"/>
        </w:rPr>
        <w:footnoteReference w:id="1"/>
      </w:r>
      <w:r w:rsidR="007405E4" w:rsidRPr="000B7B8D">
        <w:rPr>
          <w:rFonts w:asciiTheme="minorHAnsi" w:hAnsiTheme="minorHAnsi"/>
        </w:rPr>
        <w:t xml:space="preserve">  </w:t>
      </w:r>
      <w:r w:rsidR="00081C5F" w:rsidRPr="000B7B8D">
        <w:rPr>
          <w:rFonts w:asciiTheme="minorHAnsi" w:hAnsiTheme="minorHAnsi"/>
        </w:rPr>
        <w:t>In this paper, we limit our references to individual interviews to support for specific factual and interpretive claims.</w:t>
      </w:r>
    </w:p>
    <w:p w14:paraId="6A6C9DBC" w14:textId="357A90A4" w:rsidR="009E0892" w:rsidRPr="000B7B8D" w:rsidRDefault="00575249" w:rsidP="00650583">
      <w:pPr>
        <w:pStyle w:val="Heading1"/>
        <w:numPr>
          <w:ilvl w:val="0"/>
          <w:numId w:val="25"/>
        </w:numPr>
        <w:rPr>
          <w:rFonts w:asciiTheme="minorHAnsi" w:hAnsiTheme="minorHAnsi"/>
        </w:rPr>
      </w:pPr>
      <w:r w:rsidRPr="000B7B8D">
        <w:rPr>
          <w:rFonts w:asciiTheme="minorHAnsi" w:hAnsiTheme="minorHAnsi"/>
        </w:rPr>
        <w:t xml:space="preserve"> </w:t>
      </w:r>
      <w:r w:rsidR="00983795" w:rsidRPr="000B7B8D">
        <w:rPr>
          <w:rFonts w:asciiTheme="minorHAnsi" w:hAnsiTheme="minorHAnsi"/>
        </w:rPr>
        <w:t>Characterizing the Transnational Timber Legality Regime</w:t>
      </w:r>
      <w:r w:rsidR="006E0F5A" w:rsidRPr="000B7B8D">
        <w:rPr>
          <w:rFonts w:asciiTheme="minorHAnsi" w:hAnsiTheme="minorHAnsi"/>
        </w:rPr>
        <w:t xml:space="preserve"> </w:t>
      </w:r>
    </w:p>
    <w:p w14:paraId="2D8487BE" w14:textId="4F5CCAEE" w:rsidR="00DF1FAC" w:rsidRPr="000B7B8D" w:rsidRDefault="00253744" w:rsidP="00523396">
      <w:pPr>
        <w:pStyle w:val="BodyText"/>
        <w:jc w:val="both"/>
        <w:rPr>
          <w:rFonts w:asciiTheme="minorHAnsi" w:hAnsiTheme="minorHAnsi"/>
        </w:rPr>
      </w:pPr>
      <w:r w:rsidRPr="000B7B8D">
        <w:rPr>
          <w:rFonts w:asciiTheme="minorHAnsi" w:hAnsiTheme="minorHAnsi"/>
        </w:rPr>
        <w:t xml:space="preserve">More than 25 years after the </w:t>
      </w:r>
      <w:r w:rsidR="004B6741" w:rsidRPr="000B7B8D">
        <w:rPr>
          <w:rFonts w:asciiTheme="minorHAnsi" w:hAnsiTheme="minorHAnsi"/>
        </w:rPr>
        <w:t>failure</w:t>
      </w:r>
      <w:r w:rsidR="00D436B1" w:rsidRPr="000B7B8D">
        <w:rPr>
          <w:rFonts w:asciiTheme="minorHAnsi" w:hAnsiTheme="minorHAnsi"/>
        </w:rPr>
        <w:t xml:space="preserve"> of proposals for a binding global forest convention at the 1992 Rio Earth Summit, there is still nothing like an overarching multilateral forest governance regime.  </w:t>
      </w:r>
      <w:r w:rsidR="00CD1EEC" w:rsidRPr="000B7B8D">
        <w:rPr>
          <w:rFonts w:asciiTheme="minorHAnsi" w:hAnsiTheme="minorHAnsi"/>
        </w:rPr>
        <w:t xml:space="preserve">The “Global Objectives” of the </w:t>
      </w:r>
      <w:r w:rsidR="002534FE" w:rsidRPr="000B7B8D">
        <w:rPr>
          <w:rFonts w:asciiTheme="minorHAnsi" w:hAnsiTheme="minorHAnsi"/>
        </w:rPr>
        <w:t>United Nations Forum on Forests’</w:t>
      </w:r>
      <w:r w:rsidR="00626E78" w:rsidRPr="000B7B8D">
        <w:rPr>
          <w:rFonts w:asciiTheme="minorHAnsi" w:hAnsiTheme="minorHAnsi"/>
        </w:rPr>
        <w:t>s</w:t>
      </w:r>
      <w:r w:rsidR="00CD1EEC" w:rsidRPr="000B7B8D">
        <w:rPr>
          <w:rFonts w:asciiTheme="minorHAnsi" w:hAnsiTheme="minorHAnsi"/>
        </w:rPr>
        <w:t xml:space="preserve"> “Non-Legally Binding Instrument on All Types of Forest”, which include preventing deforestation and promoting sustainable forest management, remain at a very high level of generality, </w:t>
      </w:r>
      <w:r w:rsidR="009266DA" w:rsidRPr="000B7B8D">
        <w:rPr>
          <w:rFonts w:asciiTheme="minorHAnsi" w:hAnsiTheme="minorHAnsi"/>
        </w:rPr>
        <w:t>with voluntary national reporting and no</w:t>
      </w:r>
      <w:r w:rsidR="00CD1EEC" w:rsidRPr="000B7B8D">
        <w:rPr>
          <w:rFonts w:asciiTheme="minorHAnsi" w:hAnsiTheme="minorHAnsi"/>
        </w:rPr>
        <w:t xml:space="preserve"> specific indicators to measure progress towards them.  </w:t>
      </w:r>
      <w:r w:rsidR="002817BE" w:rsidRPr="000B7B8D">
        <w:rPr>
          <w:rFonts w:asciiTheme="minorHAnsi" w:hAnsiTheme="minorHAnsi"/>
        </w:rPr>
        <w:t>At</w:t>
      </w:r>
      <w:r w:rsidR="00CD1EEC" w:rsidRPr="000B7B8D">
        <w:rPr>
          <w:rFonts w:asciiTheme="minorHAnsi" w:hAnsiTheme="minorHAnsi"/>
        </w:rPr>
        <w:t xml:space="preserve"> a regional level, </w:t>
      </w:r>
      <w:r w:rsidR="002817BE" w:rsidRPr="000B7B8D">
        <w:rPr>
          <w:rFonts w:asciiTheme="minorHAnsi" w:hAnsiTheme="minorHAnsi"/>
        </w:rPr>
        <w:t xml:space="preserve">similarly, </w:t>
      </w:r>
      <w:r w:rsidR="00CD1EEC" w:rsidRPr="000B7B8D">
        <w:rPr>
          <w:rFonts w:asciiTheme="minorHAnsi" w:hAnsiTheme="minorHAnsi"/>
        </w:rPr>
        <w:t xml:space="preserve">intergovernmental negotiations for a </w:t>
      </w:r>
      <w:r w:rsidR="00245E72" w:rsidRPr="000B7B8D">
        <w:rPr>
          <w:rFonts w:asciiTheme="minorHAnsi" w:hAnsiTheme="minorHAnsi"/>
        </w:rPr>
        <w:t>“</w:t>
      </w:r>
      <w:r w:rsidR="00CD1EEC" w:rsidRPr="000B7B8D">
        <w:rPr>
          <w:rFonts w:asciiTheme="minorHAnsi" w:hAnsiTheme="minorHAnsi"/>
        </w:rPr>
        <w:t>Legally Binding Agreement on Forests in Europe</w:t>
      </w:r>
      <w:r w:rsidR="00245E72" w:rsidRPr="000B7B8D">
        <w:rPr>
          <w:rFonts w:asciiTheme="minorHAnsi" w:hAnsiTheme="minorHAnsi"/>
        </w:rPr>
        <w:t>”</w:t>
      </w:r>
      <w:r w:rsidR="007C6376" w:rsidRPr="000B7B8D">
        <w:rPr>
          <w:rFonts w:asciiTheme="minorHAnsi" w:hAnsiTheme="minorHAnsi"/>
        </w:rPr>
        <w:t xml:space="preserve"> collapsed acrimoniously in 2013 and have never been resumed (</w:t>
      </w:r>
      <w:r w:rsidR="002D3FE2" w:rsidRPr="000B7B8D">
        <w:rPr>
          <w:rFonts w:asciiTheme="minorHAnsi" w:hAnsiTheme="minorHAnsi"/>
        </w:rPr>
        <w:t xml:space="preserve">UN Economic and Social Council 2017; </w:t>
      </w:r>
      <w:r w:rsidR="00F25318" w:rsidRPr="000B7B8D">
        <w:rPr>
          <w:rFonts w:asciiTheme="minorHAnsi" w:hAnsiTheme="minorHAnsi"/>
        </w:rPr>
        <w:t>Overdevest &amp; Zeitlin 2015: 157, 163; Humphreys 2006, 2015).</w:t>
      </w:r>
      <w:r w:rsidR="00285BBF" w:rsidRPr="000B7B8D">
        <w:rPr>
          <w:rFonts w:asciiTheme="minorHAnsi" w:hAnsiTheme="minorHAnsi"/>
        </w:rPr>
        <w:t xml:space="preserve">  Other regional </w:t>
      </w:r>
      <w:r w:rsidR="00EA71C8" w:rsidRPr="000B7B8D">
        <w:rPr>
          <w:rFonts w:asciiTheme="minorHAnsi" w:hAnsiTheme="minorHAnsi"/>
        </w:rPr>
        <w:t>organizations</w:t>
      </w:r>
      <w:r w:rsidR="00285BBF" w:rsidRPr="000B7B8D">
        <w:rPr>
          <w:rFonts w:asciiTheme="minorHAnsi" w:hAnsiTheme="minorHAnsi"/>
        </w:rPr>
        <w:t xml:space="preserve">, such as the </w:t>
      </w:r>
      <w:r w:rsidR="00DF1FAC" w:rsidRPr="000B7B8D">
        <w:rPr>
          <w:rFonts w:asciiTheme="minorHAnsi" w:hAnsiTheme="minorHAnsi"/>
        </w:rPr>
        <w:t>A</w:t>
      </w:r>
      <w:r w:rsidR="002534FE" w:rsidRPr="000B7B8D">
        <w:rPr>
          <w:rFonts w:asciiTheme="minorHAnsi" w:hAnsiTheme="minorHAnsi"/>
        </w:rPr>
        <w:t>sia-</w:t>
      </w:r>
      <w:r w:rsidR="00DF1FAC" w:rsidRPr="000B7B8D">
        <w:rPr>
          <w:rFonts w:asciiTheme="minorHAnsi" w:hAnsiTheme="minorHAnsi"/>
        </w:rPr>
        <w:t>P</w:t>
      </w:r>
      <w:r w:rsidR="002534FE" w:rsidRPr="000B7B8D">
        <w:rPr>
          <w:rFonts w:asciiTheme="minorHAnsi" w:hAnsiTheme="minorHAnsi"/>
        </w:rPr>
        <w:t xml:space="preserve">acific </w:t>
      </w:r>
      <w:r w:rsidR="00D63BC0" w:rsidRPr="000B7B8D">
        <w:rPr>
          <w:rFonts w:asciiTheme="minorHAnsi" w:hAnsiTheme="minorHAnsi"/>
        </w:rPr>
        <w:t xml:space="preserve">Economic Cooperation </w:t>
      </w:r>
      <w:r w:rsidR="00DF1FAC" w:rsidRPr="000B7B8D">
        <w:rPr>
          <w:rFonts w:asciiTheme="minorHAnsi" w:hAnsiTheme="minorHAnsi"/>
        </w:rPr>
        <w:t>Experts’ Group on Illegal Logging and Associated Trade (EGILAT) and the A</w:t>
      </w:r>
      <w:r w:rsidR="002534FE" w:rsidRPr="000B7B8D">
        <w:rPr>
          <w:rFonts w:asciiTheme="minorHAnsi" w:hAnsiTheme="minorHAnsi"/>
        </w:rPr>
        <w:t xml:space="preserve">ssociation of </w:t>
      </w:r>
      <w:r w:rsidR="00DF1FAC" w:rsidRPr="000B7B8D">
        <w:rPr>
          <w:rFonts w:asciiTheme="minorHAnsi" w:hAnsiTheme="minorHAnsi"/>
        </w:rPr>
        <w:t>S</w:t>
      </w:r>
      <w:r w:rsidR="00D63BC0" w:rsidRPr="000B7B8D">
        <w:rPr>
          <w:rFonts w:asciiTheme="minorHAnsi" w:hAnsiTheme="minorHAnsi"/>
        </w:rPr>
        <w:t xml:space="preserve">outh </w:t>
      </w:r>
      <w:r w:rsidR="00DF1FAC" w:rsidRPr="000B7B8D">
        <w:rPr>
          <w:rFonts w:asciiTheme="minorHAnsi" w:hAnsiTheme="minorHAnsi"/>
        </w:rPr>
        <w:t>E</w:t>
      </w:r>
      <w:r w:rsidR="00D63BC0" w:rsidRPr="000B7B8D">
        <w:rPr>
          <w:rFonts w:asciiTheme="minorHAnsi" w:hAnsiTheme="minorHAnsi"/>
        </w:rPr>
        <w:t xml:space="preserve">ast </w:t>
      </w:r>
      <w:r w:rsidR="00DF1FAC" w:rsidRPr="000B7B8D">
        <w:rPr>
          <w:rFonts w:asciiTheme="minorHAnsi" w:hAnsiTheme="minorHAnsi"/>
        </w:rPr>
        <w:t>A</w:t>
      </w:r>
      <w:r w:rsidR="00D63BC0" w:rsidRPr="000B7B8D">
        <w:rPr>
          <w:rFonts w:asciiTheme="minorHAnsi" w:hAnsiTheme="minorHAnsi"/>
        </w:rPr>
        <w:t xml:space="preserve">sian </w:t>
      </w:r>
      <w:r w:rsidR="00DF1FAC" w:rsidRPr="000B7B8D">
        <w:rPr>
          <w:rFonts w:asciiTheme="minorHAnsi" w:hAnsiTheme="minorHAnsi"/>
        </w:rPr>
        <w:t>N</w:t>
      </w:r>
      <w:r w:rsidR="00D63BC0" w:rsidRPr="000B7B8D">
        <w:rPr>
          <w:rFonts w:asciiTheme="minorHAnsi" w:hAnsiTheme="minorHAnsi"/>
        </w:rPr>
        <w:t>ations’</w:t>
      </w:r>
      <w:r w:rsidR="00DF1FAC" w:rsidRPr="000B7B8D">
        <w:rPr>
          <w:rFonts w:asciiTheme="minorHAnsi" w:hAnsiTheme="minorHAnsi"/>
        </w:rPr>
        <w:t xml:space="preserve"> Senior Officials on Forestry Meeting are no closer to achieving a binding </w:t>
      </w:r>
      <w:r w:rsidR="0076470B" w:rsidRPr="000B7B8D">
        <w:rPr>
          <w:rFonts w:asciiTheme="minorHAnsi" w:hAnsiTheme="minorHAnsi"/>
        </w:rPr>
        <w:t xml:space="preserve">multilateral </w:t>
      </w:r>
      <w:r w:rsidR="00DF1FAC" w:rsidRPr="000B7B8D">
        <w:rPr>
          <w:rFonts w:asciiTheme="minorHAnsi" w:hAnsiTheme="minorHAnsi"/>
        </w:rPr>
        <w:t>agreement among their members</w:t>
      </w:r>
      <w:r w:rsidR="002D3FE2" w:rsidRPr="000B7B8D">
        <w:rPr>
          <w:rFonts w:asciiTheme="minorHAnsi" w:hAnsiTheme="minorHAnsi"/>
        </w:rPr>
        <w:t>.</w:t>
      </w:r>
      <w:r w:rsidR="002D3FE2" w:rsidRPr="000B7B8D">
        <w:rPr>
          <w:rStyle w:val="FootnoteReference"/>
          <w:rFonts w:asciiTheme="minorHAnsi" w:hAnsiTheme="minorHAnsi"/>
        </w:rPr>
        <w:footnoteReference w:id="2"/>
      </w:r>
    </w:p>
    <w:p w14:paraId="136DDA08" w14:textId="0F1A34F2" w:rsidR="000A509B" w:rsidRPr="000B7B8D" w:rsidRDefault="00CD1EEC" w:rsidP="00523396">
      <w:pPr>
        <w:pStyle w:val="BodyText"/>
        <w:jc w:val="both"/>
        <w:rPr>
          <w:rFonts w:asciiTheme="minorHAnsi" w:hAnsiTheme="minorHAnsi"/>
        </w:rPr>
      </w:pPr>
      <w:r w:rsidRPr="000B7B8D">
        <w:rPr>
          <w:rFonts w:asciiTheme="minorHAnsi" w:hAnsiTheme="minorHAnsi"/>
        </w:rPr>
        <w:t xml:space="preserve"> </w:t>
      </w:r>
      <w:r w:rsidR="002817BE" w:rsidRPr="000B7B8D">
        <w:rPr>
          <w:rFonts w:asciiTheme="minorHAnsi" w:hAnsiTheme="minorHAnsi"/>
        </w:rPr>
        <w:t>Yet</w:t>
      </w:r>
      <w:r w:rsidR="00912EE8" w:rsidRPr="000B7B8D">
        <w:rPr>
          <w:rFonts w:asciiTheme="minorHAnsi" w:hAnsiTheme="minorHAnsi"/>
        </w:rPr>
        <w:t>,</w:t>
      </w:r>
      <w:r w:rsidR="002817BE" w:rsidRPr="000B7B8D">
        <w:rPr>
          <w:rFonts w:asciiTheme="minorHAnsi" w:hAnsiTheme="minorHAnsi"/>
        </w:rPr>
        <w:t xml:space="preserve"> as this paper will argue, something like a </w:t>
      </w:r>
      <w:r w:rsidR="00445A7E" w:rsidRPr="000B7B8D">
        <w:rPr>
          <w:rFonts w:asciiTheme="minorHAnsi" w:hAnsiTheme="minorHAnsi"/>
        </w:rPr>
        <w:t>“</w:t>
      </w:r>
      <w:r w:rsidR="002817BE" w:rsidRPr="000B7B8D">
        <w:rPr>
          <w:rFonts w:asciiTheme="minorHAnsi" w:hAnsiTheme="minorHAnsi"/>
        </w:rPr>
        <w:t>joined-up</w:t>
      </w:r>
      <w:r w:rsidR="0092747F" w:rsidRPr="000B7B8D">
        <w:rPr>
          <w:rFonts w:asciiTheme="minorHAnsi" w:hAnsiTheme="minorHAnsi"/>
        </w:rPr>
        <w:t>”</w:t>
      </w:r>
      <w:r w:rsidR="002817BE" w:rsidRPr="000B7B8D">
        <w:rPr>
          <w:rFonts w:asciiTheme="minorHAnsi" w:hAnsiTheme="minorHAnsi"/>
        </w:rPr>
        <w:t xml:space="preserve"> transnational regime has emerged over the past 15 years</w:t>
      </w:r>
      <w:r w:rsidR="00445A7E" w:rsidRPr="000B7B8D">
        <w:rPr>
          <w:rFonts w:asciiTheme="minorHAnsi" w:hAnsiTheme="minorHAnsi"/>
        </w:rPr>
        <w:t xml:space="preserve"> from interactions between multiple public and private initiatives</w:t>
      </w:r>
      <w:r w:rsidR="00F522FD" w:rsidRPr="000B7B8D">
        <w:rPr>
          <w:rFonts w:asciiTheme="minorHAnsi" w:hAnsiTheme="minorHAnsi"/>
        </w:rPr>
        <w:t xml:space="preserve"> or “schemes”</w:t>
      </w:r>
      <w:r w:rsidR="002817BE" w:rsidRPr="000B7B8D">
        <w:rPr>
          <w:rFonts w:asciiTheme="minorHAnsi" w:hAnsiTheme="minorHAnsi"/>
        </w:rPr>
        <w:t xml:space="preserve">, </w:t>
      </w:r>
      <w:r w:rsidR="00445A7E" w:rsidRPr="000B7B8D">
        <w:rPr>
          <w:rFonts w:asciiTheme="minorHAnsi" w:hAnsiTheme="minorHAnsi"/>
        </w:rPr>
        <w:t xml:space="preserve">operating across </w:t>
      </w:r>
      <w:r w:rsidR="006F667A" w:rsidRPr="000B7B8D">
        <w:rPr>
          <w:rFonts w:asciiTheme="minorHAnsi" w:hAnsiTheme="minorHAnsi"/>
        </w:rPr>
        <w:t>jurisdictions</w:t>
      </w:r>
      <w:r w:rsidR="00445A7E" w:rsidRPr="000B7B8D">
        <w:rPr>
          <w:rFonts w:asciiTheme="minorHAnsi" w:hAnsiTheme="minorHAnsi"/>
        </w:rPr>
        <w:t xml:space="preserve"> </w:t>
      </w:r>
      <w:r w:rsidR="00F522FD" w:rsidRPr="000B7B8D">
        <w:rPr>
          <w:rFonts w:asciiTheme="minorHAnsi" w:hAnsiTheme="minorHAnsi"/>
        </w:rPr>
        <w:t xml:space="preserve">at different levels </w:t>
      </w:r>
      <w:r w:rsidR="00445A7E" w:rsidRPr="000B7B8D">
        <w:rPr>
          <w:rFonts w:asciiTheme="minorHAnsi" w:hAnsiTheme="minorHAnsi"/>
        </w:rPr>
        <w:t>within what</w:t>
      </w:r>
      <w:r w:rsidR="008C6986" w:rsidRPr="000B7B8D">
        <w:rPr>
          <w:rFonts w:asciiTheme="minorHAnsi" w:hAnsiTheme="minorHAnsi"/>
        </w:rPr>
        <w:t xml:space="preserve"> following Abbott </w:t>
      </w:r>
      <w:r w:rsidR="008C6986" w:rsidRPr="000B7B8D">
        <w:rPr>
          <w:rFonts w:asciiTheme="minorHAnsi" w:hAnsiTheme="minorHAnsi"/>
        </w:rPr>
        <w:lastRenderedPageBreak/>
        <w:t>(2012</w:t>
      </w:r>
      <w:r w:rsidR="00AF606C" w:rsidRPr="000B7B8D">
        <w:rPr>
          <w:rFonts w:asciiTheme="minorHAnsi" w:hAnsiTheme="minorHAnsi"/>
        </w:rPr>
        <w:t>, 2014</w:t>
      </w:r>
      <w:r w:rsidR="008C6986" w:rsidRPr="000B7B8D">
        <w:rPr>
          <w:rFonts w:asciiTheme="minorHAnsi" w:hAnsiTheme="minorHAnsi"/>
        </w:rPr>
        <w:t xml:space="preserve">) </w:t>
      </w:r>
      <w:r w:rsidR="006F667A" w:rsidRPr="000B7B8D">
        <w:rPr>
          <w:rFonts w:asciiTheme="minorHAnsi" w:hAnsiTheme="minorHAnsi"/>
        </w:rPr>
        <w:t>could</w:t>
      </w:r>
      <w:r w:rsidR="00445A7E" w:rsidRPr="000B7B8D">
        <w:rPr>
          <w:rFonts w:asciiTheme="minorHAnsi" w:hAnsiTheme="minorHAnsi"/>
        </w:rPr>
        <w:t xml:space="preserve"> be called </w:t>
      </w:r>
      <w:r w:rsidR="006F667A" w:rsidRPr="000B7B8D">
        <w:rPr>
          <w:rFonts w:asciiTheme="minorHAnsi" w:hAnsiTheme="minorHAnsi"/>
        </w:rPr>
        <w:t>the “transnational regime complex for forest governance”.</w:t>
      </w:r>
      <w:r w:rsidR="007548C2" w:rsidRPr="000B7B8D">
        <w:rPr>
          <w:rStyle w:val="FootnoteReference"/>
          <w:rFonts w:asciiTheme="minorHAnsi" w:hAnsiTheme="minorHAnsi"/>
        </w:rPr>
        <w:footnoteReference w:id="3"/>
      </w:r>
      <w:r w:rsidR="00F522FD" w:rsidRPr="000B7B8D">
        <w:rPr>
          <w:rFonts w:asciiTheme="minorHAnsi" w:hAnsiTheme="minorHAnsi"/>
        </w:rPr>
        <w:t xml:space="preserve">  This emerging regime is </w:t>
      </w:r>
      <w:r w:rsidR="002817BE" w:rsidRPr="000B7B8D">
        <w:rPr>
          <w:rFonts w:asciiTheme="minorHAnsi" w:hAnsiTheme="minorHAnsi"/>
        </w:rPr>
        <w:t xml:space="preserve">focused on ensuring timber legality and improving domestic forest governance, but with significant </w:t>
      </w:r>
      <w:r w:rsidR="000A509B" w:rsidRPr="000B7B8D">
        <w:rPr>
          <w:rFonts w:asciiTheme="minorHAnsi" w:hAnsiTheme="minorHAnsi"/>
        </w:rPr>
        <w:t>implications</w:t>
      </w:r>
      <w:r w:rsidR="00626E78" w:rsidRPr="000B7B8D">
        <w:rPr>
          <w:rFonts w:asciiTheme="minorHAnsi" w:hAnsiTheme="minorHAnsi"/>
        </w:rPr>
        <w:t xml:space="preserve"> for </w:t>
      </w:r>
      <w:r w:rsidR="002817BE" w:rsidRPr="000B7B8D">
        <w:rPr>
          <w:rFonts w:asciiTheme="minorHAnsi" w:hAnsiTheme="minorHAnsi"/>
        </w:rPr>
        <w:t>related issues such as sustainable forest management.</w:t>
      </w:r>
      <w:r w:rsidR="00445A7E" w:rsidRPr="000B7B8D">
        <w:rPr>
          <w:rFonts w:asciiTheme="minorHAnsi" w:hAnsiTheme="minorHAnsi"/>
        </w:rPr>
        <w:t xml:space="preserve"> </w:t>
      </w:r>
      <w:r w:rsidR="00436669" w:rsidRPr="000B7B8D">
        <w:rPr>
          <w:rFonts w:asciiTheme="minorHAnsi" w:hAnsiTheme="minorHAnsi"/>
        </w:rPr>
        <w:t xml:space="preserve"> </w:t>
      </w:r>
    </w:p>
    <w:p w14:paraId="6A437AC1" w14:textId="1DCE7665" w:rsidR="00983795" w:rsidRPr="000B7B8D" w:rsidRDefault="00436669" w:rsidP="00523396">
      <w:pPr>
        <w:pStyle w:val="BodyText"/>
        <w:jc w:val="both"/>
        <w:rPr>
          <w:rFonts w:asciiTheme="minorHAnsi" w:hAnsiTheme="minorHAnsi"/>
        </w:rPr>
      </w:pPr>
      <w:r w:rsidRPr="000B7B8D">
        <w:rPr>
          <w:rFonts w:asciiTheme="minorHAnsi" w:hAnsiTheme="minorHAnsi"/>
        </w:rPr>
        <w:t xml:space="preserve">In what sense </w:t>
      </w:r>
      <w:r w:rsidR="00633339" w:rsidRPr="000B7B8D">
        <w:rPr>
          <w:rFonts w:asciiTheme="minorHAnsi" w:hAnsiTheme="minorHAnsi"/>
        </w:rPr>
        <w:t xml:space="preserve">can the </w:t>
      </w:r>
      <w:r w:rsidR="000C3721" w:rsidRPr="000B7B8D">
        <w:rPr>
          <w:rFonts w:asciiTheme="minorHAnsi" w:hAnsiTheme="minorHAnsi"/>
        </w:rPr>
        <w:t>various</w:t>
      </w:r>
      <w:r w:rsidR="00633339" w:rsidRPr="000B7B8D">
        <w:rPr>
          <w:rFonts w:asciiTheme="minorHAnsi" w:hAnsiTheme="minorHAnsi"/>
        </w:rPr>
        <w:t xml:space="preserve"> components of the transnational timber legality regime be considered “joined-up”</w:t>
      </w:r>
      <w:r w:rsidR="005C434B" w:rsidRPr="000B7B8D">
        <w:rPr>
          <w:rFonts w:asciiTheme="minorHAnsi" w:hAnsiTheme="minorHAnsi"/>
        </w:rPr>
        <w:t xml:space="preserve">? </w:t>
      </w:r>
      <w:r w:rsidR="00C17DE7" w:rsidRPr="000B7B8D">
        <w:rPr>
          <w:rFonts w:asciiTheme="minorHAnsi" w:hAnsiTheme="minorHAnsi"/>
        </w:rPr>
        <w:t xml:space="preserve"> </w:t>
      </w:r>
      <w:r w:rsidR="00633339" w:rsidRPr="000B7B8D">
        <w:rPr>
          <w:rFonts w:asciiTheme="minorHAnsi" w:hAnsiTheme="minorHAnsi"/>
        </w:rPr>
        <w:t xml:space="preserve">In this paper, we will focus on four major interrelated developments </w:t>
      </w:r>
      <w:r w:rsidR="000C3721" w:rsidRPr="000B7B8D">
        <w:rPr>
          <w:rFonts w:asciiTheme="minorHAnsi" w:hAnsiTheme="minorHAnsi"/>
        </w:rPr>
        <w:t>to</w:t>
      </w:r>
      <w:r w:rsidR="00633339" w:rsidRPr="000B7B8D">
        <w:rPr>
          <w:rFonts w:asciiTheme="minorHAnsi" w:hAnsiTheme="minorHAnsi"/>
        </w:rPr>
        <w:t xml:space="preserve"> support this claim:</w:t>
      </w:r>
    </w:p>
    <w:p w14:paraId="27C5A513" w14:textId="63A01506" w:rsidR="006A5083" w:rsidRPr="000B7B8D" w:rsidRDefault="005926CC" w:rsidP="00523396">
      <w:pPr>
        <w:pStyle w:val="ListNumberFirst"/>
        <w:numPr>
          <w:ilvl w:val="0"/>
          <w:numId w:val="24"/>
        </w:numPr>
        <w:jc w:val="both"/>
        <w:rPr>
          <w:rFonts w:asciiTheme="minorHAnsi" w:hAnsiTheme="minorHAnsi"/>
        </w:rPr>
      </w:pPr>
      <w:r w:rsidRPr="000B7B8D">
        <w:rPr>
          <w:rFonts w:asciiTheme="minorHAnsi" w:hAnsiTheme="minorHAnsi"/>
        </w:rPr>
        <w:t>Growing c</w:t>
      </w:r>
      <w:r w:rsidR="00633339" w:rsidRPr="000B7B8D">
        <w:rPr>
          <w:rFonts w:asciiTheme="minorHAnsi" w:hAnsiTheme="minorHAnsi"/>
        </w:rPr>
        <w:t xml:space="preserve">onvergence </w:t>
      </w:r>
      <w:r w:rsidR="000F16F0" w:rsidRPr="000B7B8D">
        <w:rPr>
          <w:rFonts w:asciiTheme="minorHAnsi" w:hAnsiTheme="minorHAnsi"/>
        </w:rPr>
        <w:t>among actors and initiatives arou</w:t>
      </w:r>
      <w:r w:rsidR="005A7B6C" w:rsidRPr="000B7B8D">
        <w:rPr>
          <w:rFonts w:asciiTheme="minorHAnsi" w:hAnsiTheme="minorHAnsi"/>
        </w:rPr>
        <w:t xml:space="preserve">nd a </w:t>
      </w:r>
      <w:r w:rsidR="006A5083" w:rsidRPr="000B7B8D">
        <w:rPr>
          <w:rFonts w:asciiTheme="minorHAnsi" w:hAnsiTheme="minorHAnsi"/>
        </w:rPr>
        <w:t>shared problem definition and accompanying norms, principles, and framework goals for combating illegal logging.</w:t>
      </w:r>
    </w:p>
    <w:p w14:paraId="5714E28D" w14:textId="55BDAEC2" w:rsidR="006A5083" w:rsidRPr="000B7B8D" w:rsidRDefault="006A5083" w:rsidP="00523396">
      <w:pPr>
        <w:pStyle w:val="ListNumberFirst"/>
        <w:numPr>
          <w:ilvl w:val="0"/>
          <w:numId w:val="24"/>
        </w:numPr>
        <w:jc w:val="both"/>
        <w:rPr>
          <w:rFonts w:asciiTheme="minorHAnsi" w:hAnsiTheme="minorHAnsi"/>
        </w:rPr>
      </w:pPr>
      <w:r w:rsidRPr="000B7B8D">
        <w:rPr>
          <w:rFonts w:asciiTheme="minorHAnsi" w:hAnsiTheme="minorHAnsi"/>
        </w:rPr>
        <w:t>The diffusion of mutually reinforcing and often explicitly cross-referencing rules and standards across jurisdictions and sc</w:t>
      </w:r>
      <w:r w:rsidR="00342941" w:rsidRPr="000B7B8D">
        <w:rPr>
          <w:rFonts w:asciiTheme="minorHAnsi" w:hAnsiTheme="minorHAnsi"/>
        </w:rPr>
        <w:t>hemes (both public and private.</w:t>
      </w:r>
    </w:p>
    <w:p w14:paraId="3E87D9D4" w14:textId="1A936C53" w:rsidR="00633339" w:rsidRPr="000B7B8D" w:rsidRDefault="005926CC" w:rsidP="00523396">
      <w:pPr>
        <w:pStyle w:val="ListNumberFirst"/>
        <w:numPr>
          <w:ilvl w:val="0"/>
          <w:numId w:val="24"/>
        </w:numPr>
        <w:jc w:val="both"/>
        <w:rPr>
          <w:rFonts w:asciiTheme="minorHAnsi" w:hAnsiTheme="minorHAnsi"/>
        </w:rPr>
      </w:pPr>
      <w:r w:rsidRPr="000B7B8D">
        <w:rPr>
          <w:rFonts w:asciiTheme="minorHAnsi" w:hAnsiTheme="minorHAnsi"/>
        </w:rPr>
        <w:t>Progressive institutionalization of p</w:t>
      </w:r>
      <w:r w:rsidR="006A5083" w:rsidRPr="000B7B8D">
        <w:rPr>
          <w:rFonts w:asciiTheme="minorHAnsi" w:hAnsiTheme="minorHAnsi"/>
        </w:rPr>
        <w:t xml:space="preserve">ractical cooperation </w:t>
      </w:r>
      <w:r w:rsidRPr="000B7B8D">
        <w:rPr>
          <w:rFonts w:asciiTheme="minorHAnsi" w:hAnsiTheme="minorHAnsi"/>
        </w:rPr>
        <w:t>among</w:t>
      </w:r>
      <w:r w:rsidR="006A5083" w:rsidRPr="000B7B8D">
        <w:rPr>
          <w:rFonts w:asciiTheme="minorHAnsi" w:hAnsiTheme="minorHAnsi"/>
        </w:rPr>
        <w:t xml:space="preserve"> formally autonomous actors and schemes</w:t>
      </w:r>
      <w:r w:rsidR="009C712C" w:rsidRPr="000B7B8D">
        <w:rPr>
          <w:rFonts w:asciiTheme="minorHAnsi" w:hAnsiTheme="minorHAnsi"/>
        </w:rPr>
        <w:t xml:space="preserve"> to advance these common goals</w:t>
      </w:r>
      <w:r w:rsidR="006A5083" w:rsidRPr="000B7B8D">
        <w:rPr>
          <w:rFonts w:asciiTheme="minorHAnsi" w:hAnsiTheme="minorHAnsi"/>
        </w:rPr>
        <w:t xml:space="preserve">, including </w:t>
      </w:r>
      <w:r w:rsidR="009C712C" w:rsidRPr="000B7B8D">
        <w:rPr>
          <w:rFonts w:asciiTheme="minorHAnsi" w:hAnsiTheme="minorHAnsi"/>
        </w:rPr>
        <w:t xml:space="preserve">information sharing, </w:t>
      </w:r>
      <w:r w:rsidR="00242B39" w:rsidRPr="000B7B8D">
        <w:rPr>
          <w:rFonts w:asciiTheme="minorHAnsi" w:hAnsiTheme="minorHAnsi"/>
        </w:rPr>
        <w:t xml:space="preserve">alignment of </w:t>
      </w:r>
      <w:r w:rsidR="004F66EA" w:rsidRPr="000B7B8D">
        <w:rPr>
          <w:rFonts w:asciiTheme="minorHAnsi" w:hAnsiTheme="minorHAnsi"/>
        </w:rPr>
        <w:t xml:space="preserve">regulatory </w:t>
      </w:r>
      <w:r w:rsidR="00242B39" w:rsidRPr="000B7B8D">
        <w:rPr>
          <w:rFonts w:asciiTheme="minorHAnsi" w:hAnsiTheme="minorHAnsi"/>
        </w:rPr>
        <w:t>approaches</w:t>
      </w:r>
      <w:r w:rsidR="009C712C" w:rsidRPr="000B7B8D">
        <w:rPr>
          <w:rFonts w:asciiTheme="minorHAnsi" w:hAnsiTheme="minorHAnsi"/>
        </w:rPr>
        <w:t>, and collaborative enforcement activities</w:t>
      </w:r>
      <w:r w:rsidR="0053768E" w:rsidRPr="000B7B8D">
        <w:rPr>
          <w:rFonts w:asciiTheme="minorHAnsi" w:hAnsiTheme="minorHAnsi"/>
        </w:rPr>
        <w:t>.</w:t>
      </w:r>
      <w:r w:rsidR="009C712C" w:rsidRPr="000B7B8D">
        <w:rPr>
          <w:rFonts w:asciiTheme="minorHAnsi" w:hAnsiTheme="minorHAnsi"/>
        </w:rPr>
        <w:t xml:space="preserve"> </w:t>
      </w:r>
    </w:p>
    <w:p w14:paraId="49FE5DDB" w14:textId="381E0918" w:rsidR="005926CC" w:rsidRPr="000B7B8D" w:rsidRDefault="005926CC" w:rsidP="00523396">
      <w:pPr>
        <w:pStyle w:val="ListNumber"/>
        <w:numPr>
          <w:ilvl w:val="0"/>
          <w:numId w:val="24"/>
        </w:numPr>
        <w:jc w:val="both"/>
        <w:rPr>
          <w:rFonts w:asciiTheme="minorHAnsi" w:hAnsiTheme="minorHAnsi"/>
        </w:rPr>
      </w:pPr>
      <w:r w:rsidRPr="000B7B8D">
        <w:rPr>
          <w:rFonts w:asciiTheme="minorHAnsi" w:hAnsiTheme="minorHAnsi"/>
        </w:rPr>
        <w:t xml:space="preserve">An increasing focus on monitoring, review, and revision of practices, procedures, and programs at multiple levels, informed </w:t>
      </w:r>
      <w:r w:rsidR="006A2EB1" w:rsidRPr="000B7B8D">
        <w:rPr>
          <w:rFonts w:asciiTheme="minorHAnsi" w:hAnsiTheme="minorHAnsi"/>
        </w:rPr>
        <w:t>by comparison of implementation experiences across jurisdictions and schemes.</w:t>
      </w:r>
    </w:p>
    <w:p w14:paraId="7ADE1826" w14:textId="60208CC9" w:rsidR="009D2EC8" w:rsidRPr="000B7B8D" w:rsidRDefault="006D7C46" w:rsidP="00523396">
      <w:pPr>
        <w:pStyle w:val="BodyText"/>
        <w:jc w:val="both"/>
        <w:rPr>
          <w:rFonts w:asciiTheme="minorHAnsi" w:hAnsiTheme="minorHAnsi"/>
        </w:rPr>
      </w:pPr>
      <w:r w:rsidRPr="000B7B8D">
        <w:rPr>
          <w:rFonts w:asciiTheme="minorHAnsi" w:hAnsiTheme="minorHAnsi"/>
        </w:rPr>
        <w:t xml:space="preserve">How can this </w:t>
      </w:r>
      <w:r w:rsidR="00560EFF" w:rsidRPr="000B7B8D">
        <w:rPr>
          <w:rFonts w:asciiTheme="minorHAnsi" w:hAnsiTheme="minorHAnsi"/>
        </w:rPr>
        <w:t xml:space="preserve">emerging regime be characterized theoretically? </w:t>
      </w:r>
      <w:r w:rsidR="00B13A30" w:rsidRPr="000B7B8D">
        <w:rPr>
          <w:rFonts w:asciiTheme="minorHAnsi" w:hAnsiTheme="minorHAnsi"/>
        </w:rPr>
        <w:t xml:space="preserve"> As </w:t>
      </w:r>
      <w:r w:rsidR="00691741" w:rsidRPr="000B7B8D">
        <w:rPr>
          <w:rFonts w:asciiTheme="minorHAnsi" w:hAnsiTheme="minorHAnsi"/>
        </w:rPr>
        <w:t xml:space="preserve">we have </w:t>
      </w:r>
      <w:r w:rsidR="00B13A30" w:rsidRPr="000B7B8D">
        <w:rPr>
          <w:rFonts w:asciiTheme="minorHAnsi" w:hAnsiTheme="minorHAnsi"/>
        </w:rPr>
        <w:t>alre</w:t>
      </w:r>
      <w:r w:rsidR="00776AA6" w:rsidRPr="000B7B8D">
        <w:rPr>
          <w:rFonts w:asciiTheme="minorHAnsi" w:hAnsiTheme="minorHAnsi"/>
        </w:rPr>
        <w:t xml:space="preserve">ady </w:t>
      </w:r>
      <w:r w:rsidR="00691741" w:rsidRPr="000B7B8D">
        <w:rPr>
          <w:rFonts w:asciiTheme="minorHAnsi" w:hAnsiTheme="minorHAnsi"/>
        </w:rPr>
        <w:t>observed</w:t>
      </w:r>
      <w:r w:rsidR="00776AA6" w:rsidRPr="000B7B8D">
        <w:rPr>
          <w:rFonts w:asciiTheme="minorHAnsi" w:hAnsiTheme="minorHAnsi"/>
        </w:rPr>
        <w:t xml:space="preserve">, it is not a classic </w:t>
      </w:r>
      <w:r w:rsidR="00D3586A" w:rsidRPr="000B7B8D">
        <w:rPr>
          <w:rFonts w:asciiTheme="minorHAnsi" w:hAnsiTheme="minorHAnsi"/>
        </w:rPr>
        <w:t xml:space="preserve">integrated multilateral regime, </w:t>
      </w:r>
      <w:r w:rsidR="00776AA6" w:rsidRPr="000B7B8D">
        <w:rPr>
          <w:rFonts w:asciiTheme="minorHAnsi" w:hAnsiTheme="minorHAnsi"/>
        </w:rPr>
        <w:t xml:space="preserve">with a monopolistic international institution empowered </w:t>
      </w:r>
      <w:r w:rsidR="002D0A2A" w:rsidRPr="000B7B8D">
        <w:rPr>
          <w:rFonts w:asciiTheme="minorHAnsi" w:hAnsiTheme="minorHAnsi"/>
        </w:rPr>
        <w:t xml:space="preserve">by participating states </w:t>
      </w:r>
      <w:r w:rsidR="00776AA6" w:rsidRPr="000B7B8D">
        <w:rPr>
          <w:rFonts w:asciiTheme="minorHAnsi" w:hAnsiTheme="minorHAnsi"/>
        </w:rPr>
        <w:t xml:space="preserve">to </w:t>
      </w:r>
      <w:r w:rsidR="004D057B" w:rsidRPr="000B7B8D">
        <w:rPr>
          <w:rFonts w:asciiTheme="minorHAnsi" w:hAnsiTheme="minorHAnsi"/>
        </w:rPr>
        <w:t>oversee</w:t>
      </w:r>
      <w:r w:rsidR="002D0A2A" w:rsidRPr="000B7B8D">
        <w:rPr>
          <w:rFonts w:asciiTheme="minorHAnsi" w:hAnsiTheme="minorHAnsi"/>
        </w:rPr>
        <w:t xml:space="preserve"> a comprehensive </w:t>
      </w:r>
      <w:r w:rsidR="00821550" w:rsidRPr="000B7B8D">
        <w:rPr>
          <w:rFonts w:asciiTheme="minorHAnsi" w:hAnsiTheme="minorHAnsi"/>
        </w:rPr>
        <w:t>set</w:t>
      </w:r>
      <w:r w:rsidR="002D0A2A" w:rsidRPr="000B7B8D">
        <w:rPr>
          <w:rFonts w:asciiTheme="minorHAnsi" w:hAnsiTheme="minorHAnsi"/>
        </w:rPr>
        <w:t xml:space="preserve"> of </w:t>
      </w:r>
      <w:r w:rsidR="008927C5" w:rsidRPr="000B7B8D">
        <w:rPr>
          <w:rFonts w:asciiTheme="minorHAnsi" w:hAnsiTheme="minorHAnsi"/>
        </w:rPr>
        <w:t>hierarchical</w:t>
      </w:r>
      <w:r w:rsidR="00821550" w:rsidRPr="000B7B8D">
        <w:rPr>
          <w:rFonts w:asciiTheme="minorHAnsi" w:hAnsiTheme="minorHAnsi"/>
        </w:rPr>
        <w:t xml:space="preserve"> </w:t>
      </w:r>
      <w:r w:rsidR="002D0A2A" w:rsidRPr="000B7B8D">
        <w:rPr>
          <w:rFonts w:asciiTheme="minorHAnsi" w:hAnsiTheme="minorHAnsi"/>
        </w:rPr>
        <w:t xml:space="preserve">rules </w:t>
      </w:r>
      <w:r w:rsidR="00821550" w:rsidRPr="000B7B8D">
        <w:rPr>
          <w:rFonts w:asciiTheme="minorHAnsi" w:hAnsiTheme="minorHAnsi"/>
        </w:rPr>
        <w:t xml:space="preserve">for a </w:t>
      </w:r>
      <w:r w:rsidR="00B0265E" w:rsidRPr="000B7B8D">
        <w:rPr>
          <w:rFonts w:asciiTheme="minorHAnsi" w:hAnsiTheme="minorHAnsi"/>
        </w:rPr>
        <w:t>specific issue-area or policy domain –</w:t>
      </w:r>
      <w:r w:rsidR="003C539A" w:rsidRPr="000B7B8D">
        <w:rPr>
          <w:rFonts w:asciiTheme="minorHAnsi" w:hAnsiTheme="minorHAnsi"/>
        </w:rPr>
        <w:t xml:space="preserve"> </w:t>
      </w:r>
      <w:r w:rsidR="00B0265E" w:rsidRPr="000B7B8D">
        <w:rPr>
          <w:rFonts w:asciiTheme="minorHAnsi" w:hAnsiTheme="minorHAnsi"/>
        </w:rPr>
        <w:t>what de Búrca et al. (2013</w:t>
      </w:r>
      <w:r w:rsidR="00707C25" w:rsidRPr="000B7B8D">
        <w:rPr>
          <w:rFonts w:asciiTheme="minorHAnsi" w:hAnsiTheme="minorHAnsi"/>
        </w:rPr>
        <w:t xml:space="preserve">: </w:t>
      </w:r>
      <w:r w:rsidR="00A87F2C" w:rsidRPr="000B7B8D">
        <w:rPr>
          <w:rFonts w:asciiTheme="minorHAnsi" w:hAnsiTheme="minorHAnsi"/>
        </w:rPr>
        <w:t>729-32</w:t>
      </w:r>
      <w:r w:rsidR="00B0265E" w:rsidRPr="000B7B8D">
        <w:rPr>
          <w:rFonts w:asciiTheme="minorHAnsi" w:hAnsiTheme="minorHAnsi"/>
        </w:rPr>
        <w:t xml:space="preserve">) call “Mode One Global Governance”.  </w:t>
      </w:r>
      <w:r w:rsidR="001662B0" w:rsidRPr="000B7B8D">
        <w:rPr>
          <w:rFonts w:asciiTheme="minorHAnsi" w:hAnsiTheme="minorHAnsi"/>
        </w:rPr>
        <w:t xml:space="preserve">Nor </w:t>
      </w:r>
      <w:r w:rsidR="00D709F4" w:rsidRPr="000B7B8D">
        <w:rPr>
          <w:rFonts w:asciiTheme="minorHAnsi" w:hAnsiTheme="minorHAnsi"/>
        </w:rPr>
        <w:t>can it be considered</w:t>
      </w:r>
      <w:r w:rsidR="001662B0" w:rsidRPr="000B7B8D">
        <w:rPr>
          <w:rFonts w:asciiTheme="minorHAnsi" w:hAnsiTheme="minorHAnsi"/>
        </w:rPr>
        <w:t xml:space="preserve"> a </w:t>
      </w:r>
      <w:r w:rsidR="00D709F4" w:rsidRPr="000B7B8D">
        <w:rPr>
          <w:rFonts w:asciiTheme="minorHAnsi" w:hAnsiTheme="minorHAnsi"/>
        </w:rPr>
        <w:t>“nested regime</w:t>
      </w:r>
      <w:r w:rsidR="00A87F2C" w:rsidRPr="000B7B8D">
        <w:rPr>
          <w:rFonts w:asciiTheme="minorHAnsi" w:hAnsiTheme="minorHAnsi"/>
        </w:rPr>
        <w:t xml:space="preserve"> complex</w:t>
      </w:r>
      <w:r w:rsidR="00D709F4" w:rsidRPr="000B7B8D">
        <w:rPr>
          <w:rFonts w:asciiTheme="minorHAnsi" w:hAnsiTheme="minorHAnsi"/>
        </w:rPr>
        <w:t xml:space="preserve">”, as there is no </w:t>
      </w:r>
      <w:r w:rsidR="00691741" w:rsidRPr="000B7B8D">
        <w:rPr>
          <w:rFonts w:asciiTheme="minorHAnsi" w:hAnsiTheme="minorHAnsi"/>
        </w:rPr>
        <w:lastRenderedPageBreak/>
        <w:t xml:space="preserve">single </w:t>
      </w:r>
      <w:r w:rsidR="00D709F4" w:rsidRPr="000B7B8D">
        <w:rPr>
          <w:rFonts w:asciiTheme="minorHAnsi" w:hAnsiTheme="minorHAnsi"/>
        </w:rPr>
        <w:t>interstate institution which is “hierarchically superior to transnational schemes, with authority to resolve any rule inconsistencies” (</w:t>
      </w:r>
      <w:r w:rsidR="008017CB" w:rsidRPr="000B7B8D">
        <w:rPr>
          <w:rFonts w:asciiTheme="minorHAnsi" w:hAnsiTheme="minorHAnsi"/>
        </w:rPr>
        <w:t xml:space="preserve">Keohane &amp; Victor 2011: 7; </w:t>
      </w:r>
      <w:r w:rsidR="00D709F4" w:rsidRPr="000B7B8D">
        <w:rPr>
          <w:rFonts w:asciiTheme="minorHAnsi" w:hAnsiTheme="minorHAnsi"/>
        </w:rPr>
        <w:t xml:space="preserve">Abbott 2012: 583).  </w:t>
      </w:r>
    </w:p>
    <w:p w14:paraId="7BA58728" w14:textId="18C0CAC6" w:rsidR="005D76EC" w:rsidRPr="000B7B8D" w:rsidRDefault="00530DAC" w:rsidP="00523396">
      <w:pPr>
        <w:pStyle w:val="BodyText"/>
        <w:jc w:val="both"/>
        <w:rPr>
          <w:rFonts w:asciiTheme="minorHAnsi" w:hAnsiTheme="minorHAnsi"/>
        </w:rPr>
      </w:pPr>
      <w:r w:rsidRPr="000B7B8D">
        <w:rPr>
          <w:rFonts w:asciiTheme="minorHAnsi" w:hAnsiTheme="minorHAnsi"/>
        </w:rPr>
        <w:t xml:space="preserve">But </w:t>
      </w:r>
      <w:r w:rsidR="00BD6682" w:rsidRPr="000B7B8D">
        <w:rPr>
          <w:rFonts w:asciiTheme="minorHAnsi" w:hAnsiTheme="minorHAnsi"/>
        </w:rPr>
        <w:t xml:space="preserve">the </w:t>
      </w:r>
      <w:r w:rsidR="004F3BF7" w:rsidRPr="000B7B8D">
        <w:rPr>
          <w:rFonts w:asciiTheme="minorHAnsi" w:hAnsiTheme="minorHAnsi"/>
        </w:rPr>
        <w:t xml:space="preserve">emerging </w:t>
      </w:r>
      <w:r w:rsidR="00BD6682" w:rsidRPr="000B7B8D">
        <w:rPr>
          <w:rFonts w:asciiTheme="minorHAnsi" w:hAnsiTheme="minorHAnsi"/>
        </w:rPr>
        <w:t xml:space="preserve">timber legality regime is also far from </w:t>
      </w:r>
      <w:r w:rsidR="00313E2E" w:rsidRPr="000B7B8D">
        <w:rPr>
          <w:rFonts w:asciiTheme="minorHAnsi" w:hAnsiTheme="minorHAnsi"/>
        </w:rPr>
        <w:t xml:space="preserve">representing </w:t>
      </w:r>
      <w:r w:rsidR="00BD6682" w:rsidRPr="000B7B8D">
        <w:rPr>
          <w:rFonts w:asciiTheme="minorHAnsi" w:hAnsiTheme="minorHAnsi"/>
        </w:rPr>
        <w:t xml:space="preserve">a </w:t>
      </w:r>
      <w:r w:rsidR="00B04E99" w:rsidRPr="000B7B8D">
        <w:rPr>
          <w:rFonts w:asciiTheme="minorHAnsi" w:hAnsiTheme="minorHAnsi"/>
        </w:rPr>
        <w:t xml:space="preserve">mere </w:t>
      </w:r>
      <w:r w:rsidR="00B7293E" w:rsidRPr="000B7B8D">
        <w:rPr>
          <w:rFonts w:asciiTheme="minorHAnsi" w:hAnsiTheme="minorHAnsi"/>
        </w:rPr>
        <w:t>case</w:t>
      </w:r>
      <w:r w:rsidR="000A6288" w:rsidRPr="000B7B8D">
        <w:rPr>
          <w:rFonts w:asciiTheme="minorHAnsi" w:hAnsiTheme="minorHAnsi"/>
        </w:rPr>
        <w:t xml:space="preserve"> of “polycentric governance”, as conceived by Ostrom </w:t>
      </w:r>
      <w:r w:rsidR="005661C8" w:rsidRPr="000B7B8D">
        <w:rPr>
          <w:rFonts w:asciiTheme="minorHAnsi" w:hAnsiTheme="minorHAnsi"/>
        </w:rPr>
        <w:t xml:space="preserve">(2010) </w:t>
      </w:r>
      <w:r w:rsidR="000A6288" w:rsidRPr="000B7B8D">
        <w:rPr>
          <w:rFonts w:asciiTheme="minorHAnsi" w:hAnsiTheme="minorHAnsi"/>
        </w:rPr>
        <w:t xml:space="preserve">and others, in which a </w:t>
      </w:r>
      <w:r w:rsidR="007114CB" w:rsidRPr="000B7B8D">
        <w:rPr>
          <w:rFonts w:asciiTheme="minorHAnsi" w:hAnsiTheme="minorHAnsi"/>
        </w:rPr>
        <w:t xml:space="preserve">multiplicity of </w:t>
      </w:r>
      <w:r w:rsidR="00BD6682" w:rsidRPr="000B7B8D">
        <w:rPr>
          <w:rFonts w:asciiTheme="minorHAnsi" w:hAnsiTheme="minorHAnsi"/>
        </w:rPr>
        <w:t>autonomous</w:t>
      </w:r>
      <w:r w:rsidR="00F75F6F" w:rsidRPr="000B7B8D">
        <w:rPr>
          <w:rFonts w:asciiTheme="minorHAnsi" w:hAnsiTheme="minorHAnsi"/>
        </w:rPr>
        <w:t>,</w:t>
      </w:r>
      <w:r w:rsidR="000A6288" w:rsidRPr="000B7B8D">
        <w:rPr>
          <w:rFonts w:asciiTheme="minorHAnsi" w:hAnsiTheme="minorHAnsi"/>
        </w:rPr>
        <w:t xml:space="preserve"> </w:t>
      </w:r>
      <w:r w:rsidR="00B7293E" w:rsidRPr="000B7B8D">
        <w:rPr>
          <w:rFonts w:asciiTheme="minorHAnsi" w:hAnsiTheme="minorHAnsi"/>
        </w:rPr>
        <w:t>self-organizing</w:t>
      </w:r>
      <w:r w:rsidR="00F75F6F" w:rsidRPr="000B7B8D">
        <w:rPr>
          <w:rFonts w:asciiTheme="minorHAnsi" w:hAnsiTheme="minorHAnsi"/>
        </w:rPr>
        <w:t xml:space="preserve"> </w:t>
      </w:r>
      <w:r w:rsidR="005E70C9" w:rsidRPr="000B7B8D">
        <w:rPr>
          <w:rFonts w:asciiTheme="minorHAnsi" w:hAnsiTheme="minorHAnsi"/>
        </w:rPr>
        <w:t xml:space="preserve">groups of </w:t>
      </w:r>
      <w:r w:rsidR="00F75F6F" w:rsidRPr="000B7B8D">
        <w:rPr>
          <w:rFonts w:asciiTheme="minorHAnsi" w:hAnsiTheme="minorHAnsi"/>
        </w:rPr>
        <w:t xml:space="preserve">actors tackle common-pool resource problems </w:t>
      </w:r>
      <w:r w:rsidR="00B7293E" w:rsidRPr="000B7B8D">
        <w:rPr>
          <w:rFonts w:asciiTheme="minorHAnsi" w:hAnsiTheme="minorHAnsi"/>
        </w:rPr>
        <w:t>at various scales</w:t>
      </w:r>
      <w:r w:rsidR="005E70C9" w:rsidRPr="000B7B8D">
        <w:rPr>
          <w:rFonts w:asciiTheme="minorHAnsi" w:hAnsiTheme="minorHAnsi"/>
        </w:rPr>
        <w:t xml:space="preserve">, </w:t>
      </w:r>
      <w:r w:rsidR="00F75F6F" w:rsidRPr="000B7B8D">
        <w:rPr>
          <w:rFonts w:asciiTheme="minorHAnsi" w:hAnsiTheme="minorHAnsi"/>
        </w:rPr>
        <w:t xml:space="preserve">but may learn from observation of each other’s experiences and gradually come </w:t>
      </w:r>
      <w:r w:rsidR="00B7293E" w:rsidRPr="000B7B8D">
        <w:rPr>
          <w:rFonts w:asciiTheme="minorHAnsi" w:hAnsiTheme="minorHAnsi"/>
        </w:rPr>
        <w:t xml:space="preserve">to form an overarching system through voluntary specialization on complementary </w:t>
      </w:r>
      <w:r w:rsidR="004C5E09" w:rsidRPr="000B7B8D">
        <w:rPr>
          <w:rFonts w:asciiTheme="minorHAnsi" w:hAnsiTheme="minorHAnsi"/>
        </w:rPr>
        <w:t>fu</w:t>
      </w:r>
      <w:r w:rsidR="00B91CB1" w:rsidRPr="000B7B8D">
        <w:rPr>
          <w:rFonts w:asciiTheme="minorHAnsi" w:hAnsiTheme="minorHAnsi"/>
        </w:rPr>
        <w:t xml:space="preserve">nctional </w:t>
      </w:r>
      <w:r w:rsidR="008640B2" w:rsidRPr="000B7B8D">
        <w:rPr>
          <w:rFonts w:asciiTheme="minorHAnsi" w:hAnsiTheme="minorHAnsi"/>
        </w:rPr>
        <w:t>niches (Abbott 2012: 584-7; Jordan et al. 2018; cf. also Hoffman 2011 on spontaneous “self-sorting” within contemporary climate governance)</w:t>
      </w:r>
      <w:r w:rsidR="00B91CB1" w:rsidRPr="000B7B8D">
        <w:rPr>
          <w:rFonts w:asciiTheme="minorHAnsi" w:hAnsiTheme="minorHAnsi"/>
        </w:rPr>
        <w:t>.</w:t>
      </w:r>
      <w:r w:rsidR="004C5E09" w:rsidRPr="000B7B8D">
        <w:rPr>
          <w:rFonts w:asciiTheme="minorHAnsi" w:hAnsiTheme="minorHAnsi"/>
        </w:rPr>
        <w:t xml:space="preserve"> </w:t>
      </w:r>
      <w:r w:rsidR="00210658" w:rsidRPr="000B7B8D">
        <w:rPr>
          <w:rFonts w:asciiTheme="minorHAnsi" w:hAnsiTheme="minorHAnsi"/>
        </w:rPr>
        <w:t xml:space="preserve"> As the preceding discussion of </w:t>
      </w:r>
      <w:r w:rsidR="00320016" w:rsidRPr="000B7B8D">
        <w:rPr>
          <w:rFonts w:asciiTheme="minorHAnsi" w:hAnsiTheme="minorHAnsi"/>
        </w:rPr>
        <w:t xml:space="preserve">“joined-up governance” </w:t>
      </w:r>
      <w:r w:rsidR="0005385F" w:rsidRPr="000B7B8D">
        <w:rPr>
          <w:rFonts w:asciiTheme="minorHAnsi" w:hAnsiTheme="minorHAnsi"/>
        </w:rPr>
        <w:t>indicates</w:t>
      </w:r>
      <w:r w:rsidR="00320016" w:rsidRPr="000B7B8D">
        <w:rPr>
          <w:rFonts w:asciiTheme="minorHAnsi" w:hAnsiTheme="minorHAnsi"/>
        </w:rPr>
        <w:t xml:space="preserve">, there is too much formal coordination </w:t>
      </w:r>
      <w:r w:rsidR="00A17F41" w:rsidRPr="000B7B8D">
        <w:rPr>
          <w:rFonts w:asciiTheme="minorHAnsi" w:hAnsiTheme="minorHAnsi"/>
        </w:rPr>
        <w:t xml:space="preserve">and </w:t>
      </w:r>
      <w:r w:rsidR="00691741" w:rsidRPr="000B7B8D">
        <w:rPr>
          <w:rFonts w:asciiTheme="minorHAnsi" w:hAnsiTheme="minorHAnsi"/>
        </w:rPr>
        <w:t xml:space="preserve">explicit </w:t>
      </w:r>
      <w:r w:rsidR="00A17F41" w:rsidRPr="000B7B8D">
        <w:rPr>
          <w:rFonts w:asciiTheme="minorHAnsi" w:hAnsiTheme="minorHAnsi"/>
        </w:rPr>
        <w:t xml:space="preserve">cooperation </w:t>
      </w:r>
      <w:r w:rsidR="007E461D" w:rsidRPr="000B7B8D">
        <w:rPr>
          <w:rFonts w:asciiTheme="minorHAnsi" w:hAnsiTheme="minorHAnsi"/>
        </w:rPr>
        <w:t xml:space="preserve">among the various components of </w:t>
      </w:r>
      <w:r w:rsidR="00D20C11" w:rsidRPr="000B7B8D">
        <w:rPr>
          <w:rFonts w:asciiTheme="minorHAnsi" w:hAnsiTheme="minorHAnsi"/>
        </w:rPr>
        <w:t>the timber legality regim</w:t>
      </w:r>
      <w:r w:rsidR="009A2DA1" w:rsidRPr="000B7B8D">
        <w:rPr>
          <w:rFonts w:asciiTheme="minorHAnsi" w:hAnsiTheme="minorHAnsi"/>
        </w:rPr>
        <w:t>e</w:t>
      </w:r>
      <w:r w:rsidR="00874DD2" w:rsidRPr="000B7B8D">
        <w:rPr>
          <w:rFonts w:asciiTheme="minorHAnsi" w:hAnsiTheme="minorHAnsi"/>
        </w:rPr>
        <w:t>, both within and beyond the EU FLEGT initiative,</w:t>
      </w:r>
      <w:r w:rsidR="009A2DA1" w:rsidRPr="000B7B8D">
        <w:rPr>
          <w:rFonts w:asciiTheme="minorHAnsi" w:hAnsiTheme="minorHAnsi"/>
        </w:rPr>
        <w:t xml:space="preserve"> to fit t</w:t>
      </w:r>
      <w:r w:rsidR="000D7E51" w:rsidRPr="000B7B8D">
        <w:rPr>
          <w:rFonts w:asciiTheme="minorHAnsi" w:hAnsiTheme="minorHAnsi"/>
        </w:rPr>
        <w:t xml:space="preserve">he polycentric model, including </w:t>
      </w:r>
      <w:r w:rsidR="002E2809" w:rsidRPr="000B7B8D">
        <w:rPr>
          <w:rFonts w:asciiTheme="minorHAnsi" w:hAnsiTheme="minorHAnsi"/>
        </w:rPr>
        <w:t>collaborative enforcement of sanctions for non-compliance</w:t>
      </w:r>
      <w:r w:rsidR="00874DD2" w:rsidRPr="000B7B8D">
        <w:rPr>
          <w:rFonts w:asciiTheme="minorHAnsi" w:hAnsiTheme="minorHAnsi"/>
        </w:rPr>
        <w:t xml:space="preserve"> with its norms and rules</w:t>
      </w:r>
      <w:r w:rsidR="002E2809" w:rsidRPr="000B7B8D">
        <w:rPr>
          <w:rFonts w:asciiTheme="minorHAnsi" w:hAnsiTheme="minorHAnsi"/>
        </w:rPr>
        <w:t>.</w:t>
      </w:r>
    </w:p>
    <w:p w14:paraId="3CA93670" w14:textId="595C4EE3" w:rsidR="005700CC" w:rsidRPr="000B7B8D" w:rsidRDefault="00E74E5C" w:rsidP="00523396">
      <w:pPr>
        <w:pStyle w:val="BodyText"/>
        <w:jc w:val="both"/>
        <w:rPr>
          <w:rFonts w:asciiTheme="minorHAnsi" w:hAnsiTheme="minorHAnsi"/>
        </w:rPr>
      </w:pPr>
      <w:r w:rsidRPr="000B7B8D">
        <w:rPr>
          <w:rFonts w:asciiTheme="minorHAnsi" w:hAnsiTheme="minorHAnsi"/>
        </w:rPr>
        <w:t xml:space="preserve">Neither </w:t>
      </w:r>
      <w:r w:rsidR="000C37CE" w:rsidRPr="000B7B8D">
        <w:rPr>
          <w:rFonts w:asciiTheme="minorHAnsi" w:hAnsiTheme="minorHAnsi"/>
        </w:rPr>
        <w:t xml:space="preserve">can the </w:t>
      </w:r>
      <w:r w:rsidR="004F3BF7" w:rsidRPr="000B7B8D">
        <w:rPr>
          <w:rFonts w:asciiTheme="minorHAnsi" w:hAnsiTheme="minorHAnsi"/>
        </w:rPr>
        <w:t xml:space="preserve">emerging </w:t>
      </w:r>
      <w:r w:rsidR="00C8610E" w:rsidRPr="000B7B8D">
        <w:rPr>
          <w:rFonts w:asciiTheme="minorHAnsi" w:hAnsiTheme="minorHAnsi"/>
        </w:rPr>
        <w:t xml:space="preserve">timber legality regime be properly characterized </w:t>
      </w:r>
      <w:r w:rsidR="00333A00" w:rsidRPr="000B7B8D">
        <w:rPr>
          <w:rFonts w:asciiTheme="minorHAnsi" w:hAnsiTheme="minorHAnsi"/>
        </w:rPr>
        <w:t>in terms of</w:t>
      </w:r>
      <w:r w:rsidR="00C8610E" w:rsidRPr="000B7B8D">
        <w:rPr>
          <w:rFonts w:asciiTheme="minorHAnsi" w:hAnsiTheme="minorHAnsi"/>
        </w:rPr>
        <w:t xml:space="preserve"> “orchestration”, </w:t>
      </w:r>
      <w:r w:rsidR="00333A00" w:rsidRPr="000B7B8D">
        <w:rPr>
          <w:rFonts w:asciiTheme="minorHAnsi" w:hAnsiTheme="minorHAnsi"/>
        </w:rPr>
        <w:t>where</w:t>
      </w:r>
      <w:r w:rsidR="00C8610E" w:rsidRPr="000B7B8D">
        <w:rPr>
          <w:rFonts w:asciiTheme="minorHAnsi" w:hAnsiTheme="minorHAnsi"/>
        </w:rPr>
        <w:t xml:space="preserve"> a focal international organization, lac</w:t>
      </w:r>
      <w:r w:rsidR="00D67666" w:rsidRPr="000B7B8D">
        <w:rPr>
          <w:rFonts w:asciiTheme="minorHAnsi" w:hAnsiTheme="minorHAnsi"/>
        </w:rPr>
        <w:t xml:space="preserve">king hierarchical authority, implementation capacity, and enforcement powers, enlists the cooperation of </w:t>
      </w:r>
      <w:r w:rsidR="00E2288D" w:rsidRPr="000B7B8D">
        <w:rPr>
          <w:rFonts w:asciiTheme="minorHAnsi" w:hAnsiTheme="minorHAnsi"/>
        </w:rPr>
        <w:t>intermediary actors</w:t>
      </w:r>
      <w:r w:rsidR="00D67666" w:rsidRPr="000B7B8D">
        <w:rPr>
          <w:rFonts w:asciiTheme="minorHAnsi" w:hAnsiTheme="minorHAnsi"/>
        </w:rPr>
        <w:t xml:space="preserve"> </w:t>
      </w:r>
      <w:r w:rsidR="0027760A" w:rsidRPr="000B7B8D">
        <w:rPr>
          <w:rFonts w:asciiTheme="minorHAnsi" w:hAnsiTheme="minorHAnsi"/>
        </w:rPr>
        <w:t>with complementary capabilities</w:t>
      </w:r>
      <w:r w:rsidR="00D67666" w:rsidRPr="000B7B8D">
        <w:rPr>
          <w:rFonts w:asciiTheme="minorHAnsi" w:hAnsiTheme="minorHAnsi"/>
        </w:rPr>
        <w:t xml:space="preserve"> and steers their </w:t>
      </w:r>
      <w:r w:rsidR="006D1414" w:rsidRPr="000B7B8D">
        <w:rPr>
          <w:rFonts w:asciiTheme="minorHAnsi" w:hAnsiTheme="minorHAnsi"/>
        </w:rPr>
        <w:t>activities through material incentives, ideational support, and other “soft” forms of influence (Abbott &amp; Snidal 2009; Abbott 2012, 2013; Abbott et al. 2015)</w:t>
      </w:r>
      <w:r w:rsidR="00E838DB" w:rsidRPr="000B7B8D">
        <w:rPr>
          <w:rFonts w:asciiTheme="minorHAnsi" w:hAnsiTheme="minorHAnsi"/>
        </w:rPr>
        <w:t xml:space="preserve">.  </w:t>
      </w:r>
      <w:r w:rsidR="00313E2E" w:rsidRPr="000B7B8D">
        <w:rPr>
          <w:rFonts w:asciiTheme="minorHAnsi" w:hAnsiTheme="minorHAnsi"/>
        </w:rPr>
        <w:t>First, there is</w:t>
      </w:r>
      <w:r w:rsidR="00E838DB" w:rsidRPr="000B7B8D">
        <w:rPr>
          <w:rFonts w:asciiTheme="minorHAnsi" w:hAnsiTheme="minorHAnsi"/>
        </w:rPr>
        <w:t xml:space="preserve"> no single focal institution which orchestrate</w:t>
      </w:r>
      <w:r w:rsidR="00313E2E" w:rsidRPr="000B7B8D">
        <w:rPr>
          <w:rFonts w:asciiTheme="minorHAnsi" w:hAnsiTheme="minorHAnsi"/>
        </w:rPr>
        <w:t>s</w:t>
      </w:r>
      <w:r w:rsidR="00E838DB" w:rsidRPr="000B7B8D">
        <w:rPr>
          <w:rFonts w:asciiTheme="minorHAnsi" w:hAnsiTheme="minorHAnsi"/>
        </w:rPr>
        <w:t xml:space="preserve"> the transnational timber legality regime, even if, as we shall see, </w:t>
      </w:r>
      <w:r w:rsidR="00A55E99" w:rsidRPr="000B7B8D">
        <w:rPr>
          <w:rFonts w:asciiTheme="minorHAnsi" w:hAnsiTheme="minorHAnsi"/>
        </w:rPr>
        <w:t>the European Commission does make some use of such indirect governance techniques within the EU FLEGT initiative</w:t>
      </w:r>
      <w:r w:rsidR="0027760A" w:rsidRPr="000B7B8D">
        <w:rPr>
          <w:rFonts w:asciiTheme="minorHAnsi" w:hAnsiTheme="minorHAnsi"/>
        </w:rPr>
        <w:t xml:space="preserve">.  </w:t>
      </w:r>
      <w:r w:rsidR="0005385F" w:rsidRPr="000B7B8D">
        <w:rPr>
          <w:rFonts w:asciiTheme="minorHAnsi" w:hAnsiTheme="minorHAnsi"/>
        </w:rPr>
        <w:t>Second,</w:t>
      </w:r>
      <w:r w:rsidR="00A55E99" w:rsidRPr="000B7B8D">
        <w:rPr>
          <w:rFonts w:asciiTheme="minorHAnsi" w:hAnsiTheme="minorHAnsi"/>
        </w:rPr>
        <w:t xml:space="preserve"> </w:t>
      </w:r>
      <w:r w:rsidR="0005385F" w:rsidRPr="000B7B8D">
        <w:rPr>
          <w:rFonts w:asciiTheme="minorHAnsi" w:hAnsiTheme="minorHAnsi"/>
        </w:rPr>
        <w:t xml:space="preserve">orchestration </w:t>
      </w:r>
      <w:r w:rsidR="00313E2E" w:rsidRPr="000B7B8D">
        <w:rPr>
          <w:rFonts w:asciiTheme="minorHAnsi" w:hAnsiTheme="minorHAnsi"/>
        </w:rPr>
        <w:t xml:space="preserve">as Abbott and colleagues define it </w:t>
      </w:r>
      <w:r w:rsidR="00A55E99" w:rsidRPr="000B7B8D">
        <w:rPr>
          <w:rFonts w:asciiTheme="minorHAnsi" w:hAnsiTheme="minorHAnsi"/>
        </w:rPr>
        <w:t xml:space="preserve">focuses </w:t>
      </w:r>
      <w:r w:rsidR="0005385F" w:rsidRPr="000B7B8D">
        <w:rPr>
          <w:rFonts w:asciiTheme="minorHAnsi" w:hAnsiTheme="minorHAnsi"/>
        </w:rPr>
        <w:t xml:space="preserve">primarily </w:t>
      </w:r>
      <w:r w:rsidR="00A55E99" w:rsidRPr="000B7B8D">
        <w:rPr>
          <w:rFonts w:asciiTheme="minorHAnsi" w:hAnsiTheme="minorHAnsi"/>
        </w:rPr>
        <w:t xml:space="preserve">on enhancing the scope and effectiveness of “regulatory </w:t>
      </w:r>
      <w:r w:rsidR="00EC44A2" w:rsidRPr="000B7B8D">
        <w:rPr>
          <w:rFonts w:asciiTheme="minorHAnsi" w:hAnsiTheme="minorHAnsi"/>
        </w:rPr>
        <w:t>standard setting”</w:t>
      </w:r>
      <w:r w:rsidR="00F62FB6" w:rsidRPr="000B7B8D">
        <w:rPr>
          <w:rFonts w:asciiTheme="minorHAnsi" w:hAnsiTheme="minorHAnsi"/>
        </w:rPr>
        <w:t xml:space="preserve">, </w:t>
      </w:r>
      <w:r w:rsidR="00313E2E" w:rsidRPr="000B7B8D">
        <w:rPr>
          <w:rFonts w:asciiTheme="minorHAnsi" w:hAnsiTheme="minorHAnsi"/>
        </w:rPr>
        <w:t>understood</w:t>
      </w:r>
      <w:r w:rsidR="00F62FB6" w:rsidRPr="000B7B8D">
        <w:rPr>
          <w:rFonts w:asciiTheme="minorHAnsi" w:hAnsiTheme="minorHAnsi"/>
        </w:rPr>
        <w:t xml:space="preserve"> as voluntary </w:t>
      </w:r>
      <w:r w:rsidR="001E1217" w:rsidRPr="000B7B8D">
        <w:rPr>
          <w:rFonts w:asciiTheme="minorHAnsi" w:hAnsiTheme="minorHAnsi"/>
        </w:rPr>
        <w:t xml:space="preserve">norms </w:t>
      </w:r>
      <w:r w:rsidR="001E233E" w:rsidRPr="000B7B8D">
        <w:rPr>
          <w:rFonts w:asciiTheme="minorHAnsi" w:hAnsiTheme="minorHAnsi"/>
        </w:rPr>
        <w:t xml:space="preserve">of conduct </w:t>
      </w:r>
      <w:r w:rsidR="0005385F" w:rsidRPr="000B7B8D">
        <w:rPr>
          <w:rFonts w:asciiTheme="minorHAnsi" w:hAnsiTheme="minorHAnsi"/>
        </w:rPr>
        <w:t xml:space="preserve">“created largely by nonstate actors and address[ing] nonstate actors rather than states” (Abbott 2012: 572).  </w:t>
      </w:r>
      <w:r w:rsidR="00626E78" w:rsidRPr="000B7B8D">
        <w:rPr>
          <w:rFonts w:asciiTheme="minorHAnsi" w:hAnsiTheme="minorHAnsi"/>
        </w:rPr>
        <w:t>By contrast, t</w:t>
      </w:r>
      <w:r w:rsidR="0005385F" w:rsidRPr="000B7B8D">
        <w:rPr>
          <w:rFonts w:asciiTheme="minorHAnsi" w:hAnsiTheme="minorHAnsi"/>
        </w:rPr>
        <w:t xml:space="preserve">he timber legality regime, as its name suggests, centers around the implementation and enforcement of mandatory rules, </w:t>
      </w:r>
      <w:r w:rsidR="00C02AC7" w:rsidRPr="000B7B8D">
        <w:rPr>
          <w:rFonts w:asciiTheme="minorHAnsi" w:hAnsiTheme="minorHAnsi"/>
        </w:rPr>
        <w:t>some of which</w:t>
      </w:r>
      <w:r w:rsidR="0005385F" w:rsidRPr="000B7B8D">
        <w:rPr>
          <w:rFonts w:asciiTheme="minorHAnsi" w:hAnsiTheme="minorHAnsi"/>
        </w:rPr>
        <w:t xml:space="preserve"> </w:t>
      </w:r>
      <w:r w:rsidR="00C02AC7" w:rsidRPr="000B7B8D">
        <w:rPr>
          <w:rFonts w:asciiTheme="minorHAnsi" w:hAnsiTheme="minorHAnsi"/>
        </w:rPr>
        <w:t>are based on</w:t>
      </w:r>
      <w:r w:rsidR="0005385F" w:rsidRPr="000B7B8D">
        <w:rPr>
          <w:rFonts w:asciiTheme="minorHAnsi" w:hAnsiTheme="minorHAnsi"/>
        </w:rPr>
        <w:t xml:space="preserve"> binding agreements between states, even if these rules, as we shall see, function in a very different way than those of conventional hierarchical regimes.</w:t>
      </w:r>
      <w:r w:rsidR="00C02AC7" w:rsidRPr="000B7B8D">
        <w:rPr>
          <w:rFonts w:asciiTheme="minorHAnsi" w:hAnsiTheme="minorHAnsi"/>
        </w:rPr>
        <w:t xml:space="preserve">  </w:t>
      </w:r>
      <w:r w:rsidR="00DB6EE0" w:rsidRPr="000B7B8D">
        <w:rPr>
          <w:rFonts w:asciiTheme="minorHAnsi" w:hAnsiTheme="minorHAnsi"/>
        </w:rPr>
        <w:t xml:space="preserve">Finally, the roles performed by different types of actors in the </w:t>
      </w:r>
      <w:r w:rsidR="00DB6EE0" w:rsidRPr="000B7B8D">
        <w:rPr>
          <w:rFonts w:asciiTheme="minorHAnsi" w:hAnsiTheme="minorHAnsi"/>
        </w:rPr>
        <w:lastRenderedPageBreak/>
        <w:t xml:space="preserve">timber legality regime, as we shall also see, are more </w:t>
      </w:r>
      <w:r w:rsidR="00224FA9" w:rsidRPr="000B7B8D">
        <w:rPr>
          <w:rFonts w:asciiTheme="minorHAnsi" w:hAnsiTheme="minorHAnsi"/>
        </w:rPr>
        <w:t xml:space="preserve">polyvalent and </w:t>
      </w:r>
      <w:r w:rsidR="00DB6EE0" w:rsidRPr="000B7B8D">
        <w:rPr>
          <w:rFonts w:asciiTheme="minorHAnsi" w:hAnsiTheme="minorHAnsi"/>
        </w:rPr>
        <w:t xml:space="preserve">polyarchic than in the classic orchestration model, as key steps in its development have </w:t>
      </w:r>
      <w:r w:rsidR="008905EB" w:rsidRPr="000B7B8D">
        <w:rPr>
          <w:rFonts w:asciiTheme="minorHAnsi" w:hAnsiTheme="minorHAnsi"/>
        </w:rPr>
        <w:t>frequently</w:t>
      </w:r>
      <w:r w:rsidR="00DB6EE0" w:rsidRPr="000B7B8D">
        <w:rPr>
          <w:rFonts w:asciiTheme="minorHAnsi" w:hAnsiTheme="minorHAnsi"/>
        </w:rPr>
        <w:t xml:space="preserve"> been initiated by non-state actors rather than international organizations or states.</w:t>
      </w:r>
    </w:p>
    <w:p w14:paraId="14411227" w14:textId="3F0FD976" w:rsidR="000011DF" w:rsidRPr="000B7B8D" w:rsidRDefault="00DD3E6F" w:rsidP="00523396">
      <w:pPr>
        <w:pStyle w:val="BodyText"/>
        <w:jc w:val="both"/>
        <w:rPr>
          <w:rFonts w:asciiTheme="minorHAnsi" w:hAnsiTheme="minorHAnsi"/>
        </w:rPr>
      </w:pPr>
      <w:r w:rsidRPr="000B7B8D">
        <w:rPr>
          <w:rFonts w:asciiTheme="minorHAnsi" w:hAnsiTheme="minorHAnsi"/>
        </w:rPr>
        <w:t>On</w:t>
      </w:r>
      <w:r w:rsidR="00DD50CB" w:rsidRPr="000B7B8D">
        <w:rPr>
          <w:rFonts w:asciiTheme="minorHAnsi" w:hAnsiTheme="minorHAnsi"/>
        </w:rPr>
        <w:t xml:space="preserve"> </w:t>
      </w:r>
      <w:r w:rsidR="001E5A5E" w:rsidRPr="000B7B8D">
        <w:rPr>
          <w:rFonts w:asciiTheme="minorHAnsi" w:hAnsiTheme="minorHAnsi"/>
        </w:rPr>
        <w:t>first</w:t>
      </w:r>
      <w:r w:rsidR="00DD50CB" w:rsidRPr="000B7B8D">
        <w:rPr>
          <w:rFonts w:asciiTheme="minorHAnsi" w:hAnsiTheme="minorHAnsi"/>
        </w:rPr>
        <w:t xml:space="preserve"> </w:t>
      </w:r>
      <w:r w:rsidR="00952329" w:rsidRPr="000B7B8D">
        <w:rPr>
          <w:rFonts w:asciiTheme="minorHAnsi" w:hAnsiTheme="minorHAnsi"/>
        </w:rPr>
        <w:t>inspection</w:t>
      </w:r>
      <w:r w:rsidR="00DD50CB" w:rsidRPr="000B7B8D">
        <w:rPr>
          <w:rFonts w:asciiTheme="minorHAnsi" w:hAnsiTheme="minorHAnsi"/>
        </w:rPr>
        <w:t xml:space="preserve">, the emerging timber legality regime might appear to resemble </w:t>
      </w:r>
      <w:r w:rsidR="008927C5" w:rsidRPr="000B7B8D">
        <w:rPr>
          <w:rFonts w:asciiTheme="minorHAnsi" w:hAnsiTheme="minorHAnsi"/>
        </w:rPr>
        <w:t xml:space="preserve">most closely </w:t>
      </w:r>
      <w:r w:rsidR="00DD50CB" w:rsidRPr="000B7B8D">
        <w:rPr>
          <w:rFonts w:asciiTheme="minorHAnsi" w:hAnsiTheme="minorHAnsi"/>
        </w:rPr>
        <w:t xml:space="preserve">what </w:t>
      </w:r>
      <w:r w:rsidR="00DA6734" w:rsidRPr="000B7B8D">
        <w:rPr>
          <w:rFonts w:asciiTheme="minorHAnsi" w:hAnsiTheme="minorHAnsi"/>
        </w:rPr>
        <w:t xml:space="preserve">Keohane and Victor (2011) call a “loosely coupled regime complex”:  </w:t>
      </w:r>
      <w:r w:rsidR="0009053E" w:rsidRPr="000B7B8D">
        <w:rPr>
          <w:rFonts w:asciiTheme="minorHAnsi" w:hAnsiTheme="minorHAnsi"/>
        </w:rPr>
        <w:t>a non-hierarchically inter-linked</w:t>
      </w:r>
      <w:r w:rsidR="00F5454C" w:rsidRPr="000B7B8D">
        <w:rPr>
          <w:rFonts w:asciiTheme="minorHAnsi" w:hAnsiTheme="minorHAnsi"/>
        </w:rPr>
        <w:t xml:space="preserve"> set of </w:t>
      </w:r>
      <w:r w:rsidR="0009053E" w:rsidRPr="000B7B8D">
        <w:rPr>
          <w:rFonts w:asciiTheme="minorHAnsi" w:hAnsiTheme="minorHAnsi"/>
        </w:rPr>
        <w:t>institutions</w:t>
      </w:r>
      <w:r w:rsidR="00952329" w:rsidRPr="000B7B8D">
        <w:rPr>
          <w:rFonts w:asciiTheme="minorHAnsi" w:hAnsiTheme="minorHAnsi"/>
        </w:rPr>
        <w:t xml:space="preserve"> </w:t>
      </w:r>
      <w:r w:rsidR="008927C5" w:rsidRPr="000B7B8D">
        <w:rPr>
          <w:rFonts w:asciiTheme="minorHAnsi" w:hAnsiTheme="minorHAnsi"/>
        </w:rPr>
        <w:t xml:space="preserve">operating in the same </w:t>
      </w:r>
      <w:r w:rsidR="00FB1608" w:rsidRPr="000B7B8D">
        <w:rPr>
          <w:rFonts w:asciiTheme="minorHAnsi" w:hAnsiTheme="minorHAnsi"/>
        </w:rPr>
        <w:t xml:space="preserve">transnational </w:t>
      </w:r>
      <w:r w:rsidR="008927C5" w:rsidRPr="000B7B8D">
        <w:rPr>
          <w:rFonts w:asciiTheme="minorHAnsi" w:hAnsiTheme="minorHAnsi"/>
        </w:rPr>
        <w:t xml:space="preserve">issue-area without an overarching governance architecture.  </w:t>
      </w:r>
      <w:r w:rsidR="001504B0" w:rsidRPr="000B7B8D">
        <w:rPr>
          <w:rFonts w:asciiTheme="minorHAnsi" w:hAnsiTheme="minorHAnsi"/>
        </w:rPr>
        <w:t xml:space="preserve">Although there is indeed no hierarchical relationship between the </w:t>
      </w:r>
      <w:r w:rsidR="00D10862" w:rsidRPr="000B7B8D">
        <w:rPr>
          <w:rFonts w:asciiTheme="minorHAnsi" w:hAnsiTheme="minorHAnsi"/>
        </w:rPr>
        <w:t>main components</w:t>
      </w:r>
      <w:r w:rsidR="001504B0" w:rsidRPr="000B7B8D">
        <w:rPr>
          <w:rFonts w:asciiTheme="minorHAnsi" w:hAnsiTheme="minorHAnsi"/>
        </w:rPr>
        <w:t xml:space="preserve"> of the timber legality regime</w:t>
      </w:r>
      <w:r w:rsidR="00F11790" w:rsidRPr="000B7B8D">
        <w:rPr>
          <w:rFonts w:asciiTheme="minorHAnsi" w:hAnsiTheme="minorHAnsi"/>
        </w:rPr>
        <w:t xml:space="preserve"> complex</w:t>
      </w:r>
      <w:r w:rsidR="001504B0" w:rsidRPr="000B7B8D">
        <w:rPr>
          <w:rFonts w:asciiTheme="minorHAnsi" w:hAnsiTheme="minorHAnsi"/>
        </w:rPr>
        <w:t xml:space="preserve">, </w:t>
      </w:r>
      <w:r w:rsidR="000011DF" w:rsidRPr="000B7B8D">
        <w:rPr>
          <w:rFonts w:asciiTheme="minorHAnsi" w:hAnsiTheme="minorHAnsi"/>
        </w:rPr>
        <w:t xml:space="preserve">we argue in this paper that </w:t>
      </w:r>
      <w:r w:rsidR="00876F91" w:rsidRPr="000B7B8D">
        <w:rPr>
          <w:rFonts w:asciiTheme="minorHAnsi" w:hAnsiTheme="minorHAnsi"/>
        </w:rPr>
        <w:t xml:space="preserve">that </w:t>
      </w:r>
      <w:r w:rsidR="00564DC6" w:rsidRPr="000B7B8D">
        <w:rPr>
          <w:rFonts w:asciiTheme="minorHAnsi" w:hAnsiTheme="minorHAnsi"/>
        </w:rPr>
        <w:t>it</w:t>
      </w:r>
      <w:r w:rsidR="00876F91" w:rsidRPr="000B7B8D">
        <w:rPr>
          <w:rFonts w:asciiTheme="minorHAnsi" w:hAnsiTheme="minorHAnsi"/>
        </w:rPr>
        <w:t xml:space="preserve"> </w:t>
      </w:r>
      <w:r w:rsidR="000011DF" w:rsidRPr="000B7B8D">
        <w:rPr>
          <w:rFonts w:asciiTheme="minorHAnsi" w:hAnsiTheme="minorHAnsi"/>
        </w:rPr>
        <w:t xml:space="preserve">does have an identifiable core, in the form of the EU FLEGT initiative, whose </w:t>
      </w:r>
      <w:r w:rsidR="002A14A9" w:rsidRPr="000B7B8D">
        <w:rPr>
          <w:rFonts w:asciiTheme="minorHAnsi" w:hAnsiTheme="minorHAnsi"/>
        </w:rPr>
        <w:t>experimentalist</w:t>
      </w:r>
      <w:r w:rsidR="00F11790" w:rsidRPr="000B7B8D">
        <w:rPr>
          <w:rFonts w:asciiTheme="minorHAnsi" w:hAnsiTheme="minorHAnsi"/>
        </w:rPr>
        <w:t xml:space="preserve"> governance </w:t>
      </w:r>
      <w:r w:rsidR="000011DF" w:rsidRPr="000B7B8D">
        <w:rPr>
          <w:rFonts w:asciiTheme="minorHAnsi" w:hAnsiTheme="minorHAnsi"/>
        </w:rPr>
        <w:t xml:space="preserve">architecture </w:t>
      </w:r>
      <w:r w:rsidR="00876F91" w:rsidRPr="000B7B8D">
        <w:rPr>
          <w:rFonts w:asciiTheme="minorHAnsi" w:hAnsiTheme="minorHAnsi"/>
        </w:rPr>
        <w:t xml:space="preserve">plays a </w:t>
      </w:r>
      <w:r w:rsidR="00914A36" w:rsidRPr="000B7B8D">
        <w:rPr>
          <w:rFonts w:asciiTheme="minorHAnsi" w:hAnsiTheme="minorHAnsi"/>
        </w:rPr>
        <w:t>cruci</w:t>
      </w:r>
      <w:r w:rsidR="00F11790" w:rsidRPr="000B7B8D">
        <w:rPr>
          <w:rFonts w:asciiTheme="minorHAnsi" w:hAnsiTheme="minorHAnsi"/>
        </w:rPr>
        <w:t>al</w:t>
      </w:r>
      <w:r w:rsidR="00876F91" w:rsidRPr="000B7B8D">
        <w:rPr>
          <w:rFonts w:asciiTheme="minorHAnsi" w:hAnsiTheme="minorHAnsi"/>
        </w:rPr>
        <w:t xml:space="preserve"> role in </w:t>
      </w:r>
      <w:r w:rsidR="00F11790" w:rsidRPr="000B7B8D">
        <w:rPr>
          <w:rFonts w:asciiTheme="minorHAnsi" w:hAnsiTheme="minorHAnsi"/>
        </w:rPr>
        <w:t>fostering the development of a joined-up transnational regime.</w:t>
      </w:r>
      <w:r w:rsidR="002A14A9" w:rsidRPr="000B7B8D">
        <w:rPr>
          <w:rFonts w:asciiTheme="minorHAnsi" w:hAnsiTheme="minorHAnsi"/>
        </w:rPr>
        <w:t xml:space="preserve">  </w:t>
      </w:r>
    </w:p>
    <w:p w14:paraId="387D3299" w14:textId="165C0C62" w:rsidR="00F15F06" w:rsidRPr="000B7B8D" w:rsidRDefault="0089121A" w:rsidP="00523396">
      <w:pPr>
        <w:pStyle w:val="BodyText"/>
        <w:jc w:val="both"/>
        <w:rPr>
          <w:rFonts w:asciiTheme="minorHAnsi" w:hAnsiTheme="minorHAnsi"/>
        </w:rPr>
      </w:pPr>
      <w:r w:rsidRPr="000B7B8D">
        <w:rPr>
          <w:rFonts w:asciiTheme="minorHAnsi" w:hAnsiTheme="minorHAnsi"/>
        </w:rPr>
        <w:t xml:space="preserve">Experimentalist governance can be defined as a recursive </w:t>
      </w:r>
      <w:r w:rsidR="003C122C" w:rsidRPr="000B7B8D">
        <w:rPr>
          <w:rFonts w:asciiTheme="minorHAnsi" w:hAnsiTheme="minorHAnsi"/>
        </w:rPr>
        <w:t xml:space="preserve">process of provisional goal setting and revision, based on learning from </w:t>
      </w:r>
      <w:r w:rsidR="00241CA2" w:rsidRPr="000B7B8D">
        <w:rPr>
          <w:rFonts w:asciiTheme="minorHAnsi" w:hAnsiTheme="minorHAnsi"/>
        </w:rPr>
        <w:t xml:space="preserve">review of implementation experience in different settings.  In its most developed form, experimentalism involves a multi-level governance architecture, whose </w:t>
      </w:r>
      <w:r w:rsidR="00BA4AD9" w:rsidRPr="000B7B8D">
        <w:rPr>
          <w:rFonts w:asciiTheme="minorHAnsi" w:hAnsiTheme="minorHAnsi"/>
        </w:rPr>
        <w:t xml:space="preserve">four </w:t>
      </w:r>
      <w:r w:rsidR="00804E03" w:rsidRPr="000B7B8D">
        <w:rPr>
          <w:rFonts w:asciiTheme="minorHAnsi" w:hAnsiTheme="minorHAnsi"/>
        </w:rPr>
        <w:t xml:space="preserve">functional </w:t>
      </w:r>
      <w:r w:rsidR="00241CA2" w:rsidRPr="000B7B8D">
        <w:rPr>
          <w:rFonts w:asciiTheme="minorHAnsi" w:hAnsiTheme="minorHAnsi"/>
        </w:rPr>
        <w:t xml:space="preserve">elements are linked in an iterative cycle.  </w:t>
      </w:r>
      <w:r w:rsidR="0053531E" w:rsidRPr="000B7B8D">
        <w:rPr>
          <w:rFonts w:asciiTheme="minorHAnsi" w:hAnsiTheme="minorHAnsi"/>
        </w:rPr>
        <w:t xml:space="preserve">First, open-ended framework goals and metrics for gauging their advancement are established in consultation with relevant stakeholders by some combination of “central” and “local” units (public, private, or hybrid). </w:t>
      </w:r>
      <w:r w:rsidR="00626E78" w:rsidRPr="000B7B8D">
        <w:rPr>
          <w:rFonts w:asciiTheme="minorHAnsi" w:hAnsiTheme="minorHAnsi"/>
        </w:rPr>
        <w:t xml:space="preserve"> </w:t>
      </w:r>
      <w:r w:rsidR="0053531E" w:rsidRPr="000B7B8D">
        <w:rPr>
          <w:rFonts w:asciiTheme="minorHAnsi" w:hAnsiTheme="minorHAnsi"/>
        </w:rPr>
        <w:t xml:space="preserve">Local units are then given substantial discretion to pursue these goals in ways adapted to their own specific contexts.  But in exchange, they must report regularly on their performance, and participate in mutual monitoring, joint evaluation, and peer review.  When they do not make good progress according to the agreed indicators, the local units are expected to take appropriate corrective measures, informed by the experience of their peers.  Finally, the goals, metrics, and procedures themselves are periodically revised in response to the problems and possibilities revealed by the review process, and the cycle repeats.  Often, such architectures are underpinned by “penalty defaults”: measures aimed at inducing reluctant parties to cooperate in joint </w:t>
      </w:r>
      <w:r w:rsidR="00862650" w:rsidRPr="000B7B8D">
        <w:rPr>
          <w:rFonts w:asciiTheme="minorHAnsi" w:hAnsiTheme="minorHAnsi"/>
        </w:rPr>
        <w:t xml:space="preserve">exploration and </w:t>
      </w:r>
      <w:r w:rsidR="0053531E" w:rsidRPr="000B7B8D">
        <w:rPr>
          <w:rFonts w:asciiTheme="minorHAnsi" w:hAnsiTheme="minorHAnsi"/>
        </w:rPr>
        <w:t>problem-solving by threatening to impose sufficiently unattractive alternatives (Sabel &amp; Zeitlin 2012; de Búrca et al. 2014</w:t>
      </w:r>
      <w:r w:rsidR="00142AC8" w:rsidRPr="000B7B8D">
        <w:rPr>
          <w:rFonts w:asciiTheme="minorHAnsi" w:hAnsiTheme="minorHAnsi"/>
        </w:rPr>
        <w:t>; Sabel &amp; Victor 2017</w:t>
      </w:r>
      <w:r w:rsidR="0053531E" w:rsidRPr="000B7B8D">
        <w:rPr>
          <w:rFonts w:asciiTheme="minorHAnsi" w:hAnsiTheme="minorHAnsi"/>
        </w:rPr>
        <w:t>).</w:t>
      </w:r>
    </w:p>
    <w:p w14:paraId="5B8BBCF6" w14:textId="0ED673AF" w:rsidR="0053531E" w:rsidRPr="000B7B8D" w:rsidRDefault="0053531E" w:rsidP="00523396">
      <w:pPr>
        <w:pStyle w:val="BodyText"/>
        <w:jc w:val="both"/>
        <w:rPr>
          <w:rFonts w:asciiTheme="minorHAnsi" w:hAnsiTheme="minorHAnsi"/>
        </w:rPr>
      </w:pPr>
      <w:r w:rsidRPr="000B7B8D">
        <w:rPr>
          <w:rFonts w:asciiTheme="minorHAnsi" w:hAnsiTheme="minorHAnsi"/>
        </w:rPr>
        <w:lastRenderedPageBreak/>
        <w:t xml:space="preserve">The experimentalist architecture of the FLEGT initiative, as </w:t>
      </w:r>
      <w:r w:rsidR="00142AC8" w:rsidRPr="000B7B8D">
        <w:rPr>
          <w:rFonts w:asciiTheme="minorHAnsi" w:hAnsiTheme="minorHAnsi"/>
        </w:rPr>
        <w:t>observed</w:t>
      </w:r>
      <w:r w:rsidR="00B05CBB" w:rsidRPr="000B7B8D">
        <w:rPr>
          <w:rFonts w:asciiTheme="minorHAnsi" w:hAnsiTheme="minorHAnsi"/>
        </w:rPr>
        <w:t xml:space="preserve"> earlier, </w:t>
      </w:r>
      <w:r w:rsidR="001457E3" w:rsidRPr="000B7B8D">
        <w:rPr>
          <w:rFonts w:asciiTheme="minorHAnsi" w:hAnsiTheme="minorHAnsi"/>
        </w:rPr>
        <w:t>is based on</w:t>
      </w:r>
      <w:r w:rsidR="00B05CBB" w:rsidRPr="000B7B8D">
        <w:rPr>
          <w:rFonts w:asciiTheme="minorHAnsi" w:hAnsiTheme="minorHAnsi"/>
        </w:rPr>
        <w:t xml:space="preserve"> extensive participation by public and private stakeholders </w:t>
      </w:r>
      <w:r w:rsidR="007653EA" w:rsidRPr="000B7B8D">
        <w:rPr>
          <w:rFonts w:asciiTheme="minorHAnsi" w:hAnsiTheme="minorHAnsi"/>
        </w:rPr>
        <w:t xml:space="preserve">from the EU and partner countries </w:t>
      </w:r>
      <w:r w:rsidR="00B05CBB" w:rsidRPr="000B7B8D">
        <w:rPr>
          <w:rFonts w:asciiTheme="minorHAnsi" w:hAnsiTheme="minorHAnsi"/>
        </w:rPr>
        <w:t>in establishing and revising open-ended framework goals (</w:t>
      </w:r>
      <w:r w:rsidR="008D5C09" w:rsidRPr="000B7B8D">
        <w:rPr>
          <w:rFonts w:asciiTheme="minorHAnsi" w:hAnsiTheme="minorHAnsi"/>
        </w:rPr>
        <w:t>combating</w:t>
      </w:r>
      <w:r w:rsidR="00B05CBB" w:rsidRPr="000B7B8D">
        <w:rPr>
          <w:rFonts w:asciiTheme="minorHAnsi" w:hAnsiTheme="minorHAnsi"/>
        </w:rPr>
        <w:t xml:space="preserve"> illegal logging and promoting sustainable forest governance) and metrics for assessing progress towards them (such as legality </w:t>
      </w:r>
      <w:r w:rsidR="007653EA" w:rsidRPr="000B7B8D">
        <w:rPr>
          <w:rFonts w:asciiTheme="minorHAnsi" w:hAnsiTheme="minorHAnsi"/>
        </w:rPr>
        <w:t>standards and indicators</w:t>
      </w:r>
      <w:r w:rsidR="001457E3" w:rsidRPr="000B7B8D">
        <w:rPr>
          <w:rFonts w:asciiTheme="minorHAnsi" w:hAnsiTheme="minorHAnsi"/>
        </w:rPr>
        <w:t xml:space="preserve"> within VPAs</w:t>
      </w:r>
      <w:r w:rsidR="00B05CBB" w:rsidRPr="000B7B8D">
        <w:rPr>
          <w:rFonts w:asciiTheme="minorHAnsi" w:hAnsiTheme="minorHAnsi"/>
        </w:rPr>
        <w:t>) through continuous monitoring and regular review of implementation</w:t>
      </w:r>
      <w:r w:rsidR="008D2334" w:rsidRPr="000B7B8D">
        <w:rPr>
          <w:rFonts w:asciiTheme="minorHAnsi" w:hAnsiTheme="minorHAnsi"/>
        </w:rPr>
        <w:t xml:space="preserve">, </w:t>
      </w:r>
      <w:r w:rsidR="007C7DE5" w:rsidRPr="000B7B8D">
        <w:rPr>
          <w:rFonts w:asciiTheme="minorHAnsi" w:hAnsiTheme="minorHAnsi"/>
        </w:rPr>
        <w:t>resulting in</w:t>
      </w:r>
      <w:r w:rsidR="008D2334" w:rsidRPr="000B7B8D">
        <w:rPr>
          <w:rFonts w:asciiTheme="minorHAnsi" w:hAnsiTheme="minorHAnsi"/>
        </w:rPr>
        <w:t xml:space="preserve"> </w:t>
      </w:r>
      <w:r w:rsidR="003E121B" w:rsidRPr="000B7B8D">
        <w:rPr>
          <w:rFonts w:asciiTheme="minorHAnsi" w:hAnsiTheme="minorHAnsi"/>
        </w:rPr>
        <w:t xml:space="preserve">generalization of promising experiences and </w:t>
      </w:r>
      <w:r w:rsidR="008D2334" w:rsidRPr="000B7B8D">
        <w:rPr>
          <w:rFonts w:asciiTheme="minorHAnsi" w:hAnsiTheme="minorHAnsi"/>
        </w:rPr>
        <w:t xml:space="preserve">periodic revision of </w:t>
      </w:r>
      <w:r w:rsidR="007C7DE5" w:rsidRPr="000B7B8D">
        <w:rPr>
          <w:rFonts w:asciiTheme="minorHAnsi" w:hAnsiTheme="minorHAnsi"/>
        </w:rPr>
        <w:t xml:space="preserve">plans, </w:t>
      </w:r>
      <w:r w:rsidR="005A3058" w:rsidRPr="000B7B8D">
        <w:rPr>
          <w:rFonts w:asciiTheme="minorHAnsi" w:hAnsiTheme="minorHAnsi"/>
        </w:rPr>
        <w:t>programs, procedures, and goals</w:t>
      </w:r>
      <w:r w:rsidR="007C7DE5" w:rsidRPr="000B7B8D">
        <w:rPr>
          <w:rFonts w:asciiTheme="minorHAnsi" w:hAnsiTheme="minorHAnsi"/>
        </w:rPr>
        <w:t xml:space="preserve"> at both </w:t>
      </w:r>
      <w:r w:rsidR="0029467A" w:rsidRPr="000B7B8D">
        <w:rPr>
          <w:rFonts w:asciiTheme="minorHAnsi" w:hAnsiTheme="minorHAnsi"/>
        </w:rPr>
        <w:t>local</w:t>
      </w:r>
      <w:r w:rsidR="007C7DE5" w:rsidRPr="000B7B8D">
        <w:rPr>
          <w:rFonts w:asciiTheme="minorHAnsi" w:hAnsiTheme="minorHAnsi"/>
        </w:rPr>
        <w:t xml:space="preserve"> and </w:t>
      </w:r>
      <w:r w:rsidR="007653EA" w:rsidRPr="000B7B8D">
        <w:rPr>
          <w:rFonts w:asciiTheme="minorHAnsi" w:hAnsiTheme="minorHAnsi"/>
        </w:rPr>
        <w:t>central</w:t>
      </w:r>
      <w:r w:rsidR="007C7DE5" w:rsidRPr="000B7B8D">
        <w:rPr>
          <w:rFonts w:asciiTheme="minorHAnsi" w:hAnsiTheme="minorHAnsi"/>
        </w:rPr>
        <w:t xml:space="preserve"> levels</w:t>
      </w:r>
      <w:r w:rsidR="00B05CBB" w:rsidRPr="000B7B8D">
        <w:rPr>
          <w:rFonts w:asciiTheme="minorHAnsi" w:hAnsiTheme="minorHAnsi"/>
        </w:rPr>
        <w:t xml:space="preserve">. </w:t>
      </w:r>
      <w:r w:rsidR="003E121B" w:rsidRPr="000B7B8D">
        <w:rPr>
          <w:rFonts w:asciiTheme="minorHAnsi" w:hAnsiTheme="minorHAnsi"/>
        </w:rPr>
        <w:t xml:space="preserve"> In contrast to orchestration, this architecture is underpinned not only by positive incentives, but also by negative sanctions</w:t>
      </w:r>
      <w:r w:rsidR="00A60E2C" w:rsidRPr="000B7B8D">
        <w:rPr>
          <w:rFonts w:asciiTheme="minorHAnsi" w:hAnsiTheme="minorHAnsi"/>
        </w:rPr>
        <w:t xml:space="preserve"> through the EUTR</w:t>
      </w:r>
      <w:r w:rsidR="003E121B" w:rsidRPr="000B7B8D">
        <w:rPr>
          <w:rFonts w:asciiTheme="minorHAnsi" w:hAnsiTheme="minorHAnsi"/>
        </w:rPr>
        <w:t xml:space="preserve">, including financial penalties and the exclusion of </w:t>
      </w:r>
      <w:r w:rsidR="008D2992" w:rsidRPr="000B7B8D">
        <w:rPr>
          <w:rFonts w:asciiTheme="minorHAnsi" w:hAnsiTheme="minorHAnsi"/>
        </w:rPr>
        <w:t xml:space="preserve">non-conforming </w:t>
      </w:r>
      <w:r w:rsidR="003E121B" w:rsidRPr="000B7B8D">
        <w:rPr>
          <w:rFonts w:asciiTheme="minorHAnsi" w:hAnsiTheme="minorHAnsi"/>
        </w:rPr>
        <w:t xml:space="preserve">products from the EU market.  But unlike in conventional hierarchical regimes, the </w:t>
      </w:r>
      <w:r w:rsidR="00C33597" w:rsidRPr="000B7B8D">
        <w:rPr>
          <w:rFonts w:asciiTheme="minorHAnsi" w:hAnsiTheme="minorHAnsi"/>
        </w:rPr>
        <w:t>purpose</w:t>
      </w:r>
      <w:r w:rsidR="003E121B" w:rsidRPr="000B7B8D">
        <w:rPr>
          <w:rFonts w:asciiTheme="minorHAnsi" w:hAnsiTheme="minorHAnsi"/>
        </w:rPr>
        <w:t xml:space="preserve"> of these sanctions is not to compel </w:t>
      </w:r>
      <w:r w:rsidR="005D30C2" w:rsidRPr="000B7B8D">
        <w:rPr>
          <w:rFonts w:asciiTheme="minorHAnsi" w:hAnsiTheme="minorHAnsi"/>
        </w:rPr>
        <w:t xml:space="preserve">recalcitrant </w:t>
      </w:r>
      <w:r w:rsidR="007D57D8" w:rsidRPr="000B7B8D">
        <w:rPr>
          <w:rFonts w:asciiTheme="minorHAnsi" w:hAnsiTheme="minorHAnsi"/>
        </w:rPr>
        <w:t xml:space="preserve">firms and </w:t>
      </w:r>
      <w:r w:rsidR="0087140A" w:rsidRPr="000B7B8D">
        <w:rPr>
          <w:rFonts w:asciiTheme="minorHAnsi" w:hAnsiTheme="minorHAnsi"/>
        </w:rPr>
        <w:t>states</w:t>
      </w:r>
      <w:r w:rsidR="005D30C2" w:rsidRPr="000B7B8D">
        <w:rPr>
          <w:rFonts w:asciiTheme="minorHAnsi" w:hAnsiTheme="minorHAnsi"/>
        </w:rPr>
        <w:t xml:space="preserve"> to comply </w:t>
      </w:r>
      <w:r w:rsidR="003E121B" w:rsidRPr="000B7B8D">
        <w:rPr>
          <w:rFonts w:asciiTheme="minorHAnsi" w:hAnsiTheme="minorHAnsi"/>
        </w:rPr>
        <w:t xml:space="preserve">with fixed rules, but rather to </w:t>
      </w:r>
      <w:r w:rsidR="008D2992" w:rsidRPr="000B7B8D">
        <w:rPr>
          <w:rFonts w:asciiTheme="minorHAnsi" w:hAnsiTheme="minorHAnsi"/>
        </w:rPr>
        <w:t xml:space="preserve">serve as a penalty default </w:t>
      </w:r>
      <w:r w:rsidR="006D4CBC" w:rsidRPr="000B7B8D">
        <w:rPr>
          <w:rFonts w:asciiTheme="minorHAnsi" w:hAnsiTheme="minorHAnsi"/>
        </w:rPr>
        <w:t xml:space="preserve">to </w:t>
      </w:r>
      <w:r w:rsidR="00C33597" w:rsidRPr="000B7B8D">
        <w:rPr>
          <w:rFonts w:asciiTheme="minorHAnsi" w:hAnsiTheme="minorHAnsi"/>
        </w:rPr>
        <w:t>induc</w:t>
      </w:r>
      <w:r w:rsidR="006D4CBC" w:rsidRPr="000B7B8D">
        <w:rPr>
          <w:rFonts w:asciiTheme="minorHAnsi" w:hAnsiTheme="minorHAnsi"/>
        </w:rPr>
        <w:t>e</w:t>
      </w:r>
      <w:r w:rsidR="003E121B" w:rsidRPr="000B7B8D">
        <w:rPr>
          <w:rFonts w:asciiTheme="minorHAnsi" w:hAnsiTheme="minorHAnsi"/>
        </w:rPr>
        <w:t xml:space="preserve"> </w:t>
      </w:r>
      <w:r w:rsidR="00CE5D34" w:rsidRPr="000B7B8D">
        <w:rPr>
          <w:rFonts w:asciiTheme="minorHAnsi" w:hAnsiTheme="minorHAnsi"/>
        </w:rPr>
        <w:t>such actors</w:t>
      </w:r>
      <w:r w:rsidR="005D30C2" w:rsidRPr="000B7B8D">
        <w:rPr>
          <w:rFonts w:asciiTheme="minorHAnsi" w:hAnsiTheme="minorHAnsi"/>
        </w:rPr>
        <w:t xml:space="preserve"> </w:t>
      </w:r>
      <w:r w:rsidR="00C37C71" w:rsidRPr="000B7B8D">
        <w:rPr>
          <w:rFonts w:asciiTheme="minorHAnsi" w:hAnsiTheme="minorHAnsi"/>
        </w:rPr>
        <w:t xml:space="preserve">to </w:t>
      </w:r>
      <w:r w:rsidR="001457E3" w:rsidRPr="000B7B8D">
        <w:rPr>
          <w:rFonts w:asciiTheme="minorHAnsi" w:hAnsiTheme="minorHAnsi"/>
        </w:rPr>
        <w:t>respect</w:t>
      </w:r>
      <w:r w:rsidR="00C37C71" w:rsidRPr="000B7B8D">
        <w:rPr>
          <w:rFonts w:asciiTheme="minorHAnsi" w:hAnsiTheme="minorHAnsi"/>
        </w:rPr>
        <w:t xml:space="preserve"> </w:t>
      </w:r>
      <w:r w:rsidR="009D59D9" w:rsidRPr="000B7B8D">
        <w:rPr>
          <w:rFonts w:asciiTheme="minorHAnsi" w:hAnsiTheme="minorHAnsi"/>
        </w:rPr>
        <w:t xml:space="preserve">the regime’s procedures </w:t>
      </w:r>
      <w:r w:rsidR="006D2BEF" w:rsidRPr="000B7B8D">
        <w:rPr>
          <w:rFonts w:asciiTheme="minorHAnsi" w:hAnsiTheme="minorHAnsi"/>
        </w:rPr>
        <w:t>(by developing due diligence systems to avoid sourcing of illegal timber</w:t>
      </w:r>
      <w:r w:rsidR="007D57D8" w:rsidRPr="000B7B8D">
        <w:rPr>
          <w:rFonts w:asciiTheme="minorHAnsi" w:hAnsiTheme="minorHAnsi"/>
        </w:rPr>
        <w:t xml:space="preserve"> in the case of firms</w:t>
      </w:r>
      <w:r w:rsidR="006D2BEF" w:rsidRPr="000B7B8D">
        <w:rPr>
          <w:rFonts w:asciiTheme="minorHAnsi" w:hAnsiTheme="minorHAnsi"/>
        </w:rPr>
        <w:t xml:space="preserve">) </w:t>
      </w:r>
      <w:r w:rsidR="009D59D9" w:rsidRPr="000B7B8D">
        <w:rPr>
          <w:rFonts w:asciiTheme="minorHAnsi" w:hAnsiTheme="minorHAnsi"/>
        </w:rPr>
        <w:t xml:space="preserve">and </w:t>
      </w:r>
      <w:r w:rsidR="007D57D8" w:rsidRPr="000B7B8D">
        <w:rPr>
          <w:rFonts w:asciiTheme="minorHAnsi" w:hAnsiTheme="minorHAnsi"/>
        </w:rPr>
        <w:t xml:space="preserve">to </w:t>
      </w:r>
      <w:r w:rsidR="009D59D9" w:rsidRPr="000B7B8D">
        <w:rPr>
          <w:rFonts w:asciiTheme="minorHAnsi" w:hAnsiTheme="minorHAnsi"/>
        </w:rPr>
        <w:t>cooperate in advancing its goals</w:t>
      </w:r>
      <w:r w:rsidR="006D2BEF" w:rsidRPr="000B7B8D">
        <w:rPr>
          <w:rFonts w:asciiTheme="minorHAnsi" w:hAnsiTheme="minorHAnsi"/>
        </w:rPr>
        <w:t xml:space="preserve"> (by negotiating and implementing VPAs to combat illegal logging and improve domestic forest governance</w:t>
      </w:r>
      <w:r w:rsidR="007D57D8" w:rsidRPr="000B7B8D">
        <w:rPr>
          <w:rFonts w:asciiTheme="minorHAnsi" w:hAnsiTheme="minorHAnsi"/>
        </w:rPr>
        <w:t xml:space="preserve"> in the case of </w:t>
      </w:r>
      <w:r w:rsidR="0087140A" w:rsidRPr="000B7B8D">
        <w:rPr>
          <w:rFonts w:asciiTheme="minorHAnsi" w:hAnsiTheme="minorHAnsi"/>
        </w:rPr>
        <w:t>states</w:t>
      </w:r>
      <w:r w:rsidR="006D2BEF" w:rsidRPr="000B7B8D">
        <w:rPr>
          <w:rFonts w:asciiTheme="minorHAnsi" w:hAnsiTheme="minorHAnsi"/>
        </w:rPr>
        <w:t>)</w:t>
      </w:r>
      <w:r w:rsidR="009D59D9" w:rsidRPr="000B7B8D">
        <w:rPr>
          <w:rFonts w:asciiTheme="minorHAnsi" w:hAnsiTheme="minorHAnsi"/>
        </w:rPr>
        <w:t>.</w:t>
      </w:r>
    </w:p>
    <w:p w14:paraId="346609BE" w14:textId="0226B9DF" w:rsidR="00862650" w:rsidRPr="000B7B8D" w:rsidRDefault="00862650" w:rsidP="00523396">
      <w:pPr>
        <w:pStyle w:val="BodyText"/>
        <w:jc w:val="both"/>
        <w:rPr>
          <w:rFonts w:asciiTheme="minorHAnsi" w:hAnsiTheme="minorHAnsi"/>
        </w:rPr>
      </w:pPr>
      <w:r w:rsidRPr="000B7B8D">
        <w:rPr>
          <w:rFonts w:asciiTheme="minorHAnsi" w:hAnsiTheme="minorHAnsi"/>
        </w:rPr>
        <w:t xml:space="preserve">Experimentalist governance </w:t>
      </w:r>
      <w:r w:rsidR="001F67B0" w:rsidRPr="000B7B8D">
        <w:rPr>
          <w:rFonts w:asciiTheme="minorHAnsi" w:hAnsiTheme="minorHAnsi"/>
        </w:rPr>
        <w:t xml:space="preserve">is particularly well-suited to transnational domains, where there is no overarching sovereign to set common goals, while the diversity of local conditions makes enforcement of uniform fixed </w:t>
      </w:r>
      <w:r w:rsidR="00EB2352" w:rsidRPr="000B7B8D">
        <w:rPr>
          <w:rFonts w:asciiTheme="minorHAnsi" w:hAnsiTheme="minorHAnsi"/>
        </w:rPr>
        <w:t xml:space="preserve">rules </w:t>
      </w:r>
      <w:r w:rsidR="001F67B0" w:rsidRPr="000B7B8D">
        <w:rPr>
          <w:rFonts w:asciiTheme="minorHAnsi" w:hAnsiTheme="minorHAnsi"/>
        </w:rPr>
        <w:t>even less feasible than in domestic settings.  Because experimentalist regimes depend on neither a central hierarchical authority nor a prior convergence of interests and values, but only on a common problem definition and broad open-ended goals, they likewise represent a promising framework for tackling contentious cross-border issues such as forest governance where there is no hegemonic power able to impose global rules</w:t>
      </w:r>
      <w:r w:rsidR="0087364D" w:rsidRPr="000B7B8D">
        <w:rPr>
          <w:rFonts w:asciiTheme="minorHAnsi" w:hAnsiTheme="minorHAnsi"/>
        </w:rPr>
        <w:t xml:space="preserve"> (cf. de Búrca et al. 2013, 2014)</w:t>
      </w:r>
      <w:r w:rsidR="001F67B0" w:rsidRPr="000B7B8D">
        <w:rPr>
          <w:rFonts w:asciiTheme="minorHAnsi" w:hAnsiTheme="minorHAnsi"/>
        </w:rPr>
        <w:t xml:space="preserve">.  </w:t>
      </w:r>
      <w:r w:rsidR="00285655" w:rsidRPr="000B7B8D">
        <w:rPr>
          <w:rFonts w:asciiTheme="minorHAnsi" w:hAnsiTheme="minorHAnsi"/>
        </w:rPr>
        <w:t xml:space="preserve">Because experimentalist governance architectures are defined in functional rather than structural terms, moreover, they can be built in multiple settings at different territorial scales, which can then be nested within one another vertically and joined up horizontally.  </w:t>
      </w:r>
      <w:r w:rsidR="00A804B2" w:rsidRPr="000B7B8D">
        <w:rPr>
          <w:rFonts w:asciiTheme="minorHAnsi" w:hAnsiTheme="minorHAnsi"/>
        </w:rPr>
        <w:t>Hence,</w:t>
      </w:r>
      <w:r w:rsidR="00285655" w:rsidRPr="000B7B8D">
        <w:rPr>
          <w:rFonts w:asciiTheme="minorHAnsi" w:hAnsiTheme="minorHAnsi"/>
        </w:rPr>
        <w:t xml:space="preserve"> as we have argued in previous work, transnational experimentalist regimes can be gradually assembled piece by piece through a variety of pathways and </w:t>
      </w:r>
      <w:r w:rsidR="00285655" w:rsidRPr="000B7B8D">
        <w:rPr>
          <w:rFonts w:asciiTheme="minorHAnsi" w:hAnsiTheme="minorHAnsi"/>
        </w:rPr>
        <w:lastRenderedPageBreak/>
        <w:t>mechanisms, rather than being constructed as a unified whole through conventional multilateral procedures (Overdevest &amp; Zeitlin 2014; Zeitlin 2015).</w:t>
      </w:r>
    </w:p>
    <w:p w14:paraId="3F41F794" w14:textId="764ECEB8" w:rsidR="00A804B2" w:rsidRPr="000B7B8D" w:rsidRDefault="00AC2110" w:rsidP="00523396">
      <w:pPr>
        <w:pStyle w:val="BodyText"/>
        <w:jc w:val="both"/>
        <w:rPr>
          <w:rFonts w:asciiTheme="minorHAnsi" w:hAnsiTheme="minorHAnsi"/>
        </w:rPr>
      </w:pPr>
      <w:r w:rsidRPr="000B7B8D">
        <w:rPr>
          <w:rFonts w:asciiTheme="minorHAnsi" w:hAnsiTheme="minorHAnsi"/>
        </w:rPr>
        <w:t>The next section of this paper will analyze the EU FLEGT initia</w:t>
      </w:r>
      <w:r w:rsidR="00292B84" w:rsidRPr="000B7B8D">
        <w:rPr>
          <w:rFonts w:asciiTheme="minorHAnsi" w:hAnsiTheme="minorHAnsi"/>
        </w:rPr>
        <w:t>tive as the core of the emerging</w:t>
      </w:r>
      <w:r w:rsidRPr="000B7B8D">
        <w:rPr>
          <w:rFonts w:asciiTheme="minorHAnsi" w:hAnsiTheme="minorHAnsi"/>
        </w:rPr>
        <w:t xml:space="preserve"> transnational timber legality regime, showing how its experimentalist </w:t>
      </w:r>
      <w:r w:rsidR="005110C8" w:rsidRPr="000B7B8D">
        <w:rPr>
          <w:rFonts w:asciiTheme="minorHAnsi" w:hAnsiTheme="minorHAnsi"/>
        </w:rPr>
        <w:t>architecture</w:t>
      </w:r>
      <w:r w:rsidRPr="000B7B8D">
        <w:rPr>
          <w:rFonts w:asciiTheme="minorHAnsi" w:hAnsiTheme="minorHAnsi"/>
        </w:rPr>
        <w:t xml:space="preserve"> </w:t>
      </w:r>
      <w:r w:rsidR="005110C8" w:rsidRPr="000B7B8D">
        <w:rPr>
          <w:rFonts w:asciiTheme="minorHAnsi" w:hAnsiTheme="minorHAnsi"/>
        </w:rPr>
        <w:t>has</w:t>
      </w:r>
      <w:r w:rsidRPr="000B7B8D">
        <w:rPr>
          <w:rFonts w:asciiTheme="minorHAnsi" w:hAnsiTheme="minorHAnsi"/>
        </w:rPr>
        <w:t xml:space="preserve"> been progressively reinforced over time through successive cycles of recursive revision in response to implementation experience.  The </w:t>
      </w:r>
      <w:r w:rsidR="00292B84" w:rsidRPr="000B7B8D">
        <w:rPr>
          <w:rFonts w:asciiTheme="minorHAnsi" w:hAnsiTheme="minorHAnsi"/>
        </w:rPr>
        <w:t>subsequent</w:t>
      </w:r>
      <w:r w:rsidRPr="000B7B8D">
        <w:rPr>
          <w:rFonts w:asciiTheme="minorHAnsi" w:hAnsiTheme="minorHAnsi"/>
        </w:rPr>
        <w:t xml:space="preserve"> sections will </w:t>
      </w:r>
      <w:r w:rsidR="00292B84" w:rsidRPr="000B7B8D">
        <w:rPr>
          <w:rFonts w:asciiTheme="minorHAnsi" w:hAnsiTheme="minorHAnsi"/>
        </w:rPr>
        <w:t xml:space="preserve">explore how and to what extent the experimentalist architecture of the EU FLEGT initiative has </w:t>
      </w:r>
      <w:r w:rsidR="0062614F" w:rsidRPr="000B7B8D">
        <w:rPr>
          <w:rFonts w:asciiTheme="minorHAnsi" w:hAnsiTheme="minorHAnsi"/>
        </w:rPr>
        <w:t xml:space="preserve">led </w:t>
      </w:r>
      <w:r w:rsidR="00292B84" w:rsidRPr="000B7B8D">
        <w:rPr>
          <w:rFonts w:asciiTheme="minorHAnsi" w:hAnsiTheme="minorHAnsi"/>
        </w:rPr>
        <w:t xml:space="preserve">to the emergence of a joined-up transnational regime by fostering productive, mutually reinforcing interactions </w:t>
      </w:r>
      <w:r w:rsidR="00020AFC" w:rsidRPr="000B7B8D">
        <w:rPr>
          <w:rFonts w:asciiTheme="minorHAnsi" w:hAnsiTheme="minorHAnsi"/>
        </w:rPr>
        <w:t xml:space="preserve">both </w:t>
      </w:r>
      <w:r w:rsidR="00292B84" w:rsidRPr="000B7B8D">
        <w:rPr>
          <w:rFonts w:asciiTheme="minorHAnsi" w:hAnsiTheme="minorHAnsi"/>
        </w:rPr>
        <w:t xml:space="preserve">with public legality requirements in other countries and </w:t>
      </w:r>
      <w:r w:rsidR="00020AFC" w:rsidRPr="000B7B8D">
        <w:rPr>
          <w:rFonts w:asciiTheme="minorHAnsi" w:hAnsiTheme="minorHAnsi"/>
        </w:rPr>
        <w:t xml:space="preserve">with </w:t>
      </w:r>
      <w:r w:rsidR="00292B84" w:rsidRPr="000B7B8D">
        <w:rPr>
          <w:rFonts w:asciiTheme="minorHAnsi" w:hAnsiTheme="minorHAnsi"/>
        </w:rPr>
        <w:t xml:space="preserve">private certification schemes, focusing particularly on the institutional channels and causal mechanisms involved. </w:t>
      </w:r>
    </w:p>
    <w:p w14:paraId="264E5834" w14:textId="14A0C268" w:rsidR="002C09C7" w:rsidRPr="000B7B8D" w:rsidRDefault="0028730F" w:rsidP="00650583">
      <w:pPr>
        <w:pStyle w:val="Heading1"/>
        <w:numPr>
          <w:ilvl w:val="0"/>
          <w:numId w:val="25"/>
        </w:numPr>
        <w:rPr>
          <w:rFonts w:asciiTheme="minorHAnsi" w:hAnsiTheme="minorHAnsi"/>
        </w:rPr>
      </w:pPr>
      <w:r w:rsidRPr="000B7B8D">
        <w:rPr>
          <w:rFonts w:asciiTheme="minorHAnsi" w:hAnsiTheme="minorHAnsi"/>
        </w:rPr>
        <w:t xml:space="preserve">EU </w:t>
      </w:r>
      <w:r w:rsidR="0085218E" w:rsidRPr="000B7B8D">
        <w:rPr>
          <w:rFonts w:asciiTheme="minorHAnsi" w:hAnsiTheme="minorHAnsi"/>
        </w:rPr>
        <w:t xml:space="preserve">FLEGT as the Experimentalist Core of the </w:t>
      </w:r>
      <w:r w:rsidR="000B13B5" w:rsidRPr="000B7B8D">
        <w:rPr>
          <w:rFonts w:asciiTheme="minorHAnsi" w:hAnsiTheme="minorHAnsi"/>
        </w:rPr>
        <w:t>Transnational</w:t>
      </w:r>
      <w:r w:rsidR="0085218E" w:rsidRPr="000B7B8D">
        <w:rPr>
          <w:rFonts w:asciiTheme="minorHAnsi" w:hAnsiTheme="minorHAnsi"/>
        </w:rPr>
        <w:t xml:space="preserve"> Timber Legality Regime</w:t>
      </w:r>
      <w:r w:rsidR="0014475F" w:rsidRPr="000B7B8D">
        <w:rPr>
          <w:rStyle w:val="FootnoteReference"/>
          <w:rFonts w:asciiTheme="minorHAnsi" w:hAnsiTheme="minorHAnsi"/>
        </w:rPr>
        <w:footnoteReference w:id="4"/>
      </w:r>
    </w:p>
    <w:p w14:paraId="5EB456A6" w14:textId="5CB1716F" w:rsidR="0085218E" w:rsidRPr="000B7B8D" w:rsidRDefault="00427171" w:rsidP="00523396">
      <w:pPr>
        <w:pStyle w:val="BodyText"/>
        <w:jc w:val="both"/>
        <w:rPr>
          <w:rFonts w:asciiTheme="minorHAnsi" w:hAnsiTheme="minorHAnsi"/>
        </w:rPr>
      </w:pPr>
      <w:r w:rsidRPr="000B7B8D">
        <w:rPr>
          <w:rFonts w:asciiTheme="minorHAnsi" w:hAnsiTheme="minorHAnsi"/>
        </w:rPr>
        <w:t xml:space="preserve">The </w:t>
      </w:r>
      <w:r w:rsidR="009D38EF" w:rsidRPr="000B7B8D">
        <w:rPr>
          <w:rFonts w:asciiTheme="minorHAnsi" w:hAnsiTheme="minorHAnsi"/>
        </w:rPr>
        <w:t xml:space="preserve">EU </w:t>
      </w:r>
      <w:r w:rsidRPr="000B7B8D">
        <w:rPr>
          <w:rFonts w:asciiTheme="minorHAnsi" w:hAnsiTheme="minorHAnsi"/>
        </w:rPr>
        <w:t xml:space="preserve">FLEGT initiative was launched in 2003 by </w:t>
      </w:r>
      <w:r w:rsidR="006F77A3" w:rsidRPr="000B7B8D">
        <w:rPr>
          <w:rFonts w:asciiTheme="minorHAnsi" w:hAnsiTheme="minorHAnsi"/>
        </w:rPr>
        <w:t>a</w:t>
      </w:r>
      <w:r w:rsidR="000E6124" w:rsidRPr="000B7B8D">
        <w:rPr>
          <w:rFonts w:asciiTheme="minorHAnsi" w:hAnsiTheme="minorHAnsi"/>
        </w:rPr>
        <w:t>n ambitious</w:t>
      </w:r>
      <w:r w:rsidR="00B65F71" w:rsidRPr="000B7B8D">
        <w:rPr>
          <w:rFonts w:asciiTheme="minorHAnsi" w:hAnsiTheme="minorHAnsi"/>
        </w:rPr>
        <w:t xml:space="preserve"> </w:t>
      </w:r>
      <w:r w:rsidR="009D38EF" w:rsidRPr="000B7B8D">
        <w:rPr>
          <w:rFonts w:asciiTheme="minorHAnsi" w:hAnsiTheme="minorHAnsi"/>
        </w:rPr>
        <w:t xml:space="preserve">Action Plan </w:t>
      </w:r>
      <w:r w:rsidR="0074590F" w:rsidRPr="000B7B8D">
        <w:rPr>
          <w:rFonts w:asciiTheme="minorHAnsi" w:hAnsiTheme="minorHAnsi"/>
        </w:rPr>
        <w:t xml:space="preserve">drafted by the European Commission, in consultation with civil society </w:t>
      </w:r>
      <w:r w:rsidR="006F77A3" w:rsidRPr="000B7B8D">
        <w:rPr>
          <w:rFonts w:asciiTheme="minorHAnsi" w:hAnsiTheme="minorHAnsi"/>
        </w:rPr>
        <w:t xml:space="preserve">activists and think-tank researchers, </w:t>
      </w:r>
      <w:r w:rsidR="0074590F" w:rsidRPr="000B7B8D">
        <w:rPr>
          <w:rFonts w:asciiTheme="minorHAnsi" w:hAnsiTheme="minorHAnsi"/>
        </w:rPr>
        <w:t xml:space="preserve">which outlined a </w:t>
      </w:r>
      <w:r w:rsidR="000E6124" w:rsidRPr="000B7B8D">
        <w:rPr>
          <w:rFonts w:asciiTheme="minorHAnsi" w:hAnsiTheme="minorHAnsi"/>
        </w:rPr>
        <w:t xml:space="preserve">panoply of </w:t>
      </w:r>
      <w:r w:rsidR="00831266" w:rsidRPr="000B7B8D">
        <w:rPr>
          <w:rFonts w:asciiTheme="minorHAnsi" w:hAnsiTheme="minorHAnsi"/>
        </w:rPr>
        <w:t xml:space="preserve">interrelated </w:t>
      </w:r>
      <w:r w:rsidR="000E6124" w:rsidRPr="000B7B8D">
        <w:rPr>
          <w:rFonts w:asciiTheme="minorHAnsi" w:hAnsiTheme="minorHAnsi"/>
        </w:rPr>
        <w:t xml:space="preserve">measures </w:t>
      </w:r>
      <w:r w:rsidR="003604D3" w:rsidRPr="000B7B8D">
        <w:rPr>
          <w:rFonts w:asciiTheme="minorHAnsi" w:hAnsiTheme="minorHAnsi"/>
        </w:rPr>
        <w:t xml:space="preserve">to </w:t>
      </w:r>
      <w:r w:rsidR="004A4580" w:rsidRPr="000B7B8D">
        <w:rPr>
          <w:rFonts w:asciiTheme="minorHAnsi" w:hAnsiTheme="minorHAnsi"/>
        </w:rPr>
        <w:t>tackle the problem of</w:t>
      </w:r>
      <w:r w:rsidR="00E559B1" w:rsidRPr="000B7B8D">
        <w:rPr>
          <w:rFonts w:asciiTheme="minorHAnsi" w:hAnsiTheme="minorHAnsi"/>
        </w:rPr>
        <w:t xml:space="preserve"> illegal logging and </w:t>
      </w:r>
      <w:r w:rsidR="00D076C5" w:rsidRPr="000B7B8D">
        <w:rPr>
          <w:rFonts w:asciiTheme="minorHAnsi" w:hAnsiTheme="minorHAnsi"/>
        </w:rPr>
        <w:t xml:space="preserve">improve </w:t>
      </w:r>
      <w:r w:rsidR="004A4580" w:rsidRPr="000B7B8D">
        <w:rPr>
          <w:rFonts w:asciiTheme="minorHAnsi" w:hAnsiTheme="minorHAnsi"/>
        </w:rPr>
        <w:t xml:space="preserve">domestic </w:t>
      </w:r>
      <w:r w:rsidR="00D076C5" w:rsidRPr="000B7B8D">
        <w:rPr>
          <w:rFonts w:asciiTheme="minorHAnsi" w:hAnsiTheme="minorHAnsi"/>
        </w:rPr>
        <w:t>forest law enforcement and governance</w:t>
      </w:r>
      <w:r w:rsidR="004A4580" w:rsidRPr="000B7B8D">
        <w:rPr>
          <w:rFonts w:asciiTheme="minorHAnsi" w:hAnsiTheme="minorHAnsi"/>
        </w:rPr>
        <w:t xml:space="preserve"> in producer countries</w:t>
      </w:r>
      <w:r w:rsidR="00D076C5" w:rsidRPr="000B7B8D">
        <w:rPr>
          <w:rFonts w:asciiTheme="minorHAnsi" w:hAnsiTheme="minorHAnsi"/>
        </w:rPr>
        <w:t xml:space="preserve">.  </w:t>
      </w:r>
      <w:r w:rsidR="00E134CD" w:rsidRPr="000B7B8D">
        <w:rPr>
          <w:rFonts w:asciiTheme="minorHAnsi" w:hAnsiTheme="minorHAnsi"/>
        </w:rPr>
        <w:t>Most important among the proposed</w:t>
      </w:r>
      <w:r w:rsidR="00277083" w:rsidRPr="000B7B8D">
        <w:rPr>
          <w:rFonts w:asciiTheme="minorHAnsi" w:hAnsiTheme="minorHAnsi"/>
        </w:rPr>
        <w:t xml:space="preserve"> measures </w:t>
      </w:r>
      <w:r w:rsidR="0011783C" w:rsidRPr="000B7B8D">
        <w:rPr>
          <w:rFonts w:asciiTheme="minorHAnsi" w:hAnsiTheme="minorHAnsi"/>
        </w:rPr>
        <w:t xml:space="preserve">were </w:t>
      </w:r>
      <w:r w:rsidR="00E134CD" w:rsidRPr="000B7B8D">
        <w:rPr>
          <w:rFonts w:asciiTheme="minorHAnsi" w:hAnsiTheme="minorHAnsi"/>
        </w:rPr>
        <w:t xml:space="preserve">support to timber-producing countries and </w:t>
      </w:r>
      <w:r w:rsidR="004A4580" w:rsidRPr="000B7B8D">
        <w:rPr>
          <w:rFonts w:asciiTheme="minorHAnsi" w:hAnsiTheme="minorHAnsi"/>
        </w:rPr>
        <w:t xml:space="preserve">the negotiation with them of voluntary agreements </w:t>
      </w:r>
      <w:r w:rsidR="009B420D" w:rsidRPr="000B7B8D">
        <w:rPr>
          <w:rFonts w:asciiTheme="minorHAnsi" w:hAnsiTheme="minorHAnsi"/>
        </w:rPr>
        <w:t>to verify and licence the export of legally harvested wood to the EU market.</w:t>
      </w:r>
      <w:r w:rsidR="00D53F3A" w:rsidRPr="000B7B8D">
        <w:rPr>
          <w:rStyle w:val="FootnoteReference"/>
          <w:rFonts w:asciiTheme="minorHAnsi" w:hAnsiTheme="minorHAnsi"/>
        </w:rPr>
        <w:footnoteReference w:id="5"/>
      </w:r>
      <w:r w:rsidR="00022605" w:rsidRPr="000B7B8D">
        <w:rPr>
          <w:rFonts w:asciiTheme="minorHAnsi" w:hAnsiTheme="minorHAnsi"/>
        </w:rPr>
        <w:t xml:space="preserve"> </w:t>
      </w:r>
      <w:r w:rsidR="00126E29" w:rsidRPr="000B7B8D">
        <w:rPr>
          <w:rFonts w:asciiTheme="minorHAnsi" w:hAnsiTheme="minorHAnsi"/>
        </w:rPr>
        <w:t xml:space="preserve"> </w:t>
      </w:r>
      <w:r w:rsidR="000C192E" w:rsidRPr="000B7B8D">
        <w:rPr>
          <w:rFonts w:asciiTheme="minorHAnsi" w:hAnsiTheme="minorHAnsi"/>
        </w:rPr>
        <w:t xml:space="preserve">While the Action Plan focused on </w:t>
      </w:r>
      <w:r w:rsidR="0062614F" w:rsidRPr="000B7B8D">
        <w:rPr>
          <w:rFonts w:asciiTheme="minorHAnsi" w:hAnsiTheme="minorHAnsi"/>
        </w:rPr>
        <w:t xml:space="preserve">timber </w:t>
      </w:r>
      <w:r w:rsidR="00F879EA" w:rsidRPr="000B7B8D">
        <w:rPr>
          <w:rFonts w:asciiTheme="minorHAnsi" w:hAnsiTheme="minorHAnsi"/>
        </w:rPr>
        <w:t xml:space="preserve">legality, </w:t>
      </w:r>
      <w:r w:rsidR="00DA65BE" w:rsidRPr="000B7B8D">
        <w:rPr>
          <w:rFonts w:asciiTheme="minorHAnsi" w:hAnsiTheme="minorHAnsi"/>
        </w:rPr>
        <w:t>“</w:t>
      </w:r>
      <w:r w:rsidR="008C0CA7" w:rsidRPr="000B7B8D">
        <w:rPr>
          <w:rFonts w:asciiTheme="minorHAnsi" w:hAnsiTheme="minorHAnsi"/>
        </w:rPr>
        <w:t>better forest governance</w:t>
      </w:r>
      <w:r w:rsidR="00DA65BE" w:rsidRPr="000B7B8D">
        <w:rPr>
          <w:rFonts w:asciiTheme="minorHAnsi" w:hAnsiTheme="minorHAnsi"/>
        </w:rPr>
        <w:t>”</w:t>
      </w:r>
      <w:r w:rsidR="008C0CA7" w:rsidRPr="000B7B8D">
        <w:rPr>
          <w:rFonts w:asciiTheme="minorHAnsi" w:hAnsiTheme="minorHAnsi"/>
        </w:rPr>
        <w:t xml:space="preserve"> </w:t>
      </w:r>
      <w:r w:rsidR="00280444" w:rsidRPr="000B7B8D">
        <w:rPr>
          <w:rFonts w:asciiTheme="minorHAnsi" w:hAnsiTheme="minorHAnsi"/>
        </w:rPr>
        <w:t xml:space="preserve">was </w:t>
      </w:r>
      <w:r w:rsidR="00650583" w:rsidRPr="000B7B8D">
        <w:rPr>
          <w:rFonts w:asciiTheme="minorHAnsi" w:hAnsiTheme="minorHAnsi"/>
        </w:rPr>
        <w:t xml:space="preserve">explicitly </w:t>
      </w:r>
      <w:r w:rsidR="008C0CA7" w:rsidRPr="000B7B8D">
        <w:rPr>
          <w:rFonts w:asciiTheme="minorHAnsi" w:hAnsiTheme="minorHAnsi"/>
        </w:rPr>
        <w:t xml:space="preserve">expected to </w:t>
      </w:r>
      <w:r w:rsidR="00280444" w:rsidRPr="000B7B8D">
        <w:rPr>
          <w:rFonts w:asciiTheme="minorHAnsi" w:hAnsiTheme="minorHAnsi"/>
        </w:rPr>
        <w:t>support “the EU’s wider objective” of encouraging “</w:t>
      </w:r>
      <w:r w:rsidR="008C0CA7" w:rsidRPr="000B7B8D">
        <w:rPr>
          <w:rFonts w:asciiTheme="minorHAnsi" w:hAnsiTheme="minorHAnsi"/>
        </w:rPr>
        <w:t>sustainable forest management</w:t>
      </w:r>
      <w:r w:rsidR="00280444" w:rsidRPr="000B7B8D">
        <w:rPr>
          <w:rFonts w:asciiTheme="minorHAnsi" w:hAnsiTheme="minorHAnsi"/>
        </w:rPr>
        <w:t>”</w:t>
      </w:r>
      <w:r w:rsidR="00D534F7" w:rsidRPr="000B7B8D">
        <w:rPr>
          <w:rFonts w:asciiTheme="minorHAnsi" w:hAnsiTheme="minorHAnsi"/>
        </w:rPr>
        <w:t xml:space="preserve">, </w:t>
      </w:r>
      <w:r w:rsidR="00671916" w:rsidRPr="000B7B8D">
        <w:rPr>
          <w:rFonts w:asciiTheme="minorHAnsi" w:hAnsiTheme="minorHAnsi"/>
        </w:rPr>
        <w:t>since</w:t>
      </w:r>
      <w:r w:rsidR="00D534F7" w:rsidRPr="000B7B8D">
        <w:rPr>
          <w:rFonts w:asciiTheme="minorHAnsi" w:hAnsiTheme="minorHAnsi"/>
        </w:rPr>
        <w:t xml:space="preserve"> many countries’ </w:t>
      </w:r>
      <w:r w:rsidR="00126E29" w:rsidRPr="000B7B8D">
        <w:rPr>
          <w:rFonts w:asciiTheme="minorHAnsi" w:hAnsiTheme="minorHAnsi"/>
        </w:rPr>
        <w:t xml:space="preserve">legislation was already </w:t>
      </w:r>
      <w:r w:rsidR="00115B26" w:rsidRPr="000B7B8D">
        <w:rPr>
          <w:rFonts w:asciiTheme="minorHAnsi" w:hAnsiTheme="minorHAnsi"/>
        </w:rPr>
        <w:t>directed towards that goal</w:t>
      </w:r>
      <w:r w:rsidR="00126E29" w:rsidRPr="000B7B8D">
        <w:rPr>
          <w:rFonts w:asciiTheme="minorHAnsi" w:hAnsiTheme="minorHAnsi"/>
        </w:rPr>
        <w:t xml:space="preserve"> (European Commission 2003: 5)</w:t>
      </w:r>
      <w:r w:rsidR="00280444" w:rsidRPr="000B7B8D">
        <w:rPr>
          <w:rFonts w:asciiTheme="minorHAnsi" w:hAnsiTheme="minorHAnsi"/>
        </w:rPr>
        <w:t>.</w:t>
      </w:r>
      <w:r w:rsidR="00422DBA" w:rsidRPr="000B7B8D">
        <w:rPr>
          <w:rFonts w:asciiTheme="minorHAnsi" w:hAnsiTheme="minorHAnsi"/>
        </w:rPr>
        <w:t xml:space="preserve">  </w:t>
      </w:r>
      <w:r w:rsidR="009B6EFF" w:rsidRPr="000B7B8D">
        <w:rPr>
          <w:rFonts w:asciiTheme="minorHAnsi" w:hAnsiTheme="minorHAnsi"/>
        </w:rPr>
        <w:t xml:space="preserve">The Action </w:t>
      </w:r>
      <w:r w:rsidR="00320AE7" w:rsidRPr="000B7B8D">
        <w:rPr>
          <w:rFonts w:asciiTheme="minorHAnsi" w:hAnsiTheme="minorHAnsi"/>
        </w:rPr>
        <w:t xml:space="preserve">Plan built on the growing </w:t>
      </w:r>
      <w:r w:rsidR="001802A0" w:rsidRPr="000B7B8D">
        <w:rPr>
          <w:rFonts w:asciiTheme="minorHAnsi" w:hAnsiTheme="minorHAnsi"/>
        </w:rPr>
        <w:t xml:space="preserve">international consensus on the problem of illegal logging, which had emerged </w:t>
      </w:r>
      <w:r w:rsidR="00C3524E" w:rsidRPr="000B7B8D">
        <w:rPr>
          <w:rFonts w:asciiTheme="minorHAnsi" w:hAnsiTheme="minorHAnsi"/>
        </w:rPr>
        <w:t xml:space="preserve">from multilateral </w:t>
      </w:r>
      <w:r w:rsidR="00C3524E" w:rsidRPr="000B7B8D">
        <w:rPr>
          <w:rFonts w:asciiTheme="minorHAnsi" w:hAnsiTheme="minorHAnsi"/>
        </w:rPr>
        <w:lastRenderedPageBreak/>
        <w:t xml:space="preserve">discussions, notably the regional Forest Law Enforcement and Governance (FLEG) dialogues convened by the World Bank in the early 2000s, while adding trade regulation (T) as a </w:t>
      </w:r>
      <w:r w:rsidR="00A75CE5" w:rsidRPr="000B7B8D">
        <w:rPr>
          <w:rFonts w:asciiTheme="minorHAnsi" w:hAnsiTheme="minorHAnsi"/>
        </w:rPr>
        <w:t xml:space="preserve">powerful new </w:t>
      </w:r>
      <w:r w:rsidR="00C3524E" w:rsidRPr="000B7B8D">
        <w:rPr>
          <w:rFonts w:asciiTheme="minorHAnsi" w:hAnsiTheme="minorHAnsi"/>
        </w:rPr>
        <w:t xml:space="preserve">lever </w:t>
      </w:r>
      <w:r w:rsidR="00AF2011" w:rsidRPr="000B7B8D">
        <w:rPr>
          <w:rFonts w:asciiTheme="minorHAnsi" w:hAnsiTheme="minorHAnsi"/>
        </w:rPr>
        <w:t>to</w:t>
      </w:r>
      <w:r w:rsidR="00C3524E" w:rsidRPr="000B7B8D">
        <w:rPr>
          <w:rFonts w:asciiTheme="minorHAnsi" w:hAnsiTheme="minorHAnsi"/>
        </w:rPr>
        <w:t xml:space="preserve"> adv</w:t>
      </w:r>
      <w:r w:rsidR="00AF2011" w:rsidRPr="000B7B8D">
        <w:rPr>
          <w:rFonts w:asciiTheme="minorHAnsi" w:hAnsiTheme="minorHAnsi"/>
        </w:rPr>
        <w:t>ance</w:t>
      </w:r>
      <w:r w:rsidR="00C3524E" w:rsidRPr="000B7B8D">
        <w:rPr>
          <w:rFonts w:asciiTheme="minorHAnsi" w:hAnsiTheme="minorHAnsi"/>
        </w:rPr>
        <w:t xml:space="preserve"> these shared goals. </w:t>
      </w:r>
      <w:r w:rsidR="004C648B" w:rsidRPr="000B7B8D">
        <w:rPr>
          <w:rFonts w:asciiTheme="minorHAnsi" w:hAnsiTheme="minorHAnsi"/>
        </w:rPr>
        <w:t xml:space="preserve"> </w:t>
      </w:r>
      <w:r w:rsidR="007812A5" w:rsidRPr="000B7B8D">
        <w:rPr>
          <w:rFonts w:asciiTheme="minorHAnsi" w:hAnsiTheme="minorHAnsi"/>
        </w:rPr>
        <w:t xml:space="preserve">The FLEGT Action Plan committed the EU to continuing efforts to build an effective framework for controlling illegal trade in </w:t>
      </w:r>
      <w:r w:rsidR="00D82A58" w:rsidRPr="000B7B8D">
        <w:rPr>
          <w:rFonts w:asciiTheme="minorHAnsi" w:hAnsiTheme="minorHAnsi"/>
        </w:rPr>
        <w:t xml:space="preserve">wood products in </w:t>
      </w:r>
      <w:r w:rsidR="007812A5" w:rsidRPr="000B7B8D">
        <w:rPr>
          <w:rFonts w:asciiTheme="minorHAnsi" w:hAnsiTheme="minorHAnsi"/>
        </w:rPr>
        <w:t>collabora</w:t>
      </w:r>
      <w:r w:rsidR="007B0757" w:rsidRPr="000B7B8D">
        <w:rPr>
          <w:rFonts w:asciiTheme="minorHAnsi" w:hAnsiTheme="minorHAnsi"/>
        </w:rPr>
        <w:t xml:space="preserve">tion with other major importers.  But </w:t>
      </w:r>
      <w:r w:rsidR="00126E29" w:rsidRPr="000B7B8D">
        <w:rPr>
          <w:rFonts w:asciiTheme="minorHAnsi" w:hAnsiTheme="minorHAnsi"/>
        </w:rPr>
        <w:t>it</w:t>
      </w:r>
      <w:r w:rsidR="007B0757" w:rsidRPr="000B7B8D">
        <w:rPr>
          <w:rFonts w:asciiTheme="minorHAnsi" w:hAnsiTheme="minorHAnsi"/>
        </w:rPr>
        <w:t xml:space="preserve"> also</w:t>
      </w:r>
      <w:r w:rsidR="007812A5" w:rsidRPr="000B7B8D">
        <w:rPr>
          <w:rFonts w:asciiTheme="minorHAnsi" w:hAnsiTheme="minorHAnsi"/>
        </w:rPr>
        <w:t xml:space="preserve"> envisaged that “in the absence of multilateral progress” the Commission would consider further unilateral measures, including “legislation to control imports of illegally harvested timber into the EU”, which eventually led to the enactment of the EUTR </w:t>
      </w:r>
      <w:r w:rsidR="005C49C8" w:rsidRPr="000B7B8D">
        <w:rPr>
          <w:rFonts w:asciiTheme="minorHAnsi" w:hAnsiTheme="minorHAnsi"/>
        </w:rPr>
        <w:t xml:space="preserve">in 2010 </w:t>
      </w:r>
      <w:r w:rsidR="007812A5" w:rsidRPr="000B7B8D">
        <w:rPr>
          <w:rFonts w:asciiTheme="minorHAnsi" w:hAnsiTheme="minorHAnsi"/>
        </w:rPr>
        <w:t>(European Commission 2003</w:t>
      </w:r>
      <w:r w:rsidR="00126E29" w:rsidRPr="000B7B8D">
        <w:rPr>
          <w:rFonts w:asciiTheme="minorHAnsi" w:hAnsiTheme="minorHAnsi"/>
        </w:rPr>
        <w:t xml:space="preserve">: </w:t>
      </w:r>
      <w:r w:rsidR="00726F29" w:rsidRPr="000B7B8D">
        <w:rPr>
          <w:rFonts w:asciiTheme="minorHAnsi" w:hAnsiTheme="minorHAnsi"/>
        </w:rPr>
        <w:t>15</w:t>
      </w:r>
      <w:r w:rsidR="007812A5" w:rsidRPr="000B7B8D">
        <w:rPr>
          <w:rFonts w:asciiTheme="minorHAnsi" w:hAnsiTheme="minorHAnsi"/>
        </w:rPr>
        <w:t xml:space="preserve">; </w:t>
      </w:r>
      <w:r w:rsidR="00726F29" w:rsidRPr="000B7B8D">
        <w:rPr>
          <w:rFonts w:asciiTheme="minorHAnsi" w:hAnsiTheme="minorHAnsi"/>
        </w:rPr>
        <w:t xml:space="preserve">on the origins and development of the FLEGT Action Plan and the EUTR, see </w:t>
      </w:r>
      <w:r w:rsidR="007812A5" w:rsidRPr="000B7B8D">
        <w:rPr>
          <w:rFonts w:asciiTheme="minorHAnsi" w:hAnsiTheme="minorHAnsi"/>
        </w:rPr>
        <w:t>Overdevest &amp; Zeitlin 2015).</w:t>
      </w:r>
    </w:p>
    <w:p w14:paraId="2C466705" w14:textId="77777777" w:rsidR="00E4046B" w:rsidRPr="000B7B8D" w:rsidRDefault="00E4046B" w:rsidP="0085218E">
      <w:pPr>
        <w:pStyle w:val="BodyText"/>
        <w:rPr>
          <w:rFonts w:asciiTheme="minorHAnsi" w:hAnsiTheme="minorHAnsi"/>
        </w:rPr>
      </w:pPr>
    </w:p>
    <w:p w14:paraId="1CA91B4B" w14:textId="1296E0A9" w:rsidR="00650583" w:rsidRPr="000B7B8D" w:rsidRDefault="005B78E6" w:rsidP="00D63BC0">
      <w:pPr>
        <w:pStyle w:val="BodyTextSingle-SpacedFlush"/>
        <w:numPr>
          <w:ilvl w:val="1"/>
          <w:numId w:val="25"/>
        </w:numPr>
        <w:spacing w:after="160"/>
        <w:rPr>
          <w:rFonts w:asciiTheme="minorHAnsi" w:hAnsiTheme="minorHAnsi"/>
        </w:rPr>
      </w:pPr>
      <w:r w:rsidRPr="000B7B8D">
        <w:rPr>
          <w:rFonts w:asciiTheme="minorHAnsi" w:hAnsiTheme="minorHAnsi"/>
        </w:rPr>
        <w:t>The FLEGT VPAs</w:t>
      </w:r>
    </w:p>
    <w:p w14:paraId="6BE6A99B" w14:textId="09FA5332" w:rsidR="006B5B75" w:rsidRPr="000B7B8D" w:rsidRDefault="009D4445" w:rsidP="00516FEC">
      <w:pPr>
        <w:pStyle w:val="BodyText"/>
        <w:jc w:val="both"/>
        <w:rPr>
          <w:rFonts w:asciiTheme="minorHAnsi" w:hAnsiTheme="minorHAnsi"/>
        </w:rPr>
      </w:pPr>
      <w:r w:rsidRPr="000B7B8D">
        <w:rPr>
          <w:rFonts w:asciiTheme="minorHAnsi" w:hAnsiTheme="minorHAnsi"/>
        </w:rPr>
        <w:t>The VPAs are the keystone</w:t>
      </w:r>
      <w:r w:rsidR="00DF5CBF" w:rsidRPr="000B7B8D">
        <w:rPr>
          <w:rFonts w:asciiTheme="minorHAnsi" w:hAnsiTheme="minorHAnsi"/>
        </w:rPr>
        <w:t xml:space="preserve"> of the FLEGT </w:t>
      </w:r>
      <w:r w:rsidRPr="000B7B8D">
        <w:rPr>
          <w:rFonts w:asciiTheme="minorHAnsi" w:hAnsiTheme="minorHAnsi"/>
        </w:rPr>
        <w:t xml:space="preserve">architecture. The FLEGT </w:t>
      </w:r>
      <w:r w:rsidR="00E4046B" w:rsidRPr="000B7B8D">
        <w:rPr>
          <w:rFonts w:asciiTheme="minorHAnsi" w:hAnsiTheme="minorHAnsi"/>
        </w:rPr>
        <w:t>Action Plan</w:t>
      </w:r>
      <w:r w:rsidR="00156C6B" w:rsidRPr="000B7B8D">
        <w:rPr>
          <w:rFonts w:asciiTheme="minorHAnsi" w:hAnsiTheme="minorHAnsi"/>
        </w:rPr>
        <w:t xml:space="preserve"> invites</w:t>
      </w:r>
      <w:r w:rsidR="00DF5CBF" w:rsidRPr="000B7B8D">
        <w:rPr>
          <w:rFonts w:asciiTheme="minorHAnsi" w:hAnsiTheme="minorHAnsi"/>
        </w:rPr>
        <w:t xml:space="preserve"> producer countries to negotiate bilateral agreements with the EU in order to secure access to a “green lane” for </w:t>
      </w:r>
      <w:r w:rsidR="00B56C44" w:rsidRPr="000B7B8D">
        <w:rPr>
          <w:rFonts w:asciiTheme="minorHAnsi" w:hAnsiTheme="minorHAnsi"/>
        </w:rPr>
        <w:t xml:space="preserve">verified </w:t>
      </w:r>
      <w:r w:rsidR="00405C38" w:rsidRPr="000B7B8D">
        <w:rPr>
          <w:rFonts w:asciiTheme="minorHAnsi" w:hAnsiTheme="minorHAnsi"/>
        </w:rPr>
        <w:t xml:space="preserve">legal timber timber imports into the European market. </w:t>
      </w:r>
      <w:r w:rsidR="00516FEC" w:rsidRPr="000B7B8D">
        <w:rPr>
          <w:rFonts w:asciiTheme="minorHAnsi" w:hAnsiTheme="minorHAnsi"/>
        </w:rPr>
        <w:t xml:space="preserve"> </w:t>
      </w:r>
      <w:r w:rsidR="00095821" w:rsidRPr="000B7B8D">
        <w:rPr>
          <w:rFonts w:asciiTheme="minorHAnsi" w:hAnsiTheme="minorHAnsi"/>
        </w:rPr>
        <w:t xml:space="preserve">As of </w:t>
      </w:r>
      <w:r w:rsidR="00C72295" w:rsidRPr="000B7B8D">
        <w:rPr>
          <w:rFonts w:asciiTheme="minorHAnsi" w:hAnsiTheme="minorHAnsi"/>
        </w:rPr>
        <w:t>April 2019</w:t>
      </w:r>
      <w:r w:rsidR="00095821" w:rsidRPr="000B7B8D">
        <w:rPr>
          <w:rFonts w:asciiTheme="minorHAnsi" w:hAnsiTheme="minorHAnsi"/>
        </w:rPr>
        <w:t xml:space="preserve">, </w:t>
      </w:r>
      <w:r w:rsidR="008B5140" w:rsidRPr="000B7B8D">
        <w:rPr>
          <w:rFonts w:asciiTheme="minorHAnsi" w:hAnsiTheme="minorHAnsi"/>
        </w:rPr>
        <w:t xml:space="preserve">nine </w:t>
      </w:r>
      <w:r w:rsidR="00095821" w:rsidRPr="000B7B8D">
        <w:rPr>
          <w:rFonts w:asciiTheme="minorHAnsi" w:hAnsiTheme="minorHAnsi"/>
        </w:rPr>
        <w:t xml:space="preserve">countries have </w:t>
      </w:r>
      <w:r w:rsidR="009A380B" w:rsidRPr="000B7B8D">
        <w:rPr>
          <w:rFonts w:asciiTheme="minorHAnsi" w:hAnsiTheme="minorHAnsi"/>
        </w:rPr>
        <w:t xml:space="preserve">agreed VPAs with the EU (Cameroon, Central African Republic, Ghana, </w:t>
      </w:r>
      <w:r w:rsidR="008B5140" w:rsidRPr="000B7B8D">
        <w:rPr>
          <w:rFonts w:asciiTheme="minorHAnsi" w:hAnsiTheme="minorHAnsi"/>
        </w:rPr>
        <w:t xml:space="preserve">Guyana, </w:t>
      </w:r>
      <w:r w:rsidR="009A380B" w:rsidRPr="000B7B8D">
        <w:rPr>
          <w:rFonts w:asciiTheme="minorHAnsi" w:hAnsiTheme="minorHAnsi"/>
        </w:rPr>
        <w:t xml:space="preserve">Honduras, Indonesia, Liberia, Republic of Congo, Vietnam), while negotiations are underway with </w:t>
      </w:r>
      <w:r w:rsidR="00610581" w:rsidRPr="000B7B8D">
        <w:rPr>
          <w:rFonts w:asciiTheme="minorHAnsi" w:hAnsiTheme="minorHAnsi"/>
        </w:rPr>
        <w:t xml:space="preserve">an additional </w:t>
      </w:r>
      <w:r w:rsidR="009A380B" w:rsidRPr="000B7B8D">
        <w:rPr>
          <w:rFonts w:asciiTheme="minorHAnsi" w:hAnsiTheme="minorHAnsi"/>
        </w:rPr>
        <w:t>seven (Côte d’Ivoire, Democratic Republic of Congo, Gabon, Laos, Malaysia, Thailand)</w:t>
      </w:r>
      <w:r w:rsidR="00610581" w:rsidRPr="000B7B8D">
        <w:rPr>
          <w:rFonts w:asciiTheme="minorHAnsi" w:hAnsiTheme="minorHAnsi"/>
        </w:rPr>
        <w:t>, and preparations for formal negotiations are ongoing with two more (Cambodia and Myanmar).</w:t>
      </w:r>
      <w:r w:rsidR="00DB6140" w:rsidRPr="000B7B8D">
        <w:rPr>
          <w:rFonts w:asciiTheme="minorHAnsi" w:hAnsiTheme="minorHAnsi"/>
        </w:rPr>
        <w:t xml:space="preserve">  </w:t>
      </w:r>
      <w:r w:rsidR="007604A5" w:rsidRPr="000B7B8D">
        <w:rPr>
          <w:rFonts w:asciiTheme="minorHAnsi" w:hAnsiTheme="minorHAnsi"/>
        </w:rPr>
        <w:t>Together</w:t>
      </w:r>
      <w:r w:rsidR="006F168A" w:rsidRPr="000B7B8D">
        <w:rPr>
          <w:rFonts w:asciiTheme="minorHAnsi" w:hAnsiTheme="minorHAnsi"/>
        </w:rPr>
        <w:t>,</w:t>
      </w:r>
      <w:r w:rsidR="007604A5" w:rsidRPr="000B7B8D">
        <w:rPr>
          <w:rFonts w:asciiTheme="minorHAnsi" w:hAnsiTheme="minorHAnsi"/>
        </w:rPr>
        <w:t xml:space="preserve"> these </w:t>
      </w:r>
      <w:r w:rsidR="00610581" w:rsidRPr="000B7B8D">
        <w:rPr>
          <w:rFonts w:asciiTheme="minorHAnsi" w:hAnsiTheme="minorHAnsi"/>
        </w:rPr>
        <w:t xml:space="preserve">seventeen </w:t>
      </w:r>
      <w:r w:rsidR="007604A5" w:rsidRPr="000B7B8D">
        <w:rPr>
          <w:rFonts w:asciiTheme="minorHAnsi" w:hAnsiTheme="minorHAnsi"/>
        </w:rPr>
        <w:t xml:space="preserve">countries account for </w:t>
      </w:r>
      <w:r w:rsidR="00610581" w:rsidRPr="000B7B8D">
        <w:rPr>
          <w:rFonts w:asciiTheme="minorHAnsi" w:hAnsiTheme="minorHAnsi"/>
        </w:rPr>
        <w:t>81</w:t>
      </w:r>
      <w:r w:rsidR="007604A5" w:rsidRPr="000B7B8D">
        <w:rPr>
          <w:rFonts w:asciiTheme="minorHAnsi" w:hAnsiTheme="minorHAnsi"/>
        </w:rPr>
        <w:t xml:space="preserve">% of </w:t>
      </w:r>
      <w:r w:rsidR="00610581" w:rsidRPr="000B7B8D">
        <w:rPr>
          <w:rFonts w:asciiTheme="minorHAnsi" w:hAnsiTheme="minorHAnsi"/>
        </w:rPr>
        <w:t xml:space="preserve">global </w:t>
      </w:r>
      <w:r w:rsidR="006F168A" w:rsidRPr="000B7B8D">
        <w:rPr>
          <w:rFonts w:asciiTheme="minorHAnsi" w:hAnsiTheme="minorHAnsi"/>
        </w:rPr>
        <w:t xml:space="preserve">trade in </w:t>
      </w:r>
      <w:r w:rsidR="00610581" w:rsidRPr="000B7B8D">
        <w:rPr>
          <w:rFonts w:asciiTheme="minorHAnsi" w:hAnsiTheme="minorHAnsi"/>
        </w:rPr>
        <w:t xml:space="preserve">tropical wood products </w:t>
      </w:r>
      <w:r w:rsidR="00460D61" w:rsidRPr="000B7B8D">
        <w:rPr>
          <w:rFonts w:asciiTheme="minorHAnsi" w:hAnsiTheme="minorHAnsi"/>
        </w:rPr>
        <w:t xml:space="preserve">and a similar proportion of EU tropical timber imports </w:t>
      </w:r>
      <w:r w:rsidR="00610581" w:rsidRPr="000B7B8D">
        <w:rPr>
          <w:rFonts w:asciiTheme="minorHAnsi" w:hAnsiTheme="minorHAnsi"/>
        </w:rPr>
        <w:t xml:space="preserve">(IMM 2017: </w:t>
      </w:r>
      <w:r w:rsidR="00282C83" w:rsidRPr="000B7B8D">
        <w:rPr>
          <w:rFonts w:asciiTheme="minorHAnsi" w:hAnsiTheme="minorHAnsi"/>
        </w:rPr>
        <w:t>4</w:t>
      </w:r>
      <w:r w:rsidR="00342D78" w:rsidRPr="000B7B8D">
        <w:rPr>
          <w:rFonts w:asciiTheme="minorHAnsi" w:hAnsiTheme="minorHAnsi"/>
        </w:rPr>
        <w:t xml:space="preserve">; </w:t>
      </w:r>
      <w:hyperlink r:id="rId8" w:history="1">
        <w:r w:rsidR="00342D78" w:rsidRPr="000B7B8D">
          <w:rPr>
            <w:rStyle w:val="Hyperlink"/>
            <w:rFonts w:asciiTheme="minorHAnsi" w:hAnsiTheme="minorHAnsi"/>
          </w:rPr>
          <w:t>http://www.flegtlicence.org/vpa-countries</w:t>
        </w:r>
      </w:hyperlink>
      <w:r w:rsidR="00282C83" w:rsidRPr="000B7B8D">
        <w:rPr>
          <w:rFonts w:asciiTheme="minorHAnsi" w:hAnsiTheme="minorHAnsi"/>
        </w:rPr>
        <w:t>).</w:t>
      </w:r>
      <w:r w:rsidR="00E031EE" w:rsidRPr="000B7B8D">
        <w:rPr>
          <w:rStyle w:val="FootnoteReference"/>
          <w:rFonts w:asciiTheme="minorHAnsi" w:hAnsiTheme="minorHAnsi"/>
        </w:rPr>
        <w:footnoteReference w:id="6"/>
      </w:r>
      <w:r w:rsidR="00282C83" w:rsidRPr="000B7B8D">
        <w:rPr>
          <w:rFonts w:asciiTheme="minorHAnsi" w:hAnsiTheme="minorHAnsi"/>
        </w:rPr>
        <w:t xml:space="preserve"> </w:t>
      </w:r>
    </w:p>
    <w:p w14:paraId="337D5F0B" w14:textId="0EB7EF19" w:rsidR="00F53B9D" w:rsidRPr="000B7B8D" w:rsidRDefault="00B80705" w:rsidP="00523396">
      <w:pPr>
        <w:pStyle w:val="BodyText"/>
        <w:jc w:val="both"/>
        <w:rPr>
          <w:rFonts w:asciiTheme="minorHAnsi" w:hAnsiTheme="minorHAnsi"/>
        </w:rPr>
      </w:pPr>
      <w:r w:rsidRPr="000B7B8D">
        <w:rPr>
          <w:rFonts w:asciiTheme="minorHAnsi" w:hAnsiTheme="minorHAnsi"/>
        </w:rPr>
        <w:lastRenderedPageBreak/>
        <w:t xml:space="preserve">FLEGT VPAs are legally binding trade agreements between the EU and partner countries. </w:t>
      </w:r>
      <w:r w:rsidR="006F168A" w:rsidRPr="000B7B8D">
        <w:rPr>
          <w:rFonts w:asciiTheme="minorHAnsi" w:hAnsiTheme="minorHAnsi"/>
        </w:rPr>
        <w:t xml:space="preserve">The EU has established a number of </w:t>
      </w:r>
      <w:r w:rsidR="00B63D4F" w:rsidRPr="000B7B8D">
        <w:rPr>
          <w:rFonts w:asciiTheme="minorHAnsi" w:hAnsiTheme="minorHAnsi"/>
        </w:rPr>
        <w:t>requirements</w:t>
      </w:r>
      <w:r w:rsidR="006F168A" w:rsidRPr="000B7B8D">
        <w:rPr>
          <w:rFonts w:asciiTheme="minorHAnsi" w:hAnsiTheme="minorHAnsi"/>
        </w:rPr>
        <w:t xml:space="preserve"> for the conclusion of such agreements.  First, partner countries undertake to develop an agreed set </w:t>
      </w:r>
      <w:r w:rsidR="00881D16" w:rsidRPr="000B7B8D">
        <w:rPr>
          <w:rFonts w:asciiTheme="minorHAnsi" w:hAnsiTheme="minorHAnsi"/>
        </w:rPr>
        <w:t>of definitions for legal timber, based on a multi-stakeholder review of existing national law, including international agreements to which they are a party</w:t>
      </w:r>
      <w:r w:rsidR="00B63D4F" w:rsidRPr="000B7B8D">
        <w:rPr>
          <w:rFonts w:asciiTheme="minorHAnsi" w:hAnsiTheme="minorHAnsi"/>
        </w:rPr>
        <w:t xml:space="preserve">, involving broad participation by </w:t>
      </w:r>
      <w:r w:rsidR="00066AAA" w:rsidRPr="000B7B8D">
        <w:rPr>
          <w:rFonts w:asciiTheme="minorHAnsi" w:hAnsiTheme="minorHAnsi"/>
        </w:rPr>
        <w:t xml:space="preserve">civil society </w:t>
      </w:r>
      <w:r w:rsidR="00B63D4F" w:rsidRPr="000B7B8D">
        <w:rPr>
          <w:rFonts w:asciiTheme="minorHAnsi" w:hAnsiTheme="minorHAnsi"/>
        </w:rPr>
        <w:t>as well as private business</w:t>
      </w:r>
      <w:r w:rsidR="00881D16" w:rsidRPr="000B7B8D">
        <w:rPr>
          <w:rFonts w:asciiTheme="minorHAnsi" w:hAnsiTheme="minorHAnsi"/>
        </w:rPr>
        <w:t xml:space="preserve">. </w:t>
      </w:r>
      <w:r w:rsidR="00AF037C" w:rsidRPr="000B7B8D">
        <w:rPr>
          <w:rFonts w:asciiTheme="minorHAnsi" w:hAnsiTheme="minorHAnsi"/>
          <w:lang w:val="de-DE"/>
        </w:rPr>
        <w:t xml:space="preserve"> </w:t>
      </w:r>
      <w:r w:rsidR="00881D16" w:rsidRPr="000B7B8D">
        <w:rPr>
          <w:rFonts w:asciiTheme="minorHAnsi" w:hAnsiTheme="minorHAnsi"/>
        </w:rPr>
        <w:t>Where the review process</w:t>
      </w:r>
      <w:r w:rsidR="006469FB" w:rsidRPr="000B7B8D">
        <w:rPr>
          <w:rFonts w:asciiTheme="minorHAnsi" w:hAnsiTheme="minorHAnsi"/>
        </w:rPr>
        <w:t xml:space="preserve"> </w:t>
      </w:r>
      <w:r w:rsidR="008C658C" w:rsidRPr="000B7B8D">
        <w:rPr>
          <w:rFonts w:asciiTheme="minorHAnsi" w:hAnsiTheme="minorHAnsi"/>
        </w:rPr>
        <w:t xml:space="preserve">reveals major gaps </w:t>
      </w:r>
      <w:r w:rsidR="00B63D4F" w:rsidRPr="000B7B8D">
        <w:rPr>
          <w:rFonts w:asciiTheme="minorHAnsi" w:hAnsiTheme="minorHAnsi"/>
        </w:rPr>
        <w:t xml:space="preserve">and inconsistencies </w:t>
      </w:r>
      <w:r w:rsidR="008C658C" w:rsidRPr="000B7B8D">
        <w:rPr>
          <w:rFonts w:asciiTheme="minorHAnsi" w:hAnsiTheme="minorHAnsi"/>
        </w:rPr>
        <w:t xml:space="preserve">in existing regulation, signatory governments commit to rectify these through legal and administrative reforms. </w:t>
      </w:r>
      <w:r w:rsidR="00B63D4F" w:rsidRPr="000B7B8D">
        <w:rPr>
          <w:rFonts w:asciiTheme="minorHAnsi" w:hAnsiTheme="minorHAnsi"/>
        </w:rPr>
        <w:t xml:space="preserve"> Once agreed, these legality definitions are converted into a matrix, which includes </w:t>
      </w:r>
      <w:r w:rsidR="005E6B9D" w:rsidRPr="000B7B8D">
        <w:rPr>
          <w:rFonts w:asciiTheme="minorHAnsi" w:hAnsiTheme="minorHAnsi"/>
        </w:rPr>
        <w:t>detailed indi</w:t>
      </w:r>
      <w:r w:rsidR="00810C9B" w:rsidRPr="000B7B8D">
        <w:rPr>
          <w:rFonts w:asciiTheme="minorHAnsi" w:hAnsiTheme="minorHAnsi"/>
        </w:rPr>
        <w:t>cators for verifying compliance</w:t>
      </w:r>
      <w:r w:rsidR="000A4BA4" w:rsidRPr="000B7B8D">
        <w:rPr>
          <w:rFonts w:asciiTheme="minorHAnsi" w:hAnsiTheme="minorHAnsi"/>
        </w:rPr>
        <w:t>.  The legality definitions themselves are then subject to periodic review and revision in light of implementation experience</w:t>
      </w:r>
      <w:r w:rsidR="00A92975" w:rsidRPr="000B7B8D">
        <w:rPr>
          <w:rFonts w:asciiTheme="minorHAnsi" w:hAnsiTheme="minorHAnsi"/>
        </w:rPr>
        <w:t xml:space="preserve"> (EU FLEGT Facility 2010</w:t>
      </w:r>
      <w:r w:rsidR="009115AB" w:rsidRPr="000B7B8D">
        <w:rPr>
          <w:rFonts w:asciiTheme="minorHAnsi" w:hAnsiTheme="minorHAnsi"/>
        </w:rPr>
        <w:t xml:space="preserve">; </w:t>
      </w:r>
      <w:hyperlink r:id="rId9" w:history="1">
        <w:r w:rsidR="009115AB" w:rsidRPr="000B7B8D">
          <w:rPr>
            <w:rStyle w:val="Hyperlink"/>
            <w:rFonts w:asciiTheme="minorHAnsi" w:hAnsiTheme="minorHAnsi"/>
          </w:rPr>
          <w:t>http://www.vpaunpacked.org/legality-definition</w:t>
        </w:r>
      </w:hyperlink>
      <w:r w:rsidR="00A92975" w:rsidRPr="000B7B8D">
        <w:rPr>
          <w:rFonts w:asciiTheme="minorHAnsi" w:hAnsiTheme="minorHAnsi"/>
        </w:rPr>
        <w:t>)</w:t>
      </w:r>
      <w:r w:rsidR="000A4BA4" w:rsidRPr="000B7B8D">
        <w:rPr>
          <w:rFonts w:asciiTheme="minorHAnsi" w:hAnsiTheme="minorHAnsi"/>
        </w:rPr>
        <w:t>.</w:t>
      </w:r>
      <w:r w:rsidR="003C0077" w:rsidRPr="000B7B8D">
        <w:rPr>
          <w:rFonts w:asciiTheme="minorHAnsi" w:hAnsiTheme="minorHAnsi"/>
        </w:rPr>
        <w:t xml:space="preserve"> </w:t>
      </w:r>
    </w:p>
    <w:p w14:paraId="65053B2B" w14:textId="4AC80612" w:rsidR="00D94F59" w:rsidRPr="000B7B8D" w:rsidRDefault="00342D78" w:rsidP="00810C9B">
      <w:pPr>
        <w:pStyle w:val="BodyText"/>
        <w:jc w:val="both"/>
        <w:rPr>
          <w:rFonts w:asciiTheme="minorHAnsi" w:hAnsiTheme="minorHAnsi"/>
        </w:rPr>
      </w:pPr>
      <w:r w:rsidRPr="000B7B8D">
        <w:rPr>
          <w:rFonts w:asciiTheme="minorHAnsi" w:hAnsiTheme="minorHAnsi"/>
        </w:rPr>
        <w:t xml:space="preserve">A second requirement of the FLEGT initiative is that partner </w:t>
      </w:r>
      <w:r w:rsidR="00617190" w:rsidRPr="000B7B8D">
        <w:rPr>
          <w:rFonts w:asciiTheme="minorHAnsi" w:hAnsiTheme="minorHAnsi"/>
        </w:rPr>
        <w:t xml:space="preserve">countries develop a national timber legality assurance system (TLAS), </w:t>
      </w:r>
      <w:r w:rsidR="0024771A" w:rsidRPr="000B7B8D">
        <w:rPr>
          <w:rFonts w:asciiTheme="minorHAnsi" w:hAnsiTheme="minorHAnsi"/>
        </w:rPr>
        <w:t>overseen by an independent auditor, to ensure that domestic wood is legally harvested, transported, and exported</w:t>
      </w:r>
      <w:r w:rsidR="0067439F" w:rsidRPr="000B7B8D">
        <w:rPr>
          <w:rFonts w:asciiTheme="minorHAnsi" w:hAnsiTheme="minorHAnsi"/>
        </w:rPr>
        <w:t xml:space="preserve">. </w:t>
      </w:r>
      <w:r w:rsidR="00FF1442" w:rsidRPr="000B7B8D">
        <w:rPr>
          <w:rFonts w:asciiTheme="minorHAnsi" w:hAnsiTheme="minorHAnsi"/>
        </w:rPr>
        <w:t xml:space="preserve"> </w:t>
      </w:r>
      <w:r w:rsidR="00717929" w:rsidRPr="000B7B8D">
        <w:rPr>
          <w:rFonts w:asciiTheme="minorHAnsi" w:hAnsiTheme="minorHAnsi"/>
        </w:rPr>
        <w:t xml:space="preserve">All such </w:t>
      </w:r>
      <w:r w:rsidR="0047310F" w:rsidRPr="000B7B8D">
        <w:rPr>
          <w:rFonts w:asciiTheme="minorHAnsi" w:hAnsiTheme="minorHAnsi"/>
        </w:rPr>
        <w:t>systems</w:t>
      </w:r>
      <w:r w:rsidR="00717929" w:rsidRPr="000B7B8D">
        <w:rPr>
          <w:rFonts w:asciiTheme="minorHAnsi" w:hAnsiTheme="minorHAnsi"/>
        </w:rPr>
        <w:t xml:space="preserve"> must also ensure the integration of imported </w:t>
      </w:r>
      <w:r w:rsidR="009116F7" w:rsidRPr="000B7B8D">
        <w:rPr>
          <w:rFonts w:asciiTheme="minorHAnsi" w:hAnsiTheme="minorHAnsi"/>
        </w:rPr>
        <w:t>wood</w:t>
      </w:r>
      <w:r w:rsidR="00717929" w:rsidRPr="000B7B8D">
        <w:rPr>
          <w:rFonts w:asciiTheme="minorHAnsi" w:hAnsiTheme="minorHAnsi"/>
        </w:rPr>
        <w:t xml:space="preserve"> into their supply-chain </w:t>
      </w:r>
      <w:r w:rsidR="009116F7" w:rsidRPr="000B7B8D">
        <w:rPr>
          <w:rFonts w:asciiTheme="minorHAnsi" w:hAnsiTheme="minorHAnsi"/>
        </w:rPr>
        <w:t xml:space="preserve">tracking and </w:t>
      </w:r>
      <w:r w:rsidR="00717929" w:rsidRPr="000B7B8D">
        <w:rPr>
          <w:rFonts w:asciiTheme="minorHAnsi" w:hAnsiTheme="minorHAnsi"/>
        </w:rPr>
        <w:t>control mechanisms</w:t>
      </w:r>
      <w:r w:rsidR="007B57C6" w:rsidRPr="000B7B8D">
        <w:rPr>
          <w:rFonts w:asciiTheme="minorHAnsi" w:hAnsiTheme="minorHAnsi"/>
        </w:rPr>
        <w:t>.</w:t>
      </w:r>
      <w:r w:rsidR="00717929" w:rsidRPr="000B7B8D">
        <w:rPr>
          <w:rFonts w:asciiTheme="minorHAnsi" w:hAnsiTheme="minorHAnsi"/>
        </w:rPr>
        <w:t xml:space="preserve"> </w:t>
      </w:r>
      <w:r w:rsidR="009116F7" w:rsidRPr="000B7B8D">
        <w:rPr>
          <w:rFonts w:asciiTheme="minorHAnsi" w:hAnsiTheme="minorHAnsi"/>
        </w:rPr>
        <w:t xml:space="preserve">In </w:t>
      </w:r>
      <w:r w:rsidR="00AB6AB3" w:rsidRPr="000B7B8D">
        <w:rPr>
          <w:rFonts w:asciiTheme="minorHAnsi" w:hAnsiTheme="minorHAnsi"/>
        </w:rPr>
        <w:t>most</w:t>
      </w:r>
      <w:r w:rsidR="009E4FAD" w:rsidRPr="000B7B8D">
        <w:rPr>
          <w:rFonts w:asciiTheme="minorHAnsi" w:hAnsiTheme="minorHAnsi"/>
        </w:rPr>
        <w:t xml:space="preserve"> </w:t>
      </w:r>
      <w:r w:rsidR="009116F7" w:rsidRPr="000B7B8D">
        <w:rPr>
          <w:rFonts w:asciiTheme="minorHAnsi" w:hAnsiTheme="minorHAnsi"/>
        </w:rPr>
        <w:t xml:space="preserve">VPA countries, </w:t>
      </w:r>
      <w:r w:rsidR="00035D1E" w:rsidRPr="000B7B8D">
        <w:rPr>
          <w:rFonts w:asciiTheme="minorHAnsi" w:hAnsiTheme="minorHAnsi"/>
        </w:rPr>
        <w:t>the TLASs</w:t>
      </w:r>
      <w:r w:rsidR="009116F7" w:rsidRPr="000B7B8D">
        <w:rPr>
          <w:rFonts w:asciiTheme="minorHAnsi" w:hAnsiTheme="minorHAnsi"/>
        </w:rPr>
        <w:t xml:space="preserve"> include separate independent </w:t>
      </w:r>
      <w:r w:rsidR="00BA4AD9" w:rsidRPr="000B7B8D">
        <w:rPr>
          <w:rFonts w:asciiTheme="minorHAnsi" w:hAnsiTheme="minorHAnsi"/>
        </w:rPr>
        <w:t xml:space="preserve">civil society </w:t>
      </w:r>
      <w:r w:rsidR="009116F7" w:rsidRPr="000B7B8D">
        <w:rPr>
          <w:rFonts w:asciiTheme="minorHAnsi" w:hAnsiTheme="minorHAnsi"/>
        </w:rPr>
        <w:t xml:space="preserve">monitors </w:t>
      </w:r>
      <w:r w:rsidR="00B71711" w:rsidRPr="000B7B8D">
        <w:rPr>
          <w:rFonts w:asciiTheme="minorHAnsi" w:hAnsiTheme="minorHAnsi"/>
        </w:rPr>
        <w:t xml:space="preserve">or observers </w:t>
      </w:r>
      <w:r w:rsidR="009116F7" w:rsidRPr="000B7B8D">
        <w:rPr>
          <w:rFonts w:asciiTheme="minorHAnsi" w:hAnsiTheme="minorHAnsi"/>
        </w:rPr>
        <w:t xml:space="preserve">in addition to the third-party </w:t>
      </w:r>
      <w:r w:rsidR="00035D1E" w:rsidRPr="000B7B8D">
        <w:rPr>
          <w:rFonts w:asciiTheme="minorHAnsi" w:hAnsiTheme="minorHAnsi"/>
        </w:rPr>
        <w:t xml:space="preserve">system </w:t>
      </w:r>
      <w:r w:rsidR="009116F7" w:rsidRPr="000B7B8D">
        <w:rPr>
          <w:rFonts w:asciiTheme="minorHAnsi" w:hAnsiTheme="minorHAnsi"/>
        </w:rPr>
        <w:t xml:space="preserve">auditor. </w:t>
      </w:r>
      <w:r w:rsidR="00B9361F" w:rsidRPr="000B7B8D">
        <w:rPr>
          <w:rFonts w:asciiTheme="minorHAnsi" w:hAnsiTheme="minorHAnsi"/>
        </w:rPr>
        <w:t xml:space="preserve"> </w:t>
      </w:r>
      <w:r w:rsidR="009C1E3A" w:rsidRPr="000B7B8D">
        <w:rPr>
          <w:rFonts w:asciiTheme="minorHAnsi" w:hAnsiTheme="minorHAnsi"/>
        </w:rPr>
        <w:t xml:space="preserve">To </w:t>
      </w:r>
      <w:r w:rsidR="00A32D78" w:rsidRPr="000B7B8D">
        <w:rPr>
          <w:rFonts w:asciiTheme="minorHAnsi" w:hAnsiTheme="minorHAnsi"/>
        </w:rPr>
        <w:t>support</w:t>
      </w:r>
      <w:r w:rsidR="009C1E3A" w:rsidRPr="000B7B8D">
        <w:rPr>
          <w:rFonts w:asciiTheme="minorHAnsi" w:hAnsiTheme="minorHAnsi"/>
        </w:rPr>
        <w:t xml:space="preserve"> </w:t>
      </w:r>
      <w:r w:rsidR="001A4B3E" w:rsidRPr="000B7B8D">
        <w:rPr>
          <w:rFonts w:asciiTheme="minorHAnsi" w:hAnsiTheme="minorHAnsi"/>
        </w:rPr>
        <w:t>such</w:t>
      </w:r>
      <w:r w:rsidR="009C1E3A" w:rsidRPr="000B7B8D">
        <w:rPr>
          <w:rFonts w:asciiTheme="minorHAnsi" w:hAnsiTheme="minorHAnsi"/>
        </w:rPr>
        <w:t xml:space="preserve"> independent monitoring, </w:t>
      </w:r>
      <w:r w:rsidR="002A79D2" w:rsidRPr="000B7B8D">
        <w:rPr>
          <w:rFonts w:asciiTheme="minorHAnsi" w:hAnsiTheme="minorHAnsi"/>
        </w:rPr>
        <w:t>all</w:t>
      </w:r>
      <w:r w:rsidR="009C1E3A" w:rsidRPr="000B7B8D">
        <w:rPr>
          <w:rFonts w:asciiTheme="minorHAnsi" w:hAnsiTheme="minorHAnsi"/>
        </w:rPr>
        <w:t xml:space="preserve"> VPAs </w:t>
      </w:r>
      <w:r w:rsidR="00854AA9" w:rsidRPr="000B7B8D">
        <w:rPr>
          <w:rFonts w:asciiTheme="minorHAnsi" w:hAnsiTheme="minorHAnsi"/>
        </w:rPr>
        <w:t xml:space="preserve">also include broad transparency requirements </w:t>
      </w:r>
      <w:r w:rsidR="00A32D78" w:rsidRPr="000B7B8D">
        <w:rPr>
          <w:rFonts w:asciiTheme="minorHAnsi" w:hAnsiTheme="minorHAnsi"/>
        </w:rPr>
        <w:t>on</w:t>
      </w:r>
      <w:r w:rsidR="00854AA9" w:rsidRPr="000B7B8D">
        <w:rPr>
          <w:rFonts w:asciiTheme="minorHAnsi" w:hAnsiTheme="minorHAnsi"/>
        </w:rPr>
        <w:t xml:space="preserve"> </w:t>
      </w:r>
      <w:r w:rsidR="00A32D78" w:rsidRPr="000B7B8D">
        <w:rPr>
          <w:rFonts w:asciiTheme="minorHAnsi" w:hAnsiTheme="minorHAnsi"/>
        </w:rPr>
        <w:t xml:space="preserve">public </w:t>
      </w:r>
      <w:r w:rsidR="00854AA9" w:rsidRPr="000B7B8D">
        <w:rPr>
          <w:rFonts w:asciiTheme="minorHAnsi" w:hAnsiTheme="minorHAnsi"/>
        </w:rPr>
        <w:t>access to information on forest administ</w:t>
      </w:r>
      <w:r w:rsidR="002A79D2" w:rsidRPr="000B7B8D">
        <w:rPr>
          <w:rFonts w:asciiTheme="minorHAnsi" w:hAnsiTheme="minorHAnsi"/>
        </w:rPr>
        <w:t>r</w:t>
      </w:r>
      <w:r w:rsidR="00854AA9" w:rsidRPr="000B7B8D">
        <w:rPr>
          <w:rFonts w:asciiTheme="minorHAnsi" w:hAnsiTheme="minorHAnsi"/>
        </w:rPr>
        <w:t>ation and the operation of the TLAS</w:t>
      </w:r>
      <w:r w:rsidR="00A87B3A" w:rsidRPr="000B7B8D">
        <w:rPr>
          <w:rFonts w:asciiTheme="minorHAnsi" w:hAnsiTheme="minorHAnsi"/>
        </w:rPr>
        <w:t xml:space="preserve">.  The VPAs likewise include provisions for independent monitoring of their </w:t>
      </w:r>
      <w:r w:rsidR="007D1E8A" w:rsidRPr="000B7B8D">
        <w:rPr>
          <w:rFonts w:asciiTheme="minorHAnsi" w:hAnsiTheme="minorHAnsi"/>
        </w:rPr>
        <w:t xml:space="preserve">broader social, economic, and environmental </w:t>
      </w:r>
      <w:r w:rsidR="00A87B3A" w:rsidRPr="000B7B8D">
        <w:rPr>
          <w:rFonts w:asciiTheme="minorHAnsi" w:hAnsiTheme="minorHAnsi"/>
        </w:rPr>
        <w:t>impact</w:t>
      </w:r>
      <w:r w:rsidR="00481DF8" w:rsidRPr="000B7B8D">
        <w:rPr>
          <w:rFonts w:asciiTheme="minorHAnsi" w:hAnsiTheme="minorHAnsi"/>
        </w:rPr>
        <w:t>s</w:t>
      </w:r>
      <w:r w:rsidR="00A87B3A" w:rsidRPr="000B7B8D">
        <w:rPr>
          <w:rFonts w:asciiTheme="minorHAnsi" w:hAnsiTheme="minorHAnsi"/>
        </w:rPr>
        <w:t xml:space="preserve"> on the partner country,</w:t>
      </w:r>
      <w:r w:rsidR="007D1E8A" w:rsidRPr="000B7B8D">
        <w:rPr>
          <w:rFonts w:asciiTheme="minorHAnsi" w:hAnsiTheme="minorHAnsi"/>
        </w:rPr>
        <w:t xml:space="preserve"> in order to </w:t>
      </w:r>
      <w:r w:rsidR="00F07600" w:rsidRPr="000B7B8D">
        <w:rPr>
          <w:rFonts w:asciiTheme="minorHAnsi" w:hAnsiTheme="minorHAnsi"/>
        </w:rPr>
        <w:t>identify</w:t>
      </w:r>
      <w:r w:rsidR="007D1E8A" w:rsidRPr="000B7B8D">
        <w:rPr>
          <w:rFonts w:asciiTheme="minorHAnsi" w:hAnsiTheme="minorHAnsi"/>
        </w:rPr>
        <w:t xml:space="preserve"> and </w:t>
      </w:r>
      <w:r w:rsidR="00F07600" w:rsidRPr="000B7B8D">
        <w:rPr>
          <w:rFonts w:asciiTheme="minorHAnsi" w:hAnsiTheme="minorHAnsi"/>
        </w:rPr>
        <w:t>mitigate</w:t>
      </w:r>
      <w:r w:rsidR="007D1E8A" w:rsidRPr="000B7B8D">
        <w:rPr>
          <w:rFonts w:asciiTheme="minorHAnsi" w:hAnsiTheme="minorHAnsi"/>
        </w:rPr>
        <w:t xml:space="preserve"> an</w:t>
      </w:r>
      <w:r w:rsidR="005237D4" w:rsidRPr="000B7B8D">
        <w:rPr>
          <w:rFonts w:asciiTheme="minorHAnsi" w:hAnsiTheme="minorHAnsi"/>
        </w:rPr>
        <w:t>y unanticipated negative effect</w:t>
      </w:r>
      <w:r w:rsidR="007D1E8A" w:rsidRPr="000B7B8D">
        <w:rPr>
          <w:rFonts w:asciiTheme="minorHAnsi" w:hAnsiTheme="minorHAnsi"/>
        </w:rPr>
        <w:t>, as well as of the performance of FLEGT licensed timber in t</w:t>
      </w:r>
      <w:r w:rsidR="00F07600" w:rsidRPr="000B7B8D">
        <w:rPr>
          <w:rFonts w:asciiTheme="minorHAnsi" w:hAnsiTheme="minorHAnsi"/>
        </w:rPr>
        <w:t>he EU and international markets</w:t>
      </w:r>
      <w:r w:rsidR="00B9361F" w:rsidRPr="000B7B8D">
        <w:rPr>
          <w:rFonts w:asciiTheme="minorHAnsi" w:hAnsiTheme="minorHAnsi"/>
        </w:rPr>
        <w:t xml:space="preserve"> (</w:t>
      </w:r>
      <w:hyperlink r:id="rId10" w:history="1">
        <w:r w:rsidR="00B9361F" w:rsidRPr="000B7B8D">
          <w:rPr>
            <w:rStyle w:val="Hyperlink"/>
            <w:rFonts w:asciiTheme="minorHAnsi" w:hAnsiTheme="minorHAnsi"/>
          </w:rPr>
          <w:t>http://www.vpaunpacked.org/en/web/vpa-unpacked-multilang/vpa-elements</w:t>
        </w:r>
      </w:hyperlink>
      <w:r w:rsidR="00B9361F" w:rsidRPr="000B7B8D">
        <w:rPr>
          <w:rFonts w:asciiTheme="minorHAnsi" w:hAnsiTheme="minorHAnsi"/>
        </w:rPr>
        <w:t>)</w:t>
      </w:r>
      <w:r w:rsidR="00F07600" w:rsidRPr="000B7B8D">
        <w:rPr>
          <w:rFonts w:asciiTheme="minorHAnsi" w:hAnsiTheme="minorHAnsi"/>
        </w:rPr>
        <w:t>.</w:t>
      </w:r>
      <w:r w:rsidR="00A52819" w:rsidRPr="000B7B8D">
        <w:rPr>
          <w:rFonts w:asciiTheme="minorHAnsi" w:hAnsiTheme="minorHAnsi"/>
        </w:rPr>
        <w:t xml:space="preserve">  </w:t>
      </w:r>
    </w:p>
    <w:p w14:paraId="62EEE295" w14:textId="225A0260" w:rsidR="00943F3A" w:rsidRPr="000B7B8D" w:rsidRDefault="007D6E0F" w:rsidP="00523396">
      <w:pPr>
        <w:pStyle w:val="BodyText"/>
        <w:jc w:val="both"/>
        <w:rPr>
          <w:rFonts w:asciiTheme="minorHAnsi" w:hAnsiTheme="minorHAnsi"/>
        </w:rPr>
      </w:pPr>
      <w:r w:rsidRPr="000B7B8D">
        <w:rPr>
          <w:rFonts w:asciiTheme="minorHAnsi" w:hAnsiTheme="minorHAnsi"/>
        </w:rPr>
        <w:t xml:space="preserve">Third, the VPAs establish a joint committee of EU and partner country representatives, which is responsible for monitoring and reviewing implementation of the agreement; resolving disputes; and recommending any necessary changes, including further capacity-building measures.  </w:t>
      </w:r>
      <w:r w:rsidR="00A87B3A" w:rsidRPr="000B7B8D">
        <w:rPr>
          <w:rFonts w:asciiTheme="minorHAnsi" w:hAnsiTheme="minorHAnsi"/>
        </w:rPr>
        <w:t xml:space="preserve">These joint committees, </w:t>
      </w:r>
      <w:r w:rsidR="00732931" w:rsidRPr="000B7B8D">
        <w:rPr>
          <w:rFonts w:asciiTheme="minorHAnsi" w:hAnsiTheme="minorHAnsi"/>
        </w:rPr>
        <w:t xml:space="preserve">which typically include representatives of civil society and private business as well as government officials, </w:t>
      </w:r>
      <w:r w:rsidR="00A87B3A" w:rsidRPr="000B7B8D">
        <w:rPr>
          <w:rFonts w:asciiTheme="minorHAnsi" w:hAnsiTheme="minorHAnsi"/>
        </w:rPr>
        <w:t xml:space="preserve">operate by consensus, but may refer unresolved </w:t>
      </w:r>
      <w:r w:rsidR="007058D1" w:rsidRPr="000B7B8D">
        <w:rPr>
          <w:rFonts w:asciiTheme="minorHAnsi" w:hAnsiTheme="minorHAnsi"/>
        </w:rPr>
        <w:lastRenderedPageBreak/>
        <w:t>disputes to arbitration</w:t>
      </w:r>
      <w:r w:rsidR="00F07600" w:rsidRPr="000B7B8D">
        <w:rPr>
          <w:rFonts w:asciiTheme="minorHAnsi" w:hAnsiTheme="minorHAnsi"/>
        </w:rPr>
        <w:t xml:space="preserve">.  In Indonesia and Ghana, </w:t>
      </w:r>
      <w:r w:rsidR="00936F51" w:rsidRPr="000B7B8D">
        <w:rPr>
          <w:rFonts w:asciiTheme="minorHAnsi" w:hAnsiTheme="minorHAnsi"/>
        </w:rPr>
        <w:t xml:space="preserve">the </w:t>
      </w:r>
      <w:r w:rsidR="00245922" w:rsidRPr="000B7B8D">
        <w:rPr>
          <w:rFonts w:asciiTheme="minorHAnsi" w:hAnsiTheme="minorHAnsi"/>
        </w:rPr>
        <w:t>countries furthest</w:t>
      </w:r>
      <w:r w:rsidR="00936F51" w:rsidRPr="000B7B8D">
        <w:rPr>
          <w:rFonts w:asciiTheme="minorHAnsi" w:hAnsiTheme="minorHAnsi"/>
        </w:rPr>
        <w:t xml:space="preserve"> advanced with FLEGT licensing, </w:t>
      </w:r>
      <w:r w:rsidR="00F07600" w:rsidRPr="000B7B8D">
        <w:rPr>
          <w:rFonts w:asciiTheme="minorHAnsi" w:hAnsiTheme="minorHAnsi"/>
        </w:rPr>
        <w:t>these joint implementation committees</w:t>
      </w:r>
      <w:r w:rsidR="00732931" w:rsidRPr="000B7B8D">
        <w:rPr>
          <w:rFonts w:asciiTheme="minorHAnsi" w:hAnsiTheme="minorHAnsi"/>
        </w:rPr>
        <w:t xml:space="preserve"> </w:t>
      </w:r>
      <w:r w:rsidR="00DF223D" w:rsidRPr="000B7B8D">
        <w:rPr>
          <w:rFonts w:asciiTheme="minorHAnsi" w:hAnsiTheme="minorHAnsi"/>
        </w:rPr>
        <w:t xml:space="preserve">(JICs) </w:t>
      </w:r>
      <w:r w:rsidR="00F07600" w:rsidRPr="000B7B8D">
        <w:rPr>
          <w:rFonts w:asciiTheme="minorHAnsi" w:hAnsiTheme="minorHAnsi"/>
        </w:rPr>
        <w:t xml:space="preserve">have served as effective platforms for domestic </w:t>
      </w:r>
      <w:r w:rsidR="00644CA6" w:rsidRPr="000B7B8D">
        <w:rPr>
          <w:rFonts w:asciiTheme="minorHAnsi" w:hAnsiTheme="minorHAnsi"/>
        </w:rPr>
        <w:t xml:space="preserve">NGOs </w:t>
      </w:r>
      <w:r w:rsidR="00732931" w:rsidRPr="000B7B8D">
        <w:rPr>
          <w:rFonts w:asciiTheme="minorHAnsi" w:hAnsiTheme="minorHAnsi"/>
        </w:rPr>
        <w:t xml:space="preserve">and other </w:t>
      </w:r>
      <w:r w:rsidR="00F07600" w:rsidRPr="000B7B8D">
        <w:rPr>
          <w:rFonts w:asciiTheme="minorHAnsi" w:hAnsiTheme="minorHAnsi"/>
        </w:rPr>
        <w:t xml:space="preserve">stakeholders to raise problems about the working of the VPA with support from the EU, and to set in motion collaborative processes for developing </w:t>
      </w:r>
      <w:r w:rsidR="008B3C46" w:rsidRPr="000B7B8D">
        <w:rPr>
          <w:rFonts w:asciiTheme="minorHAnsi" w:hAnsiTheme="minorHAnsi"/>
        </w:rPr>
        <w:t xml:space="preserve">mutually acceptable </w:t>
      </w:r>
      <w:r w:rsidR="00F07600" w:rsidRPr="000B7B8D">
        <w:rPr>
          <w:rFonts w:asciiTheme="minorHAnsi" w:hAnsiTheme="minorHAnsi"/>
        </w:rPr>
        <w:t xml:space="preserve">solutions.  </w:t>
      </w:r>
      <w:r w:rsidR="002F60CD" w:rsidRPr="000B7B8D">
        <w:rPr>
          <w:rFonts w:asciiTheme="minorHAnsi" w:hAnsiTheme="minorHAnsi"/>
        </w:rPr>
        <w:t xml:space="preserve">In both countries, </w:t>
      </w:r>
      <w:r w:rsidR="00040DE4" w:rsidRPr="000B7B8D">
        <w:rPr>
          <w:rFonts w:asciiTheme="minorHAnsi" w:hAnsiTheme="minorHAnsi"/>
        </w:rPr>
        <w:t xml:space="preserve">regular reviews of progress towards implementation of VPA commitments by these </w:t>
      </w:r>
      <w:r w:rsidR="007342BC" w:rsidRPr="000B7B8D">
        <w:rPr>
          <w:rFonts w:asciiTheme="minorHAnsi" w:hAnsiTheme="minorHAnsi"/>
        </w:rPr>
        <w:t>committees</w:t>
      </w:r>
      <w:r w:rsidR="00040DE4" w:rsidRPr="000B7B8D">
        <w:rPr>
          <w:rFonts w:asciiTheme="minorHAnsi" w:hAnsiTheme="minorHAnsi"/>
        </w:rPr>
        <w:t xml:space="preserve"> </w:t>
      </w:r>
      <w:r w:rsidR="00245922" w:rsidRPr="000B7B8D">
        <w:rPr>
          <w:rFonts w:asciiTheme="minorHAnsi" w:hAnsiTheme="minorHAnsi"/>
        </w:rPr>
        <w:t xml:space="preserve">and multi-stakeholder bodies reporting to them </w:t>
      </w:r>
      <w:r w:rsidR="007342BC" w:rsidRPr="000B7B8D">
        <w:rPr>
          <w:rFonts w:asciiTheme="minorHAnsi" w:hAnsiTheme="minorHAnsi"/>
        </w:rPr>
        <w:t>give rise to</w:t>
      </w:r>
      <w:r w:rsidR="00987232" w:rsidRPr="000B7B8D">
        <w:rPr>
          <w:rFonts w:asciiTheme="minorHAnsi" w:hAnsiTheme="minorHAnsi"/>
        </w:rPr>
        <w:t xml:space="preserve"> new joint action plans, </w:t>
      </w:r>
      <w:r w:rsidR="007342BC" w:rsidRPr="000B7B8D">
        <w:rPr>
          <w:rFonts w:asciiTheme="minorHAnsi" w:hAnsiTheme="minorHAnsi"/>
        </w:rPr>
        <w:t>specifying corrective measures to be carried out by each side, subject t</w:t>
      </w:r>
      <w:r w:rsidR="004C7DE8" w:rsidRPr="000B7B8D">
        <w:rPr>
          <w:rFonts w:asciiTheme="minorHAnsi" w:hAnsiTheme="minorHAnsi"/>
        </w:rPr>
        <w:t>o ongoing monitoring and review</w:t>
      </w:r>
      <w:r w:rsidR="007342BC" w:rsidRPr="000B7B8D">
        <w:rPr>
          <w:rFonts w:asciiTheme="minorHAnsi" w:hAnsiTheme="minorHAnsi"/>
        </w:rPr>
        <w:t xml:space="preserve"> </w:t>
      </w:r>
      <w:r w:rsidR="004C7DE8" w:rsidRPr="000B7B8D">
        <w:rPr>
          <w:rFonts w:asciiTheme="minorHAnsi" w:hAnsiTheme="minorHAnsi"/>
        </w:rPr>
        <w:t>(Overdevest &amp; Zeitlin 2018</w:t>
      </w:r>
      <w:r w:rsidR="007C310A" w:rsidRPr="000B7B8D">
        <w:rPr>
          <w:rFonts w:asciiTheme="minorHAnsi" w:hAnsiTheme="minorHAnsi"/>
        </w:rPr>
        <w:t xml:space="preserve">). </w:t>
      </w:r>
    </w:p>
    <w:p w14:paraId="4E08484D" w14:textId="1A54C050" w:rsidR="009115AB" w:rsidRPr="000B7B8D" w:rsidRDefault="0011092F" w:rsidP="00523396">
      <w:pPr>
        <w:pStyle w:val="BodyText"/>
        <w:jc w:val="both"/>
        <w:rPr>
          <w:rFonts w:asciiTheme="minorHAnsi" w:hAnsiTheme="minorHAnsi"/>
        </w:rPr>
      </w:pPr>
      <w:r w:rsidRPr="000B7B8D">
        <w:rPr>
          <w:rFonts w:asciiTheme="minorHAnsi" w:hAnsiTheme="minorHAnsi"/>
        </w:rPr>
        <w:t xml:space="preserve">As its contribution to the VPA process, the EU commits to facilitating access for FLEGT licensed timber to the European market, while providing capacity-building support to domestic public and private actors.  FLEGT has funneled significant aid from the EU, member states, and other international donors to assist government agencies, </w:t>
      </w:r>
      <w:r w:rsidR="00644CA6" w:rsidRPr="000B7B8D">
        <w:rPr>
          <w:rFonts w:asciiTheme="minorHAnsi" w:hAnsiTheme="minorHAnsi"/>
        </w:rPr>
        <w:t>NGOs</w:t>
      </w:r>
      <w:r w:rsidRPr="000B7B8D">
        <w:rPr>
          <w:rFonts w:asciiTheme="minorHAnsi" w:hAnsiTheme="minorHAnsi"/>
        </w:rPr>
        <w:t>, and business associations in partner countries with TLAS development and the implementation of governance reforms mandated by the VPAs.</w:t>
      </w:r>
      <w:r w:rsidR="007641D9" w:rsidRPr="000B7B8D">
        <w:rPr>
          <w:rFonts w:asciiTheme="minorHAnsi" w:hAnsiTheme="minorHAnsi"/>
        </w:rPr>
        <w:t xml:space="preserve"> </w:t>
      </w:r>
      <w:r w:rsidR="00B9361F" w:rsidRPr="000B7B8D">
        <w:rPr>
          <w:rFonts w:asciiTheme="minorHAnsi" w:hAnsiTheme="minorHAnsi"/>
        </w:rPr>
        <w:t xml:space="preserve"> </w:t>
      </w:r>
      <w:r w:rsidR="007641D9" w:rsidRPr="000B7B8D">
        <w:rPr>
          <w:rFonts w:asciiTheme="minorHAnsi" w:hAnsiTheme="minorHAnsi"/>
        </w:rPr>
        <w:t xml:space="preserve">Much of this </w:t>
      </w:r>
      <w:r w:rsidR="001477C4" w:rsidRPr="000B7B8D">
        <w:rPr>
          <w:rFonts w:asciiTheme="minorHAnsi" w:hAnsiTheme="minorHAnsi"/>
        </w:rPr>
        <w:t>support</w:t>
      </w:r>
      <w:r w:rsidR="007641D9" w:rsidRPr="000B7B8D">
        <w:rPr>
          <w:rFonts w:asciiTheme="minorHAnsi" w:hAnsiTheme="minorHAnsi"/>
        </w:rPr>
        <w:t xml:space="preserve"> </w:t>
      </w:r>
      <w:r w:rsidR="00C90C58" w:rsidRPr="000B7B8D">
        <w:rPr>
          <w:rFonts w:asciiTheme="minorHAnsi" w:hAnsiTheme="minorHAnsi"/>
        </w:rPr>
        <w:t>has been</w:t>
      </w:r>
      <w:r w:rsidR="007641D9" w:rsidRPr="000B7B8D">
        <w:rPr>
          <w:rFonts w:asciiTheme="minorHAnsi" w:hAnsiTheme="minorHAnsi"/>
        </w:rPr>
        <w:t xml:space="preserve"> channeled through</w:t>
      </w:r>
      <w:r w:rsidR="004711BA" w:rsidRPr="000B7B8D">
        <w:rPr>
          <w:rFonts w:asciiTheme="minorHAnsi" w:hAnsiTheme="minorHAnsi"/>
        </w:rPr>
        <w:t xml:space="preserve"> autonomous multi-donor institutions </w:t>
      </w:r>
      <w:r w:rsidR="000E7C86" w:rsidRPr="000B7B8D">
        <w:rPr>
          <w:rFonts w:asciiTheme="minorHAnsi" w:hAnsiTheme="minorHAnsi"/>
        </w:rPr>
        <w:t xml:space="preserve">with specialized expertise, </w:t>
      </w:r>
      <w:r w:rsidR="001E3885" w:rsidRPr="000B7B8D">
        <w:rPr>
          <w:rFonts w:asciiTheme="minorHAnsi" w:hAnsiTheme="minorHAnsi"/>
        </w:rPr>
        <w:t>notably</w:t>
      </w:r>
      <w:r w:rsidR="004711BA" w:rsidRPr="000B7B8D">
        <w:rPr>
          <w:rFonts w:asciiTheme="minorHAnsi" w:hAnsiTheme="minorHAnsi"/>
        </w:rPr>
        <w:t xml:space="preserve"> </w:t>
      </w:r>
      <w:r w:rsidR="00B21489" w:rsidRPr="000B7B8D">
        <w:rPr>
          <w:rFonts w:asciiTheme="minorHAnsi" w:hAnsiTheme="minorHAnsi"/>
        </w:rPr>
        <w:t xml:space="preserve">the </w:t>
      </w:r>
      <w:r w:rsidR="0086768A" w:rsidRPr="000B7B8D">
        <w:rPr>
          <w:rFonts w:asciiTheme="minorHAnsi" w:hAnsiTheme="minorHAnsi"/>
        </w:rPr>
        <w:t>FAO</w:t>
      </w:r>
      <w:r w:rsidR="00AD7FFB" w:rsidRPr="000B7B8D">
        <w:rPr>
          <w:rFonts w:asciiTheme="minorHAnsi" w:hAnsiTheme="minorHAnsi"/>
        </w:rPr>
        <w:t>-EU</w:t>
      </w:r>
      <w:r w:rsidR="0086768A" w:rsidRPr="000B7B8D">
        <w:rPr>
          <w:rFonts w:asciiTheme="minorHAnsi" w:hAnsiTheme="minorHAnsi"/>
        </w:rPr>
        <w:t xml:space="preserve"> </w:t>
      </w:r>
      <w:r w:rsidR="00B21489" w:rsidRPr="000B7B8D">
        <w:rPr>
          <w:rFonts w:asciiTheme="minorHAnsi" w:hAnsiTheme="minorHAnsi"/>
        </w:rPr>
        <w:t>FLEGT Programme</w:t>
      </w:r>
      <w:r w:rsidR="009347A3" w:rsidRPr="000B7B8D">
        <w:rPr>
          <w:rFonts w:asciiTheme="minorHAnsi" w:hAnsiTheme="minorHAnsi"/>
        </w:rPr>
        <w:t xml:space="preserve">, which </w:t>
      </w:r>
      <w:r w:rsidR="00F55DB2" w:rsidRPr="000B7B8D">
        <w:rPr>
          <w:rFonts w:asciiTheme="minorHAnsi" w:hAnsiTheme="minorHAnsi"/>
        </w:rPr>
        <w:t xml:space="preserve">distributes </w:t>
      </w:r>
      <w:r w:rsidR="002F0415" w:rsidRPr="000B7B8D">
        <w:rPr>
          <w:rFonts w:asciiTheme="minorHAnsi" w:hAnsiTheme="minorHAnsi"/>
        </w:rPr>
        <w:t xml:space="preserve">flexible smaller </w:t>
      </w:r>
      <w:r w:rsidR="00F55DB2" w:rsidRPr="000B7B8D">
        <w:rPr>
          <w:rFonts w:asciiTheme="minorHAnsi" w:hAnsiTheme="minorHAnsi"/>
        </w:rPr>
        <w:t xml:space="preserve">grants to governments, </w:t>
      </w:r>
      <w:r w:rsidR="00644CA6" w:rsidRPr="000B7B8D">
        <w:rPr>
          <w:rFonts w:asciiTheme="minorHAnsi" w:hAnsiTheme="minorHAnsi"/>
        </w:rPr>
        <w:t>NGOs</w:t>
      </w:r>
      <w:r w:rsidR="00F55DB2" w:rsidRPr="000B7B8D">
        <w:rPr>
          <w:rFonts w:asciiTheme="minorHAnsi" w:hAnsiTheme="minorHAnsi"/>
        </w:rPr>
        <w:t>, and business associations for capacity-building projects</w:t>
      </w:r>
      <w:r w:rsidR="002F0415" w:rsidRPr="000B7B8D">
        <w:rPr>
          <w:rFonts w:asciiTheme="minorHAnsi" w:hAnsiTheme="minorHAnsi"/>
        </w:rPr>
        <w:t xml:space="preserve">; and the </w:t>
      </w:r>
      <w:r w:rsidR="00AD7FFB" w:rsidRPr="000B7B8D">
        <w:rPr>
          <w:rFonts w:asciiTheme="minorHAnsi" w:hAnsiTheme="minorHAnsi"/>
        </w:rPr>
        <w:t xml:space="preserve">European Forest Institute </w:t>
      </w:r>
      <w:r w:rsidR="002F0415" w:rsidRPr="000B7B8D">
        <w:rPr>
          <w:rFonts w:asciiTheme="minorHAnsi" w:hAnsiTheme="minorHAnsi"/>
        </w:rPr>
        <w:t>EU FLEGT Facility</w:t>
      </w:r>
      <w:r w:rsidR="001C4344" w:rsidRPr="000B7B8D">
        <w:rPr>
          <w:rFonts w:asciiTheme="minorHAnsi" w:hAnsiTheme="minorHAnsi"/>
        </w:rPr>
        <w:t xml:space="preserve">, which </w:t>
      </w:r>
      <w:r w:rsidR="00810932" w:rsidRPr="000B7B8D">
        <w:rPr>
          <w:rFonts w:asciiTheme="minorHAnsi" w:hAnsiTheme="minorHAnsi"/>
        </w:rPr>
        <w:t>provides</w:t>
      </w:r>
      <w:r w:rsidR="001477C4" w:rsidRPr="000B7B8D">
        <w:rPr>
          <w:rFonts w:asciiTheme="minorHAnsi" w:hAnsiTheme="minorHAnsi"/>
        </w:rPr>
        <w:t xml:space="preserve"> technical assistance, facilitation, and advice </w:t>
      </w:r>
      <w:r w:rsidR="00B645A1" w:rsidRPr="000B7B8D">
        <w:rPr>
          <w:rFonts w:asciiTheme="minorHAnsi" w:hAnsiTheme="minorHAnsi"/>
        </w:rPr>
        <w:t xml:space="preserve">on the negotiation and implementation of VPAs </w:t>
      </w:r>
      <w:r w:rsidR="001477C4" w:rsidRPr="000B7B8D">
        <w:rPr>
          <w:rFonts w:asciiTheme="minorHAnsi" w:hAnsiTheme="minorHAnsi"/>
        </w:rPr>
        <w:t xml:space="preserve">to partner </w:t>
      </w:r>
      <w:r w:rsidR="000E7C86" w:rsidRPr="000B7B8D">
        <w:rPr>
          <w:rFonts w:asciiTheme="minorHAnsi" w:hAnsiTheme="minorHAnsi"/>
        </w:rPr>
        <w:t>country governments, domestic stakeholders,</w:t>
      </w:r>
      <w:r w:rsidR="001477C4" w:rsidRPr="000B7B8D">
        <w:rPr>
          <w:rFonts w:asciiTheme="minorHAnsi" w:hAnsiTheme="minorHAnsi"/>
        </w:rPr>
        <w:t xml:space="preserve"> and the EU institutions, </w:t>
      </w:r>
      <w:r w:rsidR="000E7C86" w:rsidRPr="000B7B8D">
        <w:rPr>
          <w:rFonts w:asciiTheme="minorHAnsi" w:hAnsiTheme="minorHAnsi"/>
        </w:rPr>
        <w:t>focused on participatory governance and TLAS design (European Commission 2016</w:t>
      </w:r>
      <w:r w:rsidR="000318DE" w:rsidRPr="000B7B8D">
        <w:rPr>
          <w:rFonts w:asciiTheme="minorHAnsi" w:hAnsiTheme="minorHAnsi"/>
        </w:rPr>
        <w:t>a</w:t>
      </w:r>
      <w:r w:rsidR="000E7C86" w:rsidRPr="000B7B8D">
        <w:rPr>
          <w:rFonts w:asciiTheme="minorHAnsi" w:hAnsiTheme="minorHAnsi"/>
        </w:rPr>
        <w:t xml:space="preserve">: 9-10; </w:t>
      </w:r>
      <w:hyperlink r:id="rId11" w:history="1">
        <w:r w:rsidR="00CC37A1" w:rsidRPr="000B7B8D">
          <w:rPr>
            <w:rStyle w:val="Hyperlink"/>
            <w:rFonts w:asciiTheme="minorHAnsi" w:hAnsiTheme="minorHAnsi"/>
          </w:rPr>
          <w:t>http://www.euflegt.efi.int/what-we-do)</w:t>
        </w:r>
      </w:hyperlink>
      <w:r w:rsidR="00C97129" w:rsidRPr="000B7B8D">
        <w:rPr>
          <w:rFonts w:asciiTheme="minorHAnsi" w:hAnsiTheme="minorHAnsi"/>
        </w:rPr>
        <w:t>.</w:t>
      </w:r>
      <w:r w:rsidR="00400E63" w:rsidRPr="000B7B8D">
        <w:rPr>
          <w:rFonts w:asciiTheme="minorHAnsi" w:hAnsiTheme="minorHAnsi"/>
        </w:rPr>
        <w:t xml:space="preserve">  </w:t>
      </w:r>
      <w:r w:rsidR="00845D86" w:rsidRPr="000B7B8D">
        <w:rPr>
          <w:rFonts w:asciiTheme="minorHAnsi" w:hAnsiTheme="minorHAnsi"/>
        </w:rPr>
        <w:t>Transnational</w:t>
      </w:r>
      <w:r w:rsidR="00E44C14" w:rsidRPr="000B7B8D">
        <w:rPr>
          <w:rFonts w:asciiTheme="minorHAnsi" w:hAnsiTheme="minorHAnsi"/>
        </w:rPr>
        <w:t xml:space="preserve"> </w:t>
      </w:r>
      <w:r w:rsidR="00644CA6" w:rsidRPr="000B7B8D">
        <w:rPr>
          <w:rFonts w:asciiTheme="minorHAnsi" w:hAnsiTheme="minorHAnsi"/>
        </w:rPr>
        <w:t xml:space="preserve">NGOs </w:t>
      </w:r>
      <w:r w:rsidR="002D5656" w:rsidRPr="000B7B8D">
        <w:rPr>
          <w:rFonts w:asciiTheme="minorHAnsi" w:hAnsiTheme="minorHAnsi"/>
        </w:rPr>
        <w:t xml:space="preserve">such as Fern </w:t>
      </w:r>
      <w:r w:rsidR="003262A5" w:rsidRPr="000B7B8D">
        <w:rPr>
          <w:rFonts w:asciiTheme="minorHAnsi" w:hAnsiTheme="minorHAnsi"/>
        </w:rPr>
        <w:t xml:space="preserve">have </w:t>
      </w:r>
      <w:r w:rsidR="00EF036E" w:rsidRPr="000B7B8D">
        <w:rPr>
          <w:rFonts w:asciiTheme="minorHAnsi" w:hAnsiTheme="minorHAnsi"/>
        </w:rPr>
        <w:t>likewise play</w:t>
      </w:r>
      <w:r w:rsidR="003262A5" w:rsidRPr="000B7B8D">
        <w:rPr>
          <w:rFonts w:asciiTheme="minorHAnsi" w:hAnsiTheme="minorHAnsi"/>
        </w:rPr>
        <w:t>ed</w:t>
      </w:r>
      <w:r w:rsidR="00EF036E" w:rsidRPr="000B7B8D">
        <w:rPr>
          <w:rFonts w:asciiTheme="minorHAnsi" w:hAnsiTheme="minorHAnsi"/>
        </w:rPr>
        <w:t xml:space="preserve"> a </w:t>
      </w:r>
      <w:r w:rsidR="003262A5" w:rsidRPr="000B7B8D">
        <w:rPr>
          <w:rFonts w:asciiTheme="minorHAnsi" w:hAnsiTheme="minorHAnsi"/>
        </w:rPr>
        <w:t>major</w:t>
      </w:r>
      <w:r w:rsidR="00EF036E" w:rsidRPr="000B7B8D">
        <w:rPr>
          <w:rFonts w:asciiTheme="minorHAnsi" w:hAnsiTheme="minorHAnsi"/>
        </w:rPr>
        <w:t xml:space="preserve"> role in supporting the </w:t>
      </w:r>
      <w:r w:rsidR="00691FF9" w:rsidRPr="000B7B8D">
        <w:rPr>
          <w:rFonts w:asciiTheme="minorHAnsi" w:hAnsiTheme="minorHAnsi"/>
        </w:rPr>
        <w:t>involvement</w:t>
      </w:r>
      <w:r w:rsidR="00EF036E" w:rsidRPr="000B7B8D">
        <w:rPr>
          <w:rFonts w:asciiTheme="minorHAnsi" w:hAnsiTheme="minorHAnsi"/>
        </w:rPr>
        <w:t xml:space="preserve"> of </w:t>
      </w:r>
      <w:r w:rsidR="00691FF9" w:rsidRPr="000B7B8D">
        <w:rPr>
          <w:rFonts w:asciiTheme="minorHAnsi" w:hAnsiTheme="minorHAnsi"/>
        </w:rPr>
        <w:t xml:space="preserve">domestic </w:t>
      </w:r>
      <w:r w:rsidR="00EF036E" w:rsidRPr="000B7B8D">
        <w:rPr>
          <w:rFonts w:asciiTheme="minorHAnsi" w:hAnsiTheme="minorHAnsi"/>
        </w:rPr>
        <w:t xml:space="preserve">civil society platforms in VPA </w:t>
      </w:r>
      <w:r w:rsidR="00691FF9" w:rsidRPr="000B7B8D">
        <w:rPr>
          <w:rFonts w:asciiTheme="minorHAnsi" w:hAnsiTheme="minorHAnsi"/>
        </w:rPr>
        <w:t>negotiations</w:t>
      </w:r>
      <w:r w:rsidR="00286163" w:rsidRPr="000B7B8D">
        <w:rPr>
          <w:rFonts w:asciiTheme="minorHAnsi" w:hAnsiTheme="minorHAnsi"/>
        </w:rPr>
        <w:t xml:space="preserve"> </w:t>
      </w:r>
      <w:r w:rsidR="00691FF9" w:rsidRPr="000B7B8D">
        <w:rPr>
          <w:rFonts w:asciiTheme="minorHAnsi" w:hAnsiTheme="minorHAnsi"/>
        </w:rPr>
        <w:t xml:space="preserve">and monitoring </w:t>
      </w:r>
      <w:r w:rsidR="00E57251" w:rsidRPr="000B7B8D">
        <w:rPr>
          <w:rFonts w:asciiTheme="minorHAnsi" w:hAnsiTheme="minorHAnsi"/>
        </w:rPr>
        <w:t>stakeholder partic</w:t>
      </w:r>
      <w:r w:rsidR="003262A5" w:rsidRPr="000B7B8D">
        <w:rPr>
          <w:rFonts w:asciiTheme="minorHAnsi" w:hAnsiTheme="minorHAnsi"/>
        </w:rPr>
        <w:t xml:space="preserve">ipation in their implementation, as well as in helping to shape EU policies themselves (Overdevest &amp; Zeitlin 2015: </w:t>
      </w:r>
      <w:r w:rsidR="001E6239" w:rsidRPr="000B7B8D">
        <w:rPr>
          <w:rFonts w:asciiTheme="minorHAnsi" w:hAnsiTheme="minorHAnsi"/>
        </w:rPr>
        <w:t>158-60; Fern 2018</w:t>
      </w:r>
      <w:r w:rsidR="0061173B" w:rsidRPr="000B7B8D">
        <w:rPr>
          <w:rFonts w:asciiTheme="minorHAnsi" w:hAnsiTheme="minorHAnsi"/>
        </w:rPr>
        <w:t>a</w:t>
      </w:r>
      <w:r w:rsidR="001E6239" w:rsidRPr="000B7B8D">
        <w:rPr>
          <w:rFonts w:asciiTheme="minorHAnsi" w:hAnsiTheme="minorHAnsi"/>
        </w:rPr>
        <w:t>).</w:t>
      </w:r>
      <w:r w:rsidR="0054285A" w:rsidRPr="000B7B8D">
        <w:rPr>
          <w:rFonts w:asciiTheme="minorHAnsi" w:hAnsiTheme="minorHAnsi"/>
        </w:rPr>
        <w:t xml:space="preserve">  </w:t>
      </w:r>
      <w:r w:rsidR="0086768A" w:rsidRPr="000B7B8D">
        <w:rPr>
          <w:rFonts w:asciiTheme="minorHAnsi" w:hAnsiTheme="minorHAnsi"/>
        </w:rPr>
        <w:t>Since 2015, an Independent Market Monitoring (IMM) project, hosted by the International Tropical Timber Organization (ITTO), has been tasked with analyzing the impact of the FLEGT initiative on timber production in VPA countries and trade flows to the EU and other regions (</w:t>
      </w:r>
      <w:hyperlink r:id="rId12" w:history="1">
        <w:r w:rsidR="0086768A" w:rsidRPr="000B7B8D">
          <w:rPr>
            <w:rStyle w:val="Hyperlink"/>
            <w:rFonts w:asciiTheme="minorHAnsi" w:hAnsiTheme="minorHAnsi"/>
          </w:rPr>
          <w:t>http://www.itto.int/imm/</w:t>
        </w:r>
      </w:hyperlink>
      <w:r w:rsidR="0086768A" w:rsidRPr="000B7B8D">
        <w:rPr>
          <w:rFonts w:asciiTheme="minorHAnsi" w:hAnsiTheme="minorHAnsi"/>
        </w:rPr>
        <w:t xml:space="preserve">; </w:t>
      </w:r>
      <w:hyperlink r:id="rId13" w:history="1">
        <w:r w:rsidR="0086768A" w:rsidRPr="000B7B8D">
          <w:rPr>
            <w:rStyle w:val="Hyperlink"/>
            <w:rFonts w:asciiTheme="minorHAnsi" w:hAnsiTheme="minorHAnsi"/>
          </w:rPr>
          <w:t>http://www.flegtimm.eu/</w:t>
        </w:r>
      </w:hyperlink>
      <w:r w:rsidR="0086768A" w:rsidRPr="000B7B8D">
        <w:rPr>
          <w:rFonts w:asciiTheme="minorHAnsi" w:hAnsiTheme="minorHAnsi"/>
        </w:rPr>
        <w:t>).</w:t>
      </w:r>
    </w:p>
    <w:p w14:paraId="13BBE002" w14:textId="6849D1FF" w:rsidR="00DD1B97" w:rsidRPr="000B7B8D" w:rsidRDefault="00DD1B97" w:rsidP="00523396">
      <w:pPr>
        <w:pStyle w:val="BodyText"/>
        <w:jc w:val="both"/>
        <w:rPr>
          <w:rFonts w:asciiTheme="minorHAnsi" w:hAnsiTheme="minorHAnsi"/>
        </w:rPr>
      </w:pPr>
      <w:r w:rsidRPr="000B7B8D">
        <w:rPr>
          <w:rFonts w:asciiTheme="minorHAnsi" w:hAnsiTheme="minorHAnsi"/>
        </w:rPr>
        <w:lastRenderedPageBreak/>
        <w:t xml:space="preserve">Although </w:t>
      </w:r>
      <w:r w:rsidR="009B77C0" w:rsidRPr="000B7B8D">
        <w:rPr>
          <w:rFonts w:asciiTheme="minorHAnsi" w:hAnsiTheme="minorHAnsi"/>
        </w:rPr>
        <w:t>there are no formal mechanisms for cross-national peer review</w:t>
      </w:r>
      <w:r w:rsidR="00DD39B2" w:rsidRPr="000B7B8D">
        <w:rPr>
          <w:rFonts w:asciiTheme="minorHAnsi" w:hAnsiTheme="minorHAnsi"/>
        </w:rPr>
        <w:t xml:space="preserve"> within the FLEGT initiative</w:t>
      </w:r>
      <w:r w:rsidR="009B77C0" w:rsidRPr="000B7B8D">
        <w:rPr>
          <w:rFonts w:asciiTheme="minorHAnsi" w:hAnsiTheme="minorHAnsi"/>
        </w:rPr>
        <w:t xml:space="preserve">, regular meetings of a range of transnational stakeholder forums have served as institutionalized platforms for information pooling, critical debate, and recursive learning from comparative experience with VPA </w:t>
      </w:r>
      <w:r w:rsidR="00DD39B2" w:rsidRPr="000B7B8D">
        <w:rPr>
          <w:rFonts w:asciiTheme="minorHAnsi" w:hAnsiTheme="minorHAnsi"/>
        </w:rPr>
        <w:t>negotiation and implementation in different local contexts</w:t>
      </w:r>
      <w:r w:rsidR="000371CF" w:rsidRPr="000B7B8D">
        <w:rPr>
          <w:rFonts w:asciiTheme="minorHAnsi" w:hAnsiTheme="minorHAnsi"/>
        </w:rPr>
        <w:t xml:space="preserve"> (Overdevest &amp; Zeitlin 2018: 68)</w:t>
      </w:r>
      <w:r w:rsidR="00DD39B2" w:rsidRPr="000B7B8D">
        <w:rPr>
          <w:rFonts w:asciiTheme="minorHAnsi" w:hAnsiTheme="minorHAnsi"/>
        </w:rPr>
        <w:t xml:space="preserve">. </w:t>
      </w:r>
      <w:r w:rsidR="007058D1" w:rsidRPr="000B7B8D">
        <w:rPr>
          <w:rFonts w:asciiTheme="minorHAnsi" w:hAnsiTheme="minorHAnsi"/>
        </w:rPr>
        <w:t xml:space="preserve"> </w:t>
      </w:r>
      <w:r w:rsidR="00E559AA" w:rsidRPr="000B7B8D">
        <w:rPr>
          <w:rFonts w:asciiTheme="minorHAnsi" w:hAnsiTheme="minorHAnsi"/>
        </w:rPr>
        <w:t xml:space="preserve">An informal but increasingly structured transnational experience-sharing and support network has also developed among </w:t>
      </w:r>
      <w:r w:rsidR="00644CA6" w:rsidRPr="000B7B8D">
        <w:rPr>
          <w:rFonts w:asciiTheme="minorHAnsi" w:hAnsiTheme="minorHAnsi"/>
        </w:rPr>
        <w:t xml:space="preserve">NGOs </w:t>
      </w:r>
      <w:r w:rsidR="00656DD6" w:rsidRPr="000B7B8D">
        <w:rPr>
          <w:rFonts w:asciiTheme="minorHAnsi" w:hAnsiTheme="minorHAnsi"/>
        </w:rPr>
        <w:t xml:space="preserve">from </w:t>
      </w:r>
      <w:r w:rsidR="00E559AA" w:rsidRPr="000B7B8D">
        <w:rPr>
          <w:rFonts w:asciiTheme="minorHAnsi" w:hAnsiTheme="minorHAnsi"/>
        </w:rPr>
        <w:t xml:space="preserve">VPA </w:t>
      </w:r>
      <w:r w:rsidR="00656DD6" w:rsidRPr="000B7B8D">
        <w:rPr>
          <w:rFonts w:asciiTheme="minorHAnsi" w:hAnsiTheme="minorHAnsi"/>
        </w:rPr>
        <w:t xml:space="preserve">countries such as Indonesia, Ghana, </w:t>
      </w:r>
      <w:r w:rsidR="00E559AA" w:rsidRPr="000B7B8D">
        <w:rPr>
          <w:rFonts w:asciiTheme="minorHAnsi" w:hAnsiTheme="minorHAnsi"/>
        </w:rPr>
        <w:t xml:space="preserve">Laos, Myanmar, and Thailand, addressing issues </w:t>
      </w:r>
      <w:r w:rsidR="00020AFC" w:rsidRPr="000B7B8D">
        <w:rPr>
          <w:rFonts w:asciiTheme="minorHAnsi" w:hAnsiTheme="minorHAnsi"/>
        </w:rPr>
        <w:t>like</w:t>
      </w:r>
      <w:r w:rsidR="00E559AA" w:rsidRPr="000B7B8D">
        <w:rPr>
          <w:rFonts w:asciiTheme="minorHAnsi" w:hAnsiTheme="minorHAnsi"/>
        </w:rPr>
        <w:t xml:space="preserve"> stakeholder participation, independent monitoring, transparency, and smallholder inclusion (Jeffree 2017).</w:t>
      </w:r>
    </w:p>
    <w:p w14:paraId="5E1E8891" w14:textId="5B083A83" w:rsidR="00CC37A1" w:rsidRPr="000B7B8D" w:rsidRDefault="00834FDC" w:rsidP="00816E1F">
      <w:pPr>
        <w:pStyle w:val="BodyText"/>
        <w:jc w:val="both"/>
        <w:rPr>
          <w:rFonts w:asciiTheme="minorHAnsi" w:hAnsiTheme="minorHAnsi"/>
        </w:rPr>
      </w:pPr>
      <w:r w:rsidRPr="000B7B8D">
        <w:rPr>
          <w:rFonts w:asciiTheme="minorHAnsi" w:hAnsiTheme="minorHAnsi"/>
        </w:rPr>
        <w:t xml:space="preserve">FLEGT VPAs are extremely challenging for partner country governments, both politically and administratively, in terms of their demands for multi-stakeholder participation and far-reaching reforms of forest governance.  They have also </w:t>
      </w:r>
      <w:r w:rsidR="005347A3" w:rsidRPr="000B7B8D">
        <w:rPr>
          <w:rFonts w:asciiTheme="minorHAnsi" w:hAnsiTheme="minorHAnsi"/>
        </w:rPr>
        <w:t xml:space="preserve">proved technically complex and arduous to implement.  Some of the key implementation challenges concern the practical difficulties of designing effective timber-tracking and legality assurance systems under developing country conditions.  </w:t>
      </w:r>
      <w:r w:rsidR="000777C7" w:rsidRPr="000B7B8D">
        <w:rPr>
          <w:rFonts w:asciiTheme="minorHAnsi" w:hAnsiTheme="minorHAnsi"/>
        </w:rPr>
        <w:t xml:space="preserve">But others stem from widespread but often hard to detect forms of corruption, as well as from pervasive weaknesses in domestic administrative coordination and governance capacity.  In every partner country, assuring timber legality has turned out to be tightly bound up with thorny, deep-rooted political issues concerning the exploitation of natural resources, property rights, </w:t>
      </w:r>
      <w:r w:rsidR="00DC785E" w:rsidRPr="000B7B8D">
        <w:rPr>
          <w:rFonts w:asciiTheme="minorHAnsi" w:hAnsiTheme="minorHAnsi"/>
        </w:rPr>
        <w:t xml:space="preserve">and </w:t>
      </w:r>
      <w:r w:rsidR="000777C7" w:rsidRPr="000B7B8D">
        <w:rPr>
          <w:rFonts w:asciiTheme="minorHAnsi" w:hAnsiTheme="minorHAnsi"/>
        </w:rPr>
        <w:t xml:space="preserve">land use, </w:t>
      </w:r>
      <w:r w:rsidR="00CC724B" w:rsidRPr="000B7B8D">
        <w:rPr>
          <w:rFonts w:asciiTheme="minorHAnsi" w:hAnsiTheme="minorHAnsi"/>
        </w:rPr>
        <w:t>which the VPA implementation process has progressively exposed to public scrutiny and pressure for remediation.</w:t>
      </w:r>
      <w:r w:rsidR="00816E1F" w:rsidRPr="000B7B8D">
        <w:rPr>
          <w:rFonts w:asciiTheme="minorHAnsi" w:hAnsiTheme="minorHAnsi"/>
        </w:rPr>
        <w:t xml:space="preserve">  </w:t>
      </w:r>
      <w:r w:rsidR="00CC724B" w:rsidRPr="000B7B8D">
        <w:rPr>
          <w:rFonts w:asciiTheme="minorHAnsi" w:hAnsiTheme="minorHAnsi"/>
        </w:rPr>
        <w:t xml:space="preserve">As a result of these challenges, fulfillment of VPA commitments and issuance of FLEGT export licenses have taken much longer than originally expected in all partner countries.  In Indonesia, the first to complete the process, export of FLEGT-licensed timber began in 2016, </w:t>
      </w:r>
      <w:r w:rsidR="00A64FC2" w:rsidRPr="000B7B8D">
        <w:rPr>
          <w:rFonts w:asciiTheme="minorHAnsi" w:hAnsiTheme="minorHAnsi"/>
        </w:rPr>
        <w:t xml:space="preserve">nine years after the </w:t>
      </w:r>
      <w:r w:rsidR="001F7C3C" w:rsidRPr="000B7B8D">
        <w:rPr>
          <w:rFonts w:asciiTheme="minorHAnsi" w:hAnsiTheme="minorHAnsi"/>
        </w:rPr>
        <w:t>onset</w:t>
      </w:r>
      <w:r w:rsidR="00A64FC2" w:rsidRPr="000B7B8D">
        <w:rPr>
          <w:rFonts w:asciiTheme="minorHAnsi" w:hAnsiTheme="minorHAnsi"/>
        </w:rPr>
        <w:t xml:space="preserve"> of negotiations with the EU and five years after the ratification of the VPA. </w:t>
      </w:r>
      <w:r w:rsidR="00981EE1" w:rsidRPr="000B7B8D">
        <w:rPr>
          <w:rFonts w:asciiTheme="minorHAnsi" w:hAnsiTheme="minorHAnsi"/>
        </w:rPr>
        <w:t xml:space="preserve">In Ghana, </w:t>
      </w:r>
      <w:r w:rsidR="00835E86" w:rsidRPr="000B7B8D">
        <w:rPr>
          <w:rFonts w:asciiTheme="minorHAnsi" w:hAnsiTheme="minorHAnsi"/>
        </w:rPr>
        <w:t xml:space="preserve">where the issuance of FLEGT licenses is expected </w:t>
      </w:r>
      <w:r w:rsidR="00835E86" w:rsidRPr="000B7B8D">
        <w:rPr>
          <w:rFonts w:asciiTheme="minorHAnsi" w:hAnsiTheme="minorHAnsi"/>
        </w:rPr>
        <w:lastRenderedPageBreak/>
        <w:t xml:space="preserve">to start in </w:t>
      </w:r>
      <w:r w:rsidR="00D5490F" w:rsidRPr="000B7B8D">
        <w:rPr>
          <w:rFonts w:asciiTheme="minorHAnsi" w:hAnsiTheme="minorHAnsi"/>
        </w:rPr>
        <w:t>2020</w:t>
      </w:r>
      <w:r w:rsidR="00835E86" w:rsidRPr="000B7B8D">
        <w:rPr>
          <w:rFonts w:asciiTheme="minorHAnsi" w:hAnsiTheme="minorHAnsi"/>
        </w:rPr>
        <w:t xml:space="preserve">, the VPA implementation process has taken even longer (Overdevest &amp; Zeitlin 2018; Ghana-EU </w:t>
      </w:r>
      <w:r w:rsidR="001D440D" w:rsidRPr="000B7B8D">
        <w:rPr>
          <w:rFonts w:asciiTheme="minorHAnsi" w:hAnsiTheme="minorHAnsi"/>
        </w:rPr>
        <w:t>2018).</w:t>
      </w:r>
      <w:r w:rsidR="00B9234A" w:rsidRPr="000B7B8D">
        <w:rPr>
          <w:rStyle w:val="FootnoteReference"/>
          <w:rFonts w:asciiTheme="minorHAnsi" w:hAnsiTheme="minorHAnsi"/>
        </w:rPr>
        <w:footnoteReference w:id="7"/>
      </w:r>
    </w:p>
    <w:p w14:paraId="6EF5EA12" w14:textId="777D6AF4" w:rsidR="001A10DB" w:rsidRPr="000B7B8D" w:rsidRDefault="00607411" w:rsidP="00523396">
      <w:pPr>
        <w:pStyle w:val="BodyText"/>
        <w:jc w:val="both"/>
        <w:rPr>
          <w:rFonts w:asciiTheme="minorHAnsi" w:hAnsiTheme="minorHAnsi"/>
        </w:rPr>
      </w:pPr>
      <w:r w:rsidRPr="000B7B8D">
        <w:rPr>
          <w:rFonts w:asciiTheme="minorHAnsi" w:hAnsiTheme="minorHAnsi"/>
        </w:rPr>
        <w:t xml:space="preserve">Following critical </w:t>
      </w:r>
      <w:r w:rsidR="00260BC0" w:rsidRPr="000B7B8D">
        <w:rPr>
          <w:rFonts w:asciiTheme="minorHAnsi" w:hAnsiTheme="minorHAnsi"/>
        </w:rPr>
        <w:t>assessments</w:t>
      </w:r>
      <w:r w:rsidRPr="000B7B8D">
        <w:rPr>
          <w:rFonts w:asciiTheme="minorHAnsi" w:hAnsiTheme="minorHAnsi"/>
        </w:rPr>
        <w:t xml:space="preserve"> </w:t>
      </w:r>
      <w:r w:rsidR="003F7407" w:rsidRPr="000B7B8D">
        <w:rPr>
          <w:rFonts w:asciiTheme="minorHAnsi" w:hAnsiTheme="minorHAnsi"/>
        </w:rPr>
        <w:t xml:space="preserve">of the FLEGT Action Plan </w:t>
      </w:r>
      <w:r w:rsidR="00260BC0" w:rsidRPr="000B7B8D">
        <w:rPr>
          <w:rFonts w:asciiTheme="minorHAnsi" w:hAnsiTheme="minorHAnsi"/>
        </w:rPr>
        <w:t>by the European Court of Auditors (2015) and an independent evaluation team (</w:t>
      </w:r>
      <w:r w:rsidR="00260BC0" w:rsidRPr="000B7B8D">
        <w:rPr>
          <w:rFonts w:asciiTheme="minorHAnsi" w:hAnsiTheme="minorHAnsi"/>
          <w:lang w:val="en-GB"/>
        </w:rPr>
        <w:t xml:space="preserve">TEREA/S-FOR-S/TOPPERSPECTIVE 2016), </w:t>
      </w:r>
      <w:r w:rsidR="00D449DF" w:rsidRPr="000B7B8D">
        <w:rPr>
          <w:rFonts w:asciiTheme="minorHAnsi" w:hAnsiTheme="minorHAnsi"/>
        </w:rPr>
        <w:t xml:space="preserve">the EU has </w:t>
      </w:r>
      <w:r w:rsidR="00260BC0" w:rsidRPr="000B7B8D">
        <w:rPr>
          <w:rFonts w:asciiTheme="minorHAnsi" w:hAnsiTheme="minorHAnsi"/>
        </w:rPr>
        <w:t xml:space="preserve">recently </w:t>
      </w:r>
      <w:r w:rsidR="00CD42A6" w:rsidRPr="000B7B8D">
        <w:rPr>
          <w:rFonts w:asciiTheme="minorHAnsi" w:hAnsiTheme="minorHAnsi"/>
        </w:rPr>
        <w:t>introduced a series</w:t>
      </w:r>
      <w:r w:rsidR="007A2796" w:rsidRPr="000B7B8D">
        <w:rPr>
          <w:rFonts w:asciiTheme="minorHAnsi" w:hAnsiTheme="minorHAnsi"/>
        </w:rPr>
        <w:t xml:space="preserve"> </w:t>
      </w:r>
      <w:r w:rsidR="00CD42A6" w:rsidRPr="000B7B8D">
        <w:rPr>
          <w:rFonts w:asciiTheme="minorHAnsi" w:hAnsiTheme="minorHAnsi"/>
        </w:rPr>
        <w:t xml:space="preserve">of </w:t>
      </w:r>
      <w:r w:rsidR="00981DC4" w:rsidRPr="000B7B8D">
        <w:rPr>
          <w:rFonts w:asciiTheme="minorHAnsi" w:hAnsiTheme="minorHAnsi"/>
        </w:rPr>
        <w:t xml:space="preserve">revised </w:t>
      </w:r>
      <w:r w:rsidR="00CD42A6" w:rsidRPr="000B7B8D">
        <w:rPr>
          <w:rFonts w:asciiTheme="minorHAnsi" w:hAnsiTheme="minorHAnsi"/>
        </w:rPr>
        <w:t xml:space="preserve">measures </w:t>
      </w:r>
      <w:r w:rsidR="00D449DF" w:rsidRPr="000B7B8D">
        <w:rPr>
          <w:rFonts w:asciiTheme="minorHAnsi" w:hAnsiTheme="minorHAnsi"/>
        </w:rPr>
        <w:t xml:space="preserve">to </w:t>
      </w:r>
      <w:r w:rsidR="006111C6" w:rsidRPr="000B7B8D">
        <w:rPr>
          <w:rFonts w:asciiTheme="minorHAnsi" w:hAnsiTheme="minorHAnsi"/>
        </w:rPr>
        <w:t>strengthen</w:t>
      </w:r>
      <w:r w:rsidR="00D449DF" w:rsidRPr="000B7B8D">
        <w:rPr>
          <w:rFonts w:asciiTheme="minorHAnsi" w:hAnsiTheme="minorHAnsi"/>
        </w:rPr>
        <w:t xml:space="preserve"> its central capacities for monitoring, review, and coordination </w:t>
      </w:r>
      <w:r w:rsidR="003275BC" w:rsidRPr="000B7B8D">
        <w:rPr>
          <w:rFonts w:asciiTheme="minorHAnsi" w:hAnsiTheme="minorHAnsi"/>
        </w:rPr>
        <w:t xml:space="preserve">of </w:t>
      </w:r>
      <w:r w:rsidR="006111C6" w:rsidRPr="000B7B8D">
        <w:rPr>
          <w:rFonts w:asciiTheme="minorHAnsi" w:hAnsiTheme="minorHAnsi"/>
        </w:rPr>
        <w:t xml:space="preserve">both </w:t>
      </w:r>
      <w:r w:rsidR="003F7407" w:rsidRPr="000B7B8D">
        <w:rPr>
          <w:rFonts w:asciiTheme="minorHAnsi" w:hAnsiTheme="minorHAnsi"/>
        </w:rPr>
        <w:t xml:space="preserve">the </w:t>
      </w:r>
      <w:r w:rsidR="003275BC" w:rsidRPr="000B7B8D">
        <w:rPr>
          <w:rFonts w:asciiTheme="minorHAnsi" w:hAnsiTheme="minorHAnsi"/>
        </w:rPr>
        <w:t xml:space="preserve">individual </w:t>
      </w:r>
      <w:r w:rsidR="003F7407" w:rsidRPr="000B7B8D">
        <w:rPr>
          <w:rFonts w:asciiTheme="minorHAnsi" w:hAnsiTheme="minorHAnsi"/>
        </w:rPr>
        <w:t>VPAs</w:t>
      </w:r>
      <w:r w:rsidR="009E05E6" w:rsidRPr="000B7B8D">
        <w:rPr>
          <w:rFonts w:asciiTheme="minorHAnsi" w:hAnsiTheme="minorHAnsi"/>
        </w:rPr>
        <w:t xml:space="preserve"> and the initiative as a whole</w:t>
      </w:r>
      <w:r w:rsidR="003F7407" w:rsidRPr="000B7B8D">
        <w:rPr>
          <w:rFonts w:asciiTheme="minorHAnsi" w:hAnsiTheme="minorHAnsi"/>
        </w:rPr>
        <w:t xml:space="preserve">.  </w:t>
      </w:r>
      <w:r w:rsidR="009E05E6" w:rsidRPr="000B7B8D">
        <w:rPr>
          <w:rFonts w:asciiTheme="minorHAnsi" w:hAnsiTheme="minorHAnsi"/>
        </w:rPr>
        <w:t xml:space="preserve">These </w:t>
      </w:r>
      <w:r w:rsidR="00FD030C" w:rsidRPr="000B7B8D">
        <w:rPr>
          <w:rFonts w:asciiTheme="minorHAnsi" w:hAnsiTheme="minorHAnsi"/>
        </w:rPr>
        <w:t>measures</w:t>
      </w:r>
      <w:r w:rsidR="00CD42A6" w:rsidRPr="000B7B8D">
        <w:rPr>
          <w:rFonts w:asciiTheme="minorHAnsi" w:hAnsiTheme="minorHAnsi"/>
        </w:rPr>
        <w:t xml:space="preserve"> </w:t>
      </w:r>
      <w:r w:rsidR="00754BCD" w:rsidRPr="000B7B8D">
        <w:rPr>
          <w:rFonts w:asciiTheme="minorHAnsi" w:hAnsiTheme="minorHAnsi"/>
        </w:rPr>
        <w:t xml:space="preserve">build on the </w:t>
      </w:r>
      <w:r w:rsidR="002A5A84" w:rsidRPr="000B7B8D">
        <w:rPr>
          <w:rFonts w:asciiTheme="minorHAnsi" w:hAnsiTheme="minorHAnsi"/>
        </w:rPr>
        <w:t>prior</w:t>
      </w:r>
      <w:r w:rsidR="00E97ADE" w:rsidRPr="000B7B8D">
        <w:rPr>
          <w:rFonts w:asciiTheme="minorHAnsi" w:hAnsiTheme="minorHAnsi"/>
        </w:rPr>
        <w:t xml:space="preserve"> </w:t>
      </w:r>
      <w:r w:rsidR="0086120C" w:rsidRPr="000B7B8D">
        <w:rPr>
          <w:rFonts w:asciiTheme="minorHAnsi" w:hAnsiTheme="minorHAnsi"/>
        </w:rPr>
        <w:t xml:space="preserve">VPA </w:t>
      </w:r>
      <w:r w:rsidR="003D536C" w:rsidRPr="000B7B8D">
        <w:rPr>
          <w:rFonts w:asciiTheme="minorHAnsi" w:hAnsiTheme="minorHAnsi"/>
        </w:rPr>
        <w:t xml:space="preserve">monitoring </w:t>
      </w:r>
      <w:r w:rsidR="00E20432" w:rsidRPr="000B7B8D">
        <w:rPr>
          <w:rFonts w:asciiTheme="minorHAnsi" w:hAnsiTheme="minorHAnsi"/>
        </w:rPr>
        <w:t xml:space="preserve">activities </w:t>
      </w:r>
      <w:r w:rsidR="00E97ADE" w:rsidRPr="000B7B8D">
        <w:rPr>
          <w:rFonts w:asciiTheme="minorHAnsi" w:hAnsiTheme="minorHAnsi"/>
        </w:rPr>
        <w:t xml:space="preserve">of </w:t>
      </w:r>
      <w:r w:rsidR="003D536C" w:rsidRPr="000B7B8D">
        <w:rPr>
          <w:rFonts w:asciiTheme="minorHAnsi" w:hAnsiTheme="minorHAnsi"/>
        </w:rPr>
        <w:t xml:space="preserve">the European Commission, the EU FLEGT Facility, and the </w:t>
      </w:r>
      <w:r w:rsidR="003E422E" w:rsidRPr="000B7B8D">
        <w:rPr>
          <w:rFonts w:asciiTheme="minorHAnsi" w:hAnsiTheme="minorHAnsi"/>
        </w:rPr>
        <w:t xml:space="preserve">EU-FAO </w:t>
      </w:r>
      <w:r w:rsidR="003D536C" w:rsidRPr="000B7B8D">
        <w:rPr>
          <w:rFonts w:asciiTheme="minorHAnsi" w:hAnsiTheme="minorHAnsi"/>
        </w:rPr>
        <w:t xml:space="preserve">FLEGT </w:t>
      </w:r>
      <w:r w:rsidR="00E0533E" w:rsidRPr="000B7B8D">
        <w:rPr>
          <w:rFonts w:asciiTheme="minorHAnsi" w:hAnsiTheme="minorHAnsi"/>
        </w:rPr>
        <w:t>Programme</w:t>
      </w:r>
      <w:r w:rsidR="00EC219B" w:rsidRPr="000B7B8D">
        <w:rPr>
          <w:rFonts w:asciiTheme="minorHAnsi" w:hAnsiTheme="minorHAnsi"/>
        </w:rPr>
        <w:t xml:space="preserve"> (</w:t>
      </w:r>
      <w:r w:rsidR="00EC219B" w:rsidRPr="000B7B8D">
        <w:rPr>
          <w:rFonts w:asciiTheme="minorHAnsi" w:hAnsiTheme="minorHAnsi"/>
          <w:lang w:val="en-GB"/>
        </w:rPr>
        <w:t>TEREA/S-FOR-S/TOPPERSPECTIVE 2016: vol. I, pp. 107-8)</w:t>
      </w:r>
      <w:r w:rsidR="00E0533E" w:rsidRPr="000B7B8D">
        <w:rPr>
          <w:rFonts w:asciiTheme="minorHAnsi" w:hAnsiTheme="minorHAnsi"/>
        </w:rPr>
        <w:t xml:space="preserve">, </w:t>
      </w:r>
      <w:r w:rsidR="00EC219B" w:rsidRPr="000B7B8D">
        <w:rPr>
          <w:rFonts w:asciiTheme="minorHAnsi" w:hAnsiTheme="minorHAnsi"/>
        </w:rPr>
        <w:t xml:space="preserve">as well as on the </w:t>
      </w:r>
      <w:r w:rsidR="00B86B02" w:rsidRPr="000B7B8D">
        <w:rPr>
          <w:rFonts w:asciiTheme="minorHAnsi" w:hAnsiTheme="minorHAnsi"/>
        </w:rPr>
        <w:t xml:space="preserve">transnational </w:t>
      </w:r>
      <w:r w:rsidR="00E97ADE" w:rsidRPr="000B7B8D">
        <w:rPr>
          <w:rFonts w:asciiTheme="minorHAnsi" w:hAnsiTheme="minorHAnsi"/>
        </w:rPr>
        <w:t xml:space="preserve">information-pooling and recursive learning </w:t>
      </w:r>
      <w:r w:rsidR="00CD42A6" w:rsidRPr="000B7B8D">
        <w:rPr>
          <w:rFonts w:asciiTheme="minorHAnsi" w:hAnsiTheme="minorHAnsi"/>
        </w:rPr>
        <w:t xml:space="preserve">platforms discussed earlier. </w:t>
      </w:r>
      <w:r w:rsidR="00FD030C" w:rsidRPr="000B7B8D">
        <w:rPr>
          <w:rFonts w:asciiTheme="minorHAnsi" w:hAnsiTheme="minorHAnsi"/>
        </w:rPr>
        <w:t xml:space="preserve"> </w:t>
      </w:r>
    </w:p>
    <w:p w14:paraId="2F451EA2" w14:textId="433B0912" w:rsidR="001D4023" w:rsidRPr="000B7B8D" w:rsidRDefault="009D78C6" w:rsidP="00816E1F">
      <w:pPr>
        <w:pStyle w:val="BodyText"/>
        <w:jc w:val="both"/>
        <w:rPr>
          <w:rFonts w:asciiTheme="minorHAnsi" w:hAnsiTheme="minorHAnsi"/>
        </w:rPr>
      </w:pPr>
      <w:r w:rsidRPr="000B7B8D">
        <w:rPr>
          <w:rFonts w:asciiTheme="minorHAnsi" w:hAnsiTheme="minorHAnsi"/>
        </w:rPr>
        <w:t xml:space="preserve">At the request of the European Council, </w:t>
      </w:r>
      <w:r w:rsidR="00477E35" w:rsidRPr="000B7B8D">
        <w:rPr>
          <w:rFonts w:asciiTheme="minorHAnsi" w:hAnsiTheme="minorHAnsi"/>
        </w:rPr>
        <w:t xml:space="preserve">the European Commission, </w:t>
      </w:r>
      <w:r w:rsidR="006A5D92" w:rsidRPr="000B7B8D">
        <w:rPr>
          <w:rFonts w:asciiTheme="minorHAnsi" w:hAnsiTheme="minorHAnsi"/>
        </w:rPr>
        <w:t xml:space="preserve">in consultation </w:t>
      </w:r>
      <w:r w:rsidR="00E563DF" w:rsidRPr="000B7B8D">
        <w:rPr>
          <w:rFonts w:asciiTheme="minorHAnsi" w:hAnsiTheme="minorHAnsi"/>
        </w:rPr>
        <w:t xml:space="preserve">with </w:t>
      </w:r>
      <w:r w:rsidR="00D23863" w:rsidRPr="000B7B8D">
        <w:rPr>
          <w:rFonts w:asciiTheme="minorHAnsi" w:hAnsiTheme="minorHAnsi"/>
        </w:rPr>
        <w:t xml:space="preserve">member state expert groups and external stakeholders, has developed a </w:t>
      </w:r>
      <w:r w:rsidR="00B94AC5" w:rsidRPr="000B7B8D">
        <w:rPr>
          <w:rFonts w:asciiTheme="minorHAnsi" w:hAnsiTheme="minorHAnsi"/>
        </w:rPr>
        <w:t xml:space="preserve">new </w:t>
      </w:r>
      <w:r w:rsidR="00D23863" w:rsidRPr="000B7B8D">
        <w:rPr>
          <w:rFonts w:asciiTheme="minorHAnsi" w:hAnsiTheme="minorHAnsi"/>
        </w:rPr>
        <w:t xml:space="preserve">multi-annual work plan </w:t>
      </w:r>
      <w:r w:rsidR="0086120C" w:rsidRPr="000B7B8D">
        <w:rPr>
          <w:rFonts w:asciiTheme="minorHAnsi" w:hAnsiTheme="minorHAnsi"/>
        </w:rPr>
        <w:t xml:space="preserve">for </w:t>
      </w:r>
      <w:r w:rsidR="005D50B9" w:rsidRPr="000B7B8D">
        <w:rPr>
          <w:rFonts w:asciiTheme="minorHAnsi" w:hAnsiTheme="minorHAnsi"/>
        </w:rPr>
        <w:t xml:space="preserve">FLEGT implementation.  </w:t>
      </w:r>
      <w:r w:rsidR="00F63C20" w:rsidRPr="000B7B8D">
        <w:rPr>
          <w:rFonts w:asciiTheme="minorHAnsi" w:hAnsiTheme="minorHAnsi"/>
        </w:rPr>
        <w:t xml:space="preserve">Key elements of this work plan, </w:t>
      </w:r>
      <w:r w:rsidR="00DD1B24" w:rsidRPr="000B7B8D">
        <w:rPr>
          <w:rFonts w:asciiTheme="minorHAnsi" w:hAnsiTheme="minorHAnsi"/>
        </w:rPr>
        <w:t xml:space="preserve">which are already </w:t>
      </w:r>
      <w:r w:rsidR="001A10DB" w:rsidRPr="000B7B8D">
        <w:rPr>
          <w:rFonts w:asciiTheme="minorHAnsi" w:hAnsiTheme="minorHAnsi"/>
        </w:rPr>
        <w:t>moving</w:t>
      </w:r>
      <w:r w:rsidR="00455D36" w:rsidRPr="000B7B8D">
        <w:rPr>
          <w:rFonts w:asciiTheme="minorHAnsi" w:hAnsiTheme="minorHAnsi"/>
        </w:rPr>
        <w:t xml:space="preserve"> </w:t>
      </w:r>
      <w:r w:rsidR="00DD1B24" w:rsidRPr="000B7B8D">
        <w:rPr>
          <w:rFonts w:asciiTheme="minorHAnsi" w:hAnsiTheme="minorHAnsi"/>
        </w:rPr>
        <w:t xml:space="preserve">forward, </w:t>
      </w:r>
      <w:r w:rsidR="00797984" w:rsidRPr="000B7B8D">
        <w:rPr>
          <w:rFonts w:asciiTheme="minorHAnsi" w:hAnsiTheme="minorHAnsi"/>
        </w:rPr>
        <w:t>include</w:t>
      </w:r>
      <w:r w:rsidR="00DD1B24" w:rsidRPr="000B7B8D">
        <w:rPr>
          <w:rFonts w:asciiTheme="minorHAnsi" w:hAnsiTheme="minorHAnsi"/>
        </w:rPr>
        <w:t xml:space="preserve"> both the construction of an indicator-based framework for monitoring the </w:t>
      </w:r>
      <w:r w:rsidR="00B56805" w:rsidRPr="000B7B8D">
        <w:rPr>
          <w:rFonts w:asciiTheme="minorHAnsi" w:hAnsiTheme="minorHAnsi"/>
        </w:rPr>
        <w:t>global</w:t>
      </w:r>
      <w:r w:rsidR="00DD1B24" w:rsidRPr="000B7B8D">
        <w:rPr>
          <w:rFonts w:asciiTheme="minorHAnsi" w:hAnsiTheme="minorHAnsi"/>
        </w:rPr>
        <w:t xml:space="preserve"> impact of the FLEGT initiative,</w:t>
      </w:r>
      <w:r w:rsidR="00597A97" w:rsidRPr="000B7B8D">
        <w:rPr>
          <w:rStyle w:val="FootnoteReference"/>
          <w:rFonts w:asciiTheme="minorHAnsi" w:hAnsiTheme="minorHAnsi"/>
        </w:rPr>
        <w:footnoteReference w:id="8"/>
      </w:r>
      <w:r w:rsidR="00DD1B24" w:rsidRPr="000B7B8D">
        <w:rPr>
          <w:rFonts w:asciiTheme="minorHAnsi" w:hAnsiTheme="minorHAnsi"/>
        </w:rPr>
        <w:t xml:space="preserve"> and </w:t>
      </w:r>
      <w:r w:rsidR="008C550D" w:rsidRPr="000B7B8D">
        <w:rPr>
          <w:rFonts w:asciiTheme="minorHAnsi" w:hAnsiTheme="minorHAnsi"/>
        </w:rPr>
        <w:t>“enhanced mechanisms…to review progress on negotiating or implementing VPA[s]…on a regular basis and develop suitable strategies if progress is considered insufficient.”</w:t>
      </w:r>
      <w:r w:rsidR="00917765" w:rsidRPr="000B7B8D">
        <w:rPr>
          <w:rFonts w:asciiTheme="minorHAnsi" w:hAnsiTheme="minorHAnsi"/>
        </w:rPr>
        <w:t xml:space="preserve"> </w:t>
      </w:r>
      <w:r w:rsidR="00033E10" w:rsidRPr="000B7B8D">
        <w:rPr>
          <w:rFonts w:asciiTheme="minorHAnsi" w:hAnsiTheme="minorHAnsi"/>
        </w:rPr>
        <w:t xml:space="preserve"> The</w:t>
      </w:r>
      <w:r w:rsidR="00DF3DA7" w:rsidRPr="000B7B8D">
        <w:rPr>
          <w:rFonts w:asciiTheme="minorHAnsi" w:hAnsiTheme="minorHAnsi"/>
        </w:rPr>
        <w:t xml:space="preserve"> latter</w:t>
      </w:r>
      <w:r w:rsidR="00033E10" w:rsidRPr="000B7B8D">
        <w:rPr>
          <w:rFonts w:asciiTheme="minorHAnsi" w:hAnsiTheme="minorHAnsi"/>
        </w:rPr>
        <w:t xml:space="preserve"> </w:t>
      </w:r>
      <w:r w:rsidR="00DF3DA7" w:rsidRPr="000B7B8D">
        <w:rPr>
          <w:rFonts w:asciiTheme="minorHAnsi" w:hAnsiTheme="minorHAnsi"/>
        </w:rPr>
        <w:t>involve</w:t>
      </w:r>
      <w:r w:rsidR="00033E10" w:rsidRPr="000B7B8D">
        <w:rPr>
          <w:rFonts w:asciiTheme="minorHAnsi" w:hAnsiTheme="minorHAnsi"/>
        </w:rPr>
        <w:t xml:space="preserve"> </w:t>
      </w:r>
      <w:r w:rsidR="008D0E8E" w:rsidRPr="000B7B8D">
        <w:rPr>
          <w:rFonts w:asciiTheme="minorHAnsi" w:hAnsiTheme="minorHAnsi"/>
        </w:rPr>
        <w:t>joint stocktaking exercises with the partner countr</w:t>
      </w:r>
      <w:r w:rsidR="00E97ADE" w:rsidRPr="000B7B8D">
        <w:rPr>
          <w:rFonts w:asciiTheme="minorHAnsi" w:hAnsiTheme="minorHAnsi"/>
        </w:rPr>
        <w:t xml:space="preserve">ies to identify outstanding challenges </w:t>
      </w:r>
      <w:r w:rsidR="008872C6" w:rsidRPr="000B7B8D">
        <w:rPr>
          <w:rFonts w:asciiTheme="minorHAnsi" w:hAnsiTheme="minorHAnsi"/>
        </w:rPr>
        <w:t>and assess the feasibility of achieving the VPA</w:t>
      </w:r>
      <w:r w:rsidR="00DF6B7F" w:rsidRPr="000B7B8D">
        <w:rPr>
          <w:rFonts w:asciiTheme="minorHAnsi" w:hAnsiTheme="minorHAnsi"/>
        </w:rPr>
        <w:t>’s</w:t>
      </w:r>
      <w:r w:rsidR="008872C6" w:rsidRPr="000B7B8D">
        <w:rPr>
          <w:rFonts w:asciiTheme="minorHAnsi" w:hAnsiTheme="minorHAnsi"/>
        </w:rPr>
        <w:t xml:space="preserve"> objectives, followed by the establishment of a multi-year roadmap for </w:t>
      </w:r>
      <w:r w:rsidR="00817E79" w:rsidRPr="000B7B8D">
        <w:rPr>
          <w:rFonts w:asciiTheme="minorHAnsi" w:hAnsiTheme="minorHAnsi"/>
        </w:rPr>
        <w:t xml:space="preserve">supporting and monitoring </w:t>
      </w:r>
      <w:r w:rsidR="00C654DA" w:rsidRPr="000B7B8D">
        <w:rPr>
          <w:rFonts w:asciiTheme="minorHAnsi" w:hAnsiTheme="minorHAnsi"/>
        </w:rPr>
        <w:t xml:space="preserve">implementation.  </w:t>
      </w:r>
      <w:r w:rsidR="00FF0B3C" w:rsidRPr="000B7B8D">
        <w:rPr>
          <w:rFonts w:asciiTheme="minorHAnsi" w:hAnsiTheme="minorHAnsi"/>
        </w:rPr>
        <w:t xml:space="preserve">Where this joint </w:t>
      </w:r>
      <w:r w:rsidR="00DF3DA7" w:rsidRPr="000B7B8D">
        <w:rPr>
          <w:rFonts w:asciiTheme="minorHAnsi" w:hAnsiTheme="minorHAnsi"/>
        </w:rPr>
        <w:t>assessment</w:t>
      </w:r>
      <w:r w:rsidR="00FF0B3C" w:rsidRPr="000B7B8D">
        <w:rPr>
          <w:rFonts w:asciiTheme="minorHAnsi" w:hAnsiTheme="minorHAnsi"/>
        </w:rPr>
        <w:t xml:space="preserve"> does not lead to </w:t>
      </w:r>
      <w:r w:rsidR="00DF3DA7" w:rsidRPr="000B7B8D">
        <w:rPr>
          <w:rFonts w:asciiTheme="minorHAnsi" w:hAnsiTheme="minorHAnsi"/>
        </w:rPr>
        <w:t xml:space="preserve">a </w:t>
      </w:r>
      <w:r w:rsidR="00FF0B3C" w:rsidRPr="000B7B8D">
        <w:rPr>
          <w:rFonts w:asciiTheme="minorHAnsi" w:hAnsiTheme="minorHAnsi"/>
        </w:rPr>
        <w:t xml:space="preserve">renewed </w:t>
      </w:r>
      <w:r w:rsidR="00DF3DA7" w:rsidRPr="000B7B8D">
        <w:rPr>
          <w:rFonts w:asciiTheme="minorHAnsi" w:hAnsiTheme="minorHAnsi"/>
        </w:rPr>
        <w:t xml:space="preserve">path forward for </w:t>
      </w:r>
      <w:r w:rsidR="00FF0B3C" w:rsidRPr="000B7B8D">
        <w:rPr>
          <w:rFonts w:asciiTheme="minorHAnsi" w:hAnsiTheme="minorHAnsi"/>
        </w:rPr>
        <w:t>the VPA</w:t>
      </w:r>
      <w:r w:rsidR="00DF3DA7" w:rsidRPr="000B7B8D">
        <w:rPr>
          <w:rFonts w:asciiTheme="minorHAnsi" w:hAnsiTheme="minorHAnsi"/>
        </w:rPr>
        <w:t xml:space="preserve">, the EU will consider alternative </w:t>
      </w:r>
      <w:r w:rsidR="00A75614" w:rsidRPr="000B7B8D">
        <w:rPr>
          <w:rFonts w:asciiTheme="minorHAnsi" w:hAnsiTheme="minorHAnsi"/>
        </w:rPr>
        <w:t xml:space="preserve">ways </w:t>
      </w:r>
      <w:r w:rsidR="00DF3DA7" w:rsidRPr="000B7B8D">
        <w:rPr>
          <w:rFonts w:asciiTheme="minorHAnsi" w:hAnsiTheme="minorHAnsi"/>
        </w:rPr>
        <w:t>to promote FLEGT objectives with the partner country (</w:t>
      </w:r>
      <w:r w:rsidR="00412E97" w:rsidRPr="000B7B8D">
        <w:rPr>
          <w:rFonts w:asciiTheme="minorHAnsi" w:hAnsiTheme="minorHAnsi"/>
        </w:rPr>
        <w:t xml:space="preserve">European </w:t>
      </w:r>
      <w:r w:rsidR="005F115E" w:rsidRPr="000B7B8D">
        <w:rPr>
          <w:rFonts w:asciiTheme="minorHAnsi" w:hAnsiTheme="minorHAnsi"/>
        </w:rPr>
        <w:t>Commission FLEGT Ad Hoc Expert Group</w:t>
      </w:r>
      <w:r w:rsidR="00412E97" w:rsidRPr="000B7B8D">
        <w:rPr>
          <w:rFonts w:asciiTheme="minorHAnsi" w:hAnsiTheme="minorHAnsi"/>
        </w:rPr>
        <w:t xml:space="preserve"> </w:t>
      </w:r>
      <w:r w:rsidR="00DF3DA7" w:rsidRPr="000B7B8D">
        <w:rPr>
          <w:rFonts w:asciiTheme="minorHAnsi" w:hAnsiTheme="minorHAnsi"/>
        </w:rPr>
        <w:t>2018</w:t>
      </w:r>
      <w:r w:rsidR="0090543C" w:rsidRPr="000B7B8D">
        <w:rPr>
          <w:rFonts w:asciiTheme="minorHAnsi" w:hAnsiTheme="minorHAnsi"/>
        </w:rPr>
        <w:t>:</w:t>
      </w:r>
      <w:r w:rsidR="005F115E" w:rsidRPr="000B7B8D">
        <w:rPr>
          <w:rFonts w:asciiTheme="minorHAnsi" w:hAnsiTheme="minorHAnsi"/>
        </w:rPr>
        <w:t xml:space="preserve"> </w:t>
      </w:r>
      <w:r w:rsidR="00BE46EF" w:rsidRPr="000B7B8D">
        <w:rPr>
          <w:rFonts w:asciiTheme="minorHAnsi" w:hAnsiTheme="minorHAnsi"/>
        </w:rPr>
        <w:t xml:space="preserve">2-3, </w:t>
      </w:r>
      <w:r w:rsidR="00A75614" w:rsidRPr="000B7B8D">
        <w:rPr>
          <w:rFonts w:asciiTheme="minorHAnsi" w:hAnsiTheme="minorHAnsi"/>
        </w:rPr>
        <w:t>5-7</w:t>
      </w:r>
      <w:r w:rsidR="00922E83" w:rsidRPr="000B7B8D">
        <w:rPr>
          <w:rFonts w:asciiTheme="minorHAnsi" w:hAnsiTheme="minorHAnsi"/>
        </w:rPr>
        <w:t>, 15-16</w:t>
      </w:r>
      <w:r w:rsidR="00DF3DA7" w:rsidRPr="000B7B8D">
        <w:rPr>
          <w:rFonts w:asciiTheme="minorHAnsi" w:hAnsiTheme="minorHAnsi"/>
        </w:rPr>
        <w:t>).</w:t>
      </w:r>
      <w:r w:rsidR="00EA6477" w:rsidRPr="000B7B8D">
        <w:rPr>
          <w:rFonts w:asciiTheme="minorHAnsi" w:hAnsiTheme="minorHAnsi"/>
        </w:rPr>
        <w:t xml:space="preserve"> </w:t>
      </w:r>
      <w:r w:rsidR="00816E1F" w:rsidRPr="000B7B8D">
        <w:rPr>
          <w:rFonts w:asciiTheme="minorHAnsi" w:hAnsiTheme="minorHAnsi"/>
        </w:rPr>
        <w:t xml:space="preserve"> </w:t>
      </w:r>
      <w:r w:rsidR="00A0435A" w:rsidRPr="000B7B8D">
        <w:rPr>
          <w:rFonts w:asciiTheme="minorHAnsi" w:hAnsiTheme="minorHAnsi"/>
        </w:rPr>
        <w:t xml:space="preserve">At an </w:t>
      </w:r>
      <w:r w:rsidR="00A0435A" w:rsidRPr="000B7B8D">
        <w:rPr>
          <w:rFonts w:asciiTheme="minorHAnsi" w:hAnsiTheme="minorHAnsi"/>
        </w:rPr>
        <w:lastRenderedPageBreak/>
        <w:t>operational level, t</w:t>
      </w:r>
      <w:r w:rsidR="001D4023" w:rsidRPr="000B7B8D">
        <w:rPr>
          <w:rFonts w:asciiTheme="minorHAnsi" w:hAnsiTheme="minorHAnsi"/>
        </w:rPr>
        <w:t>he EU FLEGT Facility has developed a new set of planning</w:t>
      </w:r>
      <w:r w:rsidR="001A10DB" w:rsidRPr="000B7B8D">
        <w:rPr>
          <w:rFonts w:asciiTheme="minorHAnsi" w:hAnsiTheme="minorHAnsi"/>
        </w:rPr>
        <w:t>, framing,</w:t>
      </w:r>
      <w:r w:rsidR="005D550C" w:rsidRPr="000B7B8D">
        <w:rPr>
          <w:rFonts w:asciiTheme="minorHAnsi" w:hAnsiTheme="minorHAnsi"/>
        </w:rPr>
        <w:t xml:space="preserve"> </w:t>
      </w:r>
      <w:r w:rsidR="001D4023" w:rsidRPr="000B7B8D">
        <w:rPr>
          <w:rFonts w:asciiTheme="minorHAnsi" w:hAnsiTheme="minorHAnsi"/>
        </w:rPr>
        <w:t xml:space="preserve">and monitoring tools </w:t>
      </w:r>
      <w:r w:rsidR="001A10DB" w:rsidRPr="000B7B8D">
        <w:rPr>
          <w:rFonts w:asciiTheme="minorHAnsi" w:hAnsiTheme="minorHAnsi"/>
        </w:rPr>
        <w:t>to</w:t>
      </w:r>
      <w:r w:rsidR="001D4023" w:rsidRPr="000B7B8D">
        <w:rPr>
          <w:rFonts w:asciiTheme="minorHAnsi" w:hAnsiTheme="minorHAnsi"/>
        </w:rPr>
        <w:t xml:space="preserve"> </w:t>
      </w:r>
      <w:r w:rsidR="001A10DB" w:rsidRPr="000B7B8D">
        <w:rPr>
          <w:rFonts w:asciiTheme="minorHAnsi" w:hAnsiTheme="minorHAnsi"/>
        </w:rPr>
        <w:t>overcome</w:t>
      </w:r>
      <w:r w:rsidR="001D4023" w:rsidRPr="000B7B8D">
        <w:rPr>
          <w:rFonts w:asciiTheme="minorHAnsi" w:hAnsiTheme="minorHAnsi"/>
        </w:rPr>
        <w:t xml:space="preserve"> roadblocks within VPAs</w:t>
      </w:r>
      <w:r w:rsidR="001A10DB" w:rsidRPr="000B7B8D">
        <w:rPr>
          <w:rFonts w:asciiTheme="minorHAnsi" w:hAnsiTheme="minorHAnsi"/>
        </w:rPr>
        <w:t xml:space="preserve"> and drive</w:t>
      </w:r>
      <w:r w:rsidR="001D4023" w:rsidRPr="000B7B8D">
        <w:rPr>
          <w:rFonts w:asciiTheme="minorHAnsi" w:hAnsiTheme="minorHAnsi"/>
        </w:rPr>
        <w:t xml:space="preserve"> implementation forward</w:t>
      </w:r>
      <w:r w:rsidR="001A10DB" w:rsidRPr="000B7B8D">
        <w:rPr>
          <w:rFonts w:asciiTheme="minorHAnsi" w:hAnsiTheme="minorHAnsi"/>
        </w:rPr>
        <w:t xml:space="preserve"> </w:t>
      </w:r>
      <w:r w:rsidR="008F0320" w:rsidRPr="000B7B8D">
        <w:rPr>
          <w:rFonts w:asciiTheme="minorHAnsi" w:hAnsiTheme="minorHAnsi"/>
        </w:rPr>
        <w:t>(EU FLEGT Facility 2018: 14-15</w:t>
      </w:r>
      <w:r w:rsidR="001A10DB" w:rsidRPr="000B7B8D">
        <w:rPr>
          <w:rFonts w:asciiTheme="minorHAnsi" w:hAnsiTheme="minorHAnsi"/>
        </w:rPr>
        <w:t>)</w:t>
      </w:r>
      <w:r w:rsidR="001D4023" w:rsidRPr="000B7B8D">
        <w:rPr>
          <w:rFonts w:asciiTheme="minorHAnsi" w:hAnsiTheme="minorHAnsi"/>
        </w:rPr>
        <w:t>.</w:t>
      </w:r>
      <w:r w:rsidR="00455D36" w:rsidRPr="000B7B8D">
        <w:rPr>
          <w:rFonts w:asciiTheme="minorHAnsi" w:hAnsiTheme="minorHAnsi"/>
        </w:rPr>
        <w:t xml:space="preserve">  Both the Facility and the </w:t>
      </w:r>
      <w:r w:rsidR="00AD7FFB" w:rsidRPr="000B7B8D">
        <w:rPr>
          <w:rFonts w:asciiTheme="minorHAnsi" w:hAnsiTheme="minorHAnsi"/>
        </w:rPr>
        <w:t xml:space="preserve">FAO-EU </w:t>
      </w:r>
      <w:r w:rsidR="001D4023" w:rsidRPr="000B7B8D">
        <w:rPr>
          <w:rFonts w:asciiTheme="minorHAnsi" w:hAnsiTheme="minorHAnsi"/>
        </w:rPr>
        <w:t xml:space="preserve">Programme have likewise stepped up their efforts to </w:t>
      </w:r>
      <w:r w:rsidR="00873281" w:rsidRPr="000B7B8D">
        <w:rPr>
          <w:rFonts w:asciiTheme="minorHAnsi" w:hAnsiTheme="minorHAnsi"/>
        </w:rPr>
        <w:t xml:space="preserve">capture practical lessons from comparative analysis of FLEGT processes and use them to guide other countries involved </w:t>
      </w:r>
      <w:r w:rsidR="000D6BBA" w:rsidRPr="000B7B8D">
        <w:rPr>
          <w:rFonts w:asciiTheme="minorHAnsi" w:hAnsiTheme="minorHAnsi"/>
        </w:rPr>
        <w:t>in VPA negotiation and implementation, across issues ranging from shipment testing, traceability, and integration of imported timber into TLASs to independent monitoring, land tenure, and support to SMEs</w:t>
      </w:r>
      <w:r w:rsidR="008F0320" w:rsidRPr="000B7B8D">
        <w:rPr>
          <w:rFonts w:asciiTheme="minorHAnsi" w:hAnsiTheme="minorHAnsi"/>
        </w:rPr>
        <w:t xml:space="preserve"> (EU FLEGT Facility 2018: 16</w:t>
      </w:r>
      <w:r w:rsidR="004D091E" w:rsidRPr="000B7B8D">
        <w:rPr>
          <w:rFonts w:asciiTheme="minorHAnsi" w:hAnsiTheme="minorHAnsi"/>
        </w:rPr>
        <w:t xml:space="preserve">; </w:t>
      </w:r>
      <w:r w:rsidR="00AD7FFB" w:rsidRPr="000B7B8D">
        <w:rPr>
          <w:rFonts w:asciiTheme="minorHAnsi" w:hAnsiTheme="minorHAnsi"/>
        </w:rPr>
        <w:t>FAO-EU</w:t>
      </w:r>
      <w:r w:rsidR="003E422E" w:rsidRPr="000B7B8D">
        <w:rPr>
          <w:rFonts w:asciiTheme="minorHAnsi" w:hAnsiTheme="minorHAnsi"/>
        </w:rPr>
        <w:t xml:space="preserve"> </w:t>
      </w:r>
      <w:r w:rsidR="00C061B0" w:rsidRPr="000B7B8D">
        <w:rPr>
          <w:rFonts w:asciiTheme="minorHAnsi" w:hAnsiTheme="minorHAnsi"/>
        </w:rPr>
        <w:t>2017</w:t>
      </w:r>
      <w:r w:rsidR="004D091E" w:rsidRPr="000B7B8D">
        <w:rPr>
          <w:rFonts w:asciiTheme="minorHAnsi" w:hAnsiTheme="minorHAnsi"/>
        </w:rPr>
        <w:t>).</w:t>
      </w:r>
      <w:r w:rsidR="004C6D0F" w:rsidRPr="000B7B8D">
        <w:rPr>
          <w:rFonts w:asciiTheme="minorHAnsi" w:hAnsiTheme="minorHAnsi"/>
        </w:rPr>
        <w:t xml:space="preserve">  </w:t>
      </w:r>
    </w:p>
    <w:p w14:paraId="13D56442" w14:textId="02CDEEE3" w:rsidR="00DA61F3" w:rsidRPr="000B7B8D" w:rsidRDefault="00BD5559" w:rsidP="00523396">
      <w:pPr>
        <w:pStyle w:val="BodyText"/>
        <w:jc w:val="both"/>
        <w:rPr>
          <w:rFonts w:asciiTheme="minorHAnsi" w:hAnsiTheme="minorHAnsi"/>
        </w:rPr>
      </w:pPr>
      <w:r w:rsidRPr="000B7B8D">
        <w:rPr>
          <w:rFonts w:asciiTheme="minorHAnsi" w:hAnsiTheme="minorHAnsi"/>
        </w:rPr>
        <w:t xml:space="preserve">These </w:t>
      </w:r>
      <w:r w:rsidR="00837640" w:rsidRPr="000B7B8D">
        <w:rPr>
          <w:rFonts w:asciiTheme="minorHAnsi" w:hAnsiTheme="minorHAnsi"/>
        </w:rPr>
        <w:t xml:space="preserve">enhanced </w:t>
      </w:r>
      <w:r w:rsidR="00AD7318" w:rsidRPr="000B7B8D">
        <w:rPr>
          <w:rFonts w:asciiTheme="minorHAnsi" w:hAnsiTheme="minorHAnsi"/>
        </w:rPr>
        <w:t xml:space="preserve">mechanisms for </w:t>
      </w:r>
      <w:r w:rsidR="005110C8" w:rsidRPr="000B7B8D">
        <w:rPr>
          <w:rFonts w:asciiTheme="minorHAnsi" w:hAnsiTheme="minorHAnsi"/>
        </w:rPr>
        <w:t>monitoring, review, and</w:t>
      </w:r>
      <w:r w:rsidR="00EB4016" w:rsidRPr="000B7B8D">
        <w:rPr>
          <w:rFonts w:asciiTheme="minorHAnsi" w:hAnsiTheme="minorHAnsi"/>
        </w:rPr>
        <w:t xml:space="preserve"> recursive learning</w:t>
      </w:r>
      <w:r w:rsidR="005110C8" w:rsidRPr="000B7B8D">
        <w:rPr>
          <w:rFonts w:asciiTheme="minorHAnsi" w:hAnsiTheme="minorHAnsi"/>
        </w:rPr>
        <w:t xml:space="preserve">, which reinforce the experimentalist governance architecture of the FLEGT initiative, already appear to be </w:t>
      </w:r>
      <w:r w:rsidR="00AD7318" w:rsidRPr="000B7B8D">
        <w:rPr>
          <w:rFonts w:asciiTheme="minorHAnsi" w:hAnsiTheme="minorHAnsi"/>
        </w:rPr>
        <w:t xml:space="preserve">delivering positive results within national VPA processes. </w:t>
      </w:r>
      <w:r w:rsidR="007B630B" w:rsidRPr="000B7B8D">
        <w:rPr>
          <w:rFonts w:asciiTheme="minorHAnsi" w:hAnsiTheme="minorHAnsi"/>
        </w:rPr>
        <w:t xml:space="preserve"> Thus according to the EU FLEGT Facility, </w:t>
      </w:r>
      <w:r w:rsidR="00B9234A" w:rsidRPr="000B7B8D">
        <w:rPr>
          <w:rFonts w:asciiTheme="minorHAnsi" w:hAnsiTheme="minorHAnsi"/>
        </w:rPr>
        <w:t>a 2017</w:t>
      </w:r>
      <w:r w:rsidR="00B8293E" w:rsidRPr="000B7B8D">
        <w:rPr>
          <w:rFonts w:asciiTheme="minorHAnsi" w:hAnsiTheme="minorHAnsi"/>
        </w:rPr>
        <w:t xml:space="preserve"> </w:t>
      </w:r>
      <w:r w:rsidR="00052FC7" w:rsidRPr="000B7B8D">
        <w:rPr>
          <w:rFonts w:asciiTheme="minorHAnsi" w:hAnsiTheme="minorHAnsi"/>
        </w:rPr>
        <w:t>stock-take</w:t>
      </w:r>
      <w:r w:rsidR="00B8293E" w:rsidRPr="000B7B8D">
        <w:rPr>
          <w:rFonts w:asciiTheme="minorHAnsi" w:hAnsiTheme="minorHAnsi"/>
        </w:rPr>
        <w:t xml:space="preserve"> in the Republic of Congo has led domestic stakeholders </w:t>
      </w:r>
      <w:r w:rsidR="00052FC7" w:rsidRPr="000B7B8D">
        <w:rPr>
          <w:rFonts w:asciiTheme="minorHAnsi" w:hAnsiTheme="minorHAnsi"/>
        </w:rPr>
        <w:t>to recognize the need for revision of the VPA implementation framework, and to collaborate in developing improved planning and mon</w:t>
      </w:r>
      <w:r w:rsidR="00D5039C" w:rsidRPr="000B7B8D">
        <w:rPr>
          <w:rFonts w:asciiTheme="minorHAnsi" w:hAnsiTheme="minorHAnsi"/>
        </w:rPr>
        <w:t>i</w:t>
      </w:r>
      <w:r w:rsidR="00052FC7" w:rsidRPr="000B7B8D">
        <w:rPr>
          <w:rFonts w:asciiTheme="minorHAnsi" w:hAnsiTheme="minorHAnsi"/>
        </w:rPr>
        <w:t xml:space="preserve">toring tools </w:t>
      </w:r>
      <w:r w:rsidR="00D5039C" w:rsidRPr="000B7B8D">
        <w:rPr>
          <w:rFonts w:asciiTheme="minorHAnsi" w:hAnsiTheme="minorHAnsi"/>
        </w:rPr>
        <w:t>for that purpose</w:t>
      </w:r>
      <w:r w:rsidR="000371CF" w:rsidRPr="000B7B8D">
        <w:rPr>
          <w:rFonts w:asciiTheme="minorHAnsi" w:hAnsiTheme="minorHAnsi"/>
        </w:rPr>
        <w:t xml:space="preserve"> (EU FLEGT Facility 2017a; </w:t>
      </w:r>
      <w:r w:rsidR="00C65CC6" w:rsidRPr="000B7B8D">
        <w:rPr>
          <w:rFonts w:asciiTheme="minorHAnsi" w:hAnsiTheme="minorHAnsi"/>
        </w:rPr>
        <w:t>Republic of Congo-EU 2018: Annexe 2)</w:t>
      </w:r>
      <w:r w:rsidR="00D5039C" w:rsidRPr="000B7B8D">
        <w:rPr>
          <w:rFonts w:asciiTheme="minorHAnsi" w:hAnsiTheme="minorHAnsi"/>
        </w:rPr>
        <w:t>.</w:t>
      </w:r>
      <w:r w:rsidR="00922E83" w:rsidRPr="000B7B8D">
        <w:rPr>
          <w:rStyle w:val="FootnoteReference"/>
          <w:rFonts w:asciiTheme="minorHAnsi" w:hAnsiTheme="minorHAnsi"/>
        </w:rPr>
        <w:footnoteReference w:id="9"/>
      </w:r>
      <w:r w:rsidR="00D5039C" w:rsidRPr="000B7B8D">
        <w:rPr>
          <w:rFonts w:asciiTheme="minorHAnsi" w:hAnsiTheme="minorHAnsi"/>
        </w:rPr>
        <w:t xml:space="preserve">  In Liberia, similarly, the JIC and National Multi-Stakeholder Monitoring Committee are using a multi-year </w:t>
      </w:r>
      <w:r w:rsidR="0052667A" w:rsidRPr="000B7B8D">
        <w:rPr>
          <w:rFonts w:asciiTheme="minorHAnsi" w:hAnsiTheme="minorHAnsi"/>
        </w:rPr>
        <w:t>“</w:t>
      </w:r>
      <w:r w:rsidR="00D5039C" w:rsidRPr="000B7B8D">
        <w:rPr>
          <w:rFonts w:asciiTheme="minorHAnsi" w:hAnsiTheme="minorHAnsi"/>
        </w:rPr>
        <w:t>Forward Planner</w:t>
      </w:r>
      <w:r w:rsidR="0052667A" w:rsidRPr="000B7B8D">
        <w:rPr>
          <w:rFonts w:asciiTheme="minorHAnsi" w:hAnsiTheme="minorHAnsi"/>
        </w:rPr>
        <w:t>”</w:t>
      </w:r>
      <w:r w:rsidR="00D5039C" w:rsidRPr="000B7B8D">
        <w:rPr>
          <w:rFonts w:asciiTheme="minorHAnsi" w:hAnsiTheme="minorHAnsi"/>
        </w:rPr>
        <w:t xml:space="preserve"> to set implementation priorities and track progress in carrying out jointly agreed actions </w:t>
      </w:r>
      <w:r w:rsidR="005C29A8" w:rsidRPr="000B7B8D">
        <w:rPr>
          <w:rFonts w:asciiTheme="minorHAnsi" w:hAnsiTheme="minorHAnsi"/>
        </w:rPr>
        <w:t>within the VPA</w:t>
      </w:r>
      <w:r w:rsidR="00516FEC" w:rsidRPr="000B7B8D">
        <w:rPr>
          <w:rFonts w:asciiTheme="minorHAnsi" w:hAnsiTheme="minorHAnsi"/>
        </w:rPr>
        <w:t xml:space="preserve"> (EU FLEGT Facility 2017a; Liberia-EU 2018: Annex 3)</w:t>
      </w:r>
      <w:r w:rsidR="005C29A8" w:rsidRPr="000B7B8D">
        <w:rPr>
          <w:rFonts w:asciiTheme="minorHAnsi" w:hAnsiTheme="minorHAnsi"/>
        </w:rPr>
        <w:t xml:space="preserve">.  In Vietnam, where the VPA was </w:t>
      </w:r>
      <w:r w:rsidR="0075318C" w:rsidRPr="000B7B8D">
        <w:rPr>
          <w:rFonts w:asciiTheme="minorHAnsi" w:hAnsiTheme="minorHAnsi"/>
        </w:rPr>
        <w:t>agreed in 2017</w:t>
      </w:r>
      <w:r w:rsidR="00E707B7" w:rsidRPr="000B7B8D">
        <w:rPr>
          <w:rFonts w:asciiTheme="minorHAnsi" w:hAnsiTheme="minorHAnsi"/>
        </w:rPr>
        <w:t xml:space="preserve"> and has not yet been formally ratified</w:t>
      </w:r>
      <w:r w:rsidR="0075318C" w:rsidRPr="000B7B8D">
        <w:rPr>
          <w:rFonts w:asciiTheme="minorHAnsi" w:hAnsiTheme="minorHAnsi"/>
        </w:rPr>
        <w:t xml:space="preserve">, </w:t>
      </w:r>
      <w:r w:rsidR="00186A3F" w:rsidRPr="000B7B8D">
        <w:rPr>
          <w:rFonts w:asciiTheme="minorHAnsi" w:hAnsiTheme="minorHAnsi"/>
        </w:rPr>
        <w:t>a “Joint Preparation Committee”</w:t>
      </w:r>
      <w:r w:rsidR="00271A07" w:rsidRPr="000B7B8D">
        <w:rPr>
          <w:rFonts w:asciiTheme="minorHAnsi" w:hAnsiTheme="minorHAnsi"/>
        </w:rPr>
        <w:t>, working through a multi-stakeholder process,</w:t>
      </w:r>
      <w:r w:rsidR="00343E08" w:rsidRPr="000B7B8D">
        <w:rPr>
          <w:rFonts w:asciiTheme="minorHAnsi" w:hAnsiTheme="minorHAnsi"/>
        </w:rPr>
        <w:t xml:space="preserve"> has </w:t>
      </w:r>
      <w:r w:rsidR="00860074" w:rsidRPr="000B7B8D">
        <w:rPr>
          <w:rFonts w:asciiTheme="minorHAnsi" w:hAnsiTheme="minorHAnsi"/>
        </w:rPr>
        <w:t xml:space="preserve">developed </w:t>
      </w:r>
      <w:r w:rsidR="00343E08" w:rsidRPr="000B7B8D">
        <w:rPr>
          <w:rFonts w:asciiTheme="minorHAnsi" w:hAnsiTheme="minorHAnsi"/>
        </w:rPr>
        <w:t xml:space="preserve">a </w:t>
      </w:r>
      <w:r w:rsidR="007A5BBA" w:rsidRPr="000B7B8D">
        <w:rPr>
          <w:rFonts w:asciiTheme="minorHAnsi" w:hAnsiTheme="minorHAnsi"/>
        </w:rPr>
        <w:t>“</w:t>
      </w:r>
      <w:r w:rsidR="00343E08" w:rsidRPr="000B7B8D">
        <w:rPr>
          <w:rFonts w:asciiTheme="minorHAnsi" w:hAnsiTheme="minorHAnsi"/>
        </w:rPr>
        <w:t xml:space="preserve">Joint Implementation </w:t>
      </w:r>
      <w:r w:rsidR="007A5BBA" w:rsidRPr="000B7B8D">
        <w:rPr>
          <w:rFonts w:asciiTheme="minorHAnsi" w:hAnsiTheme="minorHAnsi"/>
        </w:rPr>
        <w:t xml:space="preserve">Framework” for setting, monitoring, and revising </w:t>
      </w:r>
      <w:r w:rsidR="00271A07" w:rsidRPr="000B7B8D">
        <w:rPr>
          <w:rFonts w:asciiTheme="minorHAnsi" w:hAnsiTheme="minorHAnsi"/>
        </w:rPr>
        <w:t>strategic priorities within a multi-annual action plan, building on the experience of FLEGT processes in other partner countries</w:t>
      </w:r>
      <w:r w:rsidR="00516FEC" w:rsidRPr="000B7B8D">
        <w:rPr>
          <w:rFonts w:asciiTheme="minorHAnsi" w:hAnsiTheme="minorHAnsi"/>
        </w:rPr>
        <w:t xml:space="preserve"> (EU FLEGT Facility 2017a</w:t>
      </w:r>
      <w:r w:rsidR="008F0320" w:rsidRPr="000B7B8D">
        <w:rPr>
          <w:rFonts w:asciiTheme="minorHAnsi" w:hAnsiTheme="minorHAnsi"/>
        </w:rPr>
        <w:t xml:space="preserve">; </w:t>
      </w:r>
      <w:r w:rsidR="00EA6477" w:rsidRPr="000B7B8D">
        <w:rPr>
          <w:rFonts w:asciiTheme="minorHAnsi" w:hAnsiTheme="minorHAnsi"/>
        </w:rPr>
        <w:t>Vietnam-EU 2017)</w:t>
      </w:r>
      <w:r w:rsidR="00271A07" w:rsidRPr="000B7B8D">
        <w:rPr>
          <w:rFonts w:asciiTheme="minorHAnsi" w:hAnsiTheme="minorHAnsi"/>
        </w:rPr>
        <w:t xml:space="preserve">.  In Honduras, where the VPA was agreed in June 2018, </w:t>
      </w:r>
      <w:r w:rsidR="00EA6477" w:rsidRPr="000B7B8D">
        <w:rPr>
          <w:rFonts w:asciiTheme="minorHAnsi" w:hAnsiTheme="minorHAnsi"/>
        </w:rPr>
        <w:t>a</w:t>
      </w:r>
      <w:r w:rsidR="00271A07" w:rsidRPr="000B7B8D">
        <w:rPr>
          <w:rFonts w:asciiTheme="minorHAnsi" w:hAnsiTheme="minorHAnsi"/>
        </w:rPr>
        <w:t xml:space="preserve"> </w:t>
      </w:r>
      <w:r w:rsidR="00B8055D" w:rsidRPr="000B7B8D">
        <w:rPr>
          <w:rFonts w:asciiTheme="minorHAnsi" w:hAnsiTheme="minorHAnsi"/>
        </w:rPr>
        <w:t xml:space="preserve">decisive breakthrough was the </w:t>
      </w:r>
      <w:r w:rsidR="00B15068" w:rsidRPr="000B7B8D">
        <w:rPr>
          <w:rFonts w:asciiTheme="minorHAnsi" w:hAnsiTheme="minorHAnsi"/>
        </w:rPr>
        <w:t xml:space="preserve">joint </w:t>
      </w:r>
      <w:r w:rsidR="00B8055D" w:rsidRPr="000B7B8D">
        <w:rPr>
          <w:rFonts w:asciiTheme="minorHAnsi" w:hAnsiTheme="minorHAnsi"/>
        </w:rPr>
        <w:t xml:space="preserve">field-testing </w:t>
      </w:r>
      <w:r w:rsidR="00B15068" w:rsidRPr="000B7B8D">
        <w:rPr>
          <w:rFonts w:asciiTheme="minorHAnsi" w:hAnsiTheme="minorHAnsi"/>
        </w:rPr>
        <w:t xml:space="preserve">of </w:t>
      </w:r>
      <w:r w:rsidR="00B15068" w:rsidRPr="000B7B8D">
        <w:rPr>
          <w:rFonts w:asciiTheme="minorHAnsi" w:hAnsiTheme="minorHAnsi"/>
        </w:rPr>
        <w:lastRenderedPageBreak/>
        <w:t>the TLAS legality definition and verification methodology, which not only identified practical problems</w:t>
      </w:r>
      <w:r w:rsidR="00E43A5F" w:rsidRPr="000B7B8D">
        <w:rPr>
          <w:rFonts w:asciiTheme="minorHAnsi" w:hAnsiTheme="minorHAnsi"/>
        </w:rPr>
        <w:t xml:space="preserve"> to be resolved</w:t>
      </w:r>
      <w:r w:rsidR="00EA6477" w:rsidRPr="000B7B8D">
        <w:rPr>
          <w:rFonts w:asciiTheme="minorHAnsi" w:hAnsiTheme="minorHAnsi"/>
        </w:rPr>
        <w:t>,</w:t>
      </w:r>
      <w:r w:rsidR="00B15068" w:rsidRPr="000B7B8D">
        <w:rPr>
          <w:rFonts w:asciiTheme="minorHAnsi" w:hAnsiTheme="minorHAnsi"/>
        </w:rPr>
        <w:t xml:space="preserve"> but also “created transparency, awareness and common understanding” among the participating stakeholders about the country’s main forest governance challenges and the legal and administrative reforms needed to make the new system work (EU FLEGT Facility 2017</w:t>
      </w:r>
      <w:r w:rsidR="00C72295" w:rsidRPr="000B7B8D">
        <w:rPr>
          <w:rFonts w:asciiTheme="minorHAnsi" w:hAnsiTheme="minorHAnsi"/>
        </w:rPr>
        <w:t>a</w:t>
      </w:r>
      <w:r w:rsidR="00B15068" w:rsidRPr="000B7B8D">
        <w:rPr>
          <w:rFonts w:asciiTheme="minorHAnsi" w:hAnsiTheme="minorHAnsi"/>
        </w:rPr>
        <w:t>).</w:t>
      </w:r>
    </w:p>
    <w:p w14:paraId="6D69E17E" w14:textId="073A265C" w:rsidR="00DA61F3" w:rsidRPr="000B7B8D" w:rsidRDefault="00DA61F3" w:rsidP="00D63BC0">
      <w:pPr>
        <w:pStyle w:val="BodyTextSingle-SpacedFlush"/>
        <w:numPr>
          <w:ilvl w:val="1"/>
          <w:numId w:val="25"/>
        </w:numPr>
        <w:spacing w:after="160"/>
        <w:rPr>
          <w:rFonts w:asciiTheme="minorHAnsi" w:hAnsiTheme="minorHAnsi"/>
        </w:rPr>
      </w:pPr>
      <w:r w:rsidRPr="000B7B8D">
        <w:rPr>
          <w:rFonts w:asciiTheme="minorHAnsi" w:hAnsiTheme="minorHAnsi"/>
        </w:rPr>
        <w:t>The EU Timber Regulation</w:t>
      </w:r>
    </w:p>
    <w:p w14:paraId="3B1793C2" w14:textId="5709E6ED" w:rsidR="00D243B3" w:rsidRPr="000B7B8D" w:rsidRDefault="00685CAE" w:rsidP="00523396">
      <w:pPr>
        <w:pStyle w:val="BodyText"/>
        <w:jc w:val="both"/>
        <w:rPr>
          <w:rFonts w:asciiTheme="minorHAnsi" w:hAnsiTheme="minorHAnsi"/>
        </w:rPr>
      </w:pPr>
      <w:r w:rsidRPr="000B7B8D">
        <w:rPr>
          <w:rFonts w:asciiTheme="minorHAnsi" w:hAnsiTheme="minorHAnsi"/>
        </w:rPr>
        <w:t xml:space="preserve">Alongside the VPAs, the other key element of the FLEGT architecture is the EUTR, which creates an “underlying offense” of </w:t>
      </w:r>
      <w:r w:rsidR="00D337B5" w:rsidRPr="000B7B8D">
        <w:rPr>
          <w:rFonts w:asciiTheme="minorHAnsi" w:hAnsiTheme="minorHAnsi"/>
        </w:rPr>
        <w:t xml:space="preserve">placing illegally logged timber </w:t>
      </w:r>
      <w:r w:rsidR="009B332F" w:rsidRPr="000B7B8D">
        <w:rPr>
          <w:rFonts w:asciiTheme="minorHAnsi" w:hAnsiTheme="minorHAnsi"/>
        </w:rPr>
        <w:t xml:space="preserve">products </w:t>
      </w:r>
      <w:r w:rsidR="00D337B5" w:rsidRPr="000B7B8D">
        <w:rPr>
          <w:rFonts w:asciiTheme="minorHAnsi" w:hAnsiTheme="minorHAnsi"/>
        </w:rPr>
        <w:t>on the EU market</w:t>
      </w:r>
      <w:r w:rsidR="00BB6048" w:rsidRPr="000B7B8D">
        <w:rPr>
          <w:rFonts w:asciiTheme="minorHAnsi" w:hAnsiTheme="minorHAnsi"/>
        </w:rPr>
        <w:t xml:space="preserve">, and </w:t>
      </w:r>
      <w:r w:rsidR="009B332F" w:rsidRPr="000B7B8D">
        <w:rPr>
          <w:rFonts w:asciiTheme="minorHAnsi" w:hAnsiTheme="minorHAnsi"/>
        </w:rPr>
        <w:t xml:space="preserve">obliges all operators doing so </w:t>
      </w:r>
      <w:r w:rsidR="007E3D08" w:rsidRPr="000B7B8D">
        <w:rPr>
          <w:rFonts w:asciiTheme="minorHAnsi" w:hAnsiTheme="minorHAnsi"/>
        </w:rPr>
        <w:t xml:space="preserve">for the first time </w:t>
      </w:r>
      <w:r w:rsidR="009B332F" w:rsidRPr="000B7B8D">
        <w:rPr>
          <w:rFonts w:asciiTheme="minorHAnsi" w:hAnsiTheme="minorHAnsi"/>
        </w:rPr>
        <w:t xml:space="preserve">to demonstrate “due diligence” that </w:t>
      </w:r>
      <w:r w:rsidR="007E3D08" w:rsidRPr="000B7B8D">
        <w:rPr>
          <w:rFonts w:asciiTheme="minorHAnsi" w:hAnsiTheme="minorHAnsi"/>
        </w:rPr>
        <w:t xml:space="preserve">they were legally harvested in their place of origin (domestic or foreign), subject to fines and other criminal penalties.  </w:t>
      </w:r>
      <w:r w:rsidR="004E163E" w:rsidRPr="000B7B8D">
        <w:rPr>
          <w:rFonts w:asciiTheme="minorHAnsi" w:hAnsiTheme="minorHAnsi"/>
        </w:rPr>
        <w:t xml:space="preserve">Traders are obliged to keep records of their suppliers and customers so that wood circulating within the EU market can be traced back to its original source.  </w:t>
      </w:r>
      <w:r w:rsidR="00D243B3" w:rsidRPr="000B7B8D">
        <w:rPr>
          <w:rFonts w:asciiTheme="minorHAnsi" w:hAnsiTheme="minorHAnsi"/>
        </w:rPr>
        <w:t>The EUTR establishes three possible pathways</w:t>
      </w:r>
      <w:r w:rsidR="0034027C" w:rsidRPr="000B7B8D">
        <w:rPr>
          <w:rFonts w:asciiTheme="minorHAnsi" w:hAnsiTheme="minorHAnsi"/>
        </w:rPr>
        <w:t xml:space="preserve"> for meeting </w:t>
      </w:r>
      <w:r w:rsidR="004E163E" w:rsidRPr="000B7B8D">
        <w:rPr>
          <w:rFonts w:asciiTheme="minorHAnsi" w:hAnsiTheme="minorHAnsi"/>
        </w:rPr>
        <w:t>its due diligence</w:t>
      </w:r>
      <w:r w:rsidR="0034027C" w:rsidRPr="000B7B8D">
        <w:rPr>
          <w:rFonts w:asciiTheme="minorHAnsi" w:hAnsiTheme="minorHAnsi"/>
        </w:rPr>
        <w:t xml:space="preserve"> requirements.  The first is possession of a valid FLEGT export license</w:t>
      </w:r>
      <w:r w:rsidR="0093648B" w:rsidRPr="000B7B8D">
        <w:rPr>
          <w:rFonts w:asciiTheme="minorHAnsi" w:hAnsiTheme="minorHAnsi"/>
        </w:rPr>
        <w:t xml:space="preserve"> or CITES permit</w:t>
      </w:r>
      <w:r w:rsidR="00AF037C" w:rsidRPr="000B7B8D">
        <w:rPr>
          <w:rFonts w:asciiTheme="minorHAnsi" w:hAnsiTheme="minorHAnsi"/>
        </w:rPr>
        <w:t>,</w:t>
      </w:r>
      <w:r w:rsidR="0093648B" w:rsidRPr="000B7B8D">
        <w:rPr>
          <w:rStyle w:val="FootnoteReference"/>
          <w:rFonts w:asciiTheme="minorHAnsi" w:hAnsiTheme="minorHAnsi"/>
        </w:rPr>
        <w:footnoteReference w:id="10"/>
      </w:r>
      <w:r w:rsidR="0034027C" w:rsidRPr="000B7B8D">
        <w:rPr>
          <w:rFonts w:asciiTheme="minorHAnsi" w:hAnsiTheme="minorHAnsi"/>
        </w:rPr>
        <w:t xml:space="preserve"> which serves as a “green lane” into the EU market. Second, operators can develop their own due diligence system, which includes securing detailed information on timber sources and species, as well as on suppliers’ compliance with national legislation, coupled with the creation, implementation, and regular evaluation of risk-assessment and risk-mitigation procedures.  Third, they can use a turnkey system developed by </w:t>
      </w:r>
      <w:r w:rsidR="00787DDE" w:rsidRPr="000B7B8D">
        <w:rPr>
          <w:rFonts w:asciiTheme="minorHAnsi" w:hAnsiTheme="minorHAnsi"/>
        </w:rPr>
        <w:t>a third-party monitoring organization (MO) recognized by the European Commission</w:t>
      </w:r>
      <w:r w:rsidR="00672F7A" w:rsidRPr="000B7B8D">
        <w:rPr>
          <w:rFonts w:asciiTheme="minorHAnsi" w:hAnsiTheme="minorHAnsi"/>
        </w:rPr>
        <w:t xml:space="preserve"> (</w:t>
      </w:r>
      <w:hyperlink r:id="rId14" w:history="1">
        <w:r w:rsidR="00672F7A" w:rsidRPr="000B7B8D">
          <w:rPr>
            <w:rStyle w:val="Hyperlink"/>
            <w:rFonts w:asciiTheme="minorHAnsi" w:hAnsiTheme="minorHAnsi"/>
          </w:rPr>
          <w:t>http://ec.europa.eu/environment/forests/timber_regulation.htm</w:t>
        </w:r>
      </w:hyperlink>
      <w:r w:rsidR="00672F7A" w:rsidRPr="000B7B8D">
        <w:rPr>
          <w:rFonts w:asciiTheme="minorHAnsi" w:hAnsiTheme="minorHAnsi"/>
        </w:rPr>
        <w:t>; Overdevest &amp; Zeitlin 2015: 148-50)</w:t>
      </w:r>
      <w:r w:rsidR="00787DDE" w:rsidRPr="000B7B8D">
        <w:rPr>
          <w:rFonts w:asciiTheme="minorHAnsi" w:hAnsiTheme="minorHAnsi"/>
        </w:rPr>
        <w:t>.</w:t>
      </w:r>
    </w:p>
    <w:p w14:paraId="202FBC61" w14:textId="31DB134C" w:rsidR="00672F7A" w:rsidRPr="000B7B8D" w:rsidRDefault="00672F7A" w:rsidP="00523396">
      <w:pPr>
        <w:pStyle w:val="BodyText"/>
        <w:jc w:val="both"/>
        <w:rPr>
          <w:rFonts w:asciiTheme="minorHAnsi" w:hAnsiTheme="minorHAnsi"/>
        </w:rPr>
      </w:pPr>
      <w:r w:rsidRPr="000B7B8D">
        <w:rPr>
          <w:rFonts w:asciiTheme="minorHAnsi" w:hAnsiTheme="minorHAnsi"/>
        </w:rPr>
        <w:t xml:space="preserve">The EUTR Implementing Regulation specifically encourages the use of private certification and legality verification schemes as tools for demonstrating due diligence, as long as the systems are publicly available, </w:t>
      </w:r>
      <w:r w:rsidR="00D86172" w:rsidRPr="000B7B8D">
        <w:rPr>
          <w:rFonts w:asciiTheme="minorHAnsi" w:hAnsiTheme="minorHAnsi"/>
        </w:rPr>
        <w:t>incorporate</w:t>
      </w:r>
      <w:r w:rsidRPr="000B7B8D">
        <w:rPr>
          <w:rFonts w:asciiTheme="minorHAnsi" w:hAnsiTheme="minorHAnsi"/>
        </w:rPr>
        <w:t xml:space="preserve"> the requirements of the </w:t>
      </w:r>
      <w:r w:rsidR="00D86172" w:rsidRPr="000B7B8D">
        <w:rPr>
          <w:rFonts w:asciiTheme="minorHAnsi" w:hAnsiTheme="minorHAnsi"/>
        </w:rPr>
        <w:t xml:space="preserve">nationally applicable </w:t>
      </w:r>
      <w:r w:rsidRPr="000B7B8D">
        <w:rPr>
          <w:rFonts w:asciiTheme="minorHAnsi" w:hAnsiTheme="minorHAnsi"/>
        </w:rPr>
        <w:t xml:space="preserve">legislation, </w:t>
      </w:r>
      <w:r w:rsidR="00D86172" w:rsidRPr="000B7B8D">
        <w:rPr>
          <w:rFonts w:asciiTheme="minorHAnsi" w:hAnsiTheme="minorHAnsi"/>
        </w:rPr>
        <w:t xml:space="preserve">and </w:t>
      </w:r>
      <w:r w:rsidR="00D86172" w:rsidRPr="000B7B8D">
        <w:rPr>
          <w:rFonts w:asciiTheme="minorHAnsi" w:hAnsiTheme="minorHAnsi"/>
        </w:rPr>
        <w:lastRenderedPageBreak/>
        <w:t>include</w:t>
      </w:r>
      <w:r w:rsidR="00820CC7" w:rsidRPr="000B7B8D">
        <w:rPr>
          <w:rFonts w:asciiTheme="minorHAnsi" w:hAnsiTheme="minorHAnsi"/>
        </w:rPr>
        <w:t xml:space="preserve"> </w:t>
      </w:r>
      <w:r w:rsidRPr="000B7B8D">
        <w:rPr>
          <w:rFonts w:asciiTheme="minorHAnsi" w:hAnsiTheme="minorHAnsi"/>
        </w:rPr>
        <w:t xml:space="preserve">“appropriate checks, </w:t>
      </w:r>
      <w:r w:rsidR="00820CC7" w:rsidRPr="000B7B8D">
        <w:rPr>
          <w:rFonts w:asciiTheme="minorHAnsi" w:hAnsiTheme="minorHAnsi"/>
        </w:rPr>
        <w:t>including field-visits</w:t>
      </w:r>
      <w:r w:rsidR="00D86172" w:rsidRPr="000B7B8D">
        <w:rPr>
          <w:rFonts w:asciiTheme="minorHAnsi" w:hAnsiTheme="minorHAnsi"/>
        </w:rPr>
        <w:t>…</w:t>
      </w:r>
      <w:r w:rsidR="005E607B" w:rsidRPr="000B7B8D">
        <w:rPr>
          <w:rFonts w:asciiTheme="minorHAnsi" w:hAnsiTheme="minorHAnsi"/>
        </w:rPr>
        <w:t xml:space="preserve">by a third party </w:t>
      </w:r>
      <w:r w:rsidRPr="000B7B8D">
        <w:rPr>
          <w:rFonts w:asciiTheme="minorHAnsi" w:hAnsiTheme="minorHAnsi"/>
        </w:rPr>
        <w:t>at regular i</w:t>
      </w:r>
      <w:r w:rsidR="00820CC7" w:rsidRPr="000B7B8D">
        <w:rPr>
          <w:rFonts w:asciiTheme="minorHAnsi" w:hAnsiTheme="minorHAnsi"/>
        </w:rPr>
        <w:t>ntervals</w:t>
      </w:r>
      <w:r w:rsidRPr="000B7B8D">
        <w:rPr>
          <w:rFonts w:asciiTheme="minorHAnsi" w:hAnsiTheme="minorHAnsi"/>
        </w:rPr>
        <w:t xml:space="preserve"> no longer than 12 months</w:t>
      </w:r>
      <w:r w:rsidR="00803DC4" w:rsidRPr="000B7B8D">
        <w:rPr>
          <w:rFonts w:asciiTheme="minorHAnsi" w:hAnsiTheme="minorHAnsi"/>
        </w:rPr>
        <w:t>”</w:t>
      </w:r>
      <w:r w:rsidR="001F4F26" w:rsidRPr="000B7B8D">
        <w:rPr>
          <w:rFonts w:asciiTheme="minorHAnsi" w:hAnsiTheme="minorHAnsi"/>
        </w:rPr>
        <w:t xml:space="preserve"> to verify compliance</w:t>
      </w:r>
      <w:r w:rsidR="00D86172" w:rsidRPr="000B7B8D">
        <w:rPr>
          <w:rFonts w:asciiTheme="minorHAnsi" w:hAnsiTheme="minorHAnsi"/>
        </w:rPr>
        <w:t xml:space="preserve">, together with </w:t>
      </w:r>
      <w:r w:rsidR="005E607B" w:rsidRPr="000B7B8D">
        <w:rPr>
          <w:rFonts w:asciiTheme="minorHAnsi" w:hAnsiTheme="minorHAnsi"/>
        </w:rPr>
        <w:t xml:space="preserve">full </w:t>
      </w:r>
      <w:r w:rsidR="00327907" w:rsidRPr="000B7B8D">
        <w:rPr>
          <w:rFonts w:asciiTheme="minorHAnsi" w:hAnsiTheme="minorHAnsi"/>
        </w:rPr>
        <w:t xml:space="preserve">traceability and </w:t>
      </w:r>
      <w:r w:rsidR="005E607B" w:rsidRPr="000B7B8D">
        <w:rPr>
          <w:rFonts w:asciiTheme="minorHAnsi" w:hAnsiTheme="minorHAnsi"/>
        </w:rPr>
        <w:t xml:space="preserve">controls to ensure that illegal timber does not enter the supply chain.  </w:t>
      </w:r>
      <w:r w:rsidR="00F61C1E" w:rsidRPr="000B7B8D">
        <w:rPr>
          <w:rFonts w:asciiTheme="minorHAnsi" w:hAnsiTheme="minorHAnsi"/>
        </w:rPr>
        <w:t xml:space="preserve">Operators are also expected to assess in detail how the legality </w:t>
      </w:r>
      <w:r w:rsidR="00B02878" w:rsidRPr="000B7B8D">
        <w:rPr>
          <w:rFonts w:asciiTheme="minorHAnsi" w:hAnsiTheme="minorHAnsi"/>
        </w:rPr>
        <w:t xml:space="preserve">verification </w:t>
      </w:r>
      <w:r w:rsidR="00F61C1E" w:rsidRPr="000B7B8D">
        <w:rPr>
          <w:rFonts w:asciiTheme="minorHAnsi" w:hAnsiTheme="minorHAnsi"/>
        </w:rPr>
        <w:t>standards set by th</w:t>
      </w:r>
      <w:r w:rsidR="00B02878" w:rsidRPr="000B7B8D">
        <w:rPr>
          <w:rFonts w:asciiTheme="minorHAnsi" w:hAnsiTheme="minorHAnsi"/>
        </w:rPr>
        <w:t>es</w:t>
      </w:r>
      <w:r w:rsidR="00F61C1E" w:rsidRPr="000B7B8D">
        <w:rPr>
          <w:rFonts w:asciiTheme="minorHAnsi" w:hAnsiTheme="minorHAnsi"/>
        </w:rPr>
        <w:t>e scheme</w:t>
      </w:r>
      <w:r w:rsidR="003D1D8A" w:rsidRPr="000B7B8D">
        <w:rPr>
          <w:rFonts w:asciiTheme="minorHAnsi" w:hAnsiTheme="minorHAnsi"/>
        </w:rPr>
        <w:t>s</w:t>
      </w:r>
      <w:r w:rsidR="00F61C1E" w:rsidRPr="000B7B8D">
        <w:rPr>
          <w:rFonts w:asciiTheme="minorHAnsi" w:hAnsiTheme="minorHAnsi"/>
        </w:rPr>
        <w:t xml:space="preserve"> are “applied and enforced…on the ground”, and to check whether there are any “substantiated reports about possible shortcomings or problems”.  </w:t>
      </w:r>
      <w:r w:rsidR="00640AA7" w:rsidRPr="000B7B8D">
        <w:rPr>
          <w:rFonts w:asciiTheme="minorHAnsi" w:hAnsiTheme="minorHAnsi"/>
        </w:rPr>
        <w:t>The EUTR thus places private certification and legality verification schemes under a measure of public oversight, thereby integrating them into the broader transnational legality regime.  But liability for effectively excluding illegal timber from the market remains with the operator, not the scheme (</w:t>
      </w:r>
      <w:r w:rsidR="004518AA" w:rsidRPr="000B7B8D">
        <w:rPr>
          <w:rFonts w:asciiTheme="minorHAnsi" w:hAnsiTheme="minorHAnsi"/>
        </w:rPr>
        <w:t xml:space="preserve">European Commission </w:t>
      </w:r>
      <w:r w:rsidR="005A12F2" w:rsidRPr="000B7B8D">
        <w:rPr>
          <w:rFonts w:asciiTheme="minorHAnsi" w:hAnsiTheme="minorHAnsi"/>
        </w:rPr>
        <w:t xml:space="preserve">2012: </w:t>
      </w:r>
      <w:r w:rsidR="004518AA" w:rsidRPr="000B7B8D">
        <w:rPr>
          <w:rFonts w:asciiTheme="minorHAnsi" w:hAnsiTheme="minorHAnsi"/>
        </w:rPr>
        <w:t xml:space="preserve">Art. 4; </w:t>
      </w:r>
      <w:r w:rsidR="00F61C1E" w:rsidRPr="000B7B8D">
        <w:rPr>
          <w:rFonts w:asciiTheme="minorHAnsi" w:hAnsiTheme="minorHAnsi"/>
        </w:rPr>
        <w:t>EUTR/FLEGT Expert G</w:t>
      </w:r>
      <w:r w:rsidR="008C6D1B" w:rsidRPr="000B7B8D">
        <w:rPr>
          <w:rFonts w:asciiTheme="minorHAnsi" w:hAnsiTheme="minorHAnsi"/>
        </w:rPr>
        <w:t>roup</w:t>
      </w:r>
      <w:r w:rsidR="00F61C1E" w:rsidRPr="000B7B8D">
        <w:rPr>
          <w:rFonts w:asciiTheme="minorHAnsi" w:hAnsiTheme="minorHAnsi"/>
        </w:rPr>
        <w:t>).</w:t>
      </w:r>
    </w:p>
    <w:p w14:paraId="07028878" w14:textId="0B47D55B" w:rsidR="00DA61F3" w:rsidRPr="000B7B8D" w:rsidRDefault="00054FD5" w:rsidP="00523396">
      <w:pPr>
        <w:pStyle w:val="BodyText"/>
        <w:jc w:val="both"/>
        <w:rPr>
          <w:rFonts w:asciiTheme="minorHAnsi" w:hAnsiTheme="minorHAnsi"/>
        </w:rPr>
      </w:pPr>
      <w:r w:rsidRPr="000B7B8D">
        <w:rPr>
          <w:rFonts w:asciiTheme="minorHAnsi" w:hAnsiTheme="minorHAnsi"/>
        </w:rPr>
        <w:t xml:space="preserve">EU member states are responsible for </w:t>
      </w:r>
      <w:r w:rsidR="004E163E" w:rsidRPr="000B7B8D">
        <w:rPr>
          <w:rFonts w:asciiTheme="minorHAnsi" w:hAnsiTheme="minorHAnsi"/>
        </w:rPr>
        <w:t>setting penalties for violations of the EUTR, which must be “effective, proportionate and dissuasive”, and for establishing competent authorities to enforce its provisions</w:t>
      </w:r>
      <w:r w:rsidR="004518AA" w:rsidRPr="000B7B8D">
        <w:rPr>
          <w:rFonts w:asciiTheme="minorHAnsi" w:hAnsiTheme="minorHAnsi"/>
        </w:rPr>
        <w:t xml:space="preserve"> through regular checks on operators placing wood on the EU market</w:t>
      </w:r>
      <w:r w:rsidR="00EC52CE" w:rsidRPr="000B7B8D">
        <w:rPr>
          <w:rFonts w:asciiTheme="minorHAnsi" w:hAnsiTheme="minorHAnsi"/>
        </w:rPr>
        <w:t>.</w:t>
      </w:r>
      <w:r w:rsidR="00E6783A" w:rsidRPr="000B7B8D">
        <w:rPr>
          <w:rFonts w:asciiTheme="minorHAnsi" w:hAnsiTheme="minorHAnsi"/>
        </w:rPr>
        <w:t xml:space="preserve"> </w:t>
      </w:r>
      <w:r w:rsidR="00976FCA" w:rsidRPr="000B7B8D">
        <w:rPr>
          <w:rFonts w:asciiTheme="minorHAnsi" w:hAnsiTheme="minorHAnsi"/>
        </w:rPr>
        <w:t>Implementation of</w:t>
      </w:r>
      <w:r w:rsidR="00CD72E2" w:rsidRPr="000B7B8D">
        <w:rPr>
          <w:rFonts w:asciiTheme="minorHAnsi" w:hAnsiTheme="minorHAnsi"/>
        </w:rPr>
        <w:t xml:space="preserve"> </w:t>
      </w:r>
      <w:r w:rsidR="00976FCA" w:rsidRPr="000B7B8D">
        <w:rPr>
          <w:rFonts w:asciiTheme="minorHAnsi" w:hAnsiTheme="minorHAnsi"/>
        </w:rPr>
        <w:t xml:space="preserve">the </w:t>
      </w:r>
      <w:r w:rsidR="000365EF" w:rsidRPr="000B7B8D">
        <w:rPr>
          <w:rFonts w:asciiTheme="minorHAnsi" w:hAnsiTheme="minorHAnsi"/>
        </w:rPr>
        <w:t>EUTR</w:t>
      </w:r>
      <w:r w:rsidR="00EC52CE" w:rsidRPr="000B7B8D">
        <w:rPr>
          <w:rFonts w:asciiTheme="minorHAnsi" w:hAnsiTheme="minorHAnsi"/>
        </w:rPr>
        <w:t xml:space="preserve"> is </w:t>
      </w:r>
      <w:r w:rsidR="004518AA" w:rsidRPr="000B7B8D">
        <w:rPr>
          <w:rFonts w:asciiTheme="minorHAnsi" w:hAnsiTheme="minorHAnsi"/>
        </w:rPr>
        <w:t xml:space="preserve">overseen by </w:t>
      </w:r>
      <w:r w:rsidR="00E245F7" w:rsidRPr="000B7B8D">
        <w:rPr>
          <w:rFonts w:asciiTheme="minorHAnsi" w:hAnsiTheme="minorHAnsi"/>
        </w:rPr>
        <w:t>the European Commission</w:t>
      </w:r>
      <w:r w:rsidR="00EC52CE" w:rsidRPr="000B7B8D">
        <w:rPr>
          <w:rFonts w:asciiTheme="minorHAnsi" w:hAnsiTheme="minorHAnsi"/>
        </w:rPr>
        <w:t xml:space="preserve">, </w:t>
      </w:r>
      <w:r w:rsidR="00671749" w:rsidRPr="000B7B8D">
        <w:rPr>
          <w:rFonts w:asciiTheme="minorHAnsi" w:hAnsiTheme="minorHAnsi"/>
        </w:rPr>
        <w:t xml:space="preserve">which </w:t>
      </w:r>
      <w:r w:rsidR="008E17D4" w:rsidRPr="000B7B8D">
        <w:rPr>
          <w:rFonts w:asciiTheme="minorHAnsi" w:hAnsiTheme="minorHAnsi"/>
        </w:rPr>
        <w:t xml:space="preserve">can </w:t>
      </w:r>
      <w:r w:rsidR="000365EF" w:rsidRPr="000B7B8D">
        <w:rPr>
          <w:rFonts w:asciiTheme="minorHAnsi" w:hAnsiTheme="minorHAnsi"/>
        </w:rPr>
        <w:t>bring infringement proceedings against member states for non-compliance</w:t>
      </w:r>
      <w:r w:rsidR="00AC1DCB" w:rsidRPr="000B7B8D">
        <w:rPr>
          <w:rFonts w:asciiTheme="minorHAnsi" w:hAnsiTheme="minorHAnsi"/>
        </w:rPr>
        <w:t xml:space="preserve">, </w:t>
      </w:r>
      <w:r w:rsidR="00B90965" w:rsidRPr="000B7B8D">
        <w:rPr>
          <w:rFonts w:asciiTheme="minorHAnsi" w:hAnsiTheme="minorHAnsi"/>
        </w:rPr>
        <w:t>provide interpretative guidance,</w:t>
      </w:r>
      <w:r w:rsidR="00FD6C4A" w:rsidRPr="000B7B8D">
        <w:rPr>
          <w:rFonts w:asciiTheme="minorHAnsi" w:hAnsiTheme="minorHAnsi"/>
        </w:rPr>
        <w:t xml:space="preserve"> </w:t>
      </w:r>
      <w:r w:rsidR="000365EF" w:rsidRPr="000B7B8D">
        <w:rPr>
          <w:rFonts w:asciiTheme="minorHAnsi" w:hAnsiTheme="minorHAnsi"/>
        </w:rPr>
        <w:t xml:space="preserve">and propose revisions to the </w:t>
      </w:r>
      <w:r w:rsidR="00632817" w:rsidRPr="000B7B8D">
        <w:rPr>
          <w:rFonts w:asciiTheme="minorHAnsi" w:hAnsiTheme="minorHAnsi"/>
        </w:rPr>
        <w:t xml:space="preserve">regulation </w:t>
      </w:r>
      <w:r w:rsidR="000365EF" w:rsidRPr="000B7B8D">
        <w:rPr>
          <w:rFonts w:asciiTheme="minorHAnsi" w:hAnsiTheme="minorHAnsi"/>
        </w:rPr>
        <w:t>where needed</w:t>
      </w:r>
      <w:r w:rsidR="00E245F7" w:rsidRPr="000B7B8D">
        <w:rPr>
          <w:rFonts w:asciiTheme="minorHAnsi" w:hAnsiTheme="minorHAnsi"/>
        </w:rPr>
        <w:t xml:space="preserve">.  The EUTR requires </w:t>
      </w:r>
      <w:r w:rsidR="0048720A" w:rsidRPr="000B7B8D">
        <w:rPr>
          <w:rFonts w:asciiTheme="minorHAnsi" w:hAnsiTheme="minorHAnsi"/>
        </w:rPr>
        <w:t xml:space="preserve">national </w:t>
      </w:r>
      <w:r w:rsidR="00E245F7" w:rsidRPr="000B7B8D">
        <w:rPr>
          <w:rFonts w:asciiTheme="minorHAnsi" w:hAnsiTheme="minorHAnsi"/>
        </w:rPr>
        <w:t xml:space="preserve">competent authorities </w:t>
      </w:r>
      <w:r w:rsidR="0048720A" w:rsidRPr="000B7B8D">
        <w:rPr>
          <w:rFonts w:asciiTheme="minorHAnsi" w:hAnsiTheme="minorHAnsi"/>
        </w:rPr>
        <w:t>(</w:t>
      </w:r>
      <w:r w:rsidR="00EC52CE" w:rsidRPr="000B7B8D">
        <w:rPr>
          <w:rFonts w:asciiTheme="minorHAnsi" w:hAnsiTheme="minorHAnsi"/>
        </w:rPr>
        <w:t xml:space="preserve">CAs) </w:t>
      </w:r>
      <w:r w:rsidR="00CD72E2" w:rsidRPr="000B7B8D">
        <w:rPr>
          <w:rFonts w:asciiTheme="minorHAnsi" w:hAnsiTheme="minorHAnsi"/>
        </w:rPr>
        <w:t xml:space="preserve">to investigate “substantiated concerns” about trade in illegal timber brought forward by third parties, including </w:t>
      </w:r>
      <w:r w:rsidR="00C72295" w:rsidRPr="000B7B8D">
        <w:rPr>
          <w:rFonts w:asciiTheme="minorHAnsi" w:hAnsiTheme="minorHAnsi"/>
        </w:rPr>
        <w:t>NGOs</w:t>
      </w:r>
      <w:r w:rsidR="00CD72E2" w:rsidRPr="000B7B8D">
        <w:rPr>
          <w:rFonts w:asciiTheme="minorHAnsi" w:hAnsiTheme="minorHAnsi"/>
        </w:rPr>
        <w:t xml:space="preserve"> (European Commission</w:t>
      </w:r>
      <w:r w:rsidR="004970C8" w:rsidRPr="000B7B8D">
        <w:rPr>
          <w:rFonts w:asciiTheme="minorHAnsi" w:hAnsiTheme="minorHAnsi"/>
        </w:rPr>
        <w:t xml:space="preserve"> 2016c</w:t>
      </w:r>
      <w:r w:rsidR="003177E2" w:rsidRPr="000B7B8D">
        <w:rPr>
          <w:rFonts w:asciiTheme="minorHAnsi" w:hAnsiTheme="minorHAnsi"/>
        </w:rPr>
        <w:t>; EUTR/FLEGT Expert Group</w:t>
      </w:r>
      <w:r w:rsidR="00206764" w:rsidRPr="000B7B8D">
        <w:rPr>
          <w:rFonts w:asciiTheme="minorHAnsi" w:hAnsiTheme="minorHAnsi"/>
        </w:rPr>
        <w:t xml:space="preserve"> </w:t>
      </w:r>
      <w:r w:rsidR="00206764" w:rsidRPr="00E05C80">
        <w:rPr>
          <w:rFonts w:asciiTheme="minorHAnsi" w:hAnsiTheme="minorHAnsi"/>
        </w:rPr>
        <w:t>2017</w:t>
      </w:r>
      <w:r w:rsidR="00832AB8" w:rsidRPr="000B7B8D">
        <w:rPr>
          <w:rFonts w:asciiTheme="minorHAnsi" w:hAnsiTheme="minorHAnsi"/>
        </w:rPr>
        <w:t xml:space="preserve">). Transnational </w:t>
      </w:r>
      <w:r w:rsidR="003B43CC" w:rsidRPr="000B7B8D">
        <w:rPr>
          <w:rFonts w:asciiTheme="minorHAnsi" w:hAnsiTheme="minorHAnsi"/>
        </w:rPr>
        <w:t xml:space="preserve">NGOs </w:t>
      </w:r>
      <w:r w:rsidR="005852F9" w:rsidRPr="000B7B8D">
        <w:rPr>
          <w:rFonts w:asciiTheme="minorHAnsi" w:hAnsiTheme="minorHAnsi"/>
        </w:rPr>
        <w:t>such as Greenpeace</w:t>
      </w:r>
      <w:r w:rsidR="00CD4887" w:rsidRPr="000B7B8D">
        <w:rPr>
          <w:rFonts w:asciiTheme="minorHAnsi" w:hAnsiTheme="minorHAnsi"/>
        </w:rPr>
        <w:t xml:space="preserve"> and the Environmental Investigation Agency </w:t>
      </w:r>
      <w:r w:rsidR="00816E1F" w:rsidRPr="000B7B8D">
        <w:rPr>
          <w:rFonts w:asciiTheme="minorHAnsi" w:hAnsiTheme="minorHAnsi"/>
        </w:rPr>
        <w:t xml:space="preserve">(EIA) </w:t>
      </w:r>
      <w:r w:rsidR="00CD4887" w:rsidRPr="000B7B8D">
        <w:rPr>
          <w:rFonts w:asciiTheme="minorHAnsi" w:hAnsiTheme="minorHAnsi"/>
        </w:rPr>
        <w:t xml:space="preserve">have used this provision to </w:t>
      </w:r>
      <w:r w:rsidR="005852F9" w:rsidRPr="000B7B8D">
        <w:rPr>
          <w:rFonts w:asciiTheme="minorHAnsi" w:hAnsiTheme="minorHAnsi"/>
        </w:rPr>
        <w:t>raise</w:t>
      </w:r>
      <w:r w:rsidR="00CD4887" w:rsidRPr="000B7B8D">
        <w:rPr>
          <w:rFonts w:asciiTheme="minorHAnsi" w:hAnsiTheme="minorHAnsi"/>
        </w:rPr>
        <w:t xml:space="preserve"> </w:t>
      </w:r>
      <w:r w:rsidR="00387B04" w:rsidRPr="000B7B8D">
        <w:rPr>
          <w:rFonts w:asciiTheme="minorHAnsi" w:hAnsiTheme="minorHAnsi"/>
        </w:rPr>
        <w:t xml:space="preserve">formal </w:t>
      </w:r>
      <w:r w:rsidR="00CD4887" w:rsidRPr="000B7B8D">
        <w:rPr>
          <w:rFonts w:asciiTheme="minorHAnsi" w:hAnsiTheme="minorHAnsi"/>
        </w:rPr>
        <w:t xml:space="preserve">complaints about imports to Europe of illegally logged wood from a </w:t>
      </w:r>
      <w:r w:rsidR="003D5ACC" w:rsidRPr="000B7B8D">
        <w:rPr>
          <w:rFonts w:asciiTheme="minorHAnsi" w:hAnsiTheme="minorHAnsi"/>
        </w:rPr>
        <w:t>number</w:t>
      </w:r>
      <w:r w:rsidR="00CD4887" w:rsidRPr="000B7B8D">
        <w:rPr>
          <w:rFonts w:asciiTheme="minorHAnsi" w:hAnsiTheme="minorHAnsi"/>
        </w:rPr>
        <w:t xml:space="preserve"> of countries, including Brazil, Cameroon, and Myanmar (</w:t>
      </w:r>
      <w:r w:rsidR="00100F84" w:rsidRPr="000B7B8D">
        <w:rPr>
          <w:rFonts w:asciiTheme="minorHAnsi" w:hAnsiTheme="minorHAnsi"/>
        </w:rPr>
        <w:t xml:space="preserve">T. </w:t>
      </w:r>
      <w:r w:rsidR="00BF0E41" w:rsidRPr="000B7B8D">
        <w:rPr>
          <w:rFonts w:asciiTheme="minorHAnsi" w:hAnsiTheme="minorHAnsi"/>
        </w:rPr>
        <w:t xml:space="preserve">Hinrichs 2014; </w:t>
      </w:r>
      <w:r w:rsidR="007B104D" w:rsidRPr="000B7B8D">
        <w:rPr>
          <w:rFonts w:asciiTheme="minorHAnsi" w:hAnsiTheme="minorHAnsi"/>
        </w:rPr>
        <w:t xml:space="preserve">EIA 2017; </w:t>
      </w:r>
      <w:r w:rsidR="00A70BE6" w:rsidRPr="000B7B8D">
        <w:rPr>
          <w:rFonts w:asciiTheme="minorHAnsi" w:hAnsiTheme="minorHAnsi"/>
        </w:rPr>
        <w:t xml:space="preserve">EUTR/FLEGT Expert Group Minutes </w:t>
      </w:r>
      <w:r w:rsidR="00387B04" w:rsidRPr="000B7B8D">
        <w:rPr>
          <w:rFonts w:asciiTheme="minorHAnsi" w:hAnsiTheme="minorHAnsi"/>
        </w:rPr>
        <w:t xml:space="preserve">18/2/15, 2/12/16, 21/2/17, 19/4/17, </w:t>
      </w:r>
      <w:r w:rsidR="00C63A37" w:rsidRPr="000B7B8D">
        <w:rPr>
          <w:rFonts w:asciiTheme="minorHAnsi" w:hAnsiTheme="minorHAnsi"/>
        </w:rPr>
        <w:t>20/9/17</w:t>
      </w:r>
      <w:r w:rsidR="00BA3B0A" w:rsidRPr="000B7B8D">
        <w:rPr>
          <w:rFonts w:asciiTheme="minorHAnsi" w:hAnsiTheme="minorHAnsi"/>
        </w:rPr>
        <w:t xml:space="preserve">, </w:t>
      </w:r>
      <w:r w:rsidR="00366F0D" w:rsidRPr="000B7B8D">
        <w:rPr>
          <w:rFonts w:asciiTheme="minorHAnsi" w:hAnsiTheme="minorHAnsi"/>
        </w:rPr>
        <w:t xml:space="preserve">23/11/17, </w:t>
      </w:r>
      <w:r w:rsidR="00D376E3" w:rsidRPr="000B7B8D">
        <w:rPr>
          <w:rFonts w:asciiTheme="minorHAnsi" w:hAnsiTheme="minorHAnsi"/>
        </w:rPr>
        <w:t>19/4/18</w:t>
      </w:r>
      <w:r w:rsidR="005852F9" w:rsidRPr="000B7B8D">
        <w:rPr>
          <w:rFonts w:asciiTheme="minorHAnsi" w:hAnsiTheme="minorHAnsi"/>
        </w:rPr>
        <w:t>, 19/6/18)</w:t>
      </w:r>
      <w:r w:rsidR="00A16649" w:rsidRPr="000B7B8D">
        <w:rPr>
          <w:rFonts w:asciiTheme="minorHAnsi" w:hAnsiTheme="minorHAnsi"/>
        </w:rPr>
        <w:t xml:space="preserve">. </w:t>
      </w:r>
    </w:p>
    <w:p w14:paraId="1084FC97" w14:textId="364B380C" w:rsidR="009568DD" w:rsidRPr="000B7B8D" w:rsidRDefault="00810C9B" w:rsidP="00523396">
      <w:pPr>
        <w:pStyle w:val="BodyText"/>
        <w:jc w:val="both"/>
        <w:rPr>
          <w:rFonts w:asciiTheme="minorHAnsi" w:hAnsiTheme="minorHAnsi"/>
        </w:rPr>
      </w:pPr>
      <w:r w:rsidRPr="000B7B8D">
        <w:rPr>
          <w:rFonts w:asciiTheme="minorHAnsi" w:hAnsiTheme="minorHAnsi"/>
        </w:rPr>
        <w:t>T</w:t>
      </w:r>
      <w:r w:rsidR="00330A6D" w:rsidRPr="000B7B8D">
        <w:rPr>
          <w:rFonts w:asciiTheme="minorHAnsi" w:hAnsiTheme="minorHAnsi"/>
        </w:rPr>
        <w:t xml:space="preserve">he EUTR enhances the attractiveness of signing a partnership agreement with the EU by threatening to impose </w:t>
      </w:r>
      <w:r w:rsidR="0089596D" w:rsidRPr="000B7B8D">
        <w:rPr>
          <w:rFonts w:asciiTheme="minorHAnsi" w:hAnsiTheme="minorHAnsi"/>
        </w:rPr>
        <w:t>significant</w:t>
      </w:r>
      <w:r w:rsidR="00330A6D" w:rsidRPr="000B7B8D">
        <w:rPr>
          <w:rFonts w:asciiTheme="minorHAnsi" w:hAnsiTheme="minorHAnsi"/>
        </w:rPr>
        <w:t xml:space="preserve"> liability risks and costs on firms importing timber from non-VPA countries.  In this way, it can be understood as a penalty default.  The “</w:t>
      </w:r>
      <w:r w:rsidR="00CB6863" w:rsidRPr="000B7B8D">
        <w:rPr>
          <w:rFonts w:asciiTheme="minorHAnsi" w:hAnsiTheme="minorHAnsi"/>
        </w:rPr>
        <w:t xml:space="preserve">underlying offense” of </w:t>
      </w:r>
      <w:r w:rsidR="00891D7F" w:rsidRPr="000B7B8D">
        <w:rPr>
          <w:rFonts w:asciiTheme="minorHAnsi" w:hAnsiTheme="minorHAnsi"/>
        </w:rPr>
        <w:t>trafficking in illegal</w:t>
      </w:r>
      <w:r w:rsidR="00A07EE7" w:rsidRPr="000B7B8D">
        <w:rPr>
          <w:rFonts w:asciiTheme="minorHAnsi" w:hAnsiTheme="minorHAnsi"/>
        </w:rPr>
        <w:t>ly harvested</w:t>
      </w:r>
      <w:r w:rsidR="00891D7F" w:rsidRPr="000B7B8D">
        <w:rPr>
          <w:rFonts w:asciiTheme="minorHAnsi" w:hAnsiTheme="minorHAnsi"/>
        </w:rPr>
        <w:t xml:space="preserve"> </w:t>
      </w:r>
      <w:r w:rsidR="00A07EE7" w:rsidRPr="000B7B8D">
        <w:rPr>
          <w:rFonts w:asciiTheme="minorHAnsi" w:hAnsiTheme="minorHAnsi"/>
        </w:rPr>
        <w:t>timber</w:t>
      </w:r>
      <w:r w:rsidR="00891D7F" w:rsidRPr="000B7B8D">
        <w:rPr>
          <w:rFonts w:asciiTheme="minorHAnsi" w:hAnsiTheme="minorHAnsi"/>
        </w:rPr>
        <w:t xml:space="preserve">, </w:t>
      </w:r>
      <w:r w:rsidR="0089596D" w:rsidRPr="000B7B8D">
        <w:rPr>
          <w:rFonts w:asciiTheme="minorHAnsi" w:hAnsiTheme="minorHAnsi"/>
        </w:rPr>
        <w:t>which can lead to</w:t>
      </w:r>
      <w:r w:rsidR="00874BB0" w:rsidRPr="000B7B8D">
        <w:rPr>
          <w:rFonts w:asciiTheme="minorHAnsi" w:hAnsiTheme="minorHAnsi"/>
        </w:rPr>
        <w:t xml:space="preserve"> severe consequences, including seizure of shipments, suspensions of authorization to trade, fines, and imprisonment</w:t>
      </w:r>
      <w:r w:rsidR="006E2856" w:rsidRPr="000B7B8D">
        <w:rPr>
          <w:rFonts w:asciiTheme="minorHAnsi" w:hAnsiTheme="minorHAnsi"/>
        </w:rPr>
        <w:t>,</w:t>
      </w:r>
      <w:r w:rsidR="00874BB0" w:rsidRPr="000B7B8D">
        <w:rPr>
          <w:rFonts w:asciiTheme="minorHAnsi" w:hAnsiTheme="minorHAnsi"/>
        </w:rPr>
        <w:t xml:space="preserve"> can likewise be </w:t>
      </w:r>
      <w:r w:rsidR="00874BB0" w:rsidRPr="000B7B8D">
        <w:rPr>
          <w:rFonts w:asciiTheme="minorHAnsi" w:hAnsiTheme="minorHAnsi"/>
        </w:rPr>
        <w:lastRenderedPageBreak/>
        <w:t xml:space="preserve">seen as a penalty default inducing </w:t>
      </w:r>
      <w:r w:rsidR="00394D7C" w:rsidRPr="000B7B8D">
        <w:rPr>
          <w:rFonts w:asciiTheme="minorHAnsi" w:hAnsiTheme="minorHAnsi"/>
        </w:rPr>
        <w:t>operators</w:t>
      </w:r>
      <w:r w:rsidR="00874BB0" w:rsidRPr="000B7B8D">
        <w:rPr>
          <w:rFonts w:asciiTheme="minorHAnsi" w:hAnsiTheme="minorHAnsi"/>
        </w:rPr>
        <w:t xml:space="preserve"> to develop effective due diligence systems to </w:t>
      </w:r>
      <w:r w:rsidR="00A07EE7" w:rsidRPr="000B7B8D">
        <w:rPr>
          <w:rFonts w:asciiTheme="minorHAnsi" w:hAnsiTheme="minorHAnsi"/>
        </w:rPr>
        <w:t>minimize the</w:t>
      </w:r>
      <w:r w:rsidR="00191CBC" w:rsidRPr="000B7B8D">
        <w:rPr>
          <w:rFonts w:asciiTheme="minorHAnsi" w:hAnsiTheme="minorHAnsi"/>
        </w:rPr>
        <w:t>ir sourcing risks</w:t>
      </w:r>
      <w:r w:rsidR="00516FEC" w:rsidRPr="000B7B8D">
        <w:rPr>
          <w:rFonts w:asciiTheme="minorHAnsi" w:hAnsiTheme="minorHAnsi"/>
        </w:rPr>
        <w:t xml:space="preserve"> </w:t>
      </w:r>
      <w:r w:rsidR="00394D7C" w:rsidRPr="000B7B8D">
        <w:rPr>
          <w:rFonts w:asciiTheme="minorHAnsi" w:hAnsiTheme="minorHAnsi"/>
        </w:rPr>
        <w:t>(Overdevest &amp; Zeitlin 2018).</w:t>
      </w:r>
    </w:p>
    <w:p w14:paraId="6D056289" w14:textId="4D29B7D7" w:rsidR="00394D7C" w:rsidRPr="000B7B8D" w:rsidRDefault="001A7271" w:rsidP="00523396">
      <w:pPr>
        <w:pStyle w:val="BodyText"/>
        <w:jc w:val="both"/>
        <w:rPr>
          <w:rFonts w:asciiTheme="minorHAnsi" w:hAnsiTheme="minorHAnsi"/>
        </w:rPr>
      </w:pPr>
      <w:r w:rsidRPr="000B7B8D">
        <w:rPr>
          <w:rFonts w:asciiTheme="minorHAnsi" w:hAnsiTheme="minorHAnsi"/>
        </w:rPr>
        <w:t>M</w:t>
      </w:r>
      <w:r w:rsidR="00394D7C" w:rsidRPr="000B7B8D">
        <w:rPr>
          <w:rFonts w:asciiTheme="minorHAnsi" w:hAnsiTheme="minorHAnsi"/>
        </w:rPr>
        <w:t xml:space="preserve">any member states were initially slow to establish competent authorities for EUTR implementation, to develop procedures for checking and evaluating operators’ </w:t>
      </w:r>
      <w:r w:rsidR="001D7E8F" w:rsidRPr="000B7B8D">
        <w:rPr>
          <w:rFonts w:asciiTheme="minorHAnsi" w:hAnsiTheme="minorHAnsi"/>
        </w:rPr>
        <w:t xml:space="preserve">due diligence systems, and to introduce legal penalties for </w:t>
      </w:r>
      <w:r w:rsidR="006F49C7" w:rsidRPr="000B7B8D">
        <w:rPr>
          <w:rFonts w:asciiTheme="minorHAnsi" w:hAnsiTheme="minorHAnsi"/>
        </w:rPr>
        <w:t xml:space="preserve">violations (Saunders 2013; Hoare 2015: 42-3; European Commission </w:t>
      </w:r>
      <w:r w:rsidR="00411FD4" w:rsidRPr="000B7B8D">
        <w:rPr>
          <w:rFonts w:asciiTheme="minorHAnsi" w:hAnsiTheme="minorHAnsi"/>
        </w:rPr>
        <w:t>2016</w:t>
      </w:r>
      <w:r w:rsidR="00013AAC" w:rsidRPr="000B7B8D">
        <w:rPr>
          <w:rFonts w:asciiTheme="minorHAnsi" w:hAnsiTheme="minorHAnsi"/>
        </w:rPr>
        <w:t>d</w:t>
      </w:r>
      <w:r w:rsidR="00411FD4" w:rsidRPr="000B7B8D">
        <w:rPr>
          <w:rFonts w:asciiTheme="minorHAnsi" w:hAnsiTheme="minorHAnsi"/>
        </w:rPr>
        <w:t xml:space="preserve">). </w:t>
      </w:r>
      <w:r w:rsidR="00B510C5" w:rsidRPr="000B7B8D">
        <w:rPr>
          <w:rFonts w:asciiTheme="minorHAnsi" w:hAnsiTheme="minorHAnsi"/>
        </w:rPr>
        <w:t xml:space="preserve"> </w:t>
      </w:r>
      <w:r w:rsidR="00D210C5" w:rsidRPr="000B7B8D">
        <w:rPr>
          <w:rFonts w:asciiTheme="minorHAnsi" w:hAnsiTheme="minorHAnsi"/>
        </w:rPr>
        <w:t>Such delays are</w:t>
      </w:r>
      <w:r w:rsidR="00B510C5" w:rsidRPr="000B7B8D">
        <w:rPr>
          <w:rFonts w:asciiTheme="minorHAnsi" w:hAnsiTheme="minorHAnsi"/>
        </w:rPr>
        <w:t xml:space="preserve"> hardly surprising, since</w:t>
      </w:r>
      <w:r w:rsidR="00411FD4" w:rsidRPr="000B7B8D">
        <w:rPr>
          <w:rFonts w:asciiTheme="minorHAnsi" w:hAnsiTheme="minorHAnsi"/>
        </w:rPr>
        <w:t xml:space="preserve"> </w:t>
      </w:r>
      <w:r w:rsidR="00A76D84" w:rsidRPr="000B7B8D">
        <w:rPr>
          <w:rFonts w:asciiTheme="minorHAnsi" w:hAnsiTheme="minorHAnsi"/>
        </w:rPr>
        <w:t xml:space="preserve">neither the EU nor the member states had </w:t>
      </w:r>
      <w:r w:rsidR="00DF43A7" w:rsidRPr="000B7B8D">
        <w:rPr>
          <w:rFonts w:asciiTheme="minorHAnsi" w:hAnsiTheme="minorHAnsi"/>
        </w:rPr>
        <w:t xml:space="preserve">pre-existing </w:t>
      </w:r>
      <w:r w:rsidR="00A76D84" w:rsidRPr="000B7B8D">
        <w:rPr>
          <w:rFonts w:asciiTheme="minorHAnsi" w:hAnsiTheme="minorHAnsi"/>
        </w:rPr>
        <w:t xml:space="preserve">systems </w:t>
      </w:r>
      <w:r w:rsidR="003E03D5" w:rsidRPr="000B7B8D">
        <w:rPr>
          <w:rFonts w:asciiTheme="minorHAnsi" w:hAnsiTheme="minorHAnsi"/>
        </w:rPr>
        <w:t xml:space="preserve">in place </w:t>
      </w:r>
      <w:r w:rsidR="00A76D84" w:rsidRPr="000B7B8D">
        <w:rPr>
          <w:rFonts w:asciiTheme="minorHAnsi" w:hAnsiTheme="minorHAnsi"/>
        </w:rPr>
        <w:t xml:space="preserve">for </w:t>
      </w:r>
      <w:r w:rsidR="00D210C5" w:rsidRPr="000B7B8D">
        <w:rPr>
          <w:rFonts w:asciiTheme="minorHAnsi" w:hAnsiTheme="minorHAnsi"/>
        </w:rPr>
        <w:t>ensuring</w:t>
      </w:r>
      <w:r w:rsidR="00A76D84" w:rsidRPr="000B7B8D">
        <w:rPr>
          <w:rFonts w:asciiTheme="minorHAnsi" w:hAnsiTheme="minorHAnsi"/>
        </w:rPr>
        <w:t xml:space="preserve"> the legality of imported timber, but had to construct them together from scratch </w:t>
      </w:r>
      <w:r w:rsidR="00705A13" w:rsidRPr="000B7B8D">
        <w:rPr>
          <w:rFonts w:asciiTheme="minorHAnsi" w:hAnsiTheme="minorHAnsi"/>
        </w:rPr>
        <w:t xml:space="preserve">to meet the regulation’s </w:t>
      </w:r>
      <w:r w:rsidR="00B04D4E" w:rsidRPr="000B7B8D">
        <w:rPr>
          <w:rFonts w:asciiTheme="minorHAnsi" w:hAnsiTheme="minorHAnsi"/>
        </w:rPr>
        <w:t xml:space="preserve">novel </w:t>
      </w:r>
      <w:r w:rsidR="00705A13" w:rsidRPr="000B7B8D">
        <w:rPr>
          <w:rFonts w:asciiTheme="minorHAnsi" w:hAnsiTheme="minorHAnsi"/>
        </w:rPr>
        <w:t xml:space="preserve">requirements </w:t>
      </w:r>
      <w:r w:rsidR="00A76D84" w:rsidRPr="000B7B8D">
        <w:rPr>
          <w:rFonts w:asciiTheme="minorHAnsi" w:hAnsiTheme="minorHAnsi"/>
        </w:rPr>
        <w:t>(Overdevest &amp; Zeitlin 2015</w:t>
      </w:r>
      <w:r w:rsidR="00AB13B0" w:rsidRPr="000B7B8D">
        <w:rPr>
          <w:rFonts w:asciiTheme="minorHAnsi" w:hAnsiTheme="minorHAnsi"/>
        </w:rPr>
        <w:t xml:space="preserve">: </w:t>
      </w:r>
      <w:r w:rsidR="00747CB9" w:rsidRPr="000B7B8D">
        <w:rPr>
          <w:rFonts w:asciiTheme="minorHAnsi" w:hAnsiTheme="minorHAnsi"/>
        </w:rPr>
        <w:t>161-2</w:t>
      </w:r>
      <w:r w:rsidR="00A76D84" w:rsidRPr="000B7B8D">
        <w:rPr>
          <w:rFonts w:asciiTheme="minorHAnsi" w:hAnsiTheme="minorHAnsi"/>
        </w:rPr>
        <w:t xml:space="preserve">). </w:t>
      </w:r>
      <w:r w:rsidR="00411FD4" w:rsidRPr="000B7B8D">
        <w:rPr>
          <w:rFonts w:asciiTheme="minorHAnsi" w:hAnsiTheme="minorHAnsi"/>
        </w:rPr>
        <w:t>Th</w:t>
      </w:r>
      <w:r w:rsidR="009368FA" w:rsidRPr="000B7B8D">
        <w:rPr>
          <w:rFonts w:asciiTheme="minorHAnsi" w:hAnsiTheme="minorHAnsi"/>
        </w:rPr>
        <w:t xml:space="preserve">is uneven implementation left significant gaps through which illegal timber could enter the EU market, </w:t>
      </w:r>
      <w:r w:rsidR="00C77688" w:rsidRPr="000B7B8D">
        <w:rPr>
          <w:rFonts w:asciiTheme="minorHAnsi" w:hAnsiTheme="minorHAnsi"/>
        </w:rPr>
        <w:t>thereby weakening the Regulation’</w:t>
      </w:r>
      <w:r w:rsidR="002959EF" w:rsidRPr="000B7B8D">
        <w:rPr>
          <w:rFonts w:asciiTheme="minorHAnsi" w:hAnsiTheme="minorHAnsi"/>
        </w:rPr>
        <w:t>s dissua</w:t>
      </w:r>
      <w:r w:rsidR="00C77688" w:rsidRPr="000B7B8D">
        <w:rPr>
          <w:rFonts w:asciiTheme="minorHAnsi" w:hAnsiTheme="minorHAnsi"/>
        </w:rPr>
        <w:t>sive effectiveness, a point highlighted by the European Court of Auditors (2015) and the independent evaluation of the FLEGT Action Plan (TEREA/S-FOR-S/TOPPERSPECTIVE 2016, vol. I, pp. 50, 52-8).</w:t>
      </w:r>
    </w:p>
    <w:p w14:paraId="547EA299" w14:textId="77777777" w:rsidR="001A7271" w:rsidRPr="000B7B8D" w:rsidRDefault="00C77688" w:rsidP="00523396">
      <w:pPr>
        <w:pStyle w:val="BodyText"/>
        <w:jc w:val="both"/>
        <w:rPr>
          <w:rFonts w:asciiTheme="minorHAnsi" w:hAnsiTheme="minorHAnsi"/>
        </w:rPr>
      </w:pPr>
      <w:r w:rsidRPr="000B7B8D">
        <w:rPr>
          <w:rFonts w:asciiTheme="minorHAnsi" w:hAnsiTheme="minorHAnsi"/>
        </w:rPr>
        <w:t xml:space="preserve">But </w:t>
      </w:r>
      <w:r w:rsidR="00A234BA" w:rsidRPr="000B7B8D">
        <w:rPr>
          <w:rFonts w:asciiTheme="minorHAnsi" w:hAnsiTheme="minorHAnsi"/>
        </w:rPr>
        <w:t>following</w:t>
      </w:r>
      <w:r w:rsidR="001F69CA" w:rsidRPr="000B7B8D">
        <w:rPr>
          <w:rFonts w:asciiTheme="minorHAnsi" w:hAnsiTheme="minorHAnsi"/>
        </w:rPr>
        <w:t xml:space="preserve"> infringement proceedings initiated by European Commission, all member states (with </w:t>
      </w:r>
      <w:r w:rsidR="00816E1F" w:rsidRPr="000B7B8D">
        <w:rPr>
          <w:rFonts w:asciiTheme="minorHAnsi" w:hAnsiTheme="minorHAnsi"/>
        </w:rPr>
        <w:t>one</w:t>
      </w:r>
      <w:r w:rsidR="001F69CA" w:rsidRPr="000B7B8D">
        <w:rPr>
          <w:rFonts w:asciiTheme="minorHAnsi" w:hAnsiTheme="minorHAnsi"/>
        </w:rPr>
        <w:t xml:space="preserve"> partial exception</w:t>
      </w:r>
      <w:r w:rsidR="00810C9B" w:rsidRPr="000B7B8D">
        <w:rPr>
          <w:rFonts w:asciiTheme="minorHAnsi" w:hAnsiTheme="minorHAnsi"/>
        </w:rPr>
        <w:t>)</w:t>
      </w:r>
      <w:r w:rsidR="001F69CA" w:rsidRPr="000B7B8D">
        <w:rPr>
          <w:rStyle w:val="FootnoteReference"/>
          <w:rFonts w:asciiTheme="minorHAnsi" w:hAnsiTheme="minorHAnsi"/>
        </w:rPr>
        <w:footnoteReference w:id="11"/>
      </w:r>
      <w:r w:rsidR="001F69CA" w:rsidRPr="000B7B8D">
        <w:rPr>
          <w:rFonts w:asciiTheme="minorHAnsi" w:hAnsiTheme="minorHAnsi"/>
        </w:rPr>
        <w:t xml:space="preserve"> have now met the basic requirements for implementing the EUTR</w:t>
      </w:r>
      <w:r w:rsidR="00454E2D" w:rsidRPr="000B7B8D">
        <w:rPr>
          <w:rFonts w:asciiTheme="minorHAnsi" w:hAnsiTheme="minorHAnsi"/>
        </w:rPr>
        <w:t xml:space="preserve"> (</w:t>
      </w:r>
      <w:r w:rsidR="00D43A49" w:rsidRPr="000B7B8D">
        <w:rPr>
          <w:rFonts w:asciiTheme="minorHAnsi" w:hAnsiTheme="minorHAnsi"/>
        </w:rPr>
        <w:t>European Commission 2018b: 12</w:t>
      </w:r>
      <w:r w:rsidR="00513B92" w:rsidRPr="000B7B8D">
        <w:rPr>
          <w:rFonts w:asciiTheme="minorHAnsi" w:hAnsiTheme="minorHAnsi"/>
        </w:rPr>
        <w:t>)</w:t>
      </w:r>
      <w:r w:rsidR="001F69CA" w:rsidRPr="000B7B8D">
        <w:rPr>
          <w:rFonts w:asciiTheme="minorHAnsi" w:hAnsiTheme="minorHAnsi"/>
        </w:rPr>
        <w:t xml:space="preserve">.  </w:t>
      </w:r>
      <w:r w:rsidR="004E61B4" w:rsidRPr="000B7B8D">
        <w:rPr>
          <w:rFonts w:asciiTheme="minorHAnsi" w:hAnsiTheme="minorHAnsi"/>
        </w:rPr>
        <w:t xml:space="preserve">To support uniform implementation, </w:t>
      </w:r>
      <w:r w:rsidR="00362DA4" w:rsidRPr="000B7B8D">
        <w:rPr>
          <w:rFonts w:asciiTheme="minorHAnsi" w:hAnsiTheme="minorHAnsi"/>
        </w:rPr>
        <w:t>pool</w:t>
      </w:r>
      <w:r w:rsidR="004E61B4" w:rsidRPr="000B7B8D">
        <w:rPr>
          <w:rFonts w:asciiTheme="minorHAnsi" w:hAnsiTheme="minorHAnsi"/>
        </w:rPr>
        <w:t xml:space="preserve"> information, </w:t>
      </w:r>
      <w:r w:rsidR="00362DA4" w:rsidRPr="000B7B8D">
        <w:rPr>
          <w:rFonts w:asciiTheme="minorHAnsi" w:hAnsiTheme="minorHAnsi"/>
        </w:rPr>
        <w:t xml:space="preserve">compare experiences, identify best practices, and develop common methodologies and procedures, member state competent authorities and the European Commission </w:t>
      </w:r>
      <w:r w:rsidR="00647CE9" w:rsidRPr="000B7B8D">
        <w:rPr>
          <w:rFonts w:asciiTheme="minorHAnsi" w:hAnsiTheme="minorHAnsi"/>
        </w:rPr>
        <w:t xml:space="preserve">have </w:t>
      </w:r>
      <w:r w:rsidR="00663F92" w:rsidRPr="000B7B8D">
        <w:rPr>
          <w:rFonts w:asciiTheme="minorHAnsi" w:hAnsiTheme="minorHAnsi"/>
        </w:rPr>
        <w:t>created</w:t>
      </w:r>
      <w:r w:rsidR="00647CE9" w:rsidRPr="000B7B8D">
        <w:rPr>
          <w:rFonts w:asciiTheme="minorHAnsi" w:hAnsiTheme="minorHAnsi"/>
        </w:rPr>
        <w:t xml:space="preserve"> an EUTR/FLEGT Expert Group, which meets five times a year</w:t>
      </w:r>
      <w:r w:rsidR="0085222F" w:rsidRPr="000B7B8D">
        <w:rPr>
          <w:rFonts w:asciiTheme="minorHAnsi" w:hAnsiTheme="minorHAnsi"/>
        </w:rPr>
        <w:t xml:space="preserve">. </w:t>
      </w:r>
      <w:r w:rsidR="000F65F4" w:rsidRPr="000B7B8D">
        <w:rPr>
          <w:rFonts w:asciiTheme="minorHAnsi" w:hAnsiTheme="minorHAnsi"/>
        </w:rPr>
        <w:t xml:space="preserve"> </w:t>
      </w:r>
      <w:r w:rsidR="006E2856" w:rsidRPr="000B7B8D">
        <w:rPr>
          <w:rFonts w:asciiTheme="minorHAnsi" w:hAnsiTheme="minorHAnsi"/>
        </w:rPr>
        <w:t xml:space="preserve">CAs have </w:t>
      </w:r>
      <w:r w:rsidR="00147E88" w:rsidRPr="000B7B8D">
        <w:rPr>
          <w:rFonts w:asciiTheme="minorHAnsi" w:hAnsiTheme="minorHAnsi"/>
        </w:rPr>
        <w:t>likewise</w:t>
      </w:r>
      <w:r w:rsidR="006E2856" w:rsidRPr="000B7B8D">
        <w:rPr>
          <w:rFonts w:asciiTheme="minorHAnsi" w:hAnsiTheme="minorHAnsi"/>
        </w:rPr>
        <w:t xml:space="preserve"> </w:t>
      </w:r>
      <w:r w:rsidR="00663F92" w:rsidRPr="000B7B8D">
        <w:rPr>
          <w:rFonts w:asciiTheme="minorHAnsi" w:hAnsiTheme="minorHAnsi"/>
        </w:rPr>
        <w:t>established</w:t>
      </w:r>
      <w:r w:rsidR="006E2856" w:rsidRPr="000B7B8D">
        <w:rPr>
          <w:rFonts w:asciiTheme="minorHAnsi" w:hAnsiTheme="minorHAnsi"/>
        </w:rPr>
        <w:t xml:space="preserve"> an informal enforcement network, with a confidential website for </w:t>
      </w:r>
      <w:r w:rsidR="000F65F4" w:rsidRPr="000B7B8D">
        <w:rPr>
          <w:rFonts w:asciiTheme="minorHAnsi" w:hAnsiTheme="minorHAnsi"/>
        </w:rPr>
        <w:t xml:space="preserve">sharing documents, inspection reports, and event notifications, including </w:t>
      </w:r>
      <w:r w:rsidR="007458E5" w:rsidRPr="000B7B8D">
        <w:rPr>
          <w:rFonts w:asciiTheme="minorHAnsi" w:hAnsiTheme="minorHAnsi"/>
        </w:rPr>
        <w:t xml:space="preserve">third-party </w:t>
      </w:r>
      <w:r w:rsidR="000F65F4" w:rsidRPr="000B7B8D">
        <w:rPr>
          <w:rFonts w:asciiTheme="minorHAnsi" w:hAnsiTheme="minorHAnsi"/>
        </w:rPr>
        <w:t xml:space="preserve">substantiated concerns. </w:t>
      </w:r>
      <w:r w:rsidR="00DB550F" w:rsidRPr="000B7B8D">
        <w:rPr>
          <w:rFonts w:asciiTheme="minorHAnsi" w:hAnsiTheme="minorHAnsi"/>
        </w:rPr>
        <w:t xml:space="preserve"> </w:t>
      </w:r>
      <w:r w:rsidR="00282F56" w:rsidRPr="000B7B8D">
        <w:rPr>
          <w:rFonts w:asciiTheme="minorHAnsi" w:hAnsiTheme="minorHAnsi"/>
        </w:rPr>
        <w:t>Alongside</w:t>
      </w:r>
      <w:r w:rsidR="00A80985" w:rsidRPr="000B7B8D">
        <w:rPr>
          <w:rFonts w:asciiTheme="minorHAnsi" w:hAnsiTheme="minorHAnsi"/>
        </w:rPr>
        <w:t xml:space="preserve"> regular reviews of EUTR enforcement </w:t>
      </w:r>
      <w:r w:rsidR="005E630D" w:rsidRPr="000B7B8D">
        <w:rPr>
          <w:rFonts w:asciiTheme="minorHAnsi" w:hAnsiTheme="minorHAnsi"/>
        </w:rPr>
        <w:t xml:space="preserve">and updates on new developments, </w:t>
      </w:r>
      <w:r w:rsidR="00771E1A" w:rsidRPr="000B7B8D">
        <w:rPr>
          <w:rFonts w:asciiTheme="minorHAnsi" w:hAnsiTheme="minorHAnsi"/>
        </w:rPr>
        <w:t xml:space="preserve">Expert Group </w:t>
      </w:r>
      <w:r w:rsidR="001E22E8" w:rsidRPr="000B7B8D">
        <w:rPr>
          <w:rFonts w:asciiTheme="minorHAnsi" w:hAnsiTheme="minorHAnsi"/>
        </w:rPr>
        <w:t xml:space="preserve">meetings </w:t>
      </w:r>
      <w:r w:rsidR="00C20471" w:rsidRPr="000B7B8D">
        <w:rPr>
          <w:rFonts w:asciiTheme="minorHAnsi" w:hAnsiTheme="minorHAnsi"/>
        </w:rPr>
        <w:t xml:space="preserve">include </w:t>
      </w:r>
      <w:r w:rsidR="007458E5" w:rsidRPr="000B7B8D">
        <w:rPr>
          <w:rFonts w:asciiTheme="minorHAnsi" w:hAnsiTheme="minorHAnsi"/>
        </w:rPr>
        <w:t xml:space="preserve">presentations by recognized Monitoring Organizations, private certification bodies, </w:t>
      </w:r>
      <w:r w:rsidR="003B43CC" w:rsidRPr="000B7B8D">
        <w:rPr>
          <w:rFonts w:asciiTheme="minorHAnsi" w:hAnsiTheme="minorHAnsi"/>
        </w:rPr>
        <w:t xml:space="preserve">NGOs </w:t>
      </w:r>
      <w:r w:rsidR="007458E5" w:rsidRPr="000B7B8D">
        <w:rPr>
          <w:rFonts w:asciiTheme="minorHAnsi" w:hAnsiTheme="minorHAnsi"/>
        </w:rPr>
        <w:t xml:space="preserve">raising substantiated concerns, and producer-country governments contesting such claims. </w:t>
      </w:r>
      <w:r w:rsidR="002C62CE" w:rsidRPr="000B7B8D">
        <w:rPr>
          <w:rFonts w:asciiTheme="minorHAnsi" w:hAnsiTheme="minorHAnsi"/>
        </w:rPr>
        <w:t xml:space="preserve"> </w:t>
      </w:r>
      <w:r w:rsidR="00282F56" w:rsidRPr="000B7B8D">
        <w:rPr>
          <w:rFonts w:asciiTheme="minorHAnsi" w:hAnsiTheme="minorHAnsi"/>
        </w:rPr>
        <w:t xml:space="preserve">On this basis, the Expert Group </w:t>
      </w:r>
      <w:r w:rsidR="00BD5A77" w:rsidRPr="000B7B8D">
        <w:rPr>
          <w:rFonts w:asciiTheme="minorHAnsi" w:hAnsiTheme="minorHAnsi"/>
        </w:rPr>
        <w:t xml:space="preserve">reaches authoritative conclusions </w:t>
      </w:r>
      <w:r w:rsidR="00282F56" w:rsidRPr="000B7B8D">
        <w:rPr>
          <w:rFonts w:asciiTheme="minorHAnsi" w:hAnsiTheme="minorHAnsi"/>
        </w:rPr>
        <w:t xml:space="preserve">on </w:t>
      </w:r>
      <w:r w:rsidR="00614448" w:rsidRPr="000B7B8D">
        <w:rPr>
          <w:rFonts w:asciiTheme="minorHAnsi" w:hAnsiTheme="minorHAnsi"/>
        </w:rPr>
        <w:t xml:space="preserve">the validity of these concerns </w:t>
      </w:r>
      <w:r w:rsidR="006D39B7" w:rsidRPr="000B7B8D">
        <w:rPr>
          <w:rFonts w:asciiTheme="minorHAnsi" w:hAnsiTheme="minorHAnsi"/>
        </w:rPr>
        <w:t xml:space="preserve">in </w:t>
      </w:r>
      <w:r w:rsidR="006D39B7" w:rsidRPr="000B7B8D">
        <w:rPr>
          <w:rFonts w:asciiTheme="minorHAnsi" w:hAnsiTheme="minorHAnsi"/>
        </w:rPr>
        <w:lastRenderedPageBreak/>
        <w:t>specific cases</w:t>
      </w:r>
      <w:r w:rsidR="002C62CE" w:rsidRPr="000B7B8D">
        <w:rPr>
          <w:rFonts w:asciiTheme="minorHAnsi" w:hAnsiTheme="minorHAnsi"/>
        </w:rPr>
        <w:t xml:space="preserve"> </w:t>
      </w:r>
      <w:r w:rsidR="000B4FE8" w:rsidRPr="000B7B8D">
        <w:rPr>
          <w:rFonts w:asciiTheme="minorHAnsi" w:hAnsiTheme="minorHAnsi"/>
        </w:rPr>
        <w:t>(</w:t>
      </w:r>
      <w:r w:rsidR="002C62CE" w:rsidRPr="000B7B8D">
        <w:rPr>
          <w:rFonts w:asciiTheme="minorHAnsi" w:hAnsiTheme="minorHAnsi"/>
        </w:rPr>
        <w:t>e.g. teak from Myanmar</w:t>
      </w:r>
      <w:r w:rsidR="00766709" w:rsidRPr="000B7B8D">
        <w:rPr>
          <w:rFonts w:asciiTheme="minorHAnsi" w:hAnsiTheme="minorHAnsi"/>
        </w:rPr>
        <w:t xml:space="preserve"> and timber from the Brazilian Amazon</w:t>
      </w:r>
      <w:r w:rsidR="002C62CE" w:rsidRPr="000B7B8D">
        <w:rPr>
          <w:rFonts w:asciiTheme="minorHAnsi" w:hAnsiTheme="minorHAnsi"/>
        </w:rPr>
        <w:t>)</w:t>
      </w:r>
      <w:r w:rsidR="006D39B7" w:rsidRPr="000B7B8D">
        <w:rPr>
          <w:rFonts w:asciiTheme="minorHAnsi" w:hAnsiTheme="minorHAnsi"/>
        </w:rPr>
        <w:t>, and has developed</w:t>
      </w:r>
      <w:r w:rsidR="000B4FE8" w:rsidRPr="000B7B8D">
        <w:rPr>
          <w:rFonts w:asciiTheme="minorHAnsi" w:hAnsiTheme="minorHAnsi"/>
        </w:rPr>
        <w:t xml:space="preserve"> a series of guidance documents</w:t>
      </w:r>
      <w:r w:rsidR="006D39B7" w:rsidRPr="000B7B8D">
        <w:rPr>
          <w:rFonts w:asciiTheme="minorHAnsi" w:hAnsiTheme="minorHAnsi"/>
        </w:rPr>
        <w:t xml:space="preserve"> </w:t>
      </w:r>
      <w:r w:rsidR="00BD5A77" w:rsidRPr="000B7B8D">
        <w:rPr>
          <w:rFonts w:asciiTheme="minorHAnsi" w:hAnsiTheme="minorHAnsi"/>
        </w:rPr>
        <w:t>covering</w:t>
      </w:r>
      <w:r w:rsidR="006D39B7" w:rsidRPr="000B7B8D">
        <w:rPr>
          <w:rFonts w:asciiTheme="minorHAnsi" w:hAnsiTheme="minorHAnsi"/>
        </w:rPr>
        <w:t xml:space="preserve"> key issues such as risk mitigation</w:t>
      </w:r>
      <w:r w:rsidR="00BD5A77" w:rsidRPr="000B7B8D">
        <w:rPr>
          <w:rFonts w:asciiTheme="minorHAnsi" w:hAnsiTheme="minorHAnsi"/>
        </w:rPr>
        <w:t xml:space="preserve"> measures</w:t>
      </w:r>
      <w:r w:rsidR="006D39B7" w:rsidRPr="000B7B8D">
        <w:rPr>
          <w:rFonts w:asciiTheme="minorHAnsi" w:hAnsiTheme="minorHAnsi"/>
        </w:rPr>
        <w:t xml:space="preserve">, </w:t>
      </w:r>
      <w:r w:rsidR="00BD5A77" w:rsidRPr="000B7B8D">
        <w:rPr>
          <w:rFonts w:asciiTheme="minorHAnsi" w:hAnsiTheme="minorHAnsi"/>
        </w:rPr>
        <w:t>third-party verification schemes, and conflict timber</w:t>
      </w:r>
      <w:r w:rsidR="00575E64" w:rsidRPr="000B7B8D">
        <w:rPr>
          <w:rFonts w:asciiTheme="minorHAnsi" w:hAnsiTheme="minorHAnsi"/>
        </w:rPr>
        <w:t>.</w:t>
      </w:r>
      <w:r w:rsidR="00575E64" w:rsidRPr="000B7B8D">
        <w:rPr>
          <w:rStyle w:val="FootnoteReference"/>
          <w:rFonts w:asciiTheme="minorHAnsi" w:hAnsiTheme="minorHAnsi"/>
        </w:rPr>
        <w:footnoteReference w:id="12"/>
      </w:r>
      <w:r w:rsidR="00575E64" w:rsidRPr="000B7B8D">
        <w:rPr>
          <w:rFonts w:asciiTheme="minorHAnsi" w:hAnsiTheme="minorHAnsi"/>
        </w:rPr>
        <w:t xml:space="preserve"> </w:t>
      </w:r>
      <w:r w:rsidR="00766709" w:rsidRPr="000B7B8D">
        <w:rPr>
          <w:rFonts w:asciiTheme="minorHAnsi" w:hAnsiTheme="minorHAnsi"/>
        </w:rPr>
        <w:t xml:space="preserve"> </w:t>
      </w:r>
    </w:p>
    <w:p w14:paraId="5BA3960A" w14:textId="1930AC37" w:rsidR="00C77688" w:rsidRPr="000B7B8D" w:rsidRDefault="00407656" w:rsidP="00523396">
      <w:pPr>
        <w:pStyle w:val="BodyText"/>
        <w:jc w:val="both"/>
        <w:rPr>
          <w:rFonts w:asciiTheme="minorHAnsi" w:hAnsiTheme="minorHAnsi"/>
        </w:rPr>
      </w:pPr>
      <w:r w:rsidRPr="000B7B8D">
        <w:rPr>
          <w:rFonts w:asciiTheme="minorHAnsi" w:hAnsiTheme="minorHAnsi"/>
        </w:rPr>
        <w:t>National</w:t>
      </w:r>
      <w:r w:rsidR="00575E64" w:rsidRPr="000B7B8D">
        <w:rPr>
          <w:rFonts w:asciiTheme="minorHAnsi" w:hAnsiTheme="minorHAnsi"/>
        </w:rPr>
        <w:t xml:space="preserve"> authorities</w:t>
      </w:r>
      <w:r w:rsidR="00107CF2" w:rsidRPr="000B7B8D">
        <w:rPr>
          <w:rFonts w:asciiTheme="minorHAnsi" w:hAnsiTheme="minorHAnsi"/>
        </w:rPr>
        <w:t xml:space="preserve"> </w:t>
      </w:r>
      <w:r w:rsidR="00554AA9" w:rsidRPr="000B7B8D">
        <w:rPr>
          <w:rFonts w:asciiTheme="minorHAnsi" w:hAnsiTheme="minorHAnsi"/>
        </w:rPr>
        <w:t xml:space="preserve">have </w:t>
      </w:r>
      <w:r w:rsidR="00121A2E" w:rsidRPr="000B7B8D">
        <w:rPr>
          <w:rFonts w:asciiTheme="minorHAnsi" w:hAnsiTheme="minorHAnsi"/>
        </w:rPr>
        <w:t xml:space="preserve">also </w:t>
      </w:r>
      <w:r w:rsidR="00554AA9" w:rsidRPr="000B7B8D">
        <w:rPr>
          <w:rFonts w:asciiTheme="minorHAnsi" w:hAnsiTheme="minorHAnsi"/>
        </w:rPr>
        <w:t xml:space="preserve">begun to </w:t>
      </w:r>
      <w:r w:rsidR="00795ABF" w:rsidRPr="000B7B8D">
        <w:rPr>
          <w:rFonts w:asciiTheme="minorHAnsi" w:hAnsiTheme="minorHAnsi"/>
        </w:rPr>
        <w:t>work together</w:t>
      </w:r>
      <w:r w:rsidR="00B479E0" w:rsidRPr="000B7B8D">
        <w:rPr>
          <w:rFonts w:asciiTheme="minorHAnsi" w:hAnsiTheme="minorHAnsi"/>
        </w:rPr>
        <w:t xml:space="preserve"> </w:t>
      </w:r>
      <w:r w:rsidR="00795ABF" w:rsidRPr="000B7B8D">
        <w:rPr>
          <w:rFonts w:asciiTheme="minorHAnsi" w:hAnsiTheme="minorHAnsi"/>
        </w:rPr>
        <w:t>in smaller</w:t>
      </w:r>
      <w:r w:rsidR="00B479E0" w:rsidRPr="000B7B8D">
        <w:rPr>
          <w:rFonts w:asciiTheme="minorHAnsi" w:hAnsiTheme="minorHAnsi"/>
        </w:rPr>
        <w:t xml:space="preserve"> groups to map supply chains in high-risk countries, assess the adequacy of companies’ due diligence procedures, </w:t>
      </w:r>
      <w:r w:rsidR="00795ABF" w:rsidRPr="000B7B8D">
        <w:rPr>
          <w:rFonts w:asciiTheme="minorHAnsi" w:hAnsiTheme="minorHAnsi"/>
        </w:rPr>
        <w:t xml:space="preserve">provide common training, and carry out joint inspections. </w:t>
      </w:r>
      <w:r w:rsidR="00121A2E" w:rsidRPr="000B7B8D">
        <w:rPr>
          <w:rFonts w:asciiTheme="minorHAnsi" w:hAnsiTheme="minorHAnsi"/>
        </w:rPr>
        <w:t xml:space="preserve"> Such cooperation has become increasingly formalized </w:t>
      </w:r>
      <w:r w:rsidR="000B4FE8" w:rsidRPr="000B7B8D">
        <w:rPr>
          <w:rFonts w:asciiTheme="minorHAnsi" w:hAnsiTheme="minorHAnsi"/>
        </w:rPr>
        <w:t xml:space="preserve">through regular meetings of </w:t>
      </w:r>
      <w:r w:rsidR="00147E88" w:rsidRPr="000B7B8D">
        <w:rPr>
          <w:rFonts w:asciiTheme="minorHAnsi" w:hAnsiTheme="minorHAnsi"/>
        </w:rPr>
        <w:t xml:space="preserve">geographical </w:t>
      </w:r>
      <w:r w:rsidR="000B4FE8" w:rsidRPr="000B7B8D">
        <w:rPr>
          <w:rFonts w:asciiTheme="minorHAnsi" w:hAnsiTheme="minorHAnsi"/>
        </w:rPr>
        <w:t xml:space="preserve">sub-groups of </w:t>
      </w:r>
      <w:r w:rsidR="0048720A" w:rsidRPr="000B7B8D">
        <w:rPr>
          <w:rFonts w:asciiTheme="minorHAnsi" w:hAnsiTheme="minorHAnsi"/>
        </w:rPr>
        <w:t>CA</w:t>
      </w:r>
      <w:r w:rsidR="00147E88" w:rsidRPr="000B7B8D">
        <w:rPr>
          <w:rFonts w:asciiTheme="minorHAnsi" w:hAnsiTheme="minorHAnsi"/>
        </w:rPr>
        <w:t>s from the Nordic-Baltics, the British Isles, the Mediterranean, and Central and Eastern Europe, aimed at developing common approaches</w:t>
      </w:r>
      <w:r w:rsidR="00625F35" w:rsidRPr="000B7B8D">
        <w:rPr>
          <w:rFonts w:asciiTheme="minorHAnsi" w:hAnsiTheme="minorHAnsi"/>
        </w:rPr>
        <w:t>, learning from one another’s experience,</w:t>
      </w:r>
      <w:r w:rsidR="00147E88" w:rsidRPr="000B7B8D">
        <w:rPr>
          <w:rFonts w:asciiTheme="minorHAnsi" w:hAnsiTheme="minorHAnsi"/>
        </w:rPr>
        <w:t xml:space="preserve"> and harmonizing EUTR implementation across their regions</w:t>
      </w:r>
      <w:r w:rsidR="00575E64" w:rsidRPr="000B7B8D">
        <w:rPr>
          <w:rFonts w:asciiTheme="minorHAnsi" w:hAnsiTheme="minorHAnsi"/>
        </w:rPr>
        <w:t xml:space="preserve"> </w:t>
      </w:r>
      <w:r w:rsidR="00697D90" w:rsidRPr="000B7B8D">
        <w:rPr>
          <w:rFonts w:asciiTheme="minorHAnsi" w:hAnsiTheme="minorHAnsi"/>
        </w:rPr>
        <w:t>(</w:t>
      </w:r>
      <w:r w:rsidR="002360CF" w:rsidRPr="000B7B8D">
        <w:rPr>
          <w:rFonts w:asciiTheme="minorHAnsi" w:hAnsiTheme="minorHAnsi"/>
        </w:rPr>
        <w:t>UNEP-</w:t>
      </w:r>
      <w:r w:rsidR="00E9298B" w:rsidRPr="000B7B8D">
        <w:rPr>
          <w:rFonts w:asciiTheme="minorHAnsi" w:hAnsiTheme="minorHAnsi"/>
        </w:rPr>
        <w:t>WCMC</w:t>
      </w:r>
      <w:r w:rsidR="00F028A4" w:rsidRPr="000B7B8D">
        <w:rPr>
          <w:rFonts w:asciiTheme="minorHAnsi" w:hAnsiTheme="minorHAnsi"/>
        </w:rPr>
        <w:t xml:space="preserve"> </w:t>
      </w:r>
      <w:r w:rsidR="00D0110F" w:rsidRPr="000B7B8D">
        <w:rPr>
          <w:rFonts w:asciiTheme="minorHAnsi" w:hAnsiTheme="minorHAnsi"/>
        </w:rPr>
        <w:t>2018</w:t>
      </w:r>
      <w:r w:rsidR="00313831" w:rsidRPr="000B7B8D">
        <w:rPr>
          <w:rFonts w:asciiTheme="minorHAnsi" w:hAnsiTheme="minorHAnsi"/>
        </w:rPr>
        <w:t>a</w:t>
      </w:r>
      <w:r w:rsidR="00D0110F" w:rsidRPr="000B7B8D">
        <w:rPr>
          <w:rFonts w:asciiTheme="minorHAnsi" w:hAnsiTheme="minorHAnsi"/>
        </w:rPr>
        <w:t xml:space="preserve">: </w:t>
      </w:r>
      <w:r w:rsidR="00980494" w:rsidRPr="000B7B8D">
        <w:rPr>
          <w:rFonts w:asciiTheme="minorHAnsi" w:hAnsiTheme="minorHAnsi"/>
        </w:rPr>
        <w:t xml:space="preserve">5, </w:t>
      </w:r>
      <w:r w:rsidR="00D0110F" w:rsidRPr="000B7B8D">
        <w:rPr>
          <w:rFonts w:asciiTheme="minorHAnsi" w:hAnsiTheme="minorHAnsi"/>
        </w:rPr>
        <w:t>10</w:t>
      </w:r>
      <w:r w:rsidR="00DE517C" w:rsidRPr="000B7B8D">
        <w:rPr>
          <w:rFonts w:asciiTheme="minorHAnsi" w:hAnsiTheme="minorHAnsi"/>
        </w:rPr>
        <w:t xml:space="preserve">; </w:t>
      </w:r>
      <w:r w:rsidR="002360CF" w:rsidRPr="000B7B8D">
        <w:rPr>
          <w:rFonts w:asciiTheme="minorHAnsi" w:hAnsiTheme="minorHAnsi"/>
        </w:rPr>
        <w:t>UNEP-</w:t>
      </w:r>
      <w:r w:rsidR="00E9298B" w:rsidRPr="000B7B8D">
        <w:rPr>
          <w:rFonts w:asciiTheme="minorHAnsi" w:hAnsiTheme="minorHAnsi"/>
        </w:rPr>
        <w:t>WCMC</w:t>
      </w:r>
      <w:r w:rsidR="00D0110F" w:rsidRPr="000B7B8D">
        <w:rPr>
          <w:rFonts w:asciiTheme="minorHAnsi" w:hAnsiTheme="minorHAnsi"/>
        </w:rPr>
        <w:t xml:space="preserve"> </w:t>
      </w:r>
      <w:r w:rsidR="00FA357F" w:rsidRPr="000B7B8D">
        <w:rPr>
          <w:rFonts w:asciiTheme="minorHAnsi" w:hAnsiTheme="minorHAnsi"/>
          <w:i/>
        </w:rPr>
        <w:t>Briefing Note</w:t>
      </w:r>
      <w:r w:rsidR="00BF779E" w:rsidRPr="000B7B8D">
        <w:rPr>
          <w:rFonts w:asciiTheme="minorHAnsi" w:hAnsiTheme="minorHAnsi"/>
          <w:i/>
        </w:rPr>
        <w:t>s</w:t>
      </w:r>
      <w:r w:rsidR="00DC412B" w:rsidRPr="000B7B8D">
        <w:rPr>
          <w:rFonts w:asciiTheme="minorHAnsi" w:hAnsiTheme="minorHAnsi"/>
        </w:rPr>
        <w:t xml:space="preserve"> Apr.-May 2017,</w:t>
      </w:r>
      <w:r w:rsidR="00FA357F" w:rsidRPr="000B7B8D">
        <w:rPr>
          <w:rFonts w:asciiTheme="minorHAnsi" w:hAnsiTheme="minorHAnsi"/>
        </w:rPr>
        <w:t xml:space="preserve"> </w:t>
      </w:r>
      <w:r w:rsidR="00DC412B" w:rsidRPr="000B7B8D">
        <w:rPr>
          <w:rFonts w:asciiTheme="minorHAnsi" w:hAnsiTheme="minorHAnsi"/>
        </w:rPr>
        <w:t>Aug.-Oct. 2017, Apr.</w:t>
      </w:r>
      <w:r w:rsidR="00FA357F" w:rsidRPr="000B7B8D">
        <w:rPr>
          <w:rFonts w:asciiTheme="minorHAnsi" w:hAnsiTheme="minorHAnsi"/>
        </w:rPr>
        <w:t>-May 2018</w:t>
      </w:r>
      <w:r w:rsidR="00D0110F" w:rsidRPr="000B7B8D">
        <w:rPr>
          <w:rFonts w:asciiTheme="minorHAnsi" w:hAnsiTheme="minorHAnsi"/>
        </w:rPr>
        <w:t>; EUTR/FLEGT Expert Group Minutes 20/9/17, 23/11/17, 19/6/18</w:t>
      </w:r>
      <w:r w:rsidR="00711358" w:rsidRPr="000B7B8D">
        <w:rPr>
          <w:rFonts w:asciiTheme="minorHAnsi" w:hAnsiTheme="minorHAnsi"/>
        </w:rPr>
        <w:t xml:space="preserve">; </w:t>
      </w:r>
      <w:r w:rsidR="004E0F35" w:rsidRPr="000B7B8D">
        <w:rPr>
          <w:rFonts w:asciiTheme="minorHAnsi" w:hAnsiTheme="minorHAnsi"/>
        </w:rPr>
        <w:t>Masuda 2017</w:t>
      </w:r>
      <w:r w:rsidR="00FA357F" w:rsidRPr="000B7B8D">
        <w:rPr>
          <w:rFonts w:asciiTheme="minorHAnsi" w:hAnsiTheme="minorHAnsi"/>
        </w:rPr>
        <w:t>)</w:t>
      </w:r>
      <w:r w:rsidR="00147E88" w:rsidRPr="000B7B8D">
        <w:rPr>
          <w:rFonts w:asciiTheme="minorHAnsi" w:hAnsiTheme="minorHAnsi"/>
        </w:rPr>
        <w:t xml:space="preserve">. </w:t>
      </w:r>
    </w:p>
    <w:p w14:paraId="175F96EE" w14:textId="77777777" w:rsidR="001A7271" w:rsidRPr="000B7B8D" w:rsidRDefault="000417A6" w:rsidP="00523396">
      <w:pPr>
        <w:pStyle w:val="BodyText"/>
        <w:jc w:val="both"/>
        <w:rPr>
          <w:rFonts w:asciiTheme="minorHAnsi" w:hAnsiTheme="minorHAnsi"/>
        </w:rPr>
      </w:pPr>
      <w:r w:rsidRPr="000B7B8D">
        <w:rPr>
          <w:rFonts w:asciiTheme="minorHAnsi" w:hAnsiTheme="minorHAnsi"/>
        </w:rPr>
        <w:t xml:space="preserve">As a result of these developments, the level of EUTR enforcement activity has </w:t>
      </w:r>
      <w:r w:rsidR="00E12C74" w:rsidRPr="000B7B8D">
        <w:rPr>
          <w:rFonts w:asciiTheme="minorHAnsi" w:hAnsiTheme="minorHAnsi"/>
        </w:rPr>
        <w:t>increased</w:t>
      </w:r>
      <w:r w:rsidRPr="000B7B8D">
        <w:rPr>
          <w:rFonts w:asciiTheme="minorHAnsi" w:hAnsiTheme="minorHAnsi"/>
        </w:rPr>
        <w:t xml:space="preserve"> significantly in recent years, including site visits, due diligence assessments, corrective action requests, </w:t>
      </w:r>
      <w:r w:rsidR="00374F1C" w:rsidRPr="000B7B8D">
        <w:rPr>
          <w:rFonts w:asciiTheme="minorHAnsi" w:hAnsiTheme="minorHAnsi"/>
        </w:rPr>
        <w:t xml:space="preserve">injunctions, </w:t>
      </w:r>
      <w:r w:rsidRPr="000B7B8D">
        <w:rPr>
          <w:rFonts w:asciiTheme="minorHAnsi" w:hAnsiTheme="minorHAnsi"/>
        </w:rPr>
        <w:t xml:space="preserve">and sanctions or financial penalties. </w:t>
      </w:r>
      <w:r w:rsidR="00967B99" w:rsidRPr="000B7B8D">
        <w:rPr>
          <w:rFonts w:asciiTheme="minorHAnsi" w:hAnsiTheme="minorHAnsi"/>
        </w:rPr>
        <w:t xml:space="preserve"> </w:t>
      </w:r>
      <w:r w:rsidR="00980494" w:rsidRPr="000B7B8D">
        <w:rPr>
          <w:rFonts w:asciiTheme="minorHAnsi" w:hAnsiTheme="minorHAnsi"/>
        </w:rPr>
        <w:t xml:space="preserve">Between March 2015 </w:t>
      </w:r>
      <w:r w:rsidR="00104DD4" w:rsidRPr="000B7B8D">
        <w:rPr>
          <w:rFonts w:asciiTheme="minorHAnsi" w:hAnsiTheme="minorHAnsi"/>
        </w:rPr>
        <w:t>and February 2017, member state competent authorities conducted 2798 checks on imported timber, resulting in 525 notices of remedial action, 139 penalties, and 286 administrative measures</w:t>
      </w:r>
      <w:r w:rsidR="009B71BE" w:rsidRPr="000B7B8D">
        <w:rPr>
          <w:rFonts w:asciiTheme="minorHAnsi" w:hAnsiTheme="minorHAnsi"/>
        </w:rPr>
        <w:t xml:space="preserve">.  </w:t>
      </w:r>
      <w:r w:rsidR="0048720A" w:rsidRPr="000B7B8D">
        <w:rPr>
          <w:rFonts w:asciiTheme="minorHAnsi" w:hAnsiTheme="minorHAnsi"/>
        </w:rPr>
        <w:t>According to survey</w:t>
      </w:r>
      <w:r w:rsidR="004706B0" w:rsidRPr="000B7B8D">
        <w:rPr>
          <w:rFonts w:asciiTheme="minorHAnsi" w:hAnsiTheme="minorHAnsi"/>
        </w:rPr>
        <w:t>s</w:t>
      </w:r>
      <w:r w:rsidR="0048720A" w:rsidRPr="000B7B8D">
        <w:rPr>
          <w:rFonts w:asciiTheme="minorHAnsi" w:hAnsiTheme="minorHAnsi"/>
        </w:rPr>
        <w:t xml:space="preserve"> conducted by the </w:t>
      </w:r>
      <w:r w:rsidR="004706B0" w:rsidRPr="000B7B8D">
        <w:rPr>
          <w:rFonts w:asciiTheme="minorHAnsi" w:hAnsiTheme="minorHAnsi"/>
        </w:rPr>
        <w:t>United Nations</w:t>
      </w:r>
      <w:r w:rsidR="002360CF" w:rsidRPr="000B7B8D">
        <w:rPr>
          <w:rFonts w:asciiTheme="minorHAnsi" w:hAnsiTheme="minorHAnsi"/>
        </w:rPr>
        <w:t xml:space="preserve"> Environment Programme</w:t>
      </w:r>
      <w:r w:rsidR="004706B0" w:rsidRPr="000B7B8D">
        <w:rPr>
          <w:rFonts w:asciiTheme="minorHAnsi" w:hAnsiTheme="minorHAnsi"/>
        </w:rPr>
        <w:t>’</w:t>
      </w:r>
      <w:r w:rsidR="002360CF" w:rsidRPr="000B7B8D">
        <w:rPr>
          <w:rFonts w:asciiTheme="minorHAnsi" w:hAnsiTheme="minorHAnsi"/>
        </w:rPr>
        <w:t>s</w:t>
      </w:r>
      <w:r w:rsidR="004706B0" w:rsidRPr="000B7B8D">
        <w:rPr>
          <w:rFonts w:asciiTheme="minorHAnsi" w:hAnsiTheme="minorHAnsi"/>
        </w:rPr>
        <w:t xml:space="preserve"> World Conservation Monitoring Centre (</w:t>
      </w:r>
      <w:r w:rsidR="002360CF" w:rsidRPr="000B7B8D">
        <w:rPr>
          <w:rFonts w:asciiTheme="minorHAnsi" w:hAnsiTheme="minorHAnsi"/>
        </w:rPr>
        <w:t>UNEP-</w:t>
      </w:r>
      <w:r w:rsidR="004706B0" w:rsidRPr="000B7B8D">
        <w:rPr>
          <w:rFonts w:asciiTheme="minorHAnsi" w:hAnsiTheme="minorHAnsi"/>
        </w:rPr>
        <w:t xml:space="preserve">WCMC), </w:t>
      </w:r>
      <w:r w:rsidR="00AA1F9F" w:rsidRPr="000B7B8D">
        <w:rPr>
          <w:rFonts w:asciiTheme="minorHAnsi" w:hAnsiTheme="minorHAnsi"/>
        </w:rPr>
        <w:t xml:space="preserve">responding CAs </w:t>
      </w:r>
      <w:r w:rsidR="004706B0" w:rsidRPr="000B7B8D">
        <w:rPr>
          <w:rFonts w:asciiTheme="minorHAnsi" w:hAnsiTheme="minorHAnsi"/>
        </w:rPr>
        <w:t xml:space="preserve">carried out </w:t>
      </w:r>
      <w:r w:rsidR="009F374F" w:rsidRPr="000B7B8D">
        <w:rPr>
          <w:rFonts w:asciiTheme="minorHAnsi" w:hAnsiTheme="minorHAnsi"/>
        </w:rPr>
        <w:t>1511</w:t>
      </w:r>
      <w:r w:rsidR="004706B0" w:rsidRPr="000B7B8D">
        <w:rPr>
          <w:rFonts w:asciiTheme="minorHAnsi" w:hAnsiTheme="minorHAnsi"/>
        </w:rPr>
        <w:t xml:space="preserve"> checks on importing timber operators and traders between March </w:t>
      </w:r>
      <w:r w:rsidR="009F374F" w:rsidRPr="000B7B8D">
        <w:rPr>
          <w:rFonts w:asciiTheme="minorHAnsi" w:hAnsiTheme="minorHAnsi"/>
        </w:rPr>
        <w:t xml:space="preserve">2017 </w:t>
      </w:r>
      <w:r w:rsidR="004706B0" w:rsidRPr="000B7B8D">
        <w:rPr>
          <w:rFonts w:asciiTheme="minorHAnsi" w:hAnsiTheme="minorHAnsi"/>
        </w:rPr>
        <w:t xml:space="preserve">and </w:t>
      </w:r>
      <w:r w:rsidR="009F374F" w:rsidRPr="000B7B8D">
        <w:rPr>
          <w:rFonts w:asciiTheme="minorHAnsi" w:hAnsiTheme="minorHAnsi"/>
        </w:rPr>
        <w:t>June 2018, with a clear rising trend over this period</w:t>
      </w:r>
      <w:r w:rsidR="004706B0" w:rsidRPr="000B7B8D">
        <w:rPr>
          <w:rFonts w:asciiTheme="minorHAnsi" w:hAnsiTheme="minorHAnsi"/>
        </w:rPr>
        <w:t xml:space="preserve">.  </w:t>
      </w:r>
      <w:r w:rsidR="006B6685" w:rsidRPr="000B7B8D">
        <w:rPr>
          <w:rFonts w:asciiTheme="minorHAnsi" w:hAnsiTheme="minorHAnsi"/>
        </w:rPr>
        <w:t xml:space="preserve">The majority of these checks and enforcement actions concerned </w:t>
      </w:r>
      <w:r w:rsidR="00DE517C" w:rsidRPr="000B7B8D">
        <w:rPr>
          <w:rFonts w:asciiTheme="minorHAnsi" w:hAnsiTheme="minorHAnsi"/>
        </w:rPr>
        <w:t xml:space="preserve">operators’ failure to conduct adequate due diligence, which is much easier to detect, prove, and follow up on than </w:t>
      </w:r>
      <w:r w:rsidR="00DE517C" w:rsidRPr="000B7B8D">
        <w:rPr>
          <w:rFonts w:asciiTheme="minorHAnsi" w:hAnsiTheme="minorHAnsi"/>
        </w:rPr>
        <w:lastRenderedPageBreak/>
        <w:t>violations of the prohibition on trafficking in illegal timber</w:t>
      </w:r>
      <w:r w:rsidR="00AF037C" w:rsidRPr="000B7B8D">
        <w:rPr>
          <w:rFonts w:asciiTheme="minorHAnsi" w:hAnsiTheme="minorHAnsi"/>
        </w:rPr>
        <w:t xml:space="preserve">, while also promising to have a more profound impact on transnational supply chains </w:t>
      </w:r>
      <w:r w:rsidR="004B43E9" w:rsidRPr="000B7B8D">
        <w:rPr>
          <w:rFonts w:asciiTheme="minorHAnsi" w:hAnsiTheme="minorHAnsi"/>
        </w:rPr>
        <w:t xml:space="preserve"> (European Commission 2018</w:t>
      </w:r>
      <w:r w:rsidR="006B09D7" w:rsidRPr="000B7B8D">
        <w:rPr>
          <w:rFonts w:asciiTheme="minorHAnsi" w:hAnsiTheme="minorHAnsi"/>
        </w:rPr>
        <w:t>b</w:t>
      </w:r>
      <w:r w:rsidR="005258AB" w:rsidRPr="000B7B8D">
        <w:rPr>
          <w:rFonts w:asciiTheme="minorHAnsi" w:hAnsiTheme="minorHAnsi"/>
        </w:rPr>
        <w:t>; UNEP-WCMC 2017</w:t>
      </w:r>
      <w:r w:rsidR="004B43E9" w:rsidRPr="000B7B8D">
        <w:rPr>
          <w:rFonts w:asciiTheme="minorHAnsi" w:hAnsiTheme="minorHAnsi"/>
        </w:rPr>
        <w:t xml:space="preserve">, </w:t>
      </w:r>
      <w:r w:rsidR="005258AB" w:rsidRPr="000B7B8D">
        <w:rPr>
          <w:rFonts w:asciiTheme="minorHAnsi" w:hAnsiTheme="minorHAnsi"/>
        </w:rPr>
        <w:t>2018 a</w:t>
      </w:r>
      <w:r w:rsidR="009F374F" w:rsidRPr="000B7B8D">
        <w:rPr>
          <w:rFonts w:asciiTheme="minorHAnsi" w:hAnsiTheme="minorHAnsi"/>
        </w:rPr>
        <w:t xml:space="preserve">, </w:t>
      </w:r>
      <w:r w:rsidR="005258AB" w:rsidRPr="000B7B8D">
        <w:rPr>
          <w:rFonts w:asciiTheme="minorHAnsi" w:hAnsiTheme="minorHAnsi"/>
        </w:rPr>
        <w:t>2018b</w:t>
      </w:r>
      <w:r w:rsidR="00747CB9" w:rsidRPr="000B7B8D">
        <w:rPr>
          <w:rFonts w:asciiTheme="minorHAnsi" w:hAnsiTheme="minorHAnsi"/>
        </w:rPr>
        <w:t xml:space="preserve">; </w:t>
      </w:r>
      <w:r w:rsidR="00962D34" w:rsidRPr="000B7B8D">
        <w:rPr>
          <w:rFonts w:asciiTheme="minorHAnsi" w:hAnsiTheme="minorHAnsi"/>
        </w:rPr>
        <w:t xml:space="preserve">Hinrichs </w:t>
      </w:r>
      <w:r w:rsidR="00747CB9" w:rsidRPr="000B7B8D">
        <w:rPr>
          <w:rFonts w:asciiTheme="minorHAnsi" w:hAnsiTheme="minorHAnsi"/>
        </w:rPr>
        <w:t>interview</w:t>
      </w:r>
      <w:r w:rsidR="004B43E9" w:rsidRPr="000B7B8D">
        <w:rPr>
          <w:rFonts w:asciiTheme="minorHAnsi" w:hAnsiTheme="minorHAnsi"/>
        </w:rPr>
        <w:t>)</w:t>
      </w:r>
      <w:r w:rsidR="00DE517C" w:rsidRPr="000B7B8D">
        <w:rPr>
          <w:rFonts w:asciiTheme="minorHAnsi" w:hAnsiTheme="minorHAnsi"/>
        </w:rPr>
        <w:t xml:space="preserve">.  </w:t>
      </w:r>
      <w:r w:rsidR="005F0FEF" w:rsidRPr="000B7B8D">
        <w:rPr>
          <w:rFonts w:asciiTheme="minorHAnsi" w:hAnsiTheme="minorHAnsi"/>
        </w:rPr>
        <w:t>But b</w:t>
      </w:r>
      <w:r w:rsidR="004D6B39" w:rsidRPr="000B7B8D">
        <w:rPr>
          <w:rFonts w:asciiTheme="minorHAnsi" w:hAnsiTheme="minorHAnsi"/>
        </w:rPr>
        <w:t xml:space="preserve">oth </w:t>
      </w:r>
      <w:r w:rsidR="002360CF" w:rsidRPr="000B7B8D">
        <w:rPr>
          <w:rFonts w:asciiTheme="minorHAnsi" w:hAnsiTheme="minorHAnsi"/>
        </w:rPr>
        <w:t>UNEP-</w:t>
      </w:r>
      <w:r w:rsidR="004D6B39" w:rsidRPr="000B7B8D">
        <w:rPr>
          <w:rFonts w:asciiTheme="minorHAnsi" w:hAnsiTheme="minorHAnsi"/>
        </w:rPr>
        <w:t xml:space="preserve">WCMC and the transnational </w:t>
      </w:r>
      <w:r w:rsidR="003B43CC" w:rsidRPr="000B7B8D">
        <w:rPr>
          <w:rFonts w:asciiTheme="minorHAnsi" w:hAnsiTheme="minorHAnsi"/>
        </w:rPr>
        <w:t xml:space="preserve">NGO </w:t>
      </w:r>
      <w:r w:rsidR="004D6B39" w:rsidRPr="000B7B8D">
        <w:rPr>
          <w:rFonts w:asciiTheme="minorHAnsi" w:hAnsiTheme="minorHAnsi"/>
        </w:rPr>
        <w:t xml:space="preserve">Client Earth regularly publicize high-profile enforcement actions, court cases, and penalties for both types of EUTR </w:t>
      </w:r>
      <w:r w:rsidR="002F53E7" w:rsidRPr="000B7B8D">
        <w:rPr>
          <w:rFonts w:asciiTheme="minorHAnsi" w:hAnsiTheme="minorHAnsi"/>
        </w:rPr>
        <w:t xml:space="preserve">violation, thereby </w:t>
      </w:r>
      <w:r w:rsidR="00280242" w:rsidRPr="000B7B8D">
        <w:rPr>
          <w:rFonts w:asciiTheme="minorHAnsi" w:hAnsiTheme="minorHAnsi"/>
        </w:rPr>
        <w:t>multiplying</w:t>
      </w:r>
      <w:r w:rsidR="002F53E7" w:rsidRPr="000B7B8D">
        <w:rPr>
          <w:rFonts w:asciiTheme="minorHAnsi" w:hAnsiTheme="minorHAnsi"/>
        </w:rPr>
        <w:t xml:space="preserve"> their deterrent effect.</w:t>
      </w:r>
      <w:r w:rsidR="006219AB" w:rsidRPr="000B7B8D">
        <w:rPr>
          <w:rFonts w:asciiTheme="minorHAnsi" w:hAnsiTheme="minorHAnsi"/>
        </w:rPr>
        <w:t xml:space="preserve"> </w:t>
      </w:r>
      <w:r w:rsidR="002F53E7" w:rsidRPr="000B7B8D">
        <w:rPr>
          <w:rFonts w:asciiTheme="minorHAnsi" w:hAnsiTheme="minorHAnsi"/>
        </w:rPr>
        <w:t xml:space="preserve"> </w:t>
      </w:r>
    </w:p>
    <w:p w14:paraId="0427C95B" w14:textId="492DDFFC" w:rsidR="00897CB5" w:rsidRPr="000B7B8D" w:rsidRDefault="008055EB" w:rsidP="00523396">
      <w:pPr>
        <w:pStyle w:val="BodyText"/>
        <w:jc w:val="both"/>
        <w:rPr>
          <w:rFonts w:asciiTheme="minorHAnsi" w:hAnsiTheme="minorHAnsi"/>
        </w:rPr>
      </w:pPr>
      <w:r w:rsidRPr="000B7B8D">
        <w:rPr>
          <w:rFonts w:asciiTheme="minorHAnsi" w:hAnsiTheme="minorHAnsi"/>
        </w:rPr>
        <w:t xml:space="preserve">Although there is still </w:t>
      </w:r>
      <w:r w:rsidR="000158F7" w:rsidRPr="000B7B8D">
        <w:rPr>
          <w:rFonts w:asciiTheme="minorHAnsi" w:hAnsiTheme="minorHAnsi"/>
        </w:rPr>
        <w:t xml:space="preserve">wide variation </w:t>
      </w:r>
      <w:r w:rsidR="00E12C74" w:rsidRPr="000B7B8D">
        <w:rPr>
          <w:rFonts w:asciiTheme="minorHAnsi" w:hAnsiTheme="minorHAnsi"/>
        </w:rPr>
        <w:t xml:space="preserve">in enforcement activities </w:t>
      </w:r>
      <w:r w:rsidR="004A4CB3" w:rsidRPr="000B7B8D">
        <w:rPr>
          <w:rFonts w:asciiTheme="minorHAnsi" w:hAnsiTheme="minorHAnsi"/>
        </w:rPr>
        <w:t>across</w:t>
      </w:r>
      <w:r w:rsidR="000158F7" w:rsidRPr="000B7B8D">
        <w:rPr>
          <w:rFonts w:asciiTheme="minorHAnsi" w:hAnsiTheme="minorHAnsi"/>
        </w:rPr>
        <w:t xml:space="preserve"> competent authorities</w:t>
      </w:r>
      <w:r w:rsidR="004A4CB3" w:rsidRPr="000B7B8D">
        <w:rPr>
          <w:rFonts w:asciiTheme="minorHAnsi" w:hAnsiTheme="minorHAnsi"/>
        </w:rPr>
        <w:t xml:space="preserve">, </w:t>
      </w:r>
      <w:r w:rsidR="00F20A2C" w:rsidRPr="000B7B8D">
        <w:rPr>
          <w:rFonts w:asciiTheme="minorHAnsi" w:hAnsiTheme="minorHAnsi"/>
        </w:rPr>
        <w:t xml:space="preserve">as well as </w:t>
      </w:r>
      <w:r w:rsidR="00AA5E20" w:rsidRPr="000B7B8D">
        <w:rPr>
          <w:rFonts w:asciiTheme="minorHAnsi" w:hAnsiTheme="minorHAnsi"/>
        </w:rPr>
        <w:t xml:space="preserve">in </w:t>
      </w:r>
      <w:r w:rsidR="00F20A2C" w:rsidRPr="000B7B8D">
        <w:rPr>
          <w:rFonts w:asciiTheme="minorHAnsi" w:hAnsiTheme="minorHAnsi"/>
        </w:rPr>
        <w:t xml:space="preserve">the penalties imposed </w:t>
      </w:r>
      <w:r w:rsidR="00AA5E20" w:rsidRPr="000B7B8D">
        <w:rPr>
          <w:rFonts w:asciiTheme="minorHAnsi" w:hAnsiTheme="minorHAnsi"/>
        </w:rPr>
        <w:t xml:space="preserve">for violations by national courts, </w:t>
      </w:r>
      <w:r w:rsidR="00E12C74" w:rsidRPr="000B7B8D">
        <w:rPr>
          <w:rFonts w:asciiTheme="minorHAnsi" w:hAnsiTheme="minorHAnsi"/>
        </w:rPr>
        <w:t>intensified monitoring and comparison of EUTR implementation has put pressure on laggard member states</w:t>
      </w:r>
      <w:r w:rsidR="00A234BA" w:rsidRPr="000B7B8D">
        <w:rPr>
          <w:rFonts w:asciiTheme="minorHAnsi" w:hAnsiTheme="minorHAnsi"/>
        </w:rPr>
        <w:t xml:space="preserve"> to improve their performance.  In 2017, for example, the European Commission, </w:t>
      </w:r>
      <w:r w:rsidR="002360CF" w:rsidRPr="000B7B8D">
        <w:rPr>
          <w:rFonts w:asciiTheme="minorHAnsi" w:hAnsiTheme="minorHAnsi"/>
        </w:rPr>
        <w:t xml:space="preserve">following </w:t>
      </w:r>
      <w:r w:rsidR="00A234BA" w:rsidRPr="000B7B8D">
        <w:rPr>
          <w:rFonts w:asciiTheme="minorHAnsi" w:hAnsiTheme="minorHAnsi"/>
        </w:rPr>
        <w:t xml:space="preserve">a complaint lodged by Client Earth, opened infringement proceedings against Belgium for failing to carry out sufficient checks on imported timber.  </w:t>
      </w:r>
      <w:r w:rsidR="002360CF" w:rsidRPr="000B7B8D">
        <w:rPr>
          <w:rFonts w:asciiTheme="minorHAnsi" w:hAnsiTheme="minorHAnsi"/>
        </w:rPr>
        <w:t>In response</w:t>
      </w:r>
      <w:r w:rsidR="00A234BA" w:rsidRPr="000B7B8D">
        <w:rPr>
          <w:rFonts w:asciiTheme="minorHAnsi" w:hAnsiTheme="minorHAnsi"/>
        </w:rPr>
        <w:t xml:space="preserve">, the Belgian CA </w:t>
      </w:r>
      <w:r w:rsidR="002360CF" w:rsidRPr="000B7B8D">
        <w:rPr>
          <w:rFonts w:asciiTheme="minorHAnsi" w:hAnsiTheme="minorHAnsi"/>
        </w:rPr>
        <w:t>has stepped up its inspection and enforcement actions, while also creating a discussion platform with timber sector associations and CSOs to improve EUTR implementation</w:t>
      </w:r>
      <w:r w:rsidR="00844557" w:rsidRPr="000B7B8D">
        <w:rPr>
          <w:rFonts w:asciiTheme="minorHAnsi" w:hAnsiTheme="minorHAnsi"/>
        </w:rPr>
        <w:t xml:space="preserve"> </w:t>
      </w:r>
      <w:r w:rsidR="004B43E9" w:rsidRPr="000B7B8D">
        <w:rPr>
          <w:rFonts w:asciiTheme="minorHAnsi" w:hAnsiTheme="minorHAnsi"/>
        </w:rPr>
        <w:t>(</w:t>
      </w:r>
      <w:r w:rsidR="000229AF" w:rsidRPr="000B7B8D">
        <w:rPr>
          <w:rFonts w:asciiTheme="minorHAnsi" w:hAnsiTheme="minorHAnsi"/>
        </w:rPr>
        <w:t xml:space="preserve">Client Earth 2018; </w:t>
      </w:r>
      <w:r w:rsidR="004B43E9" w:rsidRPr="000B7B8D">
        <w:rPr>
          <w:rFonts w:asciiTheme="minorHAnsi" w:hAnsiTheme="minorHAnsi"/>
        </w:rPr>
        <w:t xml:space="preserve">Client Earth </w:t>
      </w:r>
      <w:r w:rsidR="004B43E9" w:rsidRPr="000B7B8D">
        <w:rPr>
          <w:rFonts w:asciiTheme="minorHAnsi" w:hAnsiTheme="minorHAnsi"/>
          <w:i/>
        </w:rPr>
        <w:t>EUTR News</w:t>
      </w:r>
      <w:r w:rsidR="004B43E9" w:rsidRPr="000B7B8D">
        <w:rPr>
          <w:rFonts w:asciiTheme="minorHAnsi" w:hAnsiTheme="minorHAnsi"/>
        </w:rPr>
        <w:t xml:space="preserve"> </w:t>
      </w:r>
      <w:r w:rsidR="00AA1F9F" w:rsidRPr="000B7B8D">
        <w:rPr>
          <w:rFonts w:asciiTheme="minorHAnsi" w:hAnsiTheme="minorHAnsi"/>
        </w:rPr>
        <w:t>November 2017</w:t>
      </w:r>
      <w:r w:rsidR="004B43E9" w:rsidRPr="000B7B8D">
        <w:rPr>
          <w:rFonts w:asciiTheme="minorHAnsi" w:hAnsiTheme="minorHAnsi"/>
        </w:rPr>
        <w:t xml:space="preserve">; UNEP-WCMC </w:t>
      </w:r>
      <w:r w:rsidR="004B43E9" w:rsidRPr="000B7B8D">
        <w:rPr>
          <w:rFonts w:asciiTheme="minorHAnsi" w:hAnsiTheme="minorHAnsi"/>
          <w:i/>
        </w:rPr>
        <w:t>Briefing No</w:t>
      </w:r>
      <w:r w:rsidR="004B43E9" w:rsidRPr="000B7B8D">
        <w:rPr>
          <w:rFonts w:asciiTheme="minorHAnsi" w:hAnsiTheme="minorHAnsi"/>
        </w:rPr>
        <w:t>te</w:t>
      </w:r>
      <w:r w:rsidR="000F26E6" w:rsidRPr="000B7B8D">
        <w:rPr>
          <w:rFonts w:asciiTheme="minorHAnsi" w:hAnsiTheme="minorHAnsi"/>
        </w:rPr>
        <w:t>s</w:t>
      </w:r>
      <w:r w:rsidR="004B43E9" w:rsidRPr="000B7B8D">
        <w:rPr>
          <w:rFonts w:asciiTheme="minorHAnsi" w:hAnsiTheme="minorHAnsi"/>
        </w:rPr>
        <w:t>, Apr.-May</w:t>
      </w:r>
      <w:r w:rsidR="000F26E6" w:rsidRPr="000B7B8D">
        <w:rPr>
          <w:rFonts w:asciiTheme="minorHAnsi" w:hAnsiTheme="minorHAnsi"/>
        </w:rPr>
        <w:t xml:space="preserve"> &amp; Sept.-Oct.</w:t>
      </w:r>
      <w:r w:rsidR="004B43E9" w:rsidRPr="000B7B8D">
        <w:rPr>
          <w:rFonts w:asciiTheme="minorHAnsi" w:hAnsiTheme="minorHAnsi"/>
        </w:rPr>
        <w:t xml:space="preserve"> 2018)</w:t>
      </w:r>
      <w:r w:rsidR="002360CF" w:rsidRPr="000B7B8D">
        <w:rPr>
          <w:rFonts w:asciiTheme="minorHAnsi" w:hAnsiTheme="minorHAnsi"/>
        </w:rPr>
        <w:t xml:space="preserve">.  Taken together, </w:t>
      </w:r>
      <w:r w:rsidR="00D30974" w:rsidRPr="000B7B8D">
        <w:rPr>
          <w:rFonts w:asciiTheme="minorHAnsi" w:hAnsiTheme="minorHAnsi"/>
        </w:rPr>
        <w:t xml:space="preserve">this combination of information </w:t>
      </w:r>
      <w:r w:rsidR="002360CF" w:rsidRPr="000B7B8D">
        <w:rPr>
          <w:rFonts w:asciiTheme="minorHAnsi" w:hAnsiTheme="minorHAnsi"/>
        </w:rPr>
        <w:t xml:space="preserve">pooling, </w:t>
      </w:r>
      <w:r w:rsidR="0000785D" w:rsidRPr="000B7B8D">
        <w:rPr>
          <w:rFonts w:asciiTheme="minorHAnsi" w:hAnsiTheme="minorHAnsi"/>
        </w:rPr>
        <w:t xml:space="preserve">comparative </w:t>
      </w:r>
      <w:r w:rsidR="002534D4" w:rsidRPr="000B7B8D">
        <w:rPr>
          <w:rFonts w:asciiTheme="minorHAnsi" w:hAnsiTheme="minorHAnsi"/>
        </w:rPr>
        <w:t xml:space="preserve">implementation </w:t>
      </w:r>
      <w:r w:rsidR="002360CF" w:rsidRPr="000B7B8D">
        <w:rPr>
          <w:rFonts w:asciiTheme="minorHAnsi" w:hAnsiTheme="minorHAnsi"/>
        </w:rPr>
        <w:t xml:space="preserve">monitoring, and collaborative enforcement within </w:t>
      </w:r>
      <w:r w:rsidR="00FE3ABB" w:rsidRPr="000B7B8D">
        <w:rPr>
          <w:rFonts w:asciiTheme="minorHAnsi" w:hAnsiTheme="minorHAnsi"/>
        </w:rPr>
        <w:t>the EU has enhanced the effectiveness of the EUTR and reinforced its role as a penalty default for the FLEGT initiative and the emergent transnational timber legality regime more generally.</w:t>
      </w:r>
    </w:p>
    <w:p w14:paraId="34788937" w14:textId="549E858E" w:rsidR="004706B0" w:rsidRPr="000B7B8D" w:rsidRDefault="00280242" w:rsidP="00766709">
      <w:pPr>
        <w:pStyle w:val="BodyTextFlush"/>
        <w:jc w:val="center"/>
        <w:rPr>
          <w:rFonts w:asciiTheme="minorHAnsi" w:hAnsiTheme="minorHAnsi"/>
        </w:rPr>
      </w:pPr>
      <w:r w:rsidRPr="000B7B8D">
        <w:rPr>
          <w:rFonts w:asciiTheme="minorHAnsi" w:hAnsiTheme="minorHAnsi"/>
        </w:rPr>
        <w:t>***</w:t>
      </w:r>
    </w:p>
    <w:p w14:paraId="73DB0F3E" w14:textId="71F21898" w:rsidR="00026CBE" w:rsidRPr="000B7B8D" w:rsidRDefault="00A2404B" w:rsidP="002628E2">
      <w:pPr>
        <w:pStyle w:val="BodyText"/>
        <w:rPr>
          <w:rFonts w:asciiTheme="minorHAnsi" w:hAnsiTheme="minorHAnsi"/>
        </w:rPr>
      </w:pPr>
      <w:r w:rsidRPr="000B7B8D">
        <w:rPr>
          <w:rFonts w:asciiTheme="minorHAnsi" w:hAnsiTheme="minorHAnsi"/>
        </w:rPr>
        <w:t xml:space="preserve">The FLEGT Action Plan’s linkages to broadly supported multilateral goals provided a crucial source of international legitimacy </w:t>
      </w:r>
      <w:r w:rsidR="008F238F" w:rsidRPr="000B7B8D">
        <w:rPr>
          <w:rFonts w:asciiTheme="minorHAnsi" w:hAnsiTheme="minorHAnsi"/>
        </w:rPr>
        <w:t xml:space="preserve">for the EU’s unilateral intitatives to combat illegal logging and promote sustainable forest governance.  Both the FLEGT VPAs and the EUTR were carefully designed to comply with WTO rules, as well as </w:t>
      </w:r>
      <w:r w:rsidR="003C4ED7" w:rsidRPr="000B7B8D">
        <w:rPr>
          <w:rFonts w:asciiTheme="minorHAnsi" w:hAnsiTheme="minorHAnsi"/>
        </w:rPr>
        <w:t xml:space="preserve">to win the consent of developing countries, whose objections had blocked earlier efforts to negotiate a global forest convention (Overdevest &amp; Zeitlin 2015).  Rather than imposing “northern” environmental standards on the global south, the EU’s approach to forest legality and governance respects territorial rights and sidesteps politically sensitive sovereignty issues.  It offers developing countries an opportunity </w:t>
      </w:r>
      <w:r w:rsidR="003C4ED7" w:rsidRPr="000B7B8D">
        <w:rPr>
          <w:rFonts w:asciiTheme="minorHAnsi" w:hAnsiTheme="minorHAnsi"/>
        </w:rPr>
        <w:lastRenderedPageBreak/>
        <w:t xml:space="preserve">to participate in a jointly governed system of legality assurance, while imposing parallel obligations on European firms to exercise due diligence in respecting local legal standards.  In this way, the FLEGT initiative creates a path to building a transnational consensus around what constitutes illegal timber and how best to </w:t>
      </w:r>
      <w:r w:rsidR="003534E2" w:rsidRPr="000B7B8D">
        <w:rPr>
          <w:rFonts w:asciiTheme="minorHAnsi" w:hAnsiTheme="minorHAnsi"/>
        </w:rPr>
        <w:t>control it, encompassing both producing and consuming countries.</w:t>
      </w:r>
      <w:r w:rsidR="009B2CB8" w:rsidRPr="000B7B8D">
        <w:rPr>
          <w:rFonts w:asciiTheme="minorHAnsi" w:hAnsiTheme="minorHAnsi"/>
        </w:rPr>
        <w:t xml:space="preserve">  </w:t>
      </w:r>
      <w:r w:rsidR="003534E2" w:rsidRPr="000B7B8D">
        <w:rPr>
          <w:rFonts w:asciiTheme="minorHAnsi" w:hAnsiTheme="minorHAnsi"/>
        </w:rPr>
        <w:t xml:space="preserve">At the same time, moreover, the experimentalist governance architecture of the FLEGT initiative provides a robust institutional framework for </w:t>
      </w:r>
      <w:r w:rsidR="00123FE4" w:rsidRPr="000B7B8D">
        <w:rPr>
          <w:rFonts w:asciiTheme="minorHAnsi" w:hAnsiTheme="minorHAnsi"/>
        </w:rPr>
        <w:t xml:space="preserve">monitoring, review, and recursive learning from </w:t>
      </w:r>
      <w:r w:rsidR="002C2C6A" w:rsidRPr="000B7B8D">
        <w:rPr>
          <w:rFonts w:asciiTheme="minorHAnsi" w:hAnsiTheme="minorHAnsi"/>
        </w:rPr>
        <w:t xml:space="preserve">decentralized implementation, in which promising experiences can be generalized across borders and operational problems detected and </w:t>
      </w:r>
      <w:r w:rsidR="00804E03" w:rsidRPr="000B7B8D">
        <w:rPr>
          <w:rFonts w:asciiTheme="minorHAnsi" w:hAnsiTheme="minorHAnsi"/>
        </w:rPr>
        <w:t>addressed</w:t>
      </w:r>
      <w:r w:rsidR="002C2C6A" w:rsidRPr="000B7B8D">
        <w:rPr>
          <w:rFonts w:asciiTheme="minorHAnsi" w:hAnsiTheme="minorHAnsi"/>
        </w:rPr>
        <w:t xml:space="preserve"> at both central and local levels.  </w:t>
      </w:r>
      <w:r w:rsidR="00DD758E" w:rsidRPr="000B7B8D">
        <w:rPr>
          <w:rFonts w:asciiTheme="minorHAnsi" w:hAnsiTheme="minorHAnsi"/>
        </w:rPr>
        <w:t xml:space="preserve">The polyarchic structure of </w:t>
      </w:r>
      <w:r w:rsidR="0015442B" w:rsidRPr="000B7B8D">
        <w:rPr>
          <w:rFonts w:asciiTheme="minorHAnsi" w:hAnsiTheme="minorHAnsi"/>
        </w:rPr>
        <w:t>this governance architecture</w:t>
      </w:r>
      <w:r w:rsidR="007600D3" w:rsidRPr="000B7B8D">
        <w:rPr>
          <w:rFonts w:asciiTheme="minorHAnsi" w:hAnsiTheme="minorHAnsi"/>
        </w:rPr>
        <w:t xml:space="preserve">, </w:t>
      </w:r>
      <w:r w:rsidR="00201683" w:rsidRPr="000B7B8D">
        <w:rPr>
          <w:rFonts w:asciiTheme="minorHAnsi" w:hAnsiTheme="minorHAnsi"/>
        </w:rPr>
        <w:t xml:space="preserve">like that of the EU itself, </w:t>
      </w:r>
      <w:r w:rsidR="002747E2" w:rsidRPr="000B7B8D">
        <w:rPr>
          <w:rFonts w:asciiTheme="minorHAnsi" w:hAnsiTheme="minorHAnsi"/>
        </w:rPr>
        <w:t xml:space="preserve">which combines a measure of central coordination by the Commission and the Council with extensive scope for </w:t>
      </w:r>
      <w:r w:rsidR="004E6BF4" w:rsidRPr="000B7B8D">
        <w:rPr>
          <w:rFonts w:asciiTheme="minorHAnsi" w:hAnsiTheme="minorHAnsi"/>
        </w:rPr>
        <w:t xml:space="preserve">autonomous </w:t>
      </w:r>
      <w:r w:rsidR="00182850" w:rsidRPr="000B7B8D">
        <w:rPr>
          <w:rFonts w:asciiTheme="minorHAnsi" w:hAnsiTheme="minorHAnsi"/>
        </w:rPr>
        <w:t>initiative</w:t>
      </w:r>
      <w:r w:rsidR="004E6BF4" w:rsidRPr="000B7B8D">
        <w:rPr>
          <w:rFonts w:asciiTheme="minorHAnsi" w:hAnsiTheme="minorHAnsi"/>
        </w:rPr>
        <w:t>s</w:t>
      </w:r>
      <w:r w:rsidR="002747E2" w:rsidRPr="000B7B8D">
        <w:rPr>
          <w:rFonts w:asciiTheme="minorHAnsi" w:hAnsiTheme="minorHAnsi"/>
        </w:rPr>
        <w:t xml:space="preserve"> by </w:t>
      </w:r>
      <w:r w:rsidR="004E6BF4" w:rsidRPr="000B7B8D">
        <w:rPr>
          <w:rFonts w:asciiTheme="minorHAnsi" w:hAnsiTheme="minorHAnsi"/>
        </w:rPr>
        <w:t xml:space="preserve">other </w:t>
      </w:r>
      <w:r w:rsidR="001D465C" w:rsidRPr="000B7B8D">
        <w:rPr>
          <w:rFonts w:asciiTheme="minorHAnsi" w:hAnsiTheme="minorHAnsi"/>
        </w:rPr>
        <w:t>actors</w:t>
      </w:r>
      <w:r w:rsidR="00182850" w:rsidRPr="000B7B8D">
        <w:rPr>
          <w:rFonts w:asciiTheme="minorHAnsi" w:hAnsiTheme="minorHAnsi"/>
        </w:rPr>
        <w:t xml:space="preserve">, </w:t>
      </w:r>
      <w:r w:rsidR="00301A3A" w:rsidRPr="000B7B8D">
        <w:rPr>
          <w:rFonts w:asciiTheme="minorHAnsi" w:hAnsiTheme="minorHAnsi"/>
        </w:rPr>
        <w:t xml:space="preserve">has likewise </w:t>
      </w:r>
      <w:r w:rsidR="00772873" w:rsidRPr="000B7B8D">
        <w:rPr>
          <w:rFonts w:asciiTheme="minorHAnsi" w:hAnsiTheme="minorHAnsi"/>
        </w:rPr>
        <w:t xml:space="preserve">stimulated </w:t>
      </w:r>
      <w:r w:rsidR="004E6BF4" w:rsidRPr="000B7B8D">
        <w:rPr>
          <w:rFonts w:asciiTheme="minorHAnsi" w:hAnsiTheme="minorHAnsi"/>
        </w:rPr>
        <w:t xml:space="preserve">a multiplicity of </w:t>
      </w:r>
      <w:r w:rsidR="001D465C" w:rsidRPr="000B7B8D">
        <w:rPr>
          <w:rFonts w:asciiTheme="minorHAnsi" w:hAnsiTheme="minorHAnsi"/>
        </w:rPr>
        <w:t>stakeholders</w:t>
      </w:r>
      <w:r w:rsidR="004E6BF4" w:rsidRPr="000B7B8D">
        <w:rPr>
          <w:rFonts w:asciiTheme="minorHAnsi" w:hAnsiTheme="minorHAnsi"/>
        </w:rPr>
        <w:t xml:space="preserve">, including </w:t>
      </w:r>
      <w:r w:rsidR="00940C0A" w:rsidRPr="000B7B8D">
        <w:rPr>
          <w:rFonts w:asciiTheme="minorHAnsi" w:hAnsiTheme="minorHAnsi"/>
        </w:rPr>
        <w:t>NGOs</w:t>
      </w:r>
      <w:r w:rsidR="00C370CD" w:rsidRPr="000B7B8D">
        <w:rPr>
          <w:rFonts w:asciiTheme="minorHAnsi" w:hAnsiTheme="minorHAnsi"/>
        </w:rPr>
        <w:t xml:space="preserve">, business associations, and international organizations as well as national governments </w:t>
      </w:r>
      <w:r w:rsidR="00772873" w:rsidRPr="000B7B8D">
        <w:rPr>
          <w:rFonts w:asciiTheme="minorHAnsi" w:hAnsiTheme="minorHAnsi"/>
        </w:rPr>
        <w:t xml:space="preserve">to </w:t>
      </w:r>
      <w:r w:rsidR="004E6BF4" w:rsidRPr="000B7B8D">
        <w:rPr>
          <w:rFonts w:asciiTheme="minorHAnsi" w:hAnsiTheme="minorHAnsi"/>
        </w:rPr>
        <w:t xml:space="preserve">collaborate in </w:t>
      </w:r>
      <w:r w:rsidR="0015442B" w:rsidRPr="000B7B8D">
        <w:rPr>
          <w:rFonts w:asciiTheme="minorHAnsi" w:hAnsiTheme="minorHAnsi"/>
        </w:rPr>
        <w:t xml:space="preserve">advancing </w:t>
      </w:r>
      <w:r w:rsidR="00946CE8" w:rsidRPr="000B7B8D">
        <w:rPr>
          <w:rFonts w:asciiTheme="minorHAnsi" w:hAnsiTheme="minorHAnsi"/>
        </w:rPr>
        <w:t xml:space="preserve">shared </w:t>
      </w:r>
      <w:r w:rsidR="0015442B" w:rsidRPr="000B7B8D">
        <w:rPr>
          <w:rFonts w:asciiTheme="minorHAnsi" w:hAnsiTheme="minorHAnsi"/>
        </w:rPr>
        <w:t>goals</w:t>
      </w:r>
      <w:r w:rsidR="002747E2" w:rsidRPr="000B7B8D">
        <w:rPr>
          <w:rFonts w:asciiTheme="minorHAnsi" w:hAnsiTheme="minorHAnsi"/>
        </w:rPr>
        <w:t>.</w:t>
      </w:r>
      <w:r w:rsidR="0015442B" w:rsidRPr="000B7B8D">
        <w:rPr>
          <w:rFonts w:asciiTheme="minorHAnsi" w:hAnsiTheme="minorHAnsi"/>
        </w:rPr>
        <w:t xml:space="preserve"> </w:t>
      </w:r>
      <w:r w:rsidR="004E6BF4" w:rsidRPr="000B7B8D">
        <w:rPr>
          <w:rFonts w:asciiTheme="minorHAnsi" w:hAnsiTheme="minorHAnsi"/>
        </w:rPr>
        <w:t xml:space="preserve"> </w:t>
      </w:r>
      <w:r w:rsidR="00946CE8" w:rsidRPr="000B7B8D">
        <w:rPr>
          <w:rFonts w:asciiTheme="minorHAnsi" w:hAnsiTheme="minorHAnsi"/>
        </w:rPr>
        <w:t xml:space="preserve">For each of these reasons, as we shall see in </w:t>
      </w:r>
      <w:r w:rsidR="00766709" w:rsidRPr="000B7B8D">
        <w:rPr>
          <w:rFonts w:asciiTheme="minorHAnsi" w:hAnsiTheme="minorHAnsi"/>
        </w:rPr>
        <w:t>the next</w:t>
      </w:r>
      <w:r w:rsidR="00946CE8" w:rsidRPr="000B7B8D">
        <w:rPr>
          <w:rFonts w:asciiTheme="minorHAnsi" w:hAnsiTheme="minorHAnsi"/>
        </w:rPr>
        <w:t xml:space="preserve"> sections, </w:t>
      </w:r>
      <w:r w:rsidR="009B2CB8" w:rsidRPr="000B7B8D">
        <w:rPr>
          <w:rFonts w:asciiTheme="minorHAnsi" w:hAnsiTheme="minorHAnsi"/>
        </w:rPr>
        <w:t xml:space="preserve">the EU FLEGT initiative has </w:t>
      </w:r>
      <w:r w:rsidR="00523396" w:rsidRPr="000B7B8D">
        <w:rPr>
          <w:rFonts w:asciiTheme="minorHAnsi" w:hAnsiTheme="minorHAnsi"/>
        </w:rPr>
        <w:t>contributed</w:t>
      </w:r>
      <w:r w:rsidR="009B2CB8" w:rsidRPr="000B7B8D">
        <w:rPr>
          <w:rFonts w:asciiTheme="minorHAnsi" w:hAnsiTheme="minorHAnsi"/>
        </w:rPr>
        <w:t xml:space="preserve"> to the stepwise construction of a joined-up transnational regime through mutually reinforcing interactions with both public timber </w:t>
      </w:r>
      <w:r w:rsidR="00876713" w:rsidRPr="000B7B8D">
        <w:rPr>
          <w:rFonts w:asciiTheme="minorHAnsi" w:hAnsiTheme="minorHAnsi"/>
        </w:rPr>
        <w:t xml:space="preserve">legality </w:t>
      </w:r>
      <w:r w:rsidR="009B2CB8" w:rsidRPr="000B7B8D">
        <w:rPr>
          <w:rFonts w:asciiTheme="minorHAnsi" w:hAnsiTheme="minorHAnsi"/>
        </w:rPr>
        <w:t xml:space="preserve">regulation in </w:t>
      </w:r>
      <w:r w:rsidR="00651EC5" w:rsidRPr="000B7B8D">
        <w:rPr>
          <w:rFonts w:asciiTheme="minorHAnsi" w:hAnsiTheme="minorHAnsi"/>
        </w:rPr>
        <w:t>third</w:t>
      </w:r>
      <w:r w:rsidR="00636E91" w:rsidRPr="000B7B8D">
        <w:rPr>
          <w:rFonts w:asciiTheme="minorHAnsi" w:hAnsiTheme="minorHAnsi"/>
        </w:rPr>
        <w:t xml:space="preserve"> </w:t>
      </w:r>
      <w:r w:rsidR="009B2CB8" w:rsidRPr="000B7B8D">
        <w:rPr>
          <w:rFonts w:asciiTheme="minorHAnsi" w:hAnsiTheme="minorHAnsi"/>
        </w:rPr>
        <w:t>countries and private certification schemes.</w:t>
      </w:r>
    </w:p>
    <w:p w14:paraId="5A9F4A33" w14:textId="578AF523" w:rsidR="00F452C0" w:rsidRPr="000B7B8D" w:rsidRDefault="00544AA9" w:rsidP="005339B7">
      <w:pPr>
        <w:pStyle w:val="Heading1"/>
        <w:numPr>
          <w:ilvl w:val="0"/>
          <w:numId w:val="25"/>
        </w:numPr>
        <w:rPr>
          <w:rFonts w:asciiTheme="minorHAnsi" w:hAnsiTheme="minorHAnsi"/>
        </w:rPr>
      </w:pPr>
      <w:r w:rsidRPr="000B7B8D">
        <w:rPr>
          <w:rFonts w:asciiTheme="minorHAnsi" w:hAnsiTheme="minorHAnsi"/>
        </w:rPr>
        <w:t xml:space="preserve">Experimentalist Interactions: Public </w:t>
      </w:r>
      <w:r w:rsidR="0029722B" w:rsidRPr="000B7B8D">
        <w:rPr>
          <w:rFonts w:asciiTheme="minorHAnsi" w:hAnsiTheme="minorHAnsi"/>
        </w:rPr>
        <w:t xml:space="preserve">Legality </w:t>
      </w:r>
      <w:r w:rsidRPr="000B7B8D">
        <w:rPr>
          <w:rFonts w:asciiTheme="minorHAnsi" w:hAnsiTheme="minorHAnsi"/>
        </w:rPr>
        <w:t>Regulation</w:t>
      </w:r>
      <w:r w:rsidR="0029722B" w:rsidRPr="000B7B8D">
        <w:rPr>
          <w:rFonts w:asciiTheme="minorHAnsi" w:hAnsiTheme="minorHAnsi"/>
        </w:rPr>
        <w:t xml:space="preserve"> in Consumer Countries</w:t>
      </w:r>
    </w:p>
    <w:p w14:paraId="1B0F7FC2" w14:textId="45FFC20C" w:rsidR="00B877B8" w:rsidRPr="000B7B8D" w:rsidRDefault="007F2C58" w:rsidP="005339B7">
      <w:pPr>
        <w:pStyle w:val="BodyText"/>
        <w:jc w:val="both"/>
        <w:rPr>
          <w:rFonts w:asciiTheme="minorHAnsi" w:hAnsiTheme="minorHAnsi"/>
        </w:rPr>
      </w:pPr>
      <w:r w:rsidRPr="000B7B8D">
        <w:rPr>
          <w:rFonts w:asciiTheme="minorHAnsi" w:hAnsiTheme="minorHAnsi"/>
        </w:rPr>
        <w:t xml:space="preserve">The </w:t>
      </w:r>
      <w:r w:rsidR="008908C4" w:rsidRPr="000B7B8D">
        <w:rPr>
          <w:rFonts w:asciiTheme="minorHAnsi" w:hAnsiTheme="minorHAnsi"/>
        </w:rPr>
        <w:t xml:space="preserve">EU </w:t>
      </w:r>
      <w:r w:rsidR="000E2319" w:rsidRPr="000B7B8D">
        <w:rPr>
          <w:rFonts w:asciiTheme="minorHAnsi" w:hAnsiTheme="minorHAnsi"/>
        </w:rPr>
        <w:t>was not</w:t>
      </w:r>
      <w:r w:rsidR="0029722B" w:rsidRPr="000B7B8D">
        <w:rPr>
          <w:rFonts w:asciiTheme="minorHAnsi" w:hAnsiTheme="minorHAnsi"/>
        </w:rPr>
        <w:t xml:space="preserve"> the first </w:t>
      </w:r>
      <w:r w:rsidR="00876713" w:rsidRPr="000B7B8D">
        <w:rPr>
          <w:rFonts w:asciiTheme="minorHAnsi" w:hAnsiTheme="minorHAnsi"/>
        </w:rPr>
        <w:t xml:space="preserve">wood-importing jurisdiction to </w:t>
      </w:r>
      <w:r w:rsidR="000E2319" w:rsidRPr="000B7B8D">
        <w:rPr>
          <w:rFonts w:asciiTheme="minorHAnsi" w:hAnsiTheme="minorHAnsi"/>
        </w:rPr>
        <w:t>enact</w:t>
      </w:r>
      <w:r w:rsidR="00876713" w:rsidRPr="000B7B8D">
        <w:rPr>
          <w:rFonts w:asciiTheme="minorHAnsi" w:hAnsiTheme="minorHAnsi"/>
        </w:rPr>
        <w:t xml:space="preserve"> public regulation aimed at combating trade in illegally logged timber.  </w:t>
      </w:r>
      <w:r w:rsidR="00BC59A2" w:rsidRPr="000B7B8D">
        <w:rPr>
          <w:rFonts w:asciiTheme="minorHAnsi" w:hAnsiTheme="minorHAnsi"/>
        </w:rPr>
        <w:t xml:space="preserve">The pioneer </w:t>
      </w:r>
      <w:r w:rsidR="000C4B9C" w:rsidRPr="000B7B8D">
        <w:rPr>
          <w:rFonts w:asciiTheme="minorHAnsi" w:hAnsiTheme="minorHAnsi"/>
        </w:rPr>
        <w:t xml:space="preserve">was the United States, which </w:t>
      </w:r>
      <w:r w:rsidR="00DC7F07" w:rsidRPr="000B7B8D">
        <w:rPr>
          <w:rFonts w:asciiTheme="minorHAnsi" w:hAnsiTheme="minorHAnsi"/>
        </w:rPr>
        <w:t xml:space="preserve">in 2008 </w:t>
      </w:r>
      <w:r w:rsidR="00483D47" w:rsidRPr="000B7B8D">
        <w:rPr>
          <w:rFonts w:asciiTheme="minorHAnsi" w:hAnsiTheme="minorHAnsi"/>
        </w:rPr>
        <w:t xml:space="preserve">extended the coverage of the Lacey Act </w:t>
      </w:r>
      <w:r w:rsidR="00772232" w:rsidRPr="000B7B8D">
        <w:rPr>
          <w:rFonts w:asciiTheme="minorHAnsi" w:hAnsiTheme="minorHAnsi"/>
        </w:rPr>
        <w:t xml:space="preserve">(originally adopted in 1900) from fish and wildlife to plants.  </w:t>
      </w:r>
      <w:r w:rsidR="00D533C6" w:rsidRPr="000B7B8D">
        <w:rPr>
          <w:rFonts w:asciiTheme="minorHAnsi" w:hAnsiTheme="minorHAnsi"/>
        </w:rPr>
        <w:t xml:space="preserve">This amended legislation, also known as the Legal Timber Protection Act (LTPA), </w:t>
      </w:r>
      <w:r w:rsidR="000974F7" w:rsidRPr="000B7B8D">
        <w:rPr>
          <w:rFonts w:asciiTheme="minorHAnsi" w:hAnsiTheme="minorHAnsi"/>
        </w:rPr>
        <w:t xml:space="preserve">makes it </w:t>
      </w:r>
      <w:r w:rsidR="0019359F" w:rsidRPr="000B7B8D">
        <w:rPr>
          <w:rFonts w:asciiTheme="minorHAnsi" w:hAnsiTheme="minorHAnsi"/>
        </w:rPr>
        <w:t xml:space="preserve">a criminal offense to </w:t>
      </w:r>
      <w:r w:rsidR="007524BC" w:rsidRPr="000B7B8D">
        <w:rPr>
          <w:rFonts w:asciiTheme="minorHAnsi" w:hAnsiTheme="minorHAnsi"/>
        </w:rPr>
        <w:t xml:space="preserve">import, trade, or otherwise handle </w:t>
      </w:r>
      <w:r w:rsidR="001F68B2" w:rsidRPr="000B7B8D">
        <w:rPr>
          <w:rFonts w:asciiTheme="minorHAnsi" w:hAnsiTheme="minorHAnsi"/>
        </w:rPr>
        <w:t xml:space="preserve">any </w:t>
      </w:r>
      <w:r w:rsidR="007524BC" w:rsidRPr="000B7B8D">
        <w:rPr>
          <w:rFonts w:asciiTheme="minorHAnsi" w:hAnsiTheme="minorHAnsi"/>
        </w:rPr>
        <w:t xml:space="preserve">timber </w:t>
      </w:r>
      <w:r w:rsidR="001F68B2" w:rsidRPr="000B7B8D">
        <w:rPr>
          <w:rFonts w:asciiTheme="minorHAnsi" w:hAnsiTheme="minorHAnsi"/>
        </w:rPr>
        <w:t xml:space="preserve">taken, transported, or sold </w:t>
      </w:r>
      <w:r w:rsidR="007524BC" w:rsidRPr="000B7B8D">
        <w:rPr>
          <w:rFonts w:asciiTheme="minorHAnsi" w:hAnsiTheme="minorHAnsi"/>
        </w:rPr>
        <w:t xml:space="preserve">in violation of </w:t>
      </w:r>
      <w:r w:rsidR="00E5493C" w:rsidRPr="000B7B8D">
        <w:rPr>
          <w:rFonts w:asciiTheme="minorHAnsi" w:hAnsiTheme="minorHAnsi"/>
        </w:rPr>
        <w:t>foreign laws</w:t>
      </w:r>
      <w:r w:rsidR="007524BC" w:rsidRPr="000B7B8D">
        <w:rPr>
          <w:rFonts w:asciiTheme="minorHAnsi" w:hAnsiTheme="minorHAnsi"/>
        </w:rPr>
        <w:t xml:space="preserve">.  </w:t>
      </w:r>
      <w:r w:rsidR="00432189" w:rsidRPr="000B7B8D">
        <w:rPr>
          <w:rFonts w:asciiTheme="minorHAnsi" w:hAnsiTheme="minorHAnsi"/>
        </w:rPr>
        <w:t xml:space="preserve">Penalties, which can include imprisonment, fines, and confiscation </w:t>
      </w:r>
      <w:r w:rsidR="00432189" w:rsidRPr="000B7B8D">
        <w:rPr>
          <w:rFonts w:asciiTheme="minorHAnsi" w:hAnsiTheme="minorHAnsi"/>
        </w:rPr>
        <w:lastRenderedPageBreak/>
        <w:t>of goods, depend on the level of intent of the violator, and the extent to which “due care”</w:t>
      </w:r>
      <w:r w:rsidR="00432189" w:rsidRPr="000B7B8D">
        <w:rPr>
          <w:rStyle w:val="FootnoteReference"/>
          <w:rFonts w:asciiTheme="minorHAnsi" w:hAnsiTheme="minorHAnsi"/>
        </w:rPr>
        <w:footnoteReference w:id="13"/>
      </w:r>
      <w:r w:rsidR="00432189" w:rsidRPr="000B7B8D">
        <w:rPr>
          <w:rFonts w:asciiTheme="minorHAnsi" w:hAnsiTheme="minorHAnsi"/>
        </w:rPr>
        <w:t xml:space="preserve"> was exercised to avoid foreseeable risks of trafficking in illegal wood.</w:t>
      </w:r>
      <w:r w:rsidR="00E92C4D" w:rsidRPr="000B7B8D">
        <w:rPr>
          <w:rFonts w:asciiTheme="minorHAnsi" w:hAnsiTheme="minorHAnsi"/>
        </w:rPr>
        <w:t xml:space="preserve"> </w:t>
      </w:r>
      <w:r w:rsidR="00F90BF6" w:rsidRPr="000B7B8D">
        <w:rPr>
          <w:rFonts w:asciiTheme="minorHAnsi" w:hAnsiTheme="minorHAnsi"/>
        </w:rPr>
        <w:t xml:space="preserve"> </w:t>
      </w:r>
      <w:r w:rsidR="00E92C4D" w:rsidRPr="000B7B8D">
        <w:rPr>
          <w:rFonts w:asciiTheme="minorHAnsi" w:hAnsiTheme="minorHAnsi"/>
        </w:rPr>
        <w:t>To facilitate detection of illegal timber, importers are obliged to submit customs declarations with information on the scientific name of the species, the value and quantity of the shi</w:t>
      </w:r>
      <w:r w:rsidR="00AF1F0E" w:rsidRPr="000B7B8D">
        <w:rPr>
          <w:rFonts w:asciiTheme="minorHAnsi" w:hAnsiTheme="minorHAnsi"/>
        </w:rPr>
        <w:t xml:space="preserve">pment, and the country of origin, falsification of which is </w:t>
      </w:r>
      <w:r w:rsidR="00FD08D4" w:rsidRPr="000B7B8D">
        <w:rPr>
          <w:rFonts w:asciiTheme="minorHAnsi" w:hAnsiTheme="minorHAnsi"/>
        </w:rPr>
        <w:t>likewise</w:t>
      </w:r>
      <w:r w:rsidR="00AF1F0E" w:rsidRPr="000B7B8D">
        <w:rPr>
          <w:rFonts w:asciiTheme="minorHAnsi" w:hAnsiTheme="minorHAnsi"/>
        </w:rPr>
        <w:t xml:space="preserve"> a</w:t>
      </w:r>
      <w:r w:rsidR="00C51BEF" w:rsidRPr="000B7B8D">
        <w:rPr>
          <w:rFonts w:asciiTheme="minorHAnsi" w:hAnsiTheme="minorHAnsi"/>
        </w:rPr>
        <w:t xml:space="preserve"> criminal offense (Birchell 2013</w:t>
      </w:r>
      <w:r w:rsidR="00AF1F0E" w:rsidRPr="000B7B8D">
        <w:rPr>
          <w:rFonts w:asciiTheme="minorHAnsi" w:hAnsiTheme="minorHAnsi"/>
        </w:rPr>
        <w:t xml:space="preserve">; </w:t>
      </w:r>
      <w:r w:rsidR="007A46FE" w:rsidRPr="000B7B8D">
        <w:rPr>
          <w:rFonts w:asciiTheme="minorHAnsi" w:hAnsiTheme="minorHAnsi"/>
        </w:rPr>
        <w:t xml:space="preserve">Brack </w:t>
      </w:r>
      <w:r w:rsidR="00371364" w:rsidRPr="000B7B8D">
        <w:rPr>
          <w:rFonts w:asciiTheme="minorHAnsi" w:hAnsiTheme="minorHAnsi"/>
        </w:rPr>
        <w:t>&amp;</w:t>
      </w:r>
      <w:r w:rsidR="007A46FE" w:rsidRPr="000B7B8D">
        <w:rPr>
          <w:rFonts w:asciiTheme="minorHAnsi" w:hAnsiTheme="minorHAnsi"/>
        </w:rPr>
        <w:t xml:space="preserve"> Buckrell 2011</w:t>
      </w:r>
      <w:r w:rsidR="001F68B2" w:rsidRPr="000B7B8D">
        <w:rPr>
          <w:rFonts w:asciiTheme="minorHAnsi" w:hAnsiTheme="minorHAnsi"/>
        </w:rPr>
        <w:t xml:space="preserve">; Leipold </w:t>
      </w:r>
      <w:r w:rsidR="009F43B5" w:rsidRPr="000B7B8D">
        <w:rPr>
          <w:rFonts w:asciiTheme="minorHAnsi" w:hAnsiTheme="minorHAnsi"/>
        </w:rPr>
        <w:t xml:space="preserve"> &amp; Winkel </w:t>
      </w:r>
      <w:r w:rsidR="001F68B2" w:rsidRPr="000B7B8D">
        <w:rPr>
          <w:rFonts w:asciiTheme="minorHAnsi" w:hAnsiTheme="minorHAnsi"/>
        </w:rPr>
        <w:t>2016).</w:t>
      </w:r>
      <w:r w:rsidR="00C4606F" w:rsidRPr="000B7B8D">
        <w:rPr>
          <w:rFonts w:asciiTheme="minorHAnsi" w:hAnsiTheme="minorHAnsi"/>
        </w:rPr>
        <w:t xml:space="preserve">  </w:t>
      </w:r>
    </w:p>
    <w:p w14:paraId="093BFDB3" w14:textId="0A72D064" w:rsidR="00B9116B" w:rsidRPr="000B7B8D" w:rsidRDefault="00606B24" w:rsidP="005339B7">
      <w:pPr>
        <w:pStyle w:val="BodyText"/>
        <w:jc w:val="both"/>
        <w:rPr>
          <w:rFonts w:asciiTheme="minorHAnsi" w:hAnsiTheme="minorHAnsi"/>
        </w:rPr>
      </w:pPr>
      <w:r w:rsidRPr="000B7B8D">
        <w:rPr>
          <w:rFonts w:asciiTheme="minorHAnsi" w:hAnsiTheme="minorHAnsi"/>
        </w:rPr>
        <w:t xml:space="preserve">While the </w:t>
      </w:r>
      <w:r w:rsidR="006F52BE" w:rsidRPr="000B7B8D">
        <w:rPr>
          <w:rFonts w:asciiTheme="minorHAnsi" w:hAnsiTheme="minorHAnsi"/>
        </w:rPr>
        <w:t xml:space="preserve">EU FLEGT Action Plan </w:t>
      </w:r>
      <w:r w:rsidR="001D6F54" w:rsidRPr="000B7B8D">
        <w:rPr>
          <w:rFonts w:asciiTheme="minorHAnsi" w:hAnsiTheme="minorHAnsi"/>
        </w:rPr>
        <w:t xml:space="preserve">encouraged US environmental </w:t>
      </w:r>
      <w:r w:rsidR="00E518FB" w:rsidRPr="000B7B8D">
        <w:rPr>
          <w:rFonts w:asciiTheme="minorHAnsi" w:hAnsiTheme="minorHAnsi"/>
        </w:rPr>
        <w:t>NGOs</w:t>
      </w:r>
      <w:r w:rsidR="001D6F54" w:rsidRPr="000B7B8D">
        <w:rPr>
          <w:rFonts w:asciiTheme="minorHAnsi" w:hAnsiTheme="minorHAnsi"/>
        </w:rPr>
        <w:t xml:space="preserve"> </w:t>
      </w:r>
      <w:r w:rsidR="00FD3164" w:rsidRPr="000B7B8D">
        <w:rPr>
          <w:rFonts w:asciiTheme="minorHAnsi" w:hAnsiTheme="minorHAnsi"/>
        </w:rPr>
        <w:t xml:space="preserve">to </w:t>
      </w:r>
      <w:r w:rsidR="007505EB" w:rsidRPr="000B7B8D">
        <w:rPr>
          <w:rFonts w:asciiTheme="minorHAnsi" w:hAnsiTheme="minorHAnsi"/>
        </w:rPr>
        <w:t xml:space="preserve">push for the </w:t>
      </w:r>
      <w:r w:rsidR="00657AEA" w:rsidRPr="000B7B8D">
        <w:rPr>
          <w:rFonts w:asciiTheme="minorHAnsi" w:hAnsiTheme="minorHAnsi"/>
        </w:rPr>
        <w:t>LTPA</w:t>
      </w:r>
      <w:r w:rsidR="007F76F4" w:rsidRPr="000B7B8D">
        <w:rPr>
          <w:rFonts w:asciiTheme="minorHAnsi" w:hAnsiTheme="minorHAnsi"/>
        </w:rPr>
        <w:t xml:space="preserve">, the latter fueled political support for the EUTR, and inspired the European Parliament to </w:t>
      </w:r>
      <w:r w:rsidR="004B7B67" w:rsidRPr="000B7B8D">
        <w:rPr>
          <w:rFonts w:asciiTheme="minorHAnsi" w:hAnsiTheme="minorHAnsi"/>
        </w:rPr>
        <w:t>insist on a</w:t>
      </w:r>
      <w:r w:rsidR="00D1080D" w:rsidRPr="000B7B8D">
        <w:rPr>
          <w:rFonts w:asciiTheme="minorHAnsi" w:hAnsiTheme="minorHAnsi"/>
        </w:rPr>
        <w:t xml:space="preserve"> prohibition clause creating an “underlying offense” of </w:t>
      </w:r>
      <w:r w:rsidR="000E2319" w:rsidRPr="000B7B8D">
        <w:rPr>
          <w:rFonts w:asciiTheme="minorHAnsi" w:hAnsiTheme="minorHAnsi"/>
        </w:rPr>
        <w:t>placing</w:t>
      </w:r>
      <w:r w:rsidR="00D1080D" w:rsidRPr="000B7B8D">
        <w:rPr>
          <w:rFonts w:asciiTheme="minorHAnsi" w:hAnsiTheme="minorHAnsi"/>
        </w:rPr>
        <w:t xml:space="preserve"> illegal timber</w:t>
      </w:r>
      <w:r w:rsidR="000E2319" w:rsidRPr="000B7B8D">
        <w:rPr>
          <w:rFonts w:asciiTheme="minorHAnsi" w:hAnsiTheme="minorHAnsi"/>
        </w:rPr>
        <w:t xml:space="preserve"> on the European market</w:t>
      </w:r>
      <w:r w:rsidR="00D1080D" w:rsidRPr="000B7B8D">
        <w:rPr>
          <w:rFonts w:asciiTheme="minorHAnsi" w:hAnsiTheme="minorHAnsi"/>
        </w:rPr>
        <w:t xml:space="preserve">, </w:t>
      </w:r>
      <w:r w:rsidR="007F76F4" w:rsidRPr="000B7B8D">
        <w:rPr>
          <w:rFonts w:asciiTheme="minorHAnsi" w:hAnsiTheme="minorHAnsi"/>
        </w:rPr>
        <w:t xml:space="preserve">which was </w:t>
      </w:r>
      <w:r w:rsidR="004B7B67" w:rsidRPr="000B7B8D">
        <w:rPr>
          <w:rFonts w:asciiTheme="minorHAnsi" w:hAnsiTheme="minorHAnsi"/>
        </w:rPr>
        <w:t>absent</w:t>
      </w:r>
      <w:r w:rsidR="007F76F4" w:rsidRPr="000B7B8D">
        <w:rPr>
          <w:rFonts w:asciiTheme="minorHAnsi" w:hAnsiTheme="minorHAnsi"/>
        </w:rPr>
        <w:t xml:space="preserve"> from the Commission’s original proposal </w:t>
      </w:r>
      <w:r w:rsidR="00D1080D" w:rsidRPr="000B7B8D">
        <w:rPr>
          <w:rFonts w:asciiTheme="minorHAnsi" w:hAnsiTheme="minorHAnsi"/>
        </w:rPr>
        <w:t>(</w:t>
      </w:r>
      <w:r w:rsidR="004D2709" w:rsidRPr="000B7B8D">
        <w:rPr>
          <w:rFonts w:asciiTheme="minorHAnsi" w:hAnsiTheme="minorHAnsi"/>
        </w:rPr>
        <w:t>Hoare 2015: 49</w:t>
      </w:r>
      <w:r w:rsidR="00585EE0" w:rsidRPr="000B7B8D">
        <w:rPr>
          <w:rFonts w:asciiTheme="minorHAnsi" w:hAnsiTheme="minorHAnsi"/>
        </w:rPr>
        <w:t xml:space="preserve">; </w:t>
      </w:r>
      <w:r w:rsidR="00D1080D" w:rsidRPr="000B7B8D">
        <w:rPr>
          <w:rFonts w:asciiTheme="minorHAnsi" w:hAnsiTheme="minorHAnsi"/>
        </w:rPr>
        <w:t>Leipold et al. 2016; Sotirov et al. 2017).</w:t>
      </w:r>
      <w:r w:rsidR="000E2319" w:rsidRPr="000B7B8D">
        <w:rPr>
          <w:rFonts w:asciiTheme="minorHAnsi" w:hAnsiTheme="minorHAnsi"/>
        </w:rPr>
        <w:t xml:space="preserve"> </w:t>
      </w:r>
      <w:r w:rsidR="0056056C" w:rsidRPr="000B7B8D">
        <w:rPr>
          <w:rFonts w:asciiTheme="minorHAnsi" w:hAnsiTheme="minorHAnsi"/>
        </w:rPr>
        <w:t xml:space="preserve"> </w:t>
      </w:r>
      <w:r w:rsidR="00B52AC5" w:rsidRPr="000B7B8D">
        <w:rPr>
          <w:rFonts w:asciiTheme="minorHAnsi" w:hAnsiTheme="minorHAnsi"/>
        </w:rPr>
        <w:t xml:space="preserve">The </w:t>
      </w:r>
      <w:r w:rsidR="00046735" w:rsidRPr="000B7B8D">
        <w:rPr>
          <w:rFonts w:asciiTheme="minorHAnsi" w:hAnsiTheme="minorHAnsi"/>
        </w:rPr>
        <w:t xml:space="preserve">adoption of </w:t>
      </w:r>
      <w:r w:rsidR="00413C34" w:rsidRPr="000B7B8D">
        <w:rPr>
          <w:rFonts w:asciiTheme="minorHAnsi" w:hAnsiTheme="minorHAnsi"/>
        </w:rPr>
        <w:t xml:space="preserve">legislation </w:t>
      </w:r>
      <w:r w:rsidR="005036C3" w:rsidRPr="000B7B8D">
        <w:rPr>
          <w:rFonts w:asciiTheme="minorHAnsi" w:hAnsiTheme="minorHAnsi"/>
        </w:rPr>
        <w:t>proh</w:t>
      </w:r>
      <w:r w:rsidR="00E4103E" w:rsidRPr="000B7B8D">
        <w:rPr>
          <w:rFonts w:asciiTheme="minorHAnsi" w:hAnsiTheme="minorHAnsi"/>
        </w:rPr>
        <w:t xml:space="preserve">ibiting trade in illegal </w:t>
      </w:r>
      <w:r w:rsidR="00E600CA" w:rsidRPr="000B7B8D">
        <w:rPr>
          <w:rFonts w:asciiTheme="minorHAnsi" w:hAnsiTheme="minorHAnsi"/>
        </w:rPr>
        <w:t>timber</w:t>
      </w:r>
      <w:r w:rsidR="00E4103E" w:rsidRPr="000B7B8D">
        <w:rPr>
          <w:rFonts w:asciiTheme="minorHAnsi" w:hAnsiTheme="minorHAnsi"/>
        </w:rPr>
        <w:t xml:space="preserve"> by two of the world’s largest </w:t>
      </w:r>
      <w:r w:rsidR="00C23596" w:rsidRPr="000B7B8D">
        <w:rPr>
          <w:rFonts w:asciiTheme="minorHAnsi" w:hAnsiTheme="minorHAnsi"/>
        </w:rPr>
        <w:t xml:space="preserve">importers, who together accounted for more than 50 per cent of the global market, </w:t>
      </w:r>
      <w:r w:rsidR="0024074B" w:rsidRPr="000B7B8D">
        <w:rPr>
          <w:rFonts w:asciiTheme="minorHAnsi" w:hAnsiTheme="minorHAnsi"/>
        </w:rPr>
        <w:t xml:space="preserve">marked a crucial step towards the </w:t>
      </w:r>
      <w:r w:rsidR="00E600CA" w:rsidRPr="000B7B8D">
        <w:rPr>
          <w:rFonts w:asciiTheme="minorHAnsi" w:hAnsiTheme="minorHAnsi"/>
        </w:rPr>
        <w:t>construction of a</w:t>
      </w:r>
      <w:r w:rsidR="00747980" w:rsidRPr="000B7B8D">
        <w:rPr>
          <w:rFonts w:asciiTheme="minorHAnsi" w:hAnsiTheme="minorHAnsi"/>
        </w:rPr>
        <w:t xml:space="preserve"> joined-up transnational regime, </w:t>
      </w:r>
      <w:r w:rsidR="007360EA" w:rsidRPr="000B7B8D">
        <w:rPr>
          <w:rFonts w:asciiTheme="minorHAnsi" w:hAnsiTheme="minorHAnsi"/>
        </w:rPr>
        <w:t xml:space="preserve">both </w:t>
      </w:r>
      <w:r w:rsidR="00747980" w:rsidRPr="000B7B8D">
        <w:rPr>
          <w:rFonts w:asciiTheme="minorHAnsi" w:hAnsiTheme="minorHAnsi"/>
        </w:rPr>
        <w:t xml:space="preserve">by force of example and by reducing the risk of </w:t>
      </w:r>
      <w:r w:rsidR="007360EA" w:rsidRPr="000B7B8D">
        <w:rPr>
          <w:rFonts w:asciiTheme="minorHAnsi" w:hAnsiTheme="minorHAnsi"/>
        </w:rPr>
        <w:t xml:space="preserve">trade </w:t>
      </w:r>
      <w:r w:rsidR="00747980" w:rsidRPr="000B7B8D">
        <w:rPr>
          <w:rFonts w:asciiTheme="minorHAnsi" w:hAnsiTheme="minorHAnsi"/>
        </w:rPr>
        <w:t>diversion.</w:t>
      </w:r>
      <w:r w:rsidR="009E5B0B" w:rsidRPr="000B7B8D">
        <w:rPr>
          <w:rFonts w:asciiTheme="minorHAnsi" w:hAnsiTheme="minorHAnsi"/>
        </w:rPr>
        <w:t xml:space="preserve"> </w:t>
      </w:r>
      <w:r w:rsidR="00B9116B" w:rsidRPr="000B7B8D">
        <w:rPr>
          <w:rFonts w:asciiTheme="minorHAnsi" w:hAnsiTheme="minorHAnsi"/>
        </w:rPr>
        <w:t xml:space="preserve"> Alongside transnational NGOs and VPA </w:t>
      </w:r>
      <w:r w:rsidR="007D7E3E" w:rsidRPr="000B7B8D">
        <w:rPr>
          <w:rFonts w:asciiTheme="minorHAnsi" w:hAnsiTheme="minorHAnsi"/>
        </w:rPr>
        <w:t>signatory countries such as Indonesia</w:t>
      </w:r>
      <w:r w:rsidR="005065B0" w:rsidRPr="000B7B8D">
        <w:rPr>
          <w:rStyle w:val="FootnoteReference"/>
          <w:rFonts w:asciiTheme="minorHAnsi" w:hAnsiTheme="minorHAnsi"/>
        </w:rPr>
        <w:footnoteReference w:id="14"/>
      </w:r>
      <w:r w:rsidR="007D7E3E" w:rsidRPr="000B7B8D">
        <w:rPr>
          <w:rFonts w:asciiTheme="minorHAnsi" w:hAnsiTheme="minorHAnsi"/>
        </w:rPr>
        <w:t xml:space="preserve">, </w:t>
      </w:r>
      <w:r w:rsidR="00BC2319" w:rsidRPr="000B7B8D">
        <w:rPr>
          <w:rFonts w:asciiTheme="minorHAnsi" w:hAnsiTheme="minorHAnsi"/>
        </w:rPr>
        <w:t xml:space="preserve">both the EU and the US have sought to </w:t>
      </w:r>
      <w:r w:rsidR="00DA4195" w:rsidRPr="000B7B8D">
        <w:rPr>
          <w:rFonts w:asciiTheme="minorHAnsi" w:hAnsiTheme="minorHAnsi"/>
        </w:rPr>
        <w:t>reinforce</w:t>
      </w:r>
      <w:r w:rsidR="00BC2319" w:rsidRPr="000B7B8D">
        <w:rPr>
          <w:rFonts w:asciiTheme="minorHAnsi" w:hAnsiTheme="minorHAnsi"/>
        </w:rPr>
        <w:t xml:space="preserve"> this emerging regime by pressing other major timber-consuming countries to introduce similar </w:t>
      </w:r>
      <w:r w:rsidR="007D3949" w:rsidRPr="000B7B8D">
        <w:rPr>
          <w:rFonts w:asciiTheme="minorHAnsi" w:hAnsiTheme="minorHAnsi"/>
        </w:rPr>
        <w:t>measures</w:t>
      </w:r>
      <w:r w:rsidR="00BC2319" w:rsidRPr="000B7B8D">
        <w:rPr>
          <w:rFonts w:asciiTheme="minorHAnsi" w:hAnsiTheme="minorHAnsi"/>
        </w:rPr>
        <w:t>, including through the incorporation of commitments to combat illegal logging in bilateral and plurilateral trade agreements</w:t>
      </w:r>
      <w:r w:rsidR="00DA4195" w:rsidRPr="000B7B8D">
        <w:rPr>
          <w:rFonts w:asciiTheme="minorHAnsi" w:hAnsiTheme="minorHAnsi"/>
        </w:rPr>
        <w:t>.</w:t>
      </w:r>
      <w:r w:rsidR="00D826CD" w:rsidRPr="000B7B8D">
        <w:rPr>
          <w:rStyle w:val="FootnoteReference"/>
          <w:rFonts w:asciiTheme="minorHAnsi" w:hAnsiTheme="minorHAnsi"/>
        </w:rPr>
        <w:footnoteReference w:id="15"/>
      </w:r>
      <w:r w:rsidR="00BC2319" w:rsidRPr="000B7B8D">
        <w:rPr>
          <w:rFonts w:asciiTheme="minorHAnsi" w:hAnsiTheme="minorHAnsi"/>
        </w:rPr>
        <w:t xml:space="preserve"> </w:t>
      </w:r>
    </w:p>
    <w:p w14:paraId="6A9C8E3B" w14:textId="46FA76E3" w:rsidR="001F68B2" w:rsidRPr="000B7B8D" w:rsidRDefault="00A61288" w:rsidP="005339B7">
      <w:pPr>
        <w:pStyle w:val="BodyText"/>
        <w:jc w:val="both"/>
        <w:rPr>
          <w:rFonts w:asciiTheme="minorHAnsi" w:hAnsiTheme="minorHAnsi"/>
        </w:rPr>
      </w:pPr>
      <w:r w:rsidRPr="000B7B8D">
        <w:rPr>
          <w:rFonts w:asciiTheme="minorHAnsi" w:hAnsiTheme="minorHAnsi"/>
        </w:rPr>
        <w:t>This transnational campaign</w:t>
      </w:r>
      <w:r w:rsidR="00DF7F57" w:rsidRPr="000B7B8D">
        <w:rPr>
          <w:rFonts w:asciiTheme="minorHAnsi" w:hAnsiTheme="minorHAnsi"/>
        </w:rPr>
        <w:t xml:space="preserve"> </w:t>
      </w:r>
      <w:r w:rsidRPr="000B7B8D">
        <w:rPr>
          <w:rFonts w:asciiTheme="minorHAnsi" w:hAnsiTheme="minorHAnsi"/>
        </w:rPr>
        <w:t xml:space="preserve">inspired by the </w:t>
      </w:r>
      <w:r w:rsidR="000A79B9" w:rsidRPr="000B7B8D">
        <w:rPr>
          <w:rFonts w:asciiTheme="minorHAnsi" w:hAnsiTheme="minorHAnsi"/>
        </w:rPr>
        <w:t xml:space="preserve">successive </w:t>
      </w:r>
      <w:r w:rsidRPr="000B7B8D">
        <w:rPr>
          <w:rFonts w:asciiTheme="minorHAnsi" w:hAnsiTheme="minorHAnsi"/>
        </w:rPr>
        <w:t>enactment of</w:t>
      </w:r>
      <w:r w:rsidR="00BC5B8E" w:rsidRPr="000B7B8D">
        <w:rPr>
          <w:rFonts w:asciiTheme="minorHAnsi" w:hAnsiTheme="minorHAnsi"/>
        </w:rPr>
        <w:t xml:space="preserve"> </w:t>
      </w:r>
      <w:r w:rsidRPr="000B7B8D">
        <w:rPr>
          <w:rFonts w:asciiTheme="minorHAnsi" w:hAnsiTheme="minorHAnsi"/>
        </w:rPr>
        <w:t xml:space="preserve">the US LTPA and the EUTR triggered a “norm cascade” (Finnemore &amp; Sikkink 1998) of legislative responses among </w:t>
      </w:r>
      <w:r w:rsidRPr="000B7B8D">
        <w:rPr>
          <w:rFonts w:asciiTheme="minorHAnsi" w:hAnsiTheme="minorHAnsi"/>
        </w:rPr>
        <w:lastRenderedPageBreak/>
        <w:t xml:space="preserve">other major timber-importing countries in the Global North.  </w:t>
      </w:r>
      <w:r w:rsidR="005E2877" w:rsidRPr="000B7B8D">
        <w:rPr>
          <w:rFonts w:asciiTheme="minorHAnsi" w:hAnsiTheme="minorHAnsi"/>
        </w:rPr>
        <w:t xml:space="preserve">In </w:t>
      </w:r>
      <w:r w:rsidR="002438D8" w:rsidRPr="000B7B8D">
        <w:rPr>
          <w:rFonts w:asciiTheme="minorHAnsi" w:hAnsiTheme="minorHAnsi"/>
        </w:rPr>
        <w:t xml:space="preserve">2012, Australia </w:t>
      </w:r>
      <w:r w:rsidR="0049412C" w:rsidRPr="000B7B8D">
        <w:rPr>
          <w:rFonts w:asciiTheme="minorHAnsi" w:hAnsiTheme="minorHAnsi"/>
        </w:rPr>
        <w:t xml:space="preserve">adopted the </w:t>
      </w:r>
      <w:r w:rsidR="00AB1CF2" w:rsidRPr="000B7B8D">
        <w:rPr>
          <w:rFonts w:asciiTheme="minorHAnsi" w:hAnsiTheme="minorHAnsi"/>
        </w:rPr>
        <w:t xml:space="preserve">Illegal Logging Prohibition Act (ILPA), </w:t>
      </w:r>
      <w:r w:rsidR="00480CFB" w:rsidRPr="000B7B8D">
        <w:rPr>
          <w:rFonts w:asciiTheme="minorHAnsi" w:hAnsiTheme="minorHAnsi"/>
        </w:rPr>
        <w:t xml:space="preserve">which makes it a criminal offense to </w:t>
      </w:r>
      <w:r w:rsidR="00092412" w:rsidRPr="000B7B8D">
        <w:rPr>
          <w:rFonts w:asciiTheme="minorHAnsi" w:hAnsiTheme="minorHAnsi"/>
        </w:rPr>
        <w:t xml:space="preserve">place illegally harvested wood from whatever source on the </w:t>
      </w:r>
      <w:r w:rsidR="003E23AA" w:rsidRPr="000B7B8D">
        <w:rPr>
          <w:rFonts w:asciiTheme="minorHAnsi" w:hAnsiTheme="minorHAnsi"/>
        </w:rPr>
        <w:t>national</w:t>
      </w:r>
      <w:r w:rsidR="00092412" w:rsidRPr="000B7B8D">
        <w:rPr>
          <w:rFonts w:asciiTheme="minorHAnsi" w:hAnsiTheme="minorHAnsi"/>
        </w:rPr>
        <w:t xml:space="preserve"> market.  </w:t>
      </w:r>
      <w:r w:rsidR="007F76F4" w:rsidRPr="000B7B8D">
        <w:rPr>
          <w:rFonts w:asciiTheme="minorHAnsi" w:hAnsiTheme="minorHAnsi"/>
        </w:rPr>
        <w:t>Like the EUTR, t</w:t>
      </w:r>
      <w:r w:rsidR="00092412" w:rsidRPr="000B7B8D">
        <w:rPr>
          <w:rFonts w:asciiTheme="minorHAnsi" w:hAnsiTheme="minorHAnsi"/>
        </w:rPr>
        <w:t>he implem</w:t>
      </w:r>
      <w:r w:rsidR="008A59FE" w:rsidRPr="000B7B8D">
        <w:rPr>
          <w:rFonts w:asciiTheme="minorHAnsi" w:hAnsiTheme="minorHAnsi"/>
        </w:rPr>
        <w:t xml:space="preserve">enting regulation </w:t>
      </w:r>
      <w:r w:rsidR="003E23AA" w:rsidRPr="000B7B8D">
        <w:rPr>
          <w:rFonts w:asciiTheme="minorHAnsi" w:hAnsiTheme="minorHAnsi"/>
        </w:rPr>
        <w:t xml:space="preserve">obliges </w:t>
      </w:r>
      <w:r w:rsidR="00817A27" w:rsidRPr="000B7B8D">
        <w:rPr>
          <w:rFonts w:asciiTheme="minorHAnsi" w:hAnsiTheme="minorHAnsi"/>
        </w:rPr>
        <w:t xml:space="preserve">firms to </w:t>
      </w:r>
      <w:r w:rsidR="00136A17" w:rsidRPr="000B7B8D">
        <w:rPr>
          <w:rFonts w:asciiTheme="minorHAnsi" w:hAnsiTheme="minorHAnsi"/>
        </w:rPr>
        <w:t xml:space="preserve">develop documented due diligence systems for assessing and minimizing the risk </w:t>
      </w:r>
      <w:r w:rsidR="00F446E3" w:rsidRPr="000B7B8D">
        <w:rPr>
          <w:rFonts w:asciiTheme="minorHAnsi" w:hAnsiTheme="minorHAnsi"/>
        </w:rPr>
        <w:t xml:space="preserve">that timber has been illegally logged and to </w:t>
      </w:r>
      <w:r w:rsidR="009F614D" w:rsidRPr="000B7B8D">
        <w:rPr>
          <w:rFonts w:asciiTheme="minorHAnsi" w:hAnsiTheme="minorHAnsi"/>
        </w:rPr>
        <w:t>attest compliance with these requirements in customs declarations, subject to substantial financial penalties (</w:t>
      </w:r>
      <w:r w:rsidR="00F9681C" w:rsidRPr="000B7B8D">
        <w:rPr>
          <w:rFonts w:asciiTheme="minorHAnsi" w:hAnsiTheme="minorHAnsi"/>
        </w:rPr>
        <w:t>ADAWR</w:t>
      </w:r>
      <w:r w:rsidR="00EC0C69" w:rsidRPr="000B7B8D">
        <w:rPr>
          <w:rFonts w:asciiTheme="minorHAnsi" w:hAnsiTheme="minorHAnsi"/>
        </w:rPr>
        <w:t xml:space="preserve"> 2018</w:t>
      </w:r>
      <w:r w:rsidR="00B31EFD" w:rsidRPr="000B7B8D">
        <w:rPr>
          <w:rFonts w:asciiTheme="minorHAnsi" w:hAnsiTheme="minorHAnsi"/>
        </w:rPr>
        <w:t>b</w:t>
      </w:r>
      <w:r w:rsidR="009F614D" w:rsidRPr="000B7B8D">
        <w:rPr>
          <w:rFonts w:asciiTheme="minorHAnsi" w:hAnsiTheme="minorHAnsi"/>
        </w:rPr>
        <w:t>: 7</w:t>
      </w:r>
      <w:r w:rsidR="00371364" w:rsidRPr="000B7B8D">
        <w:rPr>
          <w:rFonts w:asciiTheme="minorHAnsi" w:hAnsiTheme="minorHAnsi"/>
        </w:rPr>
        <w:t xml:space="preserve">; </w:t>
      </w:r>
      <w:r w:rsidR="000F40DA" w:rsidRPr="000B7B8D">
        <w:rPr>
          <w:rFonts w:asciiTheme="minorHAnsi" w:hAnsiTheme="minorHAnsi"/>
        </w:rPr>
        <w:t xml:space="preserve">Leipold et al. 2016; </w:t>
      </w:r>
      <w:r w:rsidR="00121649" w:rsidRPr="000B7B8D">
        <w:rPr>
          <w:rFonts w:asciiTheme="minorHAnsi" w:hAnsiTheme="minorHAnsi"/>
        </w:rPr>
        <w:t>McMaugh 2016</w:t>
      </w:r>
      <w:r w:rsidR="009F614D" w:rsidRPr="000B7B8D">
        <w:rPr>
          <w:rFonts w:asciiTheme="minorHAnsi" w:hAnsiTheme="minorHAnsi"/>
        </w:rPr>
        <w:t xml:space="preserve">). </w:t>
      </w:r>
      <w:r w:rsidR="00371364" w:rsidRPr="000B7B8D">
        <w:rPr>
          <w:rFonts w:asciiTheme="minorHAnsi" w:hAnsiTheme="minorHAnsi"/>
        </w:rPr>
        <w:t xml:space="preserve"> </w:t>
      </w:r>
      <w:r w:rsidR="0026446F" w:rsidRPr="000B7B8D">
        <w:rPr>
          <w:rFonts w:asciiTheme="minorHAnsi" w:hAnsiTheme="minorHAnsi"/>
        </w:rPr>
        <w:t xml:space="preserve">In 2016, Japan </w:t>
      </w:r>
      <w:r w:rsidR="003F3BEB" w:rsidRPr="000B7B8D">
        <w:rPr>
          <w:rFonts w:asciiTheme="minorHAnsi" w:hAnsiTheme="minorHAnsi"/>
        </w:rPr>
        <w:t xml:space="preserve">introduced </w:t>
      </w:r>
      <w:r w:rsidR="00DF7413" w:rsidRPr="000B7B8D">
        <w:rPr>
          <w:rFonts w:asciiTheme="minorHAnsi" w:hAnsiTheme="minorHAnsi"/>
        </w:rPr>
        <w:t>a Clean Wood Act</w:t>
      </w:r>
      <w:r w:rsidR="00CF2A87" w:rsidRPr="000B7B8D">
        <w:rPr>
          <w:rFonts w:asciiTheme="minorHAnsi" w:hAnsiTheme="minorHAnsi"/>
        </w:rPr>
        <w:t xml:space="preserve">, which requires firms to </w:t>
      </w:r>
      <w:r w:rsidR="00E5693B" w:rsidRPr="000B7B8D">
        <w:rPr>
          <w:rFonts w:asciiTheme="minorHAnsi" w:hAnsiTheme="minorHAnsi"/>
        </w:rPr>
        <w:t>“</w:t>
      </w:r>
      <w:r w:rsidR="00F65F95" w:rsidRPr="000B7B8D">
        <w:rPr>
          <w:rFonts w:asciiTheme="minorHAnsi" w:hAnsiTheme="minorHAnsi"/>
        </w:rPr>
        <w:t>endeavo</w:t>
      </w:r>
      <w:r w:rsidR="00E5693B" w:rsidRPr="000B7B8D">
        <w:rPr>
          <w:rFonts w:asciiTheme="minorHAnsi" w:hAnsiTheme="minorHAnsi"/>
        </w:rPr>
        <w:t>r”</w:t>
      </w:r>
      <w:r w:rsidR="00CF2A87" w:rsidRPr="000B7B8D">
        <w:rPr>
          <w:rFonts w:asciiTheme="minorHAnsi" w:hAnsiTheme="minorHAnsi"/>
        </w:rPr>
        <w:t xml:space="preserve"> to use only legally </w:t>
      </w:r>
      <w:r w:rsidR="00F65F95" w:rsidRPr="000B7B8D">
        <w:rPr>
          <w:rFonts w:asciiTheme="minorHAnsi" w:hAnsiTheme="minorHAnsi"/>
        </w:rPr>
        <w:t>harvested</w:t>
      </w:r>
      <w:r w:rsidR="00CF2A87" w:rsidRPr="000B7B8D">
        <w:rPr>
          <w:rFonts w:asciiTheme="minorHAnsi" w:hAnsiTheme="minorHAnsi"/>
        </w:rPr>
        <w:t xml:space="preserve"> timber</w:t>
      </w:r>
      <w:r w:rsidR="00EC153C" w:rsidRPr="000B7B8D">
        <w:rPr>
          <w:rFonts w:asciiTheme="minorHAnsi" w:hAnsiTheme="minorHAnsi"/>
        </w:rPr>
        <w:t xml:space="preserve">.  </w:t>
      </w:r>
      <w:r w:rsidR="00C36F48" w:rsidRPr="000B7B8D">
        <w:rPr>
          <w:rFonts w:asciiTheme="minorHAnsi" w:hAnsiTheme="minorHAnsi"/>
        </w:rPr>
        <w:t>Firms which</w:t>
      </w:r>
      <w:r w:rsidR="00EC153C" w:rsidRPr="000B7B8D">
        <w:rPr>
          <w:rFonts w:asciiTheme="minorHAnsi" w:hAnsiTheme="minorHAnsi"/>
        </w:rPr>
        <w:t xml:space="preserve"> </w:t>
      </w:r>
      <w:r w:rsidR="00230D01" w:rsidRPr="000B7B8D">
        <w:rPr>
          <w:rFonts w:asciiTheme="minorHAnsi" w:hAnsiTheme="minorHAnsi"/>
        </w:rPr>
        <w:t xml:space="preserve">undertake </w:t>
      </w:r>
      <w:r w:rsidR="009D3C30" w:rsidRPr="000B7B8D">
        <w:rPr>
          <w:rFonts w:asciiTheme="minorHAnsi" w:hAnsiTheme="minorHAnsi"/>
        </w:rPr>
        <w:t xml:space="preserve">to ensure the use of legally sourced wood can register with government-accredited bodies and must </w:t>
      </w:r>
      <w:r w:rsidR="00C36F48" w:rsidRPr="000B7B8D">
        <w:rPr>
          <w:rFonts w:asciiTheme="minorHAnsi" w:hAnsiTheme="minorHAnsi"/>
        </w:rPr>
        <w:t>carry out due diligence under their oversight; in case of non-compliance, the</w:t>
      </w:r>
      <w:r w:rsidR="00602B63" w:rsidRPr="000B7B8D">
        <w:rPr>
          <w:rFonts w:asciiTheme="minorHAnsi" w:hAnsiTheme="minorHAnsi"/>
        </w:rPr>
        <w:t>y lose the</w:t>
      </w:r>
      <w:r w:rsidR="00C36F48" w:rsidRPr="000B7B8D">
        <w:rPr>
          <w:rFonts w:asciiTheme="minorHAnsi" w:hAnsiTheme="minorHAnsi"/>
        </w:rPr>
        <w:t>ir right to use the title of “registered operator”, but no financial penalties apply (</w:t>
      </w:r>
      <w:r w:rsidR="005F7085" w:rsidRPr="000B7B8D">
        <w:rPr>
          <w:rFonts w:asciiTheme="minorHAnsi" w:hAnsiTheme="minorHAnsi"/>
        </w:rPr>
        <w:t>Mom</w:t>
      </w:r>
      <w:r w:rsidR="00C20CB4" w:rsidRPr="000B7B8D">
        <w:rPr>
          <w:rFonts w:asciiTheme="minorHAnsi" w:hAnsiTheme="minorHAnsi"/>
        </w:rPr>
        <w:t>i</w:t>
      </w:r>
      <w:r w:rsidR="005F7085" w:rsidRPr="000B7B8D">
        <w:rPr>
          <w:rFonts w:asciiTheme="minorHAnsi" w:hAnsiTheme="minorHAnsi"/>
        </w:rPr>
        <w:t xml:space="preserve">i 2016; </w:t>
      </w:r>
      <w:r w:rsidR="00EA0CA4" w:rsidRPr="000B7B8D">
        <w:rPr>
          <w:rFonts w:asciiTheme="minorHAnsi" w:hAnsiTheme="minorHAnsi"/>
        </w:rPr>
        <w:t>EU FLEGT Facility 2018a</w:t>
      </w:r>
      <w:r w:rsidR="005F7085" w:rsidRPr="000B7B8D">
        <w:rPr>
          <w:rFonts w:asciiTheme="minorHAnsi" w:hAnsiTheme="minorHAnsi"/>
        </w:rPr>
        <w:t>).</w:t>
      </w:r>
      <w:r w:rsidR="003757FE" w:rsidRPr="000B7B8D">
        <w:rPr>
          <w:rStyle w:val="FootnoteReference"/>
          <w:rFonts w:asciiTheme="minorHAnsi" w:hAnsiTheme="minorHAnsi"/>
        </w:rPr>
        <w:footnoteReference w:id="16"/>
      </w:r>
      <w:r w:rsidR="00793408" w:rsidRPr="000B7B8D">
        <w:rPr>
          <w:rFonts w:asciiTheme="minorHAnsi" w:hAnsiTheme="minorHAnsi"/>
        </w:rPr>
        <w:t xml:space="preserve"> </w:t>
      </w:r>
      <w:r w:rsidR="008667A9" w:rsidRPr="000B7B8D">
        <w:rPr>
          <w:rFonts w:asciiTheme="minorHAnsi" w:hAnsiTheme="minorHAnsi"/>
        </w:rPr>
        <w:t xml:space="preserve"> In 2017, South Korea </w:t>
      </w:r>
      <w:r w:rsidR="006F5DF2" w:rsidRPr="000B7B8D">
        <w:rPr>
          <w:rFonts w:asciiTheme="minorHAnsi" w:hAnsiTheme="minorHAnsi"/>
        </w:rPr>
        <w:t xml:space="preserve">revised its 2012 Act on the Sustainable Use of Timbers to prohibit the importation and sale of illegally harvested timber, </w:t>
      </w:r>
      <w:r w:rsidR="005C15CB" w:rsidRPr="000B7B8D">
        <w:rPr>
          <w:rFonts w:asciiTheme="minorHAnsi" w:hAnsiTheme="minorHAnsi"/>
        </w:rPr>
        <w:t xml:space="preserve">subject to </w:t>
      </w:r>
      <w:r w:rsidR="00B92D55" w:rsidRPr="000B7B8D">
        <w:rPr>
          <w:rFonts w:asciiTheme="minorHAnsi" w:hAnsiTheme="minorHAnsi"/>
        </w:rPr>
        <w:t xml:space="preserve">both </w:t>
      </w:r>
      <w:r w:rsidR="005C15CB" w:rsidRPr="000B7B8D">
        <w:rPr>
          <w:rFonts w:asciiTheme="minorHAnsi" w:hAnsiTheme="minorHAnsi"/>
        </w:rPr>
        <w:t>criminal and civil penalties for infringements</w:t>
      </w:r>
      <w:r w:rsidR="0065602B" w:rsidRPr="000B7B8D">
        <w:rPr>
          <w:rFonts w:asciiTheme="minorHAnsi" w:hAnsiTheme="minorHAnsi"/>
        </w:rPr>
        <w:t xml:space="preserve">, including suspension of business registration </w:t>
      </w:r>
      <w:r w:rsidR="00B92D55" w:rsidRPr="000B7B8D">
        <w:rPr>
          <w:rFonts w:asciiTheme="minorHAnsi" w:hAnsiTheme="minorHAnsi"/>
        </w:rPr>
        <w:t>and destruction or return of non-conforming products, as well as fines and imprisonment</w:t>
      </w:r>
      <w:r w:rsidR="005C15CB" w:rsidRPr="000B7B8D">
        <w:rPr>
          <w:rFonts w:asciiTheme="minorHAnsi" w:hAnsiTheme="minorHAnsi"/>
        </w:rPr>
        <w:t xml:space="preserve">.  Operators are required to submit a declaration documenting that timber products have been legally harvested in their country of origin, which is verified by </w:t>
      </w:r>
      <w:r w:rsidR="005339B7" w:rsidRPr="000B7B8D">
        <w:rPr>
          <w:rFonts w:asciiTheme="minorHAnsi" w:hAnsiTheme="minorHAnsi"/>
        </w:rPr>
        <w:t>public authorities</w:t>
      </w:r>
      <w:r w:rsidR="005C15CB" w:rsidRPr="000B7B8D">
        <w:rPr>
          <w:rFonts w:asciiTheme="minorHAnsi" w:hAnsiTheme="minorHAnsi"/>
        </w:rPr>
        <w:t xml:space="preserve"> before an import permit can be granted (</w:t>
      </w:r>
      <w:r w:rsidR="00B92D55" w:rsidRPr="000B7B8D">
        <w:rPr>
          <w:rFonts w:asciiTheme="minorHAnsi" w:hAnsiTheme="minorHAnsi"/>
        </w:rPr>
        <w:t>Lee 2018; EU FLEGT Facility 2018</w:t>
      </w:r>
      <w:r w:rsidR="00BA4070" w:rsidRPr="000B7B8D">
        <w:rPr>
          <w:rFonts w:asciiTheme="minorHAnsi" w:hAnsiTheme="minorHAnsi"/>
        </w:rPr>
        <w:t>b</w:t>
      </w:r>
      <w:r w:rsidR="00B92D55" w:rsidRPr="000B7B8D">
        <w:rPr>
          <w:rFonts w:asciiTheme="minorHAnsi" w:hAnsiTheme="minorHAnsi"/>
        </w:rPr>
        <w:t xml:space="preserve">). </w:t>
      </w:r>
      <w:r w:rsidR="00C01DB2" w:rsidRPr="000B7B8D">
        <w:rPr>
          <w:rFonts w:asciiTheme="minorHAnsi" w:hAnsiTheme="minorHAnsi"/>
        </w:rPr>
        <w:t xml:space="preserve"> </w:t>
      </w:r>
      <w:r w:rsidR="004C7C17" w:rsidRPr="000B7B8D">
        <w:rPr>
          <w:rFonts w:asciiTheme="minorHAnsi" w:hAnsiTheme="minorHAnsi"/>
        </w:rPr>
        <w:t xml:space="preserve">Among </w:t>
      </w:r>
      <w:r w:rsidR="00170217" w:rsidRPr="000B7B8D">
        <w:rPr>
          <w:rFonts w:asciiTheme="minorHAnsi" w:hAnsiTheme="minorHAnsi"/>
        </w:rPr>
        <w:t>large</w:t>
      </w:r>
      <w:r w:rsidR="004C7C17" w:rsidRPr="000B7B8D">
        <w:rPr>
          <w:rFonts w:asciiTheme="minorHAnsi" w:hAnsiTheme="minorHAnsi"/>
        </w:rPr>
        <w:t xml:space="preserve"> “northern”</w:t>
      </w:r>
      <w:r w:rsidR="00110D28" w:rsidRPr="000B7B8D">
        <w:rPr>
          <w:rFonts w:asciiTheme="minorHAnsi" w:hAnsiTheme="minorHAnsi"/>
        </w:rPr>
        <w:t xml:space="preserve"> wood </w:t>
      </w:r>
      <w:r w:rsidR="005D64B8" w:rsidRPr="000B7B8D">
        <w:rPr>
          <w:rFonts w:asciiTheme="minorHAnsi" w:hAnsiTheme="minorHAnsi"/>
        </w:rPr>
        <w:t>consumer</w:t>
      </w:r>
      <w:r w:rsidR="004511D2" w:rsidRPr="000B7B8D">
        <w:rPr>
          <w:rFonts w:asciiTheme="minorHAnsi" w:hAnsiTheme="minorHAnsi"/>
        </w:rPr>
        <w:t>s</w:t>
      </w:r>
      <w:r w:rsidR="004C7C17" w:rsidRPr="000B7B8D">
        <w:rPr>
          <w:rFonts w:asciiTheme="minorHAnsi" w:hAnsiTheme="minorHAnsi"/>
        </w:rPr>
        <w:t xml:space="preserve">, only Canada has not passed new legislation </w:t>
      </w:r>
      <w:r w:rsidR="00B44991" w:rsidRPr="000B7B8D">
        <w:rPr>
          <w:rFonts w:asciiTheme="minorHAnsi" w:hAnsiTheme="minorHAnsi"/>
        </w:rPr>
        <w:t>to combat trade in illegal timber</w:t>
      </w:r>
      <w:r w:rsidR="004C7C17" w:rsidRPr="000B7B8D">
        <w:rPr>
          <w:rFonts w:asciiTheme="minorHAnsi" w:hAnsiTheme="minorHAnsi"/>
        </w:rPr>
        <w:t xml:space="preserve">, but has instead extended </w:t>
      </w:r>
      <w:r w:rsidR="007F2548" w:rsidRPr="000B7B8D">
        <w:rPr>
          <w:rFonts w:asciiTheme="minorHAnsi" w:hAnsiTheme="minorHAnsi"/>
        </w:rPr>
        <w:t xml:space="preserve">to non-CITES species </w:t>
      </w:r>
      <w:r w:rsidR="004C7C17" w:rsidRPr="000B7B8D">
        <w:rPr>
          <w:rFonts w:asciiTheme="minorHAnsi" w:hAnsiTheme="minorHAnsi"/>
        </w:rPr>
        <w:t xml:space="preserve">enforcement of the 1992 Wild Animal and Plant Protection and Regulation of International and Interprovincial Trade Act (WAPPRIITA), </w:t>
      </w:r>
      <w:r w:rsidR="009937E6" w:rsidRPr="000B7B8D">
        <w:rPr>
          <w:rFonts w:asciiTheme="minorHAnsi" w:hAnsiTheme="minorHAnsi"/>
        </w:rPr>
        <w:t xml:space="preserve">which like the US Lacey Act prohibits importation of any </w:t>
      </w:r>
      <w:r w:rsidR="009937E6" w:rsidRPr="000B7B8D">
        <w:rPr>
          <w:rFonts w:asciiTheme="minorHAnsi" w:hAnsiTheme="minorHAnsi"/>
        </w:rPr>
        <w:lastRenderedPageBreak/>
        <w:t xml:space="preserve">plant product </w:t>
      </w:r>
      <w:r w:rsidR="007F2548" w:rsidRPr="000B7B8D">
        <w:rPr>
          <w:rFonts w:asciiTheme="minorHAnsi" w:hAnsiTheme="minorHAnsi"/>
        </w:rPr>
        <w:t>“possessed, distributed or transported in contravention of any law of any foreign state”</w:t>
      </w:r>
      <w:r w:rsidR="00B44991" w:rsidRPr="000B7B8D">
        <w:rPr>
          <w:rFonts w:asciiTheme="minorHAnsi" w:hAnsiTheme="minorHAnsi"/>
        </w:rPr>
        <w:t xml:space="preserve"> (Williamson 2016; Government of Canada, 2017)</w:t>
      </w:r>
      <w:r w:rsidR="004C7C17" w:rsidRPr="000B7B8D">
        <w:rPr>
          <w:rFonts w:asciiTheme="minorHAnsi" w:hAnsiTheme="minorHAnsi"/>
        </w:rPr>
        <w:t>.</w:t>
      </w:r>
      <w:r w:rsidR="000F21D5" w:rsidRPr="000B7B8D">
        <w:rPr>
          <w:rStyle w:val="FootnoteReference"/>
          <w:rFonts w:asciiTheme="minorHAnsi" w:hAnsiTheme="minorHAnsi"/>
        </w:rPr>
        <w:footnoteReference w:id="17"/>
      </w:r>
      <w:r w:rsidR="004C7C17" w:rsidRPr="000B7B8D">
        <w:rPr>
          <w:rFonts w:asciiTheme="minorHAnsi" w:hAnsiTheme="minorHAnsi"/>
        </w:rPr>
        <w:t xml:space="preserve"> </w:t>
      </w:r>
    </w:p>
    <w:p w14:paraId="7D07AAA7" w14:textId="24DE96F2" w:rsidR="00180D5A" w:rsidRPr="000B7B8D" w:rsidRDefault="00553AB5" w:rsidP="005339B7">
      <w:pPr>
        <w:pStyle w:val="BodyText"/>
        <w:jc w:val="both"/>
        <w:rPr>
          <w:rFonts w:asciiTheme="minorHAnsi" w:hAnsiTheme="minorHAnsi"/>
        </w:rPr>
      </w:pPr>
      <w:r w:rsidRPr="000B7B8D">
        <w:rPr>
          <w:rFonts w:asciiTheme="minorHAnsi" w:hAnsiTheme="minorHAnsi"/>
        </w:rPr>
        <w:t xml:space="preserve">Over the past decade, </w:t>
      </w:r>
      <w:r w:rsidR="00B94B02" w:rsidRPr="000B7B8D">
        <w:rPr>
          <w:rFonts w:asciiTheme="minorHAnsi" w:hAnsiTheme="minorHAnsi"/>
        </w:rPr>
        <w:t xml:space="preserve">the </w:t>
      </w:r>
      <w:r w:rsidR="00CB49B4" w:rsidRPr="000B7B8D">
        <w:rPr>
          <w:rFonts w:asciiTheme="minorHAnsi" w:hAnsiTheme="minorHAnsi"/>
        </w:rPr>
        <w:t>m</w:t>
      </w:r>
      <w:r w:rsidR="00CA19FD" w:rsidRPr="000B7B8D">
        <w:rPr>
          <w:rFonts w:asciiTheme="minorHAnsi" w:hAnsiTheme="minorHAnsi"/>
        </w:rPr>
        <w:t xml:space="preserve">ajor timber-importing jurisdictions of the Global North (with the partial exception of Japan) have thus converged </w:t>
      </w:r>
      <w:r w:rsidR="005760E9" w:rsidRPr="000B7B8D">
        <w:rPr>
          <w:rFonts w:asciiTheme="minorHAnsi" w:hAnsiTheme="minorHAnsi"/>
        </w:rPr>
        <w:t xml:space="preserve">not only on a shared normative commitment to combat illegal logging within and beyond their own borders, but also on a broad common strategy for pursuing this goal through </w:t>
      </w:r>
      <w:r w:rsidR="00D452C2" w:rsidRPr="000B7B8D">
        <w:rPr>
          <w:rFonts w:asciiTheme="minorHAnsi" w:hAnsiTheme="minorHAnsi"/>
        </w:rPr>
        <w:t xml:space="preserve">a combination of </w:t>
      </w:r>
      <w:r w:rsidR="005760E9" w:rsidRPr="000B7B8D">
        <w:rPr>
          <w:rFonts w:asciiTheme="minorHAnsi" w:hAnsiTheme="minorHAnsi"/>
        </w:rPr>
        <w:t xml:space="preserve">trade regulation and public enforcement.  </w:t>
      </w:r>
      <w:r w:rsidR="00E15740" w:rsidRPr="000B7B8D">
        <w:rPr>
          <w:rFonts w:asciiTheme="minorHAnsi" w:hAnsiTheme="minorHAnsi"/>
        </w:rPr>
        <w:t xml:space="preserve">At the same time, however, </w:t>
      </w:r>
      <w:r w:rsidR="009D103F" w:rsidRPr="000B7B8D">
        <w:rPr>
          <w:rFonts w:asciiTheme="minorHAnsi" w:hAnsiTheme="minorHAnsi"/>
        </w:rPr>
        <w:t xml:space="preserve">the </w:t>
      </w:r>
      <w:r w:rsidR="00986A23" w:rsidRPr="000B7B8D">
        <w:rPr>
          <w:rFonts w:asciiTheme="minorHAnsi" w:hAnsiTheme="minorHAnsi"/>
        </w:rPr>
        <w:t xml:space="preserve">governance architectures </w:t>
      </w:r>
      <w:r w:rsidR="006E1C57" w:rsidRPr="000B7B8D">
        <w:rPr>
          <w:rFonts w:asciiTheme="minorHAnsi" w:hAnsiTheme="minorHAnsi"/>
        </w:rPr>
        <w:t xml:space="preserve">for timber legality regulation differ significantly across these jurisdictions, as a result of </w:t>
      </w:r>
      <w:r w:rsidR="00B33799" w:rsidRPr="000B7B8D">
        <w:rPr>
          <w:rFonts w:asciiTheme="minorHAnsi" w:hAnsiTheme="minorHAnsi"/>
        </w:rPr>
        <w:t xml:space="preserve">variations in </w:t>
      </w:r>
      <w:r w:rsidR="00E5476D" w:rsidRPr="000B7B8D">
        <w:rPr>
          <w:rFonts w:asciiTheme="minorHAnsi" w:hAnsiTheme="minorHAnsi"/>
        </w:rPr>
        <w:t>domestic</w:t>
      </w:r>
      <w:r w:rsidR="006E1C57" w:rsidRPr="000B7B8D">
        <w:rPr>
          <w:rFonts w:asciiTheme="minorHAnsi" w:hAnsiTheme="minorHAnsi"/>
        </w:rPr>
        <w:t xml:space="preserve"> </w:t>
      </w:r>
      <w:r w:rsidR="00B33799" w:rsidRPr="000B7B8D">
        <w:rPr>
          <w:rFonts w:asciiTheme="minorHAnsi" w:hAnsiTheme="minorHAnsi"/>
        </w:rPr>
        <w:t>coalitions</w:t>
      </w:r>
      <w:r w:rsidR="006E1C57" w:rsidRPr="000B7B8D">
        <w:rPr>
          <w:rFonts w:asciiTheme="minorHAnsi" w:hAnsiTheme="minorHAnsi"/>
        </w:rPr>
        <w:t xml:space="preserve"> among </w:t>
      </w:r>
      <w:r w:rsidR="008F1624" w:rsidRPr="000B7B8D">
        <w:rPr>
          <w:rFonts w:asciiTheme="minorHAnsi" w:hAnsiTheme="minorHAnsi"/>
        </w:rPr>
        <w:t>NGOs and industry groups, as well as pre-existing legal an</w:t>
      </w:r>
      <w:r w:rsidR="00EB7B96" w:rsidRPr="000B7B8D">
        <w:rPr>
          <w:rFonts w:asciiTheme="minorHAnsi" w:hAnsiTheme="minorHAnsi"/>
        </w:rPr>
        <w:t xml:space="preserve">d administrative arrangements (Leipold et al. 2016).  </w:t>
      </w:r>
      <w:r w:rsidR="009921EF" w:rsidRPr="000B7B8D">
        <w:rPr>
          <w:rFonts w:asciiTheme="minorHAnsi" w:hAnsiTheme="minorHAnsi"/>
        </w:rPr>
        <w:t xml:space="preserve">Public timber legality regulations in other jurisdictions lack most of the </w:t>
      </w:r>
      <w:r w:rsidR="002821BF" w:rsidRPr="000B7B8D">
        <w:rPr>
          <w:rFonts w:asciiTheme="minorHAnsi" w:hAnsiTheme="minorHAnsi"/>
        </w:rPr>
        <w:t xml:space="preserve">explicit </w:t>
      </w:r>
      <w:r w:rsidR="009921EF" w:rsidRPr="000B7B8D">
        <w:rPr>
          <w:rFonts w:asciiTheme="minorHAnsi" w:hAnsiTheme="minorHAnsi"/>
        </w:rPr>
        <w:t>experimentalist feat</w:t>
      </w:r>
      <w:r w:rsidR="002821BF" w:rsidRPr="000B7B8D">
        <w:rPr>
          <w:rFonts w:asciiTheme="minorHAnsi" w:hAnsiTheme="minorHAnsi"/>
        </w:rPr>
        <w:t>ures of the EU FLEGT initiative</w:t>
      </w:r>
      <w:r w:rsidR="009921EF" w:rsidRPr="000B7B8D">
        <w:rPr>
          <w:rFonts w:asciiTheme="minorHAnsi" w:hAnsiTheme="minorHAnsi"/>
        </w:rPr>
        <w:t xml:space="preserve">.  They take foreign laws as they stand, without seeking to reconcile ambiguous and contradictory legislation or fill regulatory gaps, unlike the updated </w:t>
      </w:r>
      <w:r w:rsidR="00565312" w:rsidRPr="000B7B8D">
        <w:rPr>
          <w:rFonts w:asciiTheme="minorHAnsi" w:hAnsiTheme="minorHAnsi"/>
        </w:rPr>
        <w:t xml:space="preserve">and agreed </w:t>
      </w:r>
      <w:r w:rsidR="009921EF" w:rsidRPr="000B7B8D">
        <w:rPr>
          <w:rFonts w:asciiTheme="minorHAnsi" w:hAnsiTheme="minorHAnsi"/>
        </w:rPr>
        <w:t xml:space="preserve">legality standards produced by </w:t>
      </w:r>
      <w:r w:rsidR="00741D03" w:rsidRPr="000B7B8D">
        <w:rPr>
          <w:rFonts w:asciiTheme="minorHAnsi" w:hAnsiTheme="minorHAnsi"/>
        </w:rPr>
        <w:t xml:space="preserve">the FLEGT VPAs. </w:t>
      </w:r>
      <w:r w:rsidR="001D10A3" w:rsidRPr="000B7B8D">
        <w:rPr>
          <w:rFonts w:asciiTheme="minorHAnsi" w:hAnsiTheme="minorHAnsi"/>
        </w:rPr>
        <w:t xml:space="preserve"> </w:t>
      </w:r>
      <w:r w:rsidR="00565312" w:rsidRPr="000B7B8D">
        <w:rPr>
          <w:rFonts w:asciiTheme="minorHAnsi" w:hAnsiTheme="minorHAnsi"/>
        </w:rPr>
        <w:t xml:space="preserve">Public authorities, customs officials, prosecutors, and judges are thus placed in the difficult position of assessing the current state of foreign laws and regulatory practices in order to determine whether a given timber shipment has been harvested illegally.  </w:t>
      </w:r>
    </w:p>
    <w:p w14:paraId="1BCB23FA" w14:textId="64BCE843" w:rsidR="00DF77EA" w:rsidRPr="000B7B8D" w:rsidRDefault="00565312" w:rsidP="005339B7">
      <w:pPr>
        <w:pStyle w:val="BodyText"/>
        <w:jc w:val="both"/>
        <w:rPr>
          <w:rFonts w:asciiTheme="minorHAnsi" w:hAnsiTheme="minorHAnsi"/>
        </w:rPr>
      </w:pPr>
      <w:r w:rsidRPr="000B7B8D">
        <w:rPr>
          <w:rFonts w:asciiTheme="minorHAnsi" w:hAnsiTheme="minorHAnsi"/>
        </w:rPr>
        <w:t xml:space="preserve">In the </w:t>
      </w:r>
      <w:r w:rsidR="0013632B" w:rsidRPr="000B7B8D">
        <w:rPr>
          <w:rFonts w:asciiTheme="minorHAnsi" w:hAnsiTheme="minorHAnsi"/>
        </w:rPr>
        <w:t xml:space="preserve">US, </w:t>
      </w:r>
      <w:r w:rsidR="00A94F37" w:rsidRPr="000B7B8D">
        <w:rPr>
          <w:rFonts w:asciiTheme="minorHAnsi" w:hAnsiTheme="minorHAnsi"/>
        </w:rPr>
        <w:t xml:space="preserve">importers are now required to file Lacey Act declarations through a </w:t>
      </w:r>
      <w:r w:rsidR="00785033" w:rsidRPr="000B7B8D">
        <w:rPr>
          <w:rFonts w:asciiTheme="minorHAnsi" w:hAnsiTheme="minorHAnsi"/>
        </w:rPr>
        <w:t>single</w:t>
      </w:r>
      <w:r w:rsidR="00A94F37" w:rsidRPr="000B7B8D">
        <w:rPr>
          <w:rFonts w:asciiTheme="minorHAnsi" w:hAnsiTheme="minorHAnsi"/>
        </w:rPr>
        <w:t xml:space="preserve"> automated system. The </w:t>
      </w:r>
      <w:r w:rsidR="00352484" w:rsidRPr="000B7B8D">
        <w:rPr>
          <w:rFonts w:asciiTheme="minorHAnsi" w:hAnsiTheme="minorHAnsi"/>
        </w:rPr>
        <w:t xml:space="preserve">Department of Agriculture’s Animal Plant Health Inspection Service (APHIS) currently </w:t>
      </w:r>
      <w:r w:rsidR="00A1610F" w:rsidRPr="000B7B8D">
        <w:rPr>
          <w:rFonts w:asciiTheme="minorHAnsi" w:hAnsiTheme="minorHAnsi"/>
        </w:rPr>
        <w:t xml:space="preserve">receives more than 3400 </w:t>
      </w:r>
      <w:r w:rsidR="00A94F37" w:rsidRPr="000B7B8D">
        <w:rPr>
          <w:rFonts w:asciiTheme="minorHAnsi" w:hAnsiTheme="minorHAnsi"/>
        </w:rPr>
        <w:t>such</w:t>
      </w:r>
      <w:r w:rsidR="00A1610F" w:rsidRPr="000B7B8D">
        <w:rPr>
          <w:rFonts w:asciiTheme="minorHAnsi" w:hAnsiTheme="minorHAnsi"/>
        </w:rPr>
        <w:t xml:space="preserve"> declarations per week, which it lacks</w:t>
      </w:r>
      <w:r w:rsidR="00352484" w:rsidRPr="000B7B8D">
        <w:rPr>
          <w:rFonts w:asciiTheme="minorHAnsi" w:hAnsiTheme="minorHAnsi"/>
        </w:rPr>
        <w:t xml:space="preserve"> </w:t>
      </w:r>
      <w:r w:rsidR="00E05829" w:rsidRPr="000B7B8D">
        <w:rPr>
          <w:rFonts w:asciiTheme="minorHAnsi" w:hAnsiTheme="minorHAnsi"/>
        </w:rPr>
        <w:t xml:space="preserve">the capacity to review in depth, and is </w:t>
      </w:r>
      <w:r w:rsidR="007D55B7" w:rsidRPr="000B7B8D">
        <w:rPr>
          <w:rFonts w:asciiTheme="minorHAnsi" w:hAnsiTheme="minorHAnsi"/>
        </w:rPr>
        <w:t>developing</w:t>
      </w:r>
      <w:r w:rsidR="0041441B" w:rsidRPr="000B7B8D">
        <w:rPr>
          <w:rFonts w:asciiTheme="minorHAnsi" w:hAnsiTheme="minorHAnsi"/>
        </w:rPr>
        <w:t xml:space="preserve"> a</w:t>
      </w:r>
      <w:r w:rsidR="00E05829" w:rsidRPr="000B7B8D">
        <w:rPr>
          <w:rFonts w:asciiTheme="minorHAnsi" w:hAnsiTheme="minorHAnsi"/>
        </w:rPr>
        <w:t xml:space="preserve"> </w:t>
      </w:r>
      <w:r w:rsidR="001729BA" w:rsidRPr="000B7B8D">
        <w:rPr>
          <w:rFonts w:asciiTheme="minorHAnsi" w:hAnsiTheme="minorHAnsi"/>
        </w:rPr>
        <w:t>reference</w:t>
      </w:r>
      <w:r w:rsidR="0041441B" w:rsidRPr="000B7B8D">
        <w:rPr>
          <w:rFonts w:asciiTheme="minorHAnsi" w:hAnsiTheme="minorHAnsi"/>
        </w:rPr>
        <w:t xml:space="preserve"> database </w:t>
      </w:r>
      <w:r w:rsidR="007D55B7" w:rsidRPr="000B7B8D">
        <w:rPr>
          <w:rFonts w:asciiTheme="minorHAnsi" w:hAnsiTheme="minorHAnsi"/>
        </w:rPr>
        <w:t>aimed at</w:t>
      </w:r>
      <w:r w:rsidR="0041441B" w:rsidRPr="000B7B8D">
        <w:rPr>
          <w:rFonts w:asciiTheme="minorHAnsi" w:hAnsiTheme="minorHAnsi"/>
        </w:rPr>
        <w:t xml:space="preserve"> automatically targeting high-risk imports (</w:t>
      </w:r>
      <w:r w:rsidR="00EB7B44" w:rsidRPr="000B7B8D">
        <w:rPr>
          <w:rFonts w:asciiTheme="minorHAnsi" w:hAnsiTheme="minorHAnsi"/>
        </w:rPr>
        <w:t xml:space="preserve">Gardner 2018; </w:t>
      </w:r>
      <w:r w:rsidR="001211C3" w:rsidRPr="000B7B8D">
        <w:rPr>
          <w:rFonts w:asciiTheme="minorHAnsi" w:hAnsiTheme="minorHAnsi"/>
        </w:rPr>
        <w:t>TREE meeting summary</w:t>
      </w:r>
      <w:r w:rsidR="00B23B1A" w:rsidRPr="000B7B8D">
        <w:rPr>
          <w:rFonts w:asciiTheme="minorHAnsi" w:hAnsiTheme="minorHAnsi"/>
        </w:rPr>
        <w:t xml:space="preserve">, </w:t>
      </w:r>
      <w:r w:rsidR="006A3AA4" w:rsidRPr="000B7B8D">
        <w:rPr>
          <w:rFonts w:asciiTheme="minorHAnsi" w:hAnsiTheme="minorHAnsi"/>
        </w:rPr>
        <w:t>23-24/10/</w:t>
      </w:r>
      <w:r w:rsidR="00454275" w:rsidRPr="000B7B8D">
        <w:rPr>
          <w:rFonts w:asciiTheme="minorHAnsi" w:hAnsiTheme="minorHAnsi"/>
        </w:rPr>
        <w:t xml:space="preserve">17: </w:t>
      </w:r>
      <w:r w:rsidR="006A3AA4" w:rsidRPr="000B7B8D">
        <w:rPr>
          <w:rFonts w:asciiTheme="minorHAnsi" w:hAnsiTheme="minorHAnsi"/>
        </w:rPr>
        <w:t xml:space="preserve">9; </w:t>
      </w:r>
      <w:r w:rsidR="00A94F37" w:rsidRPr="000B7B8D">
        <w:rPr>
          <w:rFonts w:asciiTheme="minorHAnsi" w:hAnsiTheme="minorHAnsi"/>
          <w:i/>
        </w:rPr>
        <w:t>TREE Newsletter</w:t>
      </w:r>
      <w:r w:rsidR="00A94F37" w:rsidRPr="000B7B8D">
        <w:rPr>
          <w:rFonts w:asciiTheme="minorHAnsi" w:hAnsiTheme="minorHAnsi"/>
        </w:rPr>
        <w:t xml:space="preserve"> Fall 2016;  </w:t>
      </w:r>
      <w:r w:rsidR="000F21D5" w:rsidRPr="000B7B8D">
        <w:rPr>
          <w:rFonts w:asciiTheme="minorHAnsi" w:hAnsiTheme="minorHAnsi"/>
        </w:rPr>
        <w:t xml:space="preserve">Johnson &amp; </w:t>
      </w:r>
      <w:r w:rsidR="00274D68" w:rsidRPr="000B7B8D">
        <w:rPr>
          <w:rFonts w:asciiTheme="minorHAnsi" w:hAnsiTheme="minorHAnsi"/>
        </w:rPr>
        <w:t>Gehl</w:t>
      </w:r>
      <w:r w:rsidR="000F21D5" w:rsidRPr="000B7B8D">
        <w:rPr>
          <w:rFonts w:asciiTheme="minorHAnsi" w:hAnsiTheme="minorHAnsi"/>
        </w:rPr>
        <w:t xml:space="preserve"> 2019; </w:t>
      </w:r>
      <w:r w:rsidR="00F169BF" w:rsidRPr="000B7B8D">
        <w:rPr>
          <w:rFonts w:asciiTheme="minorHAnsi" w:hAnsiTheme="minorHAnsi"/>
        </w:rPr>
        <w:t>Hoare 2015</w:t>
      </w:r>
      <w:r w:rsidR="006A3AA4" w:rsidRPr="000B7B8D">
        <w:rPr>
          <w:rFonts w:asciiTheme="minorHAnsi" w:hAnsiTheme="minorHAnsi"/>
        </w:rPr>
        <w:t>: 41-2)</w:t>
      </w:r>
      <w:r w:rsidR="0041441B" w:rsidRPr="000B7B8D">
        <w:rPr>
          <w:rFonts w:asciiTheme="minorHAnsi" w:hAnsiTheme="minorHAnsi"/>
        </w:rPr>
        <w:t>.</w:t>
      </w:r>
      <w:r w:rsidR="006A3AA4" w:rsidRPr="000B7B8D">
        <w:rPr>
          <w:rFonts w:asciiTheme="minorHAnsi" w:hAnsiTheme="minorHAnsi"/>
        </w:rPr>
        <w:t xml:space="preserve"> </w:t>
      </w:r>
      <w:r w:rsidR="001729BA" w:rsidRPr="000B7B8D">
        <w:rPr>
          <w:rFonts w:asciiTheme="minorHAnsi" w:hAnsiTheme="minorHAnsi"/>
        </w:rPr>
        <w:t xml:space="preserve"> </w:t>
      </w:r>
      <w:r w:rsidR="006A3AA4" w:rsidRPr="000B7B8D">
        <w:rPr>
          <w:rFonts w:asciiTheme="minorHAnsi" w:hAnsiTheme="minorHAnsi"/>
        </w:rPr>
        <w:t xml:space="preserve">LTPA enforcement relies primarily on inspections by </w:t>
      </w:r>
      <w:r w:rsidR="006A3AA4" w:rsidRPr="000B7B8D">
        <w:rPr>
          <w:rFonts w:asciiTheme="minorHAnsi" w:hAnsiTheme="minorHAnsi"/>
        </w:rPr>
        <w:lastRenderedPageBreak/>
        <w:t>US Customs and Fish and Wildlife agents, usually based on tip-offs from compet</w:t>
      </w:r>
      <w:r w:rsidR="0085161F" w:rsidRPr="000B7B8D">
        <w:rPr>
          <w:rFonts w:asciiTheme="minorHAnsi" w:hAnsiTheme="minorHAnsi"/>
        </w:rPr>
        <w:t xml:space="preserve">itors, whistle-blowers, and/or NGOs, </w:t>
      </w:r>
      <w:r w:rsidR="0002294A" w:rsidRPr="000B7B8D">
        <w:rPr>
          <w:rFonts w:asciiTheme="minorHAnsi" w:hAnsiTheme="minorHAnsi"/>
        </w:rPr>
        <w:t>leading to</w:t>
      </w:r>
      <w:r w:rsidR="0085161F" w:rsidRPr="000B7B8D">
        <w:rPr>
          <w:rFonts w:asciiTheme="minorHAnsi" w:hAnsiTheme="minorHAnsi"/>
        </w:rPr>
        <w:t xml:space="preserve"> </w:t>
      </w:r>
      <w:r w:rsidR="00ED22E0" w:rsidRPr="000B7B8D">
        <w:rPr>
          <w:rFonts w:asciiTheme="minorHAnsi" w:hAnsiTheme="minorHAnsi"/>
        </w:rPr>
        <w:t>high-profile</w:t>
      </w:r>
      <w:r w:rsidR="009B2319" w:rsidRPr="000B7B8D">
        <w:rPr>
          <w:rFonts w:asciiTheme="minorHAnsi" w:hAnsiTheme="minorHAnsi"/>
        </w:rPr>
        <w:t xml:space="preserve"> prosecutions</w:t>
      </w:r>
      <w:r w:rsidR="0002294A" w:rsidRPr="000B7B8D">
        <w:rPr>
          <w:rFonts w:asciiTheme="minorHAnsi" w:hAnsiTheme="minorHAnsi"/>
        </w:rPr>
        <w:t xml:space="preserve"> and </w:t>
      </w:r>
      <w:r w:rsidR="00ED22E0" w:rsidRPr="000B7B8D">
        <w:rPr>
          <w:rFonts w:asciiTheme="minorHAnsi" w:hAnsiTheme="minorHAnsi"/>
        </w:rPr>
        <w:t>criminal penalties for major violations</w:t>
      </w:r>
      <w:r w:rsidR="0002294A" w:rsidRPr="000B7B8D">
        <w:rPr>
          <w:rFonts w:asciiTheme="minorHAnsi" w:hAnsiTheme="minorHAnsi"/>
        </w:rPr>
        <w:t xml:space="preserve">. </w:t>
      </w:r>
      <w:r w:rsidR="000E34F7" w:rsidRPr="000B7B8D">
        <w:rPr>
          <w:rFonts w:asciiTheme="minorHAnsi" w:hAnsiTheme="minorHAnsi"/>
        </w:rPr>
        <w:t xml:space="preserve">Such prosecutions </w:t>
      </w:r>
      <w:r w:rsidR="008F15BA" w:rsidRPr="000B7B8D">
        <w:rPr>
          <w:rFonts w:asciiTheme="minorHAnsi" w:hAnsiTheme="minorHAnsi"/>
        </w:rPr>
        <w:t xml:space="preserve">are extremely resource-intensive, hence necessarily infrequent.  </w:t>
      </w:r>
      <w:r w:rsidR="00ED22E0" w:rsidRPr="000B7B8D">
        <w:rPr>
          <w:rFonts w:asciiTheme="minorHAnsi" w:hAnsiTheme="minorHAnsi"/>
        </w:rPr>
        <w:t>The</w:t>
      </w:r>
      <w:r w:rsidR="008F15BA" w:rsidRPr="000B7B8D">
        <w:rPr>
          <w:rFonts w:asciiTheme="minorHAnsi" w:hAnsiTheme="minorHAnsi"/>
        </w:rPr>
        <w:t xml:space="preserve"> resulting penalties</w:t>
      </w:r>
      <w:r w:rsidR="00ED22E0" w:rsidRPr="000B7B8D">
        <w:rPr>
          <w:rFonts w:asciiTheme="minorHAnsi" w:hAnsiTheme="minorHAnsi"/>
        </w:rPr>
        <w:t xml:space="preserve">, which include multi-year compliance programs under court supervision as well substantial fines and forefeitures, are intended not </w:t>
      </w:r>
      <w:r w:rsidR="00FB1033" w:rsidRPr="000B7B8D">
        <w:rPr>
          <w:rFonts w:asciiTheme="minorHAnsi" w:hAnsiTheme="minorHAnsi"/>
        </w:rPr>
        <w:t>merely</w:t>
      </w:r>
      <w:r w:rsidR="00ED22E0" w:rsidRPr="000B7B8D">
        <w:rPr>
          <w:rFonts w:asciiTheme="minorHAnsi" w:hAnsiTheme="minorHAnsi"/>
        </w:rPr>
        <w:t xml:space="preserve"> to exert a “chilling effect” on other </w:t>
      </w:r>
      <w:r w:rsidR="00FB1033" w:rsidRPr="000B7B8D">
        <w:rPr>
          <w:rFonts w:asciiTheme="minorHAnsi" w:hAnsiTheme="minorHAnsi"/>
        </w:rPr>
        <w:t>importers</w:t>
      </w:r>
      <w:r w:rsidR="00ED22E0" w:rsidRPr="000B7B8D">
        <w:rPr>
          <w:rFonts w:asciiTheme="minorHAnsi" w:hAnsiTheme="minorHAnsi"/>
        </w:rPr>
        <w:t xml:space="preserve">, but also </w:t>
      </w:r>
      <w:r w:rsidR="00F169BF" w:rsidRPr="000B7B8D">
        <w:rPr>
          <w:rFonts w:asciiTheme="minorHAnsi" w:hAnsiTheme="minorHAnsi"/>
        </w:rPr>
        <w:t>“to move the entire industry toward better implementation of due care standards, by increasing industry awareness of illegal logging schemes, and enhancing understanding about what level of knowledge companies should possess”</w:t>
      </w:r>
      <w:r w:rsidR="005C7FEB" w:rsidRPr="000B7B8D">
        <w:rPr>
          <w:rFonts w:asciiTheme="minorHAnsi" w:hAnsiTheme="minorHAnsi"/>
        </w:rPr>
        <w:t xml:space="preserve"> (Colbourn 2018; </w:t>
      </w:r>
      <w:r w:rsidR="001211C3" w:rsidRPr="000B7B8D">
        <w:rPr>
          <w:rFonts w:asciiTheme="minorHAnsi" w:hAnsiTheme="minorHAnsi"/>
        </w:rPr>
        <w:t>TREE meeting summary</w:t>
      </w:r>
      <w:r w:rsidR="00B23B1A" w:rsidRPr="000B7B8D">
        <w:rPr>
          <w:rFonts w:asciiTheme="minorHAnsi" w:hAnsiTheme="minorHAnsi"/>
        </w:rPr>
        <w:t xml:space="preserve"> </w:t>
      </w:r>
      <w:r w:rsidR="005C7FEB" w:rsidRPr="000B7B8D">
        <w:rPr>
          <w:rFonts w:asciiTheme="minorHAnsi" w:hAnsiTheme="minorHAnsi"/>
        </w:rPr>
        <w:t>5-8/4/16</w:t>
      </w:r>
      <w:r w:rsidR="00F169BF" w:rsidRPr="000B7B8D">
        <w:rPr>
          <w:rFonts w:asciiTheme="minorHAnsi" w:hAnsiTheme="minorHAnsi"/>
        </w:rPr>
        <w:t>: 9</w:t>
      </w:r>
      <w:r w:rsidR="00793EE1" w:rsidRPr="000B7B8D">
        <w:rPr>
          <w:rFonts w:asciiTheme="minorHAnsi" w:hAnsiTheme="minorHAnsi"/>
        </w:rPr>
        <w:t xml:space="preserve"> [quotation]</w:t>
      </w:r>
      <w:r w:rsidR="00F169BF" w:rsidRPr="000B7B8D">
        <w:rPr>
          <w:rFonts w:asciiTheme="minorHAnsi" w:hAnsiTheme="minorHAnsi"/>
        </w:rPr>
        <w:t xml:space="preserve">; </w:t>
      </w:r>
      <w:r w:rsidR="005C7FEB" w:rsidRPr="000B7B8D">
        <w:rPr>
          <w:rFonts w:asciiTheme="minorHAnsi" w:hAnsiTheme="minorHAnsi"/>
        </w:rPr>
        <w:t xml:space="preserve">Duggan 2016; </w:t>
      </w:r>
      <w:r w:rsidR="008371BF" w:rsidRPr="000B7B8D">
        <w:rPr>
          <w:rFonts w:asciiTheme="minorHAnsi" w:hAnsiTheme="minorHAnsi"/>
        </w:rPr>
        <w:t xml:space="preserve">Leipold </w:t>
      </w:r>
      <w:r w:rsidR="00BF21E5" w:rsidRPr="000B7B8D">
        <w:rPr>
          <w:rFonts w:asciiTheme="minorHAnsi" w:hAnsiTheme="minorHAnsi"/>
        </w:rPr>
        <w:t>&amp; Winkel</w:t>
      </w:r>
      <w:r w:rsidR="008371BF" w:rsidRPr="000B7B8D">
        <w:rPr>
          <w:rFonts w:asciiTheme="minorHAnsi" w:hAnsiTheme="minorHAnsi"/>
        </w:rPr>
        <w:t xml:space="preserve"> 2016</w:t>
      </w:r>
      <w:r w:rsidR="00BF21E5" w:rsidRPr="000B7B8D">
        <w:rPr>
          <w:rFonts w:asciiTheme="minorHAnsi" w:hAnsiTheme="minorHAnsi"/>
        </w:rPr>
        <w:t xml:space="preserve">: </w:t>
      </w:r>
      <w:r w:rsidR="00157F49" w:rsidRPr="000B7B8D">
        <w:rPr>
          <w:rFonts w:asciiTheme="minorHAnsi" w:hAnsiTheme="minorHAnsi"/>
        </w:rPr>
        <w:t>42</w:t>
      </w:r>
      <w:r w:rsidR="00793EE1" w:rsidRPr="000B7B8D">
        <w:rPr>
          <w:rFonts w:asciiTheme="minorHAnsi" w:hAnsiTheme="minorHAnsi"/>
        </w:rPr>
        <w:t xml:space="preserve"> [quotation]</w:t>
      </w:r>
      <w:r w:rsidR="008371BF" w:rsidRPr="000B7B8D">
        <w:rPr>
          <w:rFonts w:asciiTheme="minorHAnsi" w:hAnsiTheme="minorHAnsi"/>
        </w:rPr>
        <w:t xml:space="preserve">; </w:t>
      </w:r>
      <w:r w:rsidR="00F169BF" w:rsidRPr="000B7B8D">
        <w:rPr>
          <w:rFonts w:asciiTheme="minorHAnsi" w:hAnsiTheme="minorHAnsi"/>
        </w:rPr>
        <w:t xml:space="preserve">Hoare 2015: </w:t>
      </w:r>
      <w:r w:rsidR="00625E83" w:rsidRPr="000B7B8D">
        <w:rPr>
          <w:rFonts w:asciiTheme="minorHAnsi" w:hAnsiTheme="minorHAnsi"/>
        </w:rPr>
        <w:t>41</w:t>
      </w:r>
      <w:r w:rsidR="008071E9" w:rsidRPr="000B7B8D">
        <w:rPr>
          <w:rFonts w:asciiTheme="minorHAnsi" w:hAnsiTheme="minorHAnsi"/>
        </w:rPr>
        <w:t>; Birchell 2013</w:t>
      </w:r>
      <w:r w:rsidR="00625E83" w:rsidRPr="000B7B8D">
        <w:rPr>
          <w:rFonts w:asciiTheme="minorHAnsi" w:hAnsiTheme="minorHAnsi"/>
        </w:rPr>
        <w:t>)</w:t>
      </w:r>
      <w:r w:rsidR="008071E9" w:rsidRPr="000B7B8D">
        <w:rPr>
          <w:rFonts w:asciiTheme="minorHAnsi" w:hAnsiTheme="minorHAnsi"/>
        </w:rPr>
        <w:t>.</w:t>
      </w:r>
      <w:r w:rsidR="002574FB" w:rsidRPr="000B7B8D">
        <w:rPr>
          <w:rFonts w:asciiTheme="minorHAnsi" w:hAnsiTheme="minorHAnsi"/>
        </w:rPr>
        <w:t xml:space="preserve"> </w:t>
      </w:r>
      <w:r w:rsidR="00730261" w:rsidRPr="000B7B8D">
        <w:rPr>
          <w:rFonts w:asciiTheme="minorHAnsi" w:hAnsiTheme="minorHAnsi"/>
        </w:rPr>
        <w:t xml:space="preserve"> </w:t>
      </w:r>
      <w:r w:rsidR="003727DA" w:rsidRPr="000B7B8D">
        <w:rPr>
          <w:rFonts w:asciiTheme="minorHAnsi" w:hAnsiTheme="minorHAnsi"/>
        </w:rPr>
        <w:t xml:space="preserve">Canada encourages </w:t>
      </w:r>
      <w:r w:rsidR="00180D5A" w:rsidRPr="000B7B8D">
        <w:rPr>
          <w:rFonts w:asciiTheme="minorHAnsi" w:hAnsiTheme="minorHAnsi"/>
        </w:rPr>
        <w:t xml:space="preserve">wood </w:t>
      </w:r>
      <w:r w:rsidR="003727DA" w:rsidRPr="000B7B8D">
        <w:rPr>
          <w:rFonts w:asciiTheme="minorHAnsi" w:hAnsiTheme="minorHAnsi"/>
        </w:rPr>
        <w:t xml:space="preserve">importers to adopt due diligence systems to meet their </w:t>
      </w:r>
      <w:r w:rsidR="00180D5A" w:rsidRPr="000B7B8D">
        <w:rPr>
          <w:rFonts w:asciiTheme="minorHAnsi" w:hAnsiTheme="minorHAnsi"/>
        </w:rPr>
        <w:t xml:space="preserve">legal sourcing </w:t>
      </w:r>
      <w:r w:rsidR="003727DA" w:rsidRPr="000B7B8D">
        <w:rPr>
          <w:rFonts w:asciiTheme="minorHAnsi" w:hAnsiTheme="minorHAnsi"/>
        </w:rPr>
        <w:t xml:space="preserve">obligations under WAPPRIITA, but successful prosecutions must meet high evidentiary requirements, including “affidavits from officials of the country where the offence occurred” (Williamson 2016; Government of Canada 2017).  </w:t>
      </w:r>
    </w:p>
    <w:p w14:paraId="1219C825" w14:textId="46DABCCC" w:rsidR="00DF77EA" w:rsidRPr="000B7B8D" w:rsidRDefault="00624C9D" w:rsidP="005339B7">
      <w:pPr>
        <w:pStyle w:val="BodyText"/>
        <w:jc w:val="both"/>
        <w:rPr>
          <w:rFonts w:asciiTheme="minorHAnsi" w:hAnsiTheme="minorHAnsi"/>
        </w:rPr>
      </w:pPr>
      <w:r w:rsidRPr="000B7B8D">
        <w:rPr>
          <w:rFonts w:asciiTheme="minorHAnsi" w:hAnsiTheme="minorHAnsi"/>
        </w:rPr>
        <w:t xml:space="preserve">Australia </w:t>
      </w:r>
      <w:r w:rsidR="00E41674" w:rsidRPr="000B7B8D">
        <w:rPr>
          <w:rFonts w:asciiTheme="minorHAnsi" w:hAnsiTheme="minorHAnsi"/>
        </w:rPr>
        <w:t xml:space="preserve">has </w:t>
      </w:r>
      <w:r w:rsidR="009003B0" w:rsidRPr="000B7B8D">
        <w:rPr>
          <w:rFonts w:asciiTheme="minorHAnsi" w:hAnsiTheme="minorHAnsi"/>
        </w:rPr>
        <w:t xml:space="preserve">focused its </w:t>
      </w:r>
      <w:r w:rsidR="00716BEB" w:rsidRPr="000B7B8D">
        <w:rPr>
          <w:rFonts w:asciiTheme="minorHAnsi" w:hAnsiTheme="minorHAnsi"/>
        </w:rPr>
        <w:t xml:space="preserve">enforcement efforts on </w:t>
      </w:r>
      <w:r w:rsidR="00525F74" w:rsidRPr="000B7B8D">
        <w:rPr>
          <w:rFonts w:asciiTheme="minorHAnsi" w:hAnsiTheme="minorHAnsi"/>
        </w:rPr>
        <w:t xml:space="preserve">ensuring compliance with the ILPA’s due diligence </w:t>
      </w:r>
      <w:r w:rsidR="008B09FF" w:rsidRPr="000B7B8D">
        <w:rPr>
          <w:rFonts w:asciiTheme="minorHAnsi" w:hAnsiTheme="minorHAnsi"/>
        </w:rPr>
        <w:t>obligations</w:t>
      </w:r>
      <w:r w:rsidR="00525F74" w:rsidRPr="000B7B8D">
        <w:rPr>
          <w:rFonts w:asciiTheme="minorHAnsi" w:hAnsiTheme="minorHAnsi"/>
        </w:rPr>
        <w:t xml:space="preserve"> through assessments of the largest </w:t>
      </w:r>
      <w:r w:rsidR="00E17C4B" w:rsidRPr="000B7B8D">
        <w:rPr>
          <w:rFonts w:asciiTheme="minorHAnsi" w:hAnsiTheme="minorHAnsi"/>
        </w:rPr>
        <w:t>trading</w:t>
      </w:r>
      <w:r w:rsidR="00525F74" w:rsidRPr="000B7B8D">
        <w:rPr>
          <w:rFonts w:asciiTheme="minorHAnsi" w:hAnsiTheme="minorHAnsi"/>
        </w:rPr>
        <w:t xml:space="preserve"> firms, </w:t>
      </w:r>
      <w:r w:rsidR="002B4FE0" w:rsidRPr="000B7B8D">
        <w:rPr>
          <w:rFonts w:asciiTheme="minorHAnsi" w:hAnsiTheme="minorHAnsi"/>
        </w:rPr>
        <w:t>along</w:t>
      </w:r>
      <w:r w:rsidR="00525F74" w:rsidRPr="000B7B8D">
        <w:rPr>
          <w:rFonts w:asciiTheme="minorHAnsi" w:hAnsiTheme="minorHAnsi"/>
        </w:rPr>
        <w:t xml:space="preserve"> with importers of </w:t>
      </w:r>
      <w:r w:rsidR="002B4FE0" w:rsidRPr="000B7B8D">
        <w:rPr>
          <w:rFonts w:asciiTheme="minorHAnsi" w:hAnsiTheme="minorHAnsi"/>
        </w:rPr>
        <w:t xml:space="preserve">specific </w:t>
      </w:r>
      <w:r w:rsidR="00525F74" w:rsidRPr="000B7B8D">
        <w:rPr>
          <w:rFonts w:asciiTheme="minorHAnsi" w:hAnsiTheme="minorHAnsi"/>
        </w:rPr>
        <w:t>high-risk product</w:t>
      </w:r>
      <w:r w:rsidR="00E859A3" w:rsidRPr="000B7B8D">
        <w:rPr>
          <w:rFonts w:asciiTheme="minorHAnsi" w:hAnsiTheme="minorHAnsi"/>
        </w:rPr>
        <w:t>s and pathways</w:t>
      </w:r>
      <w:r w:rsidR="002B4FE0" w:rsidRPr="000B7B8D">
        <w:rPr>
          <w:rFonts w:asciiTheme="minorHAnsi" w:hAnsiTheme="minorHAnsi"/>
        </w:rPr>
        <w:t xml:space="preserve">, </w:t>
      </w:r>
      <w:r w:rsidR="00E859A3" w:rsidRPr="000B7B8D">
        <w:rPr>
          <w:rFonts w:asciiTheme="minorHAnsi" w:hAnsiTheme="minorHAnsi"/>
        </w:rPr>
        <w:t xml:space="preserve">such </w:t>
      </w:r>
      <w:r w:rsidR="00DC6869" w:rsidRPr="000B7B8D">
        <w:rPr>
          <w:rFonts w:asciiTheme="minorHAnsi" w:hAnsiTheme="minorHAnsi"/>
        </w:rPr>
        <w:t xml:space="preserve"> </w:t>
      </w:r>
      <w:r w:rsidR="008B09FF" w:rsidRPr="000B7B8D">
        <w:rPr>
          <w:rFonts w:asciiTheme="minorHAnsi" w:hAnsiTheme="minorHAnsi"/>
        </w:rPr>
        <w:t>from conflict and fragile states</w:t>
      </w:r>
      <w:r w:rsidR="00525F74" w:rsidRPr="000B7B8D">
        <w:rPr>
          <w:rFonts w:asciiTheme="minorHAnsi" w:hAnsiTheme="minorHAnsi"/>
        </w:rPr>
        <w:t>.</w:t>
      </w:r>
      <w:r w:rsidR="002B4FE0" w:rsidRPr="000B7B8D">
        <w:rPr>
          <w:rFonts w:asciiTheme="minorHAnsi" w:hAnsiTheme="minorHAnsi"/>
        </w:rPr>
        <w:t xml:space="preserve">  During </w:t>
      </w:r>
      <w:r w:rsidR="00793EE1" w:rsidRPr="000B7B8D">
        <w:rPr>
          <w:rFonts w:asciiTheme="minorHAnsi" w:hAnsiTheme="minorHAnsi"/>
        </w:rPr>
        <w:t>the</w:t>
      </w:r>
      <w:r w:rsidR="002B4FE0" w:rsidRPr="000B7B8D">
        <w:rPr>
          <w:rFonts w:asciiTheme="minorHAnsi" w:hAnsiTheme="minorHAnsi"/>
        </w:rPr>
        <w:t xml:space="preserve"> initial “soft-start</w:t>
      </w:r>
      <w:r w:rsidR="008B09FF" w:rsidRPr="000B7B8D">
        <w:rPr>
          <w:rFonts w:asciiTheme="minorHAnsi" w:hAnsiTheme="minorHAnsi"/>
        </w:rPr>
        <w:t>”</w:t>
      </w:r>
      <w:r w:rsidR="00AE4A47" w:rsidRPr="000B7B8D">
        <w:rPr>
          <w:rFonts w:asciiTheme="minorHAnsi" w:hAnsiTheme="minorHAnsi"/>
        </w:rPr>
        <w:t xml:space="preserve"> </w:t>
      </w:r>
      <w:r w:rsidR="002B4FE0" w:rsidRPr="000B7B8D">
        <w:rPr>
          <w:rFonts w:asciiTheme="minorHAnsi" w:hAnsiTheme="minorHAnsi"/>
        </w:rPr>
        <w:t xml:space="preserve">period, </w:t>
      </w:r>
      <w:r w:rsidR="008B09FF" w:rsidRPr="000B7B8D">
        <w:rPr>
          <w:rFonts w:asciiTheme="minorHAnsi" w:hAnsiTheme="minorHAnsi"/>
        </w:rPr>
        <w:t xml:space="preserve">which ended </w:t>
      </w:r>
      <w:r w:rsidR="00793EE1" w:rsidRPr="000B7B8D">
        <w:rPr>
          <w:rFonts w:asciiTheme="minorHAnsi" w:hAnsiTheme="minorHAnsi"/>
        </w:rPr>
        <w:t>in 2017</w:t>
      </w:r>
      <w:r w:rsidR="008B09FF" w:rsidRPr="000B7B8D">
        <w:rPr>
          <w:rFonts w:asciiTheme="minorHAnsi" w:hAnsiTheme="minorHAnsi"/>
        </w:rPr>
        <w:t xml:space="preserve">, </w:t>
      </w:r>
      <w:r w:rsidR="002B4FE0" w:rsidRPr="000B7B8D">
        <w:rPr>
          <w:rFonts w:asciiTheme="minorHAnsi" w:hAnsiTheme="minorHAnsi"/>
        </w:rPr>
        <w:t xml:space="preserve">assessed firms </w:t>
      </w:r>
      <w:r w:rsidR="008B09FF" w:rsidRPr="000B7B8D">
        <w:rPr>
          <w:rFonts w:asciiTheme="minorHAnsi" w:hAnsiTheme="minorHAnsi"/>
        </w:rPr>
        <w:t xml:space="preserve">were not penalized for inadvertent non-compliance, but </w:t>
      </w:r>
      <w:r w:rsidR="002B4FE0" w:rsidRPr="000B7B8D">
        <w:rPr>
          <w:rFonts w:asciiTheme="minorHAnsi" w:hAnsiTheme="minorHAnsi"/>
        </w:rPr>
        <w:t xml:space="preserve">received a “Note of Advice” </w:t>
      </w:r>
      <w:r w:rsidR="002C34E9" w:rsidRPr="000B7B8D">
        <w:rPr>
          <w:rFonts w:asciiTheme="minorHAnsi" w:hAnsiTheme="minorHAnsi"/>
        </w:rPr>
        <w:t xml:space="preserve">setting out </w:t>
      </w:r>
      <w:r w:rsidR="008B09FF" w:rsidRPr="000B7B8D">
        <w:rPr>
          <w:rFonts w:asciiTheme="minorHAnsi" w:hAnsiTheme="minorHAnsi"/>
        </w:rPr>
        <w:t xml:space="preserve">what they needed to change to meet the law’s requirements, which will serve as a baseline for future compliance audits.  The Department of Agriculture has developed a series </w:t>
      </w:r>
      <w:r w:rsidR="00997A70" w:rsidRPr="000B7B8D">
        <w:rPr>
          <w:rFonts w:asciiTheme="minorHAnsi" w:hAnsiTheme="minorHAnsi"/>
        </w:rPr>
        <w:t xml:space="preserve">of Country-Specific Guidelines </w:t>
      </w:r>
      <w:r w:rsidR="00AF3F45" w:rsidRPr="000B7B8D">
        <w:rPr>
          <w:rFonts w:asciiTheme="minorHAnsi" w:hAnsiTheme="minorHAnsi"/>
        </w:rPr>
        <w:t xml:space="preserve">to assist </w:t>
      </w:r>
      <w:r w:rsidR="00E65570" w:rsidRPr="000B7B8D">
        <w:rPr>
          <w:rFonts w:asciiTheme="minorHAnsi" w:hAnsiTheme="minorHAnsi"/>
        </w:rPr>
        <w:t>firms</w:t>
      </w:r>
      <w:r w:rsidR="00AF3F45" w:rsidRPr="000B7B8D">
        <w:rPr>
          <w:rFonts w:asciiTheme="minorHAnsi" w:hAnsiTheme="minorHAnsi"/>
        </w:rPr>
        <w:t xml:space="preserve"> with their risk assessments, </w:t>
      </w:r>
      <w:r w:rsidR="00997A70" w:rsidRPr="000B7B8D">
        <w:rPr>
          <w:rFonts w:asciiTheme="minorHAnsi" w:hAnsiTheme="minorHAnsi"/>
        </w:rPr>
        <w:t xml:space="preserve">but </w:t>
      </w:r>
      <w:r w:rsidR="00E65570" w:rsidRPr="000B7B8D">
        <w:rPr>
          <w:rFonts w:asciiTheme="minorHAnsi" w:hAnsiTheme="minorHAnsi"/>
        </w:rPr>
        <w:t>importers</w:t>
      </w:r>
      <w:r w:rsidR="00997A70" w:rsidRPr="000B7B8D">
        <w:rPr>
          <w:rFonts w:asciiTheme="minorHAnsi" w:hAnsiTheme="minorHAnsi"/>
        </w:rPr>
        <w:t xml:space="preserve"> remain </w:t>
      </w:r>
      <w:r w:rsidR="00E65570" w:rsidRPr="000B7B8D">
        <w:rPr>
          <w:rFonts w:asciiTheme="minorHAnsi" w:hAnsiTheme="minorHAnsi"/>
        </w:rPr>
        <w:t>responsible for considering any other information that they know or “ought reasonably to know” indicating that the product may include illegally logged timber (</w:t>
      </w:r>
      <w:r w:rsidR="00F9681C" w:rsidRPr="000B7B8D">
        <w:rPr>
          <w:rFonts w:asciiTheme="minorHAnsi" w:hAnsiTheme="minorHAnsi"/>
        </w:rPr>
        <w:t xml:space="preserve">ADAWR </w:t>
      </w:r>
      <w:r w:rsidR="00EC0C69" w:rsidRPr="000B7B8D">
        <w:rPr>
          <w:rFonts w:asciiTheme="minorHAnsi" w:hAnsiTheme="minorHAnsi"/>
        </w:rPr>
        <w:t>2018</w:t>
      </w:r>
      <w:r w:rsidR="003F6529" w:rsidRPr="000B7B8D">
        <w:rPr>
          <w:rFonts w:asciiTheme="minorHAnsi" w:hAnsiTheme="minorHAnsi"/>
        </w:rPr>
        <w:t>b</w:t>
      </w:r>
      <w:r w:rsidR="00EC0C69" w:rsidRPr="000B7B8D">
        <w:rPr>
          <w:rFonts w:asciiTheme="minorHAnsi" w:hAnsiTheme="minorHAnsi"/>
        </w:rPr>
        <w:t xml:space="preserve">: </w:t>
      </w:r>
      <w:r w:rsidR="00793EE1" w:rsidRPr="000B7B8D">
        <w:rPr>
          <w:rFonts w:asciiTheme="minorHAnsi" w:hAnsiTheme="minorHAnsi"/>
        </w:rPr>
        <w:t>9, 13 [quotation]</w:t>
      </w:r>
      <w:r w:rsidR="00EC0C69" w:rsidRPr="000B7B8D">
        <w:rPr>
          <w:rFonts w:asciiTheme="minorHAnsi" w:hAnsiTheme="minorHAnsi"/>
        </w:rPr>
        <w:t xml:space="preserve">; </w:t>
      </w:r>
      <w:r w:rsidR="003F6529" w:rsidRPr="000B7B8D">
        <w:rPr>
          <w:rFonts w:asciiTheme="minorHAnsi" w:hAnsiTheme="minorHAnsi"/>
        </w:rPr>
        <w:t xml:space="preserve">Commonwealth of Australia </w:t>
      </w:r>
      <w:r w:rsidR="00EC0C69" w:rsidRPr="000B7B8D">
        <w:rPr>
          <w:rFonts w:asciiTheme="minorHAnsi" w:hAnsiTheme="minorHAnsi"/>
        </w:rPr>
        <w:t>2018: §12</w:t>
      </w:r>
      <w:r w:rsidR="00793EE1" w:rsidRPr="000B7B8D">
        <w:rPr>
          <w:rFonts w:asciiTheme="minorHAnsi" w:hAnsiTheme="minorHAnsi"/>
        </w:rPr>
        <w:t xml:space="preserve"> [quotation]</w:t>
      </w:r>
      <w:r w:rsidR="00EC0C69" w:rsidRPr="000B7B8D">
        <w:rPr>
          <w:rFonts w:asciiTheme="minorHAnsi" w:hAnsiTheme="minorHAnsi"/>
        </w:rPr>
        <w:t>; McMaugh 2016).</w:t>
      </w:r>
      <w:r w:rsidR="001729BA" w:rsidRPr="000B7B8D">
        <w:rPr>
          <w:rStyle w:val="FootnoteReference"/>
          <w:rFonts w:asciiTheme="minorHAnsi" w:hAnsiTheme="minorHAnsi"/>
        </w:rPr>
        <w:footnoteReference w:id="18"/>
      </w:r>
      <w:r w:rsidR="00DC6869" w:rsidRPr="000B7B8D">
        <w:rPr>
          <w:rFonts w:asciiTheme="minorHAnsi" w:hAnsiTheme="minorHAnsi"/>
        </w:rPr>
        <w:t xml:space="preserve"> </w:t>
      </w:r>
    </w:p>
    <w:p w14:paraId="2C4F097D" w14:textId="207DBDC6" w:rsidR="00525F74" w:rsidRPr="000B7B8D" w:rsidRDefault="0049164E" w:rsidP="005339B7">
      <w:pPr>
        <w:pStyle w:val="BodyText"/>
        <w:jc w:val="both"/>
        <w:rPr>
          <w:rFonts w:asciiTheme="minorHAnsi" w:hAnsiTheme="minorHAnsi"/>
        </w:rPr>
      </w:pPr>
      <w:r w:rsidRPr="000B7B8D">
        <w:rPr>
          <w:rFonts w:asciiTheme="minorHAnsi" w:hAnsiTheme="minorHAnsi"/>
        </w:rPr>
        <w:lastRenderedPageBreak/>
        <w:t>Japan leaves responsibility for checking registered operators’ due diligence systems</w:t>
      </w:r>
      <w:r w:rsidR="00126E5F" w:rsidRPr="000B7B8D">
        <w:rPr>
          <w:rFonts w:asciiTheme="minorHAnsi" w:hAnsiTheme="minorHAnsi"/>
        </w:rPr>
        <w:t xml:space="preserve"> with </w:t>
      </w:r>
      <w:r w:rsidR="00C11AEE" w:rsidRPr="000B7B8D">
        <w:rPr>
          <w:rFonts w:asciiTheme="minorHAnsi" w:hAnsiTheme="minorHAnsi"/>
        </w:rPr>
        <w:t xml:space="preserve">publicly accredited Registering Organizations, but </w:t>
      </w:r>
      <w:r w:rsidR="00B52F5A" w:rsidRPr="000B7B8D">
        <w:rPr>
          <w:rFonts w:asciiTheme="minorHAnsi" w:hAnsiTheme="minorHAnsi"/>
        </w:rPr>
        <w:t xml:space="preserve">empowers </w:t>
      </w:r>
      <w:r w:rsidR="00C11AEE" w:rsidRPr="000B7B8D">
        <w:rPr>
          <w:rFonts w:asciiTheme="minorHAnsi" w:hAnsiTheme="minorHAnsi"/>
        </w:rPr>
        <w:t xml:space="preserve">government ministries to </w:t>
      </w:r>
      <w:r w:rsidR="00B52F5A" w:rsidRPr="000B7B8D">
        <w:rPr>
          <w:rFonts w:asciiTheme="minorHAnsi" w:hAnsiTheme="minorHAnsi"/>
        </w:rPr>
        <w:t xml:space="preserve">require </w:t>
      </w:r>
      <w:r w:rsidR="00C11AEE" w:rsidRPr="000B7B8D">
        <w:rPr>
          <w:rFonts w:asciiTheme="minorHAnsi" w:hAnsiTheme="minorHAnsi"/>
        </w:rPr>
        <w:t xml:space="preserve">individual wood-related businesses </w:t>
      </w:r>
      <w:r w:rsidR="00B52F5A" w:rsidRPr="000B7B8D">
        <w:rPr>
          <w:rFonts w:asciiTheme="minorHAnsi" w:hAnsiTheme="minorHAnsi"/>
        </w:rPr>
        <w:t>to report on how they are “ensuring the use of legally-harvested wood and wood products” and to carry out site inspections on their premises for this purpose (</w:t>
      </w:r>
      <w:r w:rsidR="001338A1" w:rsidRPr="000B7B8D">
        <w:rPr>
          <w:rFonts w:asciiTheme="minorHAnsi" w:hAnsiTheme="minorHAnsi"/>
        </w:rPr>
        <w:t>EU FLEGT Facility 2017</w:t>
      </w:r>
      <w:r w:rsidR="00B23B1A" w:rsidRPr="000B7B8D">
        <w:rPr>
          <w:rFonts w:asciiTheme="minorHAnsi" w:hAnsiTheme="minorHAnsi"/>
        </w:rPr>
        <w:t>b</w:t>
      </w:r>
      <w:r w:rsidR="001338A1" w:rsidRPr="000B7B8D">
        <w:rPr>
          <w:rFonts w:asciiTheme="minorHAnsi" w:hAnsiTheme="minorHAnsi"/>
        </w:rPr>
        <w:t>: 6</w:t>
      </w:r>
      <w:r w:rsidR="00A3549C" w:rsidRPr="000B7B8D">
        <w:rPr>
          <w:rFonts w:asciiTheme="minorHAnsi" w:hAnsiTheme="minorHAnsi"/>
        </w:rPr>
        <w:t xml:space="preserve">; </w:t>
      </w:r>
      <w:r w:rsidR="00C4264E" w:rsidRPr="000B7B8D">
        <w:rPr>
          <w:rFonts w:asciiTheme="minorHAnsi" w:hAnsiTheme="minorHAnsi"/>
        </w:rPr>
        <w:t xml:space="preserve">Norman &amp; Saunders </w:t>
      </w:r>
      <w:r w:rsidR="00A3549C" w:rsidRPr="000B7B8D">
        <w:rPr>
          <w:rFonts w:asciiTheme="minorHAnsi" w:hAnsiTheme="minorHAnsi"/>
        </w:rPr>
        <w:t>2017: 7</w:t>
      </w:r>
      <w:r w:rsidR="00B52F5A" w:rsidRPr="000B7B8D">
        <w:rPr>
          <w:rFonts w:asciiTheme="minorHAnsi" w:hAnsiTheme="minorHAnsi"/>
        </w:rPr>
        <w:t xml:space="preserve">).  South Korea </w:t>
      </w:r>
      <w:r w:rsidR="00257211" w:rsidRPr="000B7B8D">
        <w:rPr>
          <w:rFonts w:asciiTheme="minorHAnsi" w:hAnsiTheme="minorHAnsi"/>
        </w:rPr>
        <w:t xml:space="preserve">does not formally </w:t>
      </w:r>
      <w:r w:rsidR="00305787" w:rsidRPr="000B7B8D">
        <w:rPr>
          <w:rFonts w:asciiTheme="minorHAnsi" w:hAnsiTheme="minorHAnsi"/>
        </w:rPr>
        <w:t xml:space="preserve">require </w:t>
      </w:r>
      <w:r w:rsidR="00257211" w:rsidRPr="000B7B8D">
        <w:rPr>
          <w:rFonts w:asciiTheme="minorHAnsi" w:hAnsiTheme="minorHAnsi"/>
        </w:rPr>
        <w:t xml:space="preserve">firms to develop due diligence systems, but </w:t>
      </w:r>
      <w:r w:rsidR="00305787" w:rsidRPr="000B7B8D">
        <w:rPr>
          <w:rFonts w:asciiTheme="minorHAnsi" w:hAnsiTheme="minorHAnsi"/>
        </w:rPr>
        <w:t xml:space="preserve">obliges </w:t>
      </w:r>
      <w:r w:rsidR="00257211" w:rsidRPr="000B7B8D">
        <w:rPr>
          <w:rFonts w:asciiTheme="minorHAnsi" w:hAnsiTheme="minorHAnsi"/>
        </w:rPr>
        <w:t xml:space="preserve">them to </w:t>
      </w:r>
      <w:r w:rsidR="00305787" w:rsidRPr="000B7B8D">
        <w:rPr>
          <w:rFonts w:asciiTheme="minorHAnsi" w:hAnsiTheme="minorHAnsi"/>
        </w:rPr>
        <w:t>document</w:t>
      </w:r>
      <w:r w:rsidR="00257211" w:rsidRPr="000B7B8D">
        <w:rPr>
          <w:rFonts w:asciiTheme="minorHAnsi" w:hAnsiTheme="minorHAnsi"/>
        </w:rPr>
        <w:t xml:space="preserve"> the legality of </w:t>
      </w:r>
      <w:r w:rsidR="00C34406" w:rsidRPr="000B7B8D">
        <w:rPr>
          <w:rFonts w:asciiTheme="minorHAnsi" w:hAnsiTheme="minorHAnsi"/>
        </w:rPr>
        <w:t>imported timber import</w:t>
      </w:r>
      <w:r w:rsidR="00257211" w:rsidRPr="000B7B8D">
        <w:rPr>
          <w:rFonts w:asciiTheme="minorHAnsi" w:hAnsiTheme="minorHAnsi"/>
        </w:rPr>
        <w:t xml:space="preserve">, which </w:t>
      </w:r>
      <w:r w:rsidR="00C34406" w:rsidRPr="000B7B8D">
        <w:rPr>
          <w:rFonts w:asciiTheme="minorHAnsi" w:hAnsiTheme="minorHAnsi"/>
        </w:rPr>
        <w:t>is</w:t>
      </w:r>
      <w:r w:rsidR="00305787" w:rsidRPr="000B7B8D">
        <w:rPr>
          <w:rFonts w:asciiTheme="minorHAnsi" w:hAnsiTheme="minorHAnsi"/>
        </w:rPr>
        <w:t xml:space="preserve"> </w:t>
      </w:r>
      <w:r w:rsidR="00257211" w:rsidRPr="000B7B8D">
        <w:rPr>
          <w:rFonts w:asciiTheme="minorHAnsi" w:hAnsiTheme="minorHAnsi"/>
        </w:rPr>
        <w:t>verified by the Korea Forestry Promotion Institute and checked physically by the Korea Forest Service before the shipment is allowed to clear customs</w:t>
      </w:r>
      <w:r w:rsidR="001C136D" w:rsidRPr="000B7B8D">
        <w:rPr>
          <w:rFonts w:asciiTheme="minorHAnsi" w:hAnsiTheme="minorHAnsi"/>
        </w:rPr>
        <w:t xml:space="preserve">. </w:t>
      </w:r>
      <w:r w:rsidR="00771607" w:rsidRPr="000B7B8D">
        <w:rPr>
          <w:rFonts w:asciiTheme="minorHAnsi" w:hAnsiTheme="minorHAnsi"/>
        </w:rPr>
        <w:t xml:space="preserve"> </w:t>
      </w:r>
      <w:r w:rsidR="001C136D" w:rsidRPr="000B7B8D">
        <w:rPr>
          <w:rFonts w:asciiTheme="minorHAnsi" w:hAnsiTheme="minorHAnsi"/>
        </w:rPr>
        <w:t xml:space="preserve">Like Australia, South Korea has </w:t>
      </w:r>
      <w:r w:rsidR="0042202B" w:rsidRPr="000B7B8D">
        <w:rPr>
          <w:rFonts w:asciiTheme="minorHAnsi" w:hAnsiTheme="minorHAnsi"/>
        </w:rPr>
        <w:t xml:space="preserve">also </w:t>
      </w:r>
      <w:r w:rsidR="001C136D" w:rsidRPr="000B7B8D">
        <w:rPr>
          <w:rFonts w:asciiTheme="minorHAnsi" w:hAnsiTheme="minorHAnsi"/>
        </w:rPr>
        <w:t xml:space="preserve">developed a series of Country-Specific Guidelines to assist importers with their risk assessments  </w:t>
      </w:r>
      <w:r w:rsidR="00257211" w:rsidRPr="000B7B8D">
        <w:rPr>
          <w:rFonts w:asciiTheme="minorHAnsi" w:hAnsiTheme="minorHAnsi"/>
        </w:rPr>
        <w:t xml:space="preserve"> (Clie</w:t>
      </w:r>
      <w:r w:rsidR="001C136D" w:rsidRPr="000B7B8D">
        <w:rPr>
          <w:rFonts w:asciiTheme="minorHAnsi" w:hAnsiTheme="minorHAnsi"/>
        </w:rPr>
        <w:t>nt Earth 2017; Lee 2018</w:t>
      </w:r>
      <w:r w:rsidR="002135A1" w:rsidRPr="000B7B8D">
        <w:rPr>
          <w:rFonts w:asciiTheme="minorHAnsi" w:hAnsiTheme="minorHAnsi"/>
        </w:rPr>
        <w:t>; Saunders &amp; Norman 2019</w:t>
      </w:r>
      <w:r w:rsidR="001C136D" w:rsidRPr="000B7B8D">
        <w:rPr>
          <w:rFonts w:asciiTheme="minorHAnsi" w:hAnsiTheme="minorHAnsi"/>
        </w:rPr>
        <w:t>).</w:t>
      </w:r>
    </w:p>
    <w:p w14:paraId="2F0835BF" w14:textId="529F33DE" w:rsidR="00771607" w:rsidRPr="000B7B8D" w:rsidRDefault="007A305D" w:rsidP="005339B7">
      <w:pPr>
        <w:pStyle w:val="BodyText"/>
        <w:jc w:val="both"/>
        <w:rPr>
          <w:rFonts w:asciiTheme="minorHAnsi" w:hAnsiTheme="minorHAnsi"/>
        </w:rPr>
      </w:pPr>
      <w:r w:rsidRPr="000B7B8D">
        <w:rPr>
          <w:rFonts w:asciiTheme="minorHAnsi" w:hAnsiTheme="minorHAnsi"/>
        </w:rPr>
        <w:t xml:space="preserve">Given </w:t>
      </w:r>
      <w:r w:rsidR="007D55B7" w:rsidRPr="000B7B8D">
        <w:rPr>
          <w:rFonts w:asciiTheme="minorHAnsi" w:hAnsiTheme="minorHAnsi"/>
        </w:rPr>
        <w:t>the</w:t>
      </w:r>
      <w:r w:rsidR="00F80CE4" w:rsidRPr="000B7B8D">
        <w:rPr>
          <w:rFonts w:asciiTheme="minorHAnsi" w:hAnsiTheme="minorHAnsi"/>
        </w:rPr>
        <w:t xml:space="preserve"> wide variation</w:t>
      </w:r>
      <w:r w:rsidR="000015F5" w:rsidRPr="000B7B8D">
        <w:rPr>
          <w:rFonts w:asciiTheme="minorHAnsi" w:hAnsiTheme="minorHAnsi"/>
        </w:rPr>
        <w:t xml:space="preserve"> </w:t>
      </w:r>
      <w:r w:rsidR="00F80CE4" w:rsidRPr="000B7B8D">
        <w:rPr>
          <w:rFonts w:asciiTheme="minorHAnsi" w:hAnsiTheme="minorHAnsi"/>
        </w:rPr>
        <w:t xml:space="preserve">in legal and adminstrative frameworks, the complexity of </w:t>
      </w:r>
      <w:r w:rsidR="009B6247" w:rsidRPr="000B7B8D">
        <w:rPr>
          <w:rFonts w:asciiTheme="minorHAnsi" w:hAnsiTheme="minorHAnsi"/>
        </w:rPr>
        <w:t xml:space="preserve">wood </w:t>
      </w:r>
      <w:r w:rsidR="00F80CE4" w:rsidRPr="000B7B8D">
        <w:rPr>
          <w:rFonts w:asciiTheme="minorHAnsi" w:hAnsiTheme="minorHAnsi"/>
        </w:rPr>
        <w:t xml:space="preserve">supply chains, </w:t>
      </w:r>
      <w:r w:rsidR="000E4490" w:rsidRPr="000B7B8D">
        <w:rPr>
          <w:rFonts w:asciiTheme="minorHAnsi" w:hAnsiTheme="minorHAnsi"/>
        </w:rPr>
        <w:t xml:space="preserve">and </w:t>
      </w:r>
      <w:r w:rsidR="00020467" w:rsidRPr="000B7B8D">
        <w:rPr>
          <w:rFonts w:asciiTheme="minorHAnsi" w:hAnsiTheme="minorHAnsi"/>
        </w:rPr>
        <w:t xml:space="preserve">the difficulties of obtaining reliable information about the situation in producer countries, </w:t>
      </w:r>
      <w:r w:rsidR="009B6247" w:rsidRPr="000B7B8D">
        <w:rPr>
          <w:rFonts w:asciiTheme="minorHAnsi" w:hAnsiTheme="minorHAnsi"/>
        </w:rPr>
        <w:t xml:space="preserve">ongoing </w:t>
      </w:r>
      <w:r w:rsidR="00557417" w:rsidRPr="000B7B8D">
        <w:rPr>
          <w:rFonts w:asciiTheme="minorHAnsi" w:hAnsiTheme="minorHAnsi"/>
        </w:rPr>
        <w:t>collaboration</w:t>
      </w:r>
      <w:r w:rsidR="009B6247" w:rsidRPr="000B7B8D">
        <w:rPr>
          <w:rFonts w:asciiTheme="minorHAnsi" w:hAnsiTheme="minorHAnsi"/>
        </w:rPr>
        <w:t xml:space="preserve"> among </w:t>
      </w:r>
      <w:r w:rsidR="00642CCB" w:rsidRPr="000B7B8D">
        <w:rPr>
          <w:rFonts w:asciiTheme="minorHAnsi" w:hAnsiTheme="minorHAnsi"/>
        </w:rPr>
        <w:t xml:space="preserve">public authorities </w:t>
      </w:r>
      <w:r w:rsidR="009337B7" w:rsidRPr="000B7B8D">
        <w:rPr>
          <w:rFonts w:asciiTheme="minorHAnsi" w:hAnsiTheme="minorHAnsi"/>
        </w:rPr>
        <w:t xml:space="preserve">and other concerned actors </w:t>
      </w:r>
      <w:r w:rsidR="00642CCB" w:rsidRPr="000B7B8D">
        <w:rPr>
          <w:rFonts w:asciiTheme="minorHAnsi" w:hAnsiTheme="minorHAnsi"/>
        </w:rPr>
        <w:t xml:space="preserve">is essential in order to ensure joined-up and effective enforcement of </w:t>
      </w:r>
      <w:r w:rsidR="00407F79" w:rsidRPr="000B7B8D">
        <w:rPr>
          <w:rFonts w:asciiTheme="minorHAnsi" w:hAnsiTheme="minorHAnsi"/>
        </w:rPr>
        <w:t>demand-side timber regulations</w:t>
      </w:r>
      <w:r w:rsidR="009337B7" w:rsidRPr="000B7B8D">
        <w:rPr>
          <w:rFonts w:asciiTheme="minorHAnsi" w:hAnsiTheme="minorHAnsi"/>
        </w:rPr>
        <w:t xml:space="preserve">.  </w:t>
      </w:r>
      <w:r w:rsidR="001712CE" w:rsidRPr="000B7B8D">
        <w:rPr>
          <w:rFonts w:asciiTheme="minorHAnsi" w:hAnsiTheme="minorHAnsi"/>
        </w:rPr>
        <w:t xml:space="preserve">Such collaboration, which was initiated by transnational NGOs and think tanks with support from national governments and private foundations, </w:t>
      </w:r>
      <w:r w:rsidR="00BE562C" w:rsidRPr="000B7B8D">
        <w:rPr>
          <w:rFonts w:asciiTheme="minorHAnsi" w:hAnsiTheme="minorHAnsi"/>
        </w:rPr>
        <w:t>began</w:t>
      </w:r>
      <w:r w:rsidR="001712CE" w:rsidRPr="000B7B8D">
        <w:rPr>
          <w:rFonts w:asciiTheme="minorHAnsi" w:hAnsiTheme="minorHAnsi"/>
        </w:rPr>
        <w:t xml:space="preserve"> with </w:t>
      </w:r>
      <w:r w:rsidR="000A6D10" w:rsidRPr="000B7B8D">
        <w:rPr>
          <w:rFonts w:asciiTheme="minorHAnsi" w:hAnsiTheme="minorHAnsi"/>
        </w:rPr>
        <w:t xml:space="preserve">the EU and the US, but has progressively expanded to include enforcement officials from </w:t>
      </w:r>
      <w:r w:rsidR="00C67FE2" w:rsidRPr="000B7B8D">
        <w:rPr>
          <w:rFonts w:asciiTheme="minorHAnsi" w:hAnsiTheme="minorHAnsi"/>
        </w:rPr>
        <w:t xml:space="preserve">a wider range of </w:t>
      </w:r>
      <w:r w:rsidR="00322B9E" w:rsidRPr="000B7B8D">
        <w:rPr>
          <w:rFonts w:asciiTheme="minorHAnsi" w:hAnsiTheme="minorHAnsi"/>
        </w:rPr>
        <w:t xml:space="preserve">consumer </w:t>
      </w:r>
      <w:r w:rsidR="00C67FE2" w:rsidRPr="000B7B8D">
        <w:rPr>
          <w:rFonts w:asciiTheme="minorHAnsi" w:hAnsiTheme="minorHAnsi"/>
        </w:rPr>
        <w:t xml:space="preserve">countries, including </w:t>
      </w:r>
      <w:r w:rsidR="000A6D10" w:rsidRPr="000B7B8D">
        <w:rPr>
          <w:rFonts w:asciiTheme="minorHAnsi" w:hAnsiTheme="minorHAnsi"/>
        </w:rPr>
        <w:t xml:space="preserve">Australia, Canada, </w:t>
      </w:r>
      <w:r w:rsidR="00C67FE2" w:rsidRPr="000B7B8D">
        <w:rPr>
          <w:rFonts w:asciiTheme="minorHAnsi" w:hAnsiTheme="minorHAnsi"/>
        </w:rPr>
        <w:t xml:space="preserve">Japan, and </w:t>
      </w:r>
      <w:r w:rsidR="000A6D10" w:rsidRPr="000B7B8D">
        <w:rPr>
          <w:rFonts w:asciiTheme="minorHAnsi" w:hAnsiTheme="minorHAnsi"/>
        </w:rPr>
        <w:t>South Korea</w:t>
      </w:r>
      <w:r w:rsidR="00C67FE2" w:rsidRPr="000B7B8D">
        <w:rPr>
          <w:rFonts w:asciiTheme="minorHAnsi" w:hAnsiTheme="minorHAnsi"/>
        </w:rPr>
        <w:t xml:space="preserve">. </w:t>
      </w:r>
      <w:r w:rsidR="009663CD" w:rsidRPr="000B7B8D">
        <w:rPr>
          <w:rFonts w:asciiTheme="minorHAnsi" w:hAnsiTheme="minorHAnsi"/>
        </w:rPr>
        <w:t xml:space="preserve"> To </w:t>
      </w:r>
      <w:r w:rsidR="005F229F" w:rsidRPr="000B7B8D">
        <w:rPr>
          <w:rFonts w:asciiTheme="minorHAnsi" w:hAnsiTheme="minorHAnsi"/>
        </w:rPr>
        <w:t xml:space="preserve">assist the newly </w:t>
      </w:r>
      <w:r w:rsidR="00B676B1" w:rsidRPr="000B7B8D">
        <w:rPr>
          <w:rFonts w:asciiTheme="minorHAnsi" w:hAnsiTheme="minorHAnsi"/>
        </w:rPr>
        <w:t>created</w:t>
      </w:r>
      <w:r w:rsidR="005F229F" w:rsidRPr="000B7B8D">
        <w:rPr>
          <w:rFonts w:asciiTheme="minorHAnsi" w:hAnsiTheme="minorHAnsi"/>
        </w:rPr>
        <w:t xml:space="preserve"> Competent Authorities with </w:t>
      </w:r>
      <w:r w:rsidR="005B2F2A" w:rsidRPr="000B7B8D">
        <w:rPr>
          <w:rFonts w:asciiTheme="minorHAnsi" w:hAnsiTheme="minorHAnsi"/>
        </w:rPr>
        <w:t>preparation</w:t>
      </w:r>
      <w:r w:rsidR="008C510F" w:rsidRPr="000B7B8D">
        <w:rPr>
          <w:rFonts w:asciiTheme="minorHAnsi" w:hAnsiTheme="minorHAnsi"/>
        </w:rPr>
        <w:t>s</w:t>
      </w:r>
      <w:r w:rsidR="005B2F2A" w:rsidRPr="000B7B8D">
        <w:rPr>
          <w:rFonts w:asciiTheme="minorHAnsi" w:hAnsiTheme="minorHAnsi"/>
        </w:rPr>
        <w:t xml:space="preserve"> for </w:t>
      </w:r>
      <w:r w:rsidR="005F229F" w:rsidRPr="000B7B8D">
        <w:rPr>
          <w:rFonts w:asciiTheme="minorHAnsi" w:hAnsiTheme="minorHAnsi"/>
        </w:rPr>
        <w:t xml:space="preserve">EUTR implementation, Chatham House and the US-based Forest Trends </w:t>
      </w:r>
      <w:r w:rsidR="00B77794" w:rsidRPr="000B7B8D">
        <w:rPr>
          <w:rFonts w:asciiTheme="minorHAnsi" w:hAnsiTheme="minorHAnsi"/>
        </w:rPr>
        <w:t xml:space="preserve">organized an intensive series of meetings </w:t>
      </w:r>
      <w:r w:rsidR="00CB042D" w:rsidRPr="000B7B8D">
        <w:rPr>
          <w:rFonts w:asciiTheme="minorHAnsi" w:hAnsiTheme="minorHAnsi"/>
        </w:rPr>
        <w:t xml:space="preserve">in 2013-14 </w:t>
      </w:r>
      <w:r w:rsidR="00B77794" w:rsidRPr="000B7B8D">
        <w:rPr>
          <w:rFonts w:asciiTheme="minorHAnsi" w:hAnsiTheme="minorHAnsi"/>
        </w:rPr>
        <w:t xml:space="preserve">with </w:t>
      </w:r>
      <w:r w:rsidR="00122ECA" w:rsidRPr="000B7B8D">
        <w:rPr>
          <w:rFonts w:asciiTheme="minorHAnsi" w:hAnsiTheme="minorHAnsi"/>
        </w:rPr>
        <w:t xml:space="preserve">industry </w:t>
      </w:r>
      <w:r w:rsidR="00895B60" w:rsidRPr="000B7B8D">
        <w:rPr>
          <w:rFonts w:asciiTheme="minorHAnsi" w:hAnsiTheme="minorHAnsi"/>
        </w:rPr>
        <w:t xml:space="preserve">experts, NGOs, </w:t>
      </w:r>
      <w:r w:rsidR="000B460B" w:rsidRPr="000B7B8D">
        <w:rPr>
          <w:rFonts w:asciiTheme="minorHAnsi" w:hAnsiTheme="minorHAnsi"/>
        </w:rPr>
        <w:t xml:space="preserve">trade associations, </w:t>
      </w:r>
      <w:r w:rsidR="00CB042D" w:rsidRPr="000B7B8D">
        <w:rPr>
          <w:rFonts w:asciiTheme="minorHAnsi" w:hAnsiTheme="minorHAnsi"/>
        </w:rPr>
        <w:t xml:space="preserve">and </w:t>
      </w:r>
      <w:r w:rsidR="008556A3" w:rsidRPr="000B7B8D">
        <w:rPr>
          <w:rFonts w:asciiTheme="minorHAnsi" w:hAnsiTheme="minorHAnsi"/>
        </w:rPr>
        <w:t xml:space="preserve">certification bodies, </w:t>
      </w:r>
      <w:r w:rsidR="00CB042D" w:rsidRPr="000B7B8D">
        <w:rPr>
          <w:rFonts w:asciiTheme="minorHAnsi" w:hAnsiTheme="minorHAnsi"/>
        </w:rPr>
        <w:t xml:space="preserve">including training sessions with Lacey Act enforcement agencies in Washington, D.C., and a European study tour for </w:t>
      </w:r>
      <w:r w:rsidR="008C510F" w:rsidRPr="000B7B8D">
        <w:rPr>
          <w:rFonts w:asciiTheme="minorHAnsi" w:hAnsiTheme="minorHAnsi"/>
        </w:rPr>
        <w:t xml:space="preserve">US and Australian officials.  </w:t>
      </w:r>
      <w:r w:rsidR="00A40BAE" w:rsidRPr="000B7B8D">
        <w:rPr>
          <w:rFonts w:asciiTheme="minorHAnsi" w:hAnsiTheme="minorHAnsi"/>
        </w:rPr>
        <w:t xml:space="preserve">In 2015, Forest Trends </w:t>
      </w:r>
      <w:r w:rsidR="00B676B1" w:rsidRPr="000B7B8D">
        <w:rPr>
          <w:rFonts w:asciiTheme="minorHAnsi" w:hAnsiTheme="minorHAnsi"/>
        </w:rPr>
        <w:t>established</w:t>
      </w:r>
      <w:r w:rsidR="00A40BAE" w:rsidRPr="000B7B8D">
        <w:rPr>
          <w:rFonts w:asciiTheme="minorHAnsi" w:hAnsiTheme="minorHAnsi"/>
        </w:rPr>
        <w:t xml:space="preserve"> the Timber Regulation Enforcement Exchange (TREE) as “a forum for officials to gain detailed insight into high- and low-risk timber flows entering their countries, discuss practical enforcement issues with each other and relevant experts from the forest sector…</w:t>
      </w:r>
      <w:r w:rsidR="007B190F" w:rsidRPr="000B7B8D">
        <w:rPr>
          <w:rFonts w:asciiTheme="minorHAnsi" w:hAnsiTheme="minorHAnsi"/>
        </w:rPr>
        <w:t>establish</w:t>
      </w:r>
      <w:r w:rsidR="00A40BAE" w:rsidRPr="000B7B8D">
        <w:rPr>
          <w:rFonts w:asciiTheme="minorHAnsi" w:hAnsiTheme="minorHAnsi"/>
        </w:rPr>
        <w:t xml:space="preserve"> emergent norms for Due Diligence/</w:t>
      </w:r>
      <w:r w:rsidR="007B190F" w:rsidRPr="000B7B8D">
        <w:rPr>
          <w:rFonts w:asciiTheme="minorHAnsi" w:hAnsiTheme="minorHAnsi"/>
        </w:rPr>
        <w:t xml:space="preserve">care in relation to different forest products, and build relationships with producer country governments, industry representatives, and other stakeholders involved in combating illegal logging and promoting global markets for </w:t>
      </w:r>
      <w:r w:rsidR="007B190F" w:rsidRPr="000B7B8D">
        <w:rPr>
          <w:rFonts w:asciiTheme="minorHAnsi" w:hAnsiTheme="minorHAnsi"/>
        </w:rPr>
        <w:lastRenderedPageBreak/>
        <w:t>legal timber</w:t>
      </w:r>
      <w:r w:rsidR="00E84DAE" w:rsidRPr="000B7B8D">
        <w:rPr>
          <w:rFonts w:asciiTheme="minorHAnsi" w:hAnsiTheme="minorHAnsi"/>
        </w:rPr>
        <w:t>.</w:t>
      </w:r>
      <w:r w:rsidR="007B190F" w:rsidRPr="000B7B8D">
        <w:rPr>
          <w:rFonts w:asciiTheme="minorHAnsi" w:hAnsiTheme="minorHAnsi"/>
        </w:rPr>
        <w:t>”</w:t>
      </w:r>
      <w:r w:rsidR="004F0E5D" w:rsidRPr="000B7B8D">
        <w:rPr>
          <w:rFonts w:asciiTheme="minorHAnsi" w:hAnsiTheme="minorHAnsi"/>
        </w:rPr>
        <w:t xml:space="preserve"> </w:t>
      </w:r>
      <w:r w:rsidR="009B6E42" w:rsidRPr="000B7B8D">
        <w:rPr>
          <w:rFonts w:asciiTheme="minorHAnsi" w:hAnsiTheme="minorHAnsi"/>
        </w:rPr>
        <w:t xml:space="preserve">This network, which meets twice a year in different locations, operates as a transnational counterpart to the EUTR/FLEGT Expert Group, and covers many of the same issues, </w:t>
      </w:r>
      <w:r w:rsidR="002274AC" w:rsidRPr="000B7B8D">
        <w:rPr>
          <w:rFonts w:asciiTheme="minorHAnsi" w:hAnsiTheme="minorHAnsi"/>
        </w:rPr>
        <w:t>such as</w:t>
      </w:r>
      <w:r w:rsidR="009B6E42" w:rsidRPr="000B7B8D">
        <w:rPr>
          <w:rFonts w:asciiTheme="minorHAnsi" w:hAnsiTheme="minorHAnsi"/>
        </w:rPr>
        <w:t xml:space="preserve"> </w:t>
      </w:r>
      <w:r w:rsidR="00BE754B" w:rsidRPr="000B7B8D">
        <w:rPr>
          <w:rFonts w:asciiTheme="minorHAnsi" w:hAnsiTheme="minorHAnsi"/>
        </w:rPr>
        <w:t xml:space="preserve">national legality requirements and due diligence standards, sourcing risks in different countries and regions, </w:t>
      </w:r>
      <w:r w:rsidR="009B6E42" w:rsidRPr="000B7B8D">
        <w:rPr>
          <w:rFonts w:asciiTheme="minorHAnsi" w:hAnsiTheme="minorHAnsi"/>
        </w:rPr>
        <w:t>substantiated concerns of illegal logging</w:t>
      </w:r>
      <w:r w:rsidR="0031671E" w:rsidRPr="000B7B8D">
        <w:rPr>
          <w:rFonts w:asciiTheme="minorHAnsi" w:hAnsiTheme="minorHAnsi"/>
        </w:rPr>
        <w:t>, cross-border cooperation</w:t>
      </w:r>
      <w:r w:rsidR="0029575D" w:rsidRPr="000B7B8D">
        <w:rPr>
          <w:rFonts w:asciiTheme="minorHAnsi" w:hAnsiTheme="minorHAnsi"/>
        </w:rPr>
        <w:t>,</w:t>
      </w:r>
      <w:r w:rsidR="0031671E" w:rsidRPr="000B7B8D">
        <w:rPr>
          <w:rFonts w:asciiTheme="minorHAnsi" w:hAnsiTheme="minorHAnsi"/>
        </w:rPr>
        <w:t xml:space="preserve"> and </w:t>
      </w:r>
      <w:r w:rsidR="00BF1155" w:rsidRPr="000B7B8D">
        <w:rPr>
          <w:rFonts w:asciiTheme="minorHAnsi" w:hAnsiTheme="minorHAnsi"/>
        </w:rPr>
        <w:t xml:space="preserve">innovative </w:t>
      </w:r>
      <w:r w:rsidR="0031671E" w:rsidRPr="000B7B8D">
        <w:rPr>
          <w:rFonts w:asciiTheme="minorHAnsi" w:hAnsiTheme="minorHAnsi"/>
        </w:rPr>
        <w:t>enforcement practices</w:t>
      </w:r>
      <w:r w:rsidR="002274AC" w:rsidRPr="000B7B8D">
        <w:rPr>
          <w:rFonts w:asciiTheme="minorHAnsi" w:hAnsiTheme="minorHAnsi"/>
        </w:rPr>
        <w:t xml:space="preserve">, including </w:t>
      </w:r>
      <w:r w:rsidR="0029575D" w:rsidRPr="000B7B8D">
        <w:rPr>
          <w:rFonts w:asciiTheme="minorHAnsi" w:hAnsiTheme="minorHAnsi"/>
        </w:rPr>
        <w:t xml:space="preserve">the use of </w:t>
      </w:r>
      <w:r w:rsidR="002274AC" w:rsidRPr="000B7B8D">
        <w:rPr>
          <w:rFonts w:asciiTheme="minorHAnsi" w:hAnsiTheme="minorHAnsi"/>
        </w:rPr>
        <w:t xml:space="preserve">traceability systems and timber forensics.  </w:t>
      </w:r>
      <w:r w:rsidR="00A21ACA" w:rsidRPr="000B7B8D">
        <w:rPr>
          <w:rFonts w:asciiTheme="minorHAnsi" w:hAnsiTheme="minorHAnsi"/>
        </w:rPr>
        <w:t xml:space="preserve">After the public </w:t>
      </w:r>
      <w:r w:rsidR="00BF1155" w:rsidRPr="000B7B8D">
        <w:rPr>
          <w:rFonts w:asciiTheme="minorHAnsi" w:hAnsiTheme="minorHAnsi"/>
        </w:rPr>
        <w:t>segment</w:t>
      </w:r>
      <w:r w:rsidR="00A21ACA" w:rsidRPr="000B7B8D">
        <w:rPr>
          <w:rFonts w:asciiTheme="minorHAnsi" w:hAnsiTheme="minorHAnsi"/>
        </w:rPr>
        <w:t xml:space="preserve"> of each meeting, </w:t>
      </w:r>
      <w:r w:rsidR="00EA7BE0" w:rsidRPr="000B7B8D">
        <w:rPr>
          <w:rFonts w:asciiTheme="minorHAnsi" w:hAnsiTheme="minorHAnsi"/>
        </w:rPr>
        <w:t xml:space="preserve">which is open to NGOs, businesses, and other stakeholders, </w:t>
      </w:r>
      <w:r w:rsidR="00A21ACA" w:rsidRPr="000B7B8D">
        <w:rPr>
          <w:rFonts w:asciiTheme="minorHAnsi" w:hAnsiTheme="minorHAnsi"/>
        </w:rPr>
        <w:t>officials from the participating countries meet in closed session</w:t>
      </w:r>
      <w:r w:rsidR="00EA7BE0" w:rsidRPr="000B7B8D">
        <w:rPr>
          <w:rFonts w:asciiTheme="minorHAnsi" w:hAnsiTheme="minorHAnsi"/>
        </w:rPr>
        <w:t xml:space="preserve"> for hands-on training in case handling, document review, and other enforcement techniques.</w:t>
      </w:r>
      <w:r w:rsidR="004F0E5D" w:rsidRPr="000B7B8D">
        <w:rPr>
          <w:rStyle w:val="FootnoteReference"/>
          <w:rFonts w:asciiTheme="minorHAnsi" w:hAnsiTheme="minorHAnsi"/>
        </w:rPr>
        <w:footnoteReference w:id="19"/>
      </w:r>
    </w:p>
    <w:p w14:paraId="601EAB86" w14:textId="3944BE9E" w:rsidR="003D6A7A" w:rsidRPr="000B7B8D" w:rsidRDefault="004E3B57" w:rsidP="005339B7">
      <w:pPr>
        <w:pStyle w:val="BodyText"/>
        <w:jc w:val="both"/>
        <w:rPr>
          <w:rFonts w:asciiTheme="minorHAnsi" w:hAnsiTheme="minorHAnsi"/>
        </w:rPr>
      </w:pPr>
      <w:r w:rsidRPr="000B7B8D">
        <w:rPr>
          <w:rFonts w:asciiTheme="minorHAnsi" w:hAnsiTheme="minorHAnsi"/>
        </w:rPr>
        <w:t xml:space="preserve">Such transnational collaboration has not only helped to ensure a better flow of information about </w:t>
      </w:r>
      <w:r w:rsidR="00A70FA0" w:rsidRPr="000B7B8D">
        <w:rPr>
          <w:rFonts w:asciiTheme="minorHAnsi" w:hAnsiTheme="minorHAnsi"/>
        </w:rPr>
        <w:t xml:space="preserve">illegal timber </w:t>
      </w:r>
      <w:r w:rsidR="00650D9D" w:rsidRPr="000B7B8D">
        <w:rPr>
          <w:rFonts w:asciiTheme="minorHAnsi" w:hAnsiTheme="minorHAnsi"/>
        </w:rPr>
        <w:t xml:space="preserve">sourcing risks among public regulatory authorities, but also to bring their enforcement approaches closer to one another and bridge gaps in the emerging timber legality regime.  Thus, for example, </w:t>
      </w:r>
      <w:r w:rsidR="00A57196" w:rsidRPr="000B7B8D">
        <w:rPr>
          <w:rFonts w:asciiTheme="minorHAnsi" w:hAnsiTheme="minorHAnsi"/>
        </w:rPr>
        <w:t xml:space="preserve">discussions within the TREE network directly </w:t>
      </w:r>
      <w:r w:rsidR="00634017" w:rsidRPr="000B7B8D">
        <w:rPr>
          <w:rFonts w:asciiTheme="minorHAnsi" w:hAnsiTheme="minorHAnsi"/>
        </w:rPr>
        <w:t>shaped</w:t>
      </w:r>
      <w:r w:rsidR="00A57196" w:rsidRPr="000B7B8D">
        <w:rPr>
          <w:rFonts w:asciiTheme="minorHAnsi" w:hAnsiTheme="minorHAnsi"/>
        </w:rPr>
        <w:t xml:space="preserve"> th</w:t>
      </w:r>
      <w:r w:rsidR="00CD4BC0" w:rsidRPr="000B7B8D">
        <w:rPr>
          <w:rFonts w:asciiTheme="minorHAnsi" w:hAnsiTheme="minorHAnsi"/>
        </w:rPr>
        <w:t xml:space="preserve">e provisions of the Environmental Compliance Plan </w:t>
      </w:r>
      <w:r w:rsidR="003D6A7A" w:rsidRPr="000B7B8D">
        <w:rPr>
          <w:rFonts w:asciiTheme="minorHAnsi" w:hAnsiTheme="minorHAnsi"/>
        </w:rPr>
        <w:t xml:space="preserve">(ECP) </w:t>
      </w:r>
      <w:r w:rsidR="0050045A" w:rsidRPr="000B7B8D">
        <w:rPr>
          <w:rFonts w:asciiTheme="minorHAnsi" w:hAnsiTheme="minorHAnsi"/>
        </w:rPr>
        <w:t xml:space="preserve">developed by the US Department of Justice </w:t>
      </w:r>
      <w:r w:rsidR="003D6A7A" w:rsidRPr="000B7B8D">
        <w:rPr>
          <w:rFonts w:asciiTheme="minorHAnsi" w:hAnsiTheme="minorHAnsi"/>
        </w:rPr>
        <w:t>(DO</w:t>
      </w:r>
      <w:r w:rsidR="001C0ACE" w:rsidRPr="000B7B8D">
        <w:rPr>
          <w:rFonts w:asciiTheme="minorHAnsi" w:hAnsiTheme="minorHAnsi"/>
        </w:rPr>
        <w:t xml:space="preserve">J) </w:t>
      </w:r>
      <w:r w:rsidR="0050045A" w:rsidRPr="000B7B8D">
        <w:rPr>
          <w:rFonts w:asciiTheme="minorHAnsi" w:hAnsiTheme="minorHAnsi"/>
        </w:rPr>
        <w:t xml:space="preserve">in the </w:t>
      </w:r>
      <w:r w:rsidR="00634017" w:rsidRPr="000B7B8D">
        <w:rPr>
          <w:rFonts w:asciiTheme="minorHAnsi" w:hAnsiTheme="minorHAnsi"/>
        </w:rPr>
        <w:t xml:space="preserve">pathbreaking </w:t>
      </w:r>
      <w:r w:rsidR="0050045A" w:rsidRPr="000B7B8D">
        <w:rPr>
          <w:rFonts w:asciiTheme="minorHAnsi" w:hAnsiTheme="minorHAnsi"/>
        </w:rPr>
        <w:t xml:space="preserve">2016 Lumber Liquidators </w:t>
      </w:r>
      <w:r w:rsidR="003D6A7A" w:rsidRPr="000B7B8D">
        <w:rPr>
          <w:rFonts w:asciiTheme="minorHAnsi" w:hAnsiTheme="minorHAnsi"/>
        </w:rPr>
        <w:t xml:space="preserve">(LL) </w:t>
      </w:r>
      <w:r w:rsidR="002E16AA" w:rsidRPr="000B7B8D">
        <w:rPr>
          <w:rFonts w:asciiTheme="minorHAnsi" w:hAnsiTheme="minorHAnsi"/>
        </w:rPr>
        <w:t>plea</w:t>
      </w:r>
      <w:r w:rsidR="001C0ACE" w:rsidRPr="000B7B8D">
        <w:rPr>
          <w:rFonts w:asciiTheme="minorHAnsi" w:hAnsiTheme="minorHAnsi"/>
        </w:rPr>
        <w:t xml:space="preserve"> agreement, which </w:t>
      </w:r>
      <w:r w:rsidR="004D4485" w:rsidRPr="000B7B8D">
        <w:rPr>
          <w:rFonts w:asciiTheme="minorHAnsi" w:hAnsiTheme="minorHAnsi"/>
        </w:rPr>
        <w:t>was</w:t>
      </w:r>
      <w:r w:rsidR="001C0ACE" w:rsidRPr="000B7B8D">
        <w:rPr>
          <w:rFonts w:asciiTheme="minorHAnsi" w:hAnsiTheme="minorHAnsi"/>
        </w:rPr>
        <w:t xml:space="preserve"> explicitly modeled on the EUTR’s due diligence requirements</w:t>
      </w:r>
      <w:r w:rsidR="00634017" w:rsidRPr="000B7B8D">
        <w:rPr>
          <w:rFonts w:asciiTheme="minorHAnsi" w:hAnsiTheme="minorHAnsi"/>
        </w:rPr>
        <w:t xml:space="preserve"> and designed to set </w:t>
      </w:r>
      <w:r w:rsidR="005B5E14" w:rsidRPr="000B7B8D">
        <w:rPr>
          <w:rFonts w:asciiTheme="minorHAnsi" w:hAnsiTheme="minorHAnsi"/>
        </w:rPr>
        <w:t>a</w:t>
      </w:r>
      <w:r w:rsidR="00634017" w:rsidRPr="000B7B8D">
        <w:rPr>
          <w:rFonts w:asciiTheme="minorHAnsi" w:hAnsiTheme="minorHAnsi"/>
        </w:rPr>
        <w:t xml:space="preserve"> standard for other </w:t>
      </w:r>
      <w:r w:rsidR="005B5E14" w:rsidRPr="000B7B8D">
        <w:rPr>
          <w:rFonts w:asciiTheme="minorHAnsi" w:hAnsiTheme="minorHAnsi"/>
        </w:rPr>
        <w:t>comparable operators to follow.</w:t>
      </w:r>
      <w:r w:rsidR="003D6A7A" w:rsidRPr="000B7B8D">
        <w:rPr>
          <w:rFonts w:asciiTheme="minorHAnsi" w:hAnsiTheme="minorHAnsi"/>
        </w:rPr>
        <w:t xml:space="preserve">  According to Patrick Duggan, </w:t>
      </w:r>
      <w:r w:rsidR="00CB230D" w:rsidRPr="000B7B8D">
        <w:rPr>
          <w:rFonts w:asciiTheme="minorHAnsi" w:hAnsiTheme="minorHAnsi"/>
        </w:rPr>
        <w:t xml:space="preserve">one of </w:t>
      </w:r>
      <w:r w:rsidR="003D6A7A" w:rsidRPr="000B7B8D">
        <w:rPr>
          <w:rFonts w:asciiTheme="minorHAnsi" w:hAnsiTheme="minorHAnsi"/>
        </w:rPr>
        <w:t>the prosecutor</w:t>
      </w:r>
      <w:r w:rsidR="00CB230D" w:rsidRPr="000B7B8D">
        <w:rPr>
          <w:rFonts w:asciiTheme="minorHAnsi" w:hAnsiTheme="minorHAnsi"/>
        </w:rPr>
        <w:t>s in this case:</w:t>
      </w:r>
    </w:p>
    <w:p w14:paraId="25F9AFC7" w14:textId="1054F7BD" w:rsidR="00AF252B" w:rsidRPr="000B7B8D" w:rsidRDefault="003D6A7A" w:rsidP="003D6A7A">
      <w:pPr>
        <w:pStyle w:val="BlockQuotation"/>
        <w:rPr>
          <w:rFonts w:asciiTheme="minorHAnsi" w:hAnsiTheme="minorHAnsi"/>
        </w:rPr>
      </w:pPr>
      <w:r w:rsidRPr="000B7B8D">
        <w:rPr>
          <w:rFonts w:asciiTheme="minorHAnsi" w:hAnsiTheme="minorHAnsi"/>
        </w:rPr>
        <w:lastRenderedPageBreak/>
        <w:t xml:space="preserve"> [W]e wanted to focus on front-end due diligence to ensure that LL was never in a position where they had to question the legality of a shipment </w:t>
      </w:r>
      <w:r w:rsidRPr="000B7B8D">
        <w:rPr>
          <w:rFonts w:asciiTheme="minorHAnsi" w:hAnsiTheme="minorHAnsi"/>
          <w:i/>
        </w:rPr>
        <w:t xml:space="preserve">after </w:t>
      </w:r>
      <w:r w:rsidRPr="000B7B8D">
        <w:rPr>
          <w:rFonts w:asciiTheme="minorHAnsi" w:hAnsiTheme="minorHAnsi"/>
        </w:rPr>
        <w:t>the purchase was made.  We required them to follow a more European model of front-loading the due diligence instead of DOJ having to investigate afterwards. Hence, I spoke with a number of TREE members about how they deal with risk categorization. Those conversations resulted in section 5 of the ECP…which divides products into risk categories based on the supplier company risk as well as the product risk. The level of due diligence required then varies depending on the overall risk category…</w:t>
      </w:r>
      <w:r w:rsidR="007D1888" w:rsidRPr="000B7B8D">
        <w:rPr>
          <w:rFonts w:asciiTheme="minorHAnsi" w:hAnsiTheme="minorHAnsi"/>
        </w:rPr>
        <w:t>.</w:t>
      </w:r>
      <w:r w:rsidRPr="000B7B8D">
        <w:rPr>
          <w:rFonts w:asciiTheme="minorHAnsi" w:hAnsiTheme="minorHAnsi"/>
        </w:rPr>
        <w:t xml:space="preserve">The UK, Netherlands, and Denmark were especially helpful </w:t>
      </w:r>
      <w:r w:rsidR="00323D5C" w:rsidRPr="000B7B8D">
        <w:rPr>
          <w:rFonts w:asciiTheme="minorHAnsi" w:hAnsiTheme="minorHAnsi"/>
        </w:rPr>
        <w:t>in providing input on the specific factors they consider.</w:t>
      </w:r>
      <w:r w:rsidR="00323D5C" w:rsidRPr="000B7B8D">
        <w:rPr>
          <w:rStyle w:val="FootnoteReference"/>
          <w:rFonts w:asciiTheme="minorHAnsi" w:hAnsiTheme="minorHAnsi"/>
        </w:rPr>
        <w:footnoteReference w:id="20"/>
      </w:r>
    </w:p>
    <w:p w14:paraId="3CC8A413" w14:textId="5041A183" w:rsidR="00DE46AC" w:rsidRPr="000B7B8D" w:rsidRDefault="00CB230D" w:rsidP="00CB230D">
      <w:pPr>
        <w:pStyle w:val="BodyText"/>
        <w:ind w:firstLine="0"/>
        <w:jc w:val="both"/>
        <w:rPr>
          <w:rFonts w:asciiTheme="minorHAnsi" w:hAnsiTheme="minorHAnsi"/>
        </w:rPr>
      </w:pPr>
      <w:r w:rsidRPr="000B7B8D">
        <w:rPr>
          <w:rFonts w:asciiTheme="minorHAnsi" w:hAnsiTheme="minorHAnsi"/>
        </w:rPr>
        <w:t>Conversely, b</w:t>
      </w:r>
      <w:r w:rsidR="007D1888" w:rsidRPr="000B7B8D">
        <w:rPr>
          <w:rFonts w:asciiTheme="minorHAnsi" w:hAnsiTheme="minorHAnsi"/>
        </w:rPr>
        <w:t xml:space="preserve">ecause the Lacey Act </w:t>
      </w:r>
      <w:r w:rsidRPr="000B7B8D">
        <w:rPr>
          <w:rFonts w:asciiTheme="minorHAnsi" w:hAnsiTheme="minorHAnsi"/>
        </w:rPr>
        <w:t>prohibits trafficking in wood sold in violation of any foreign law protecting plants, it can also be used to prosecute non-compliance w</w:t>
      </w:r>
      <w:r w:rsidR="00DB3550" w:rsidRPr="000B7B8D">
        <w:rPr>
          <w:rFonts w:asciiTheme="minorHAnsi" w:hAnsiTheme="minorHAnsi"/>
        </w:rPr>
        <w:t xml:space="preserve">ith the provisions of the EUTR, which is considered a “predicate offense” under US law.  Since the EUTR’s </w:t>
      </w:r>
      <w:r w:rsidR="00D01B81" w:rsidRPr="000B7B8D">
        <w:rPr>
          <w:rFonts w:asciiTheme="minorHAnsi" w:hAnsiTheme="minorHAnsi"/>
        </w:rPr>
        <w:t>prohibition and due diligence requirements apply only to the operator first plac</w:t>
      </w:r>
      <w:r w:rsidR="00DE46AC" w:rsidRPr="000B7B8D">
        <w:rPr>
          <w:rFonts w:asciiTheme="minorHAnsi" w:hAnsiTheme="minorHAnsi"/>
        </w:rPr>
        <w:t xml:space="preserve">ing wood on the European market, while </w:t>
      </w:r>
      <w:r w:rsidR="00F826FE" w:rsidRPr="000B7B8D">
        <w:rPr>
          <w:rFonts w:asciiTheme="minorHAnsi" w:hAnsiTheme="minorHAnsi"/>
        </w:rPr>
        <w:t xml:space="preserve">Lacey Act prosecutions face a high burden of proof, reciprocity between the two laws extends liability to illegal timber products </w:t>
      </w:r>
      <w:r w:rsidR="00651EC5" w:rsidRPr="000B7B8D">
        <w:rPr>
          <w:rFonts w:asciiTheme="minorHAnsi" w:hAnsiTheme="minorHAnsi"/>
        </w:rPr>
        <w:t xml:space="preserve">exported from the EU to the US </w:t>
      </w:r>
      <w:r w:rsidR="00F826FE" w:rsidRPr="000B7B8D">
        <w:rPr>
          <w:rFonts w:asciiTheme="minorHAnsi" w:hAnsiTheme="minorHAnsi"/>
        </w:rPr>
        <w:t xml:space="preserve">(such as superyachts with Burmese teak decking), thereby reinforcing both and helping to close a </w:t>
      </w:r>
      <w:r w:rsidR="00FB2FDB" w:rsidRPr="000B7B8D">
        <w:rPr>
          <w:rFonts w:asciiTheme="minorHAnsi" w:hAnsiTheme="minorHAnsi"/>
        </w:rPr>
        <w:t>significant</w:t>
      </w:r>
      <w:r w:rsidR="00F826FE" w:rsidRPr="000B7B8D">
        <w:rPr>
          <w:rFonts w:asciiTheme="minorHAnsi" w:hAnsiTheme="minorHAnsi"/>
        </w:rPr>
        <w:t xml:space="preserve"> loophole in the transnational legality regime (</w:t>
      </w:r>
      <w:r w:rsidR="00F9681C" w:rsidRPr="000B7B8D">
        <w:rPr>
          <w:rFonts w:asciiTheme="minorHAnsi" w:hAnsiTheme="minorHAnsi"/>
        </w:rPr>
        <w:t>EIA</w:t>
      </w:r>
      <w:r w:rsidR="00F826FE" w:rsidRPr="000B7B8D">
        <w:rPr>
          <w:rFonts w:asciiTheme="minorHAnsi" w:hAnsiTheme="minorHAnsi"/>
        </w:rPr>
        <w:t xml:space="preserve"> </w:t>
      </w:r>
      <w:r w:rsidR="00510753" w:rsidRPr="000B7B8D">
        <w:rPr>
          <w:rFonts w:asciiTheme="minorHAnsi" w:hAnsiTheme="minorHAnsi"/>
        </w:rPr>
        <w:t xml:space="preserve">Forests </w:t>
      </w:r>
      <w:r w:rsidR="00F826FE" w:rsidRPr="000B7B8D">
        <w:rPr>
          <w:rFonts w:asciiTheme="minorHAnsi" w:hAnsiTheme="minorHAnsi"/>
        </w:rPr>
        <w:t>2018; Colborn 2018).</w:t>
      </w:r>
    </w:p>
    <w:p w14:paraId="60CD7629" w14:textId="1B660389" w:rsidR="002D5656" w:rsidRPr="000B7B8D" w:rsidRDefault="006F396B" w:rsidP="006F396B">
      <w:pPr>
        <w:pStyle w:val="Heading1"/>
        <w:numPr>
          <w:ilvl w:val="0"/>
          <w:numId w:val="25"/>
        </w:numPr>
        <w:rPr>
          <w:rFonts w:asciiTheme="minorHAnsi" w:hAnsiTheme="minorHAnsi"/>
        </w:rPr>
      </w:pPr>
      <w:r w:rsidRPr="000B7B8D">
        <w:rPr>
          <w:rFonts w:asciiTheme="minorHAnsi" w:hAnsiTheme="minorHAnsi"/>
        </w:rPr>
        <w:t>Experimentalist Interactions: Private Certification</w:t>
      </w:r>
      <w:r w:rsidR="00A97688" w:rsidRPr="000B7B8D">
        <w:rPr>
          <w:rFonts w:asciiTheme="minorHAnsi" w:hAnsiTheme="minorHAnsi"/>
        </w:rPr>
        <w:t xml:space="preserve"> </w:t>
      </w:r>
      <w:r w:rsidR="00C95001" w:rsidRPr="000B7B8D">
        <w:rPr>
          <w:rFonts w:asciiTheme="minorHAnsi" w:hAnsiTheme="minorHAnsi"/>
        </w:rPr>
        <w:t xml:space="preserve">and Service </w:t>
      </w:r>
      <w:r w:rsidR="00BD6D89" w:rsidRPr="000B7B8D">
        <w:rPr>
          <w:rFonts w:asciiTheme="minorHAnsi" w:hAnsiTheme="minorHAnsi"/>
        </w:rPr>
        <w:t>Providers</w:t>
      </w:r>
    </w:p>
    <w:p w14:paraId="1BEEC2E4" w14:textId="2B217B29" w:rsidR="00962D6E" w:rsidRPr="000B7B8D" w:rsidRDefault="00651EC5" w:rsidP="006F396B">
      <w:pPr>
        <w:pStyle w:val="BodyText"/>
        <w:jc w:val="both"/>
        <w:rPr>
          <w:rFonts w:asciiTheme="minorHAnsi" w:hAnsiTheme="minorHAnsi"/>
        </w:rPr>
      </w:pPr>
      <w:r w:rsidRPr="000B7B8D">
        <w:rPr>
          <w:rFonts w:asciiTheme="minorHAnsi" w:hAnsiTheme="minorHAnsi"/>
        </w:rPr>
        <w:t xml:space="preserve">The </w:t>
      </w:r>
      <w:r w:rsidR="003E6A6C" w:rsidRPr="000B7B8D">
        <w:rPr>
          <w:rFonts w:asciiTheme="minorHAnsi" w:hAnsiTheme="minorHAnsi"/>
        </w:rPr>
        <w:t>experimentalist architecture of the EU FLEGT initiative has helped to join up the separate components of the timber legality regime complex through productive interactions not only with public regulation in other consumer countries but also with f</w:t>
      </w:r>
      <w:r w:rsidR="00A97688" w:rsidRPr="000B7B8D">
        <w:rPr>
          <w:rFonts w:asciiTheme="minorHAnsi" w:hAnsiTheme="minorHAnsi"/>
        </w:rPr>
        <w:t xml:space="preserve">orest certification schemes, </w:t>
      </w:r>
      <w:r w:rsidR="005C4003" w:rsidRPr="000B7B8D">
        <w:rPr>
          <w:rFonts w:asciiTheme="minorHAnsi" w:hAnsiTheme="minorHAnsi"/>
        </w:rPr>
        <w:t>trade</w:t>
      </w:r>
      <w:r w:rsidR="00A97688" w:rsidRPr="000B7B8D">
        <w:rPr>
          <w:rFonts w:asciiTheme="minorHAnsi" w:hAnsiTheme="minorHAnsi"/>
        </w:rPr>
        <w:t xml:space="preserve"> associations, and</w:t>
      </w:r>
      <w:r w:rsidR="00FD0048" w:rsidRPr="000B7B8D">
        <w:rPr>
          <w:rFonts w:asciiTheme="minorHAnsi" w:hAnsiTheme="minorHAnsi"/>
        </w:rPr>
        <w:t xml:space="preserve"> </w:t>
      </w:r>
      <w:r w:rsidR="005D3DE9" w:rsidRPr="000B7B8D">
        <w:rPr>
          <w:rFonts w:asciiTheme="minorHAnsi" w:hAnsiTheme="minorHAnsi"/>
        </w:rPr>
        <w:t>and other private service providers</w:t>
      </w:r>
      <w:r w:rsidR="001B58E8" w:rsidRPr="000B7B8D">
        <w:rPr>
          <w:rFonts w:asciiTheme="minorHAnsi" w:hAnsiTheme="minorHAnsi"/>
        </w:rPr>
        <w:t xml:space="preserve">.  </w:t>
      </w:r>
      <w:r w:rsidR="00D27096" w:rsidRPr="000B7B8D">
        <w:rPr>
          <w:rFonts w:asciiTheme="minorHAnsi" w:hAnsiTheme="minorHAnsi"/>
        </w:rPr>
        <w:t xml:space="preserve">The EUTR, as we have seen, </w:t>
      </w:r>
      <w:r w:rsidR="00376470" w:rsidRPr="000B7B8D">
        <w:rPr>
          <w:rFonts w:asciiTheme="minorHAnsi" w:hAnsiTheme="minorHAnsi"/>
        </w:rPr>
        <w:t xml:space="preserve">allows firms to satisfy its due diligence requirements by </w:t>
      </w:r>
      <w:r w:rsidR="0020537A" w:rsidRPr="000B7B8D">
        <w:rPr>
          <w:rFonts w:asciiTheme="minorHAnsi" w:hAnsiTheme="minorHAnsi"/>
        </w:rPr>
        <w:t>working</w:t>
      </w:r>
      <w:r w:rsidR="00376470" w:rsidRPr="000B7B8D">
        <w:rPr>
          <w:rFonts w:asciiTheme="minorHAnsi" w:hAnsiTheme="minorHAnsi"/>
        </w:rPr>
        <w:t xml:space="preserve"> with a recognized Monitoring Organization, and encourages them to use private certification and legality schemes </w:t>
      </w:r>
      <w:r w:rsidR="0020537A" w:rsidRPr="000B7B8D">
        <w:rPr>
          <w:rFonts w:asciiTheme="minorHAnsi" w:hAnsiTheme="minorHAnsi"/>
        </w:rPr>
        <w:t xml:space="preserve">that meet </w:t>
      </w:r>
      <w:r w:rsidR="0020537A" w:rsidRPr="000B7B8D">
        <w:rPr>
          <w:rFonts w:asciiTheme="minorHAnsi" w:hAnsiTheme="minorHAnsi"/>
        </w:rPr>
        <w:lastRenderedPageBreak/>
        <w:t xml:space="preserve">specified conditions </w:t>
      </w:r>
      <w:r w:rsidR="00376470" w:rsidRPr="000B7B8D">
        <w:rPr>
          <w:rFonts w:asciiTheme="minorHAnsi" w:hAnsiTheme="minorHAnsi"/>
        </w:rPr>
        <w:t xml:space="preserve">in their </w:t>
      </w:r>
      <w:r w:rsidR="0020537A" w:rsidRPr="000B7B8D">
        <w:rPr>
          <w:rFonts w:asciiTheme="minorHAnsi" w:hAnsiTheme="minorHAnsi"/>
        </w:rPr>
        <w:t xml:space="preserve">internal </w:t>
      </w:r>
      <w:r w:rsidR="00376470" w:rsidRPr="000B7B8D">
        <w:rPr>
          <w:rFonts w:asciiTheme="minorHAnsi" w:hAnsiTheme="minorHAnsi"/>
        </w:rPr>
        <w:t xml:space="preserve">risk assessment </w:t>
      </w:r>
      <w:r w:rsidR="00B57036" w:rsidRPr="000B7B8D">
        <w:rPr>
          <w:rFonts w:asciiTheme="minorHAnsi" w:hAnsiTheme="minorHAnsi"/>
        </w:rPr>
        <w:t>process</w:t>
      </w:r>
      <w:r w:rsidR="00056CF6" w:rsidRPr="000B7B8D">
        <w:rPr>
          <w:rFonts w:asciiTheme="minorHAnsi" w:hAnsiTheme="minorHAnsi"/>
        </w:rPr>
        <w:t xml:space="preserve">.  </w:t>
      </w:r>
      <w:r w:rsidR="000F6AD7" w:rsidRPr="000B7B8D">
        <w:rPr>
          <w:rFonts w:asciiTheme="minorHAnsi" w:hAnsiTheme="minorHAnsi"/>
        </w:rPr>
        <w:t>A number of VPAs</w:t>
      </w:r>
      <w:r w:rsidR="00EF3FC1" w:rsidRPr="000B7B8D">
        <w:rPr>
          <w:rFonts w:asciiTheme="minorHAnsi" w:hAnsiTheme="minorHAnsi"/>
        </w:rPr>
        <w:t xml:space="preserve"> </w:t>
      </w:r>
      <w:r w:rsidR="00565216" w:rsidRPr="000B7B8D">
        <w:rPr>
          <w:rFonts w:asciiTheme="minorHAnsi" w:hAnsiTheme="minorHAnsi"/>
        </w:rPr>
        <w:t>currently</w:t>
      </w:r>
      <w:r w:rsidR="00EF3FC1" w:rsidRPr="000B7B8D">
        <w:rPr>
          <w:rFonts w:asciiTheme="minorHAnsi" w:hAnsiTheme="minorHAnsi"/>
        </w:rPr>
        <w:t xml:space="preserve"> in the implementation process</w:t>
      </w:r>
      <w:r w:rsidR="000F6AD7" w:rsidRPr="000B7B8D">
        <w:rPr>
          <w:rFonts w:asciiTheme="minorHAnsi" w:hAnsiTheme="minorHAnsi"/>
        </w:rPr>
        <w:t xml:space="preserve"> </w:t>
      </w:r>
      <w:r w:rsidR="00EF3FC1" w:rsidRPr="000B7B8D">
        <w:rPr>
          <w:rFonts w:asciiTheme="minorHAnsi" w:hAnsiTheme="minorHAnsi"/>
        </w:rPr>
        <w:t xml:space="preserve">such as Cameroon and Republic of Congo </w:t>
      </w:r>
      <w:r w:rsidR="00F22216" w:rsidRPr="000B7B8D">
        <w:rPr>
          <w:rFonts w:asciiTheme="minorHAnsi" w:hAnsiTheme="minorHAnsi"/>
        </w:rPr>
        <w:t xml:space="preserve">likewise </w:t>
      </w:r>
      <w:r w:rsidR="00EF3FC1" w:rsidRPr="000B7B8D">
        <w:rPr>
          <w:rFonts w:asciiTheme="minorHAnsi" w:hAnsiTheme="minorHAnsi"/>
        </w:rPr>
        <w:t>include provisions for incorporating</w:t>
      </w:r>
      <w:r w:rsidR="00F22216" w:rsidRPr="000B7B8D">
        <w:rPr>
          <w:rFonts w:asciiTheme="minorHAnsi" w:hAnsiTheme="minorHAnsi"/>
        </w:rPr>
        <w:t xml:space="preserve"> </w:t>
      </w:r>
      <w:r w:rsidR="00665BDB" w:rsidRPr="000B7B8D">
        <w:rPr>
          <w:rFonts w:asciiTheme="minorHAnsi" w:hAnsiTheme="minorHAnsi"/>
        </w:rPr>
        <w:t xml:space="preserve">recognized </w:t>
      </w:r>
      <w:r w:rsidR="00EF3FC1" w:rsidRPr="000B7B8D">
        <w:rPr>
          <w:rFonts w:asciiTheme="minorHAnsi" w:hAnsiTheme="minorHAnsi"/>
        </w:rPr>
        <w:t xml:space="preserve">private </w:t>
      </w:r>
      <w:r w:rsidR="00F22216" w:rsidRPr="000B7B8D">
        <w:rPr>
          <w:rFonts w:asciiTheme="minorHAnsi" w:hAnsiTheme="minorHAnsi"/>
        </w:rPr>
        <w:t>certification schemes in</w:t>
      </w:r>
      <w:r w:rsidR="00EF3FC1" w:rsidRPr="000B7B8D">
        <w:rPr>
          <w:rFonts w:asciiTheme="minorHAnsi" w:hAnsiTheme="minorHAnsi"/>
        </w:rPr>
        <w:t>to</w:t>
      </w:r>
      <w:r w:rsidR="00F22216" w:rsidRPr="000B7B8D">
        <w:rPr>
          <w:rFonts w:asciiTheme="minorHAnsi" w:hAnsiTheme="minorHAnsi"/>
        </w:rPr>
        <w:t xml:space="preserve"> their FLEGT licensing systems</w:t>
      </w:r>
      <w:r w:rsidR="00FD72FD" w:rsidRPr="000B7B8D">
        <w:rPr>
          <w:rFonts w:asciiTheme="minorHAnsi" w:hAnsiTheme="minorHAnsi"/>
        </w:rPr>
        <w:t>.</w:t>
      </w:r>
      <w:r w:rsidR="00FD72FD" w:rsidRPr="000B7B8D">
        <w:rPr>
          <w:rStyle w:val="FootnoteReference"/>
          <w:rFonts w:asciiTheme="minorHAnsi" w:hAnsiTheme="minorHAnsi"/>
        </w:rPr>
        <w:footnoteReference w:id="21"/>
      </w:r>
    </w:p>
    <w:p w14:paraId="60811637" w14:textId="51E6CE0F" w:rsidR="00376470" w:rsidRPr="000B7B8D" w:rsidRDefault="00BE15F2" w:rsidP="00E31A66">
      <w:pPr>
        <w:pStyle w:val="BodyText"/>
        <w:jc w:val="both"/>
        <w:rPr>
          <w:rFonts w:asciiTheme="minorHAnsi" w:hAnsiTheme="minorHAnsi"/>
        </w:rPr>
      </w:pPr>
      <w:r w:rsidRPr="000B7B8D">
        <w:rPr>
          <w:rFonts w:asciiTheme="minorHAnsi" w:hAnsiTheme="minorHAnsi"/>
        </w:rPr>
        <w:t xml:space="preserve">Unlike </w:t>
      </w:r>
      <w:r w:rsidR="007F212F" w:rsidRPr="000B7B8D">
        <w:rPr>
          <w:rFonts w:asciiTheme="minorHAnsi" w:hAnsiTheme="minorHAnsi"/>
        </w:rPr>
        <w:t xml:space="preserve">the EUTR, the US </w:t>
      </w:r>
      <w:r w:rsidR="00B63374" w:rsidRPr="000B7B8D">
        <w:rPr>
          <w:rFonts w:asciiTheme="minorHAnsi" w:hAnsiTheme="minorHAnsi"/>
        </w:rPr>
        <w:t xml:space="preserve">LTPA does not </w:t>
      </w:r>
      <w:r w:rsidR="00962D6E" w:rsidRPr="000B7B8D">
        <w:rPr>
          <w:rFonts w:asciiTheme="minorHAnsi" w:hAnsiTheme="minorHAnsi"/>
        </w:rPr>
        <w:t>explicitly encourage third parties to provide due diligence systems, although participation in private certification schemes may be adduced as evidence of due care in avoiding sourcing of illegally logged wood</w:t>
      </w:r>
      <w:r w:rsidR="0048649C" w:rsidRPr="000B7B8D">
        <w:rPr>
          <w:rFonts w:asciiTheme="minorHAnsi" w:hAnsiTheme="minorHAnsi"/>
        </w:rPr>
        <w:t xml:space="preserve"> (</w:t>
      </w:r>
      <w:hyperlink r:id="rId15" w:history="1">
        <w:r w:rsidR="0048649C" w:rsidRPr="000B7B8D">
          <w:rPr>
            <w:rStyle w:val="Hyperlink"/>
            <w:rFonts w:asciiTheme="minorHAnsi" w:hAnsiTheme="minorHAnsi"/>
          </w:rPr>
          <w:t>http://www.laceyduecare.com/</w:t>
        </w:r>
      </w:hyperlink>
      <w:r w:rsidR="0048649C" w:rsidRPr="000B7B8D">
        <w:rPr>
          <w:rFonts w:asciiTheme="minorHAnsi" w:hAnsiTheme="minorHAnsi"/>
        </w:rPr>
        <w:t>)</w:t>
      </w:r>
      <w:r w:rsidR="00962D6E" w:rsidRPr="000B7B8D">
        <w:rPr>
          <w:rFonts w:asciiTheme="minorHAnsi" w:hAnsiTheme="minorHAnsi"/>
        </w:rPr>
        <w:t xml:space="preserve">.  </w:t>
      </w:r>
      <w:r w:rsidR="0048649C" w:rsidRPr="000B7B8D">
        <w:rPr>
          <w:rFonts w:asciiTheme="minorHAnsi" w:hAnsiTheme="minorHAnsi"/>
        </w:rPr>
        <w:t xml:space="preserve">The Australian ILPA </w:t>
      </w:r>
      <w:r w:rsidR="004A766E" w:rsidRPr="000B7B8D">
        <w:rPr>
          <w:rFonts w:asciiTheme="minorHAnsi" w:hAnsiTheme="minorHAnsi"/>
        </w:rPr>
        <w:t xml:space="preserve">allows importers to </w:t>
      </w:r>
      <w:r w:rsidR="00A057A4" w:rsidRPr="000B7B8D">
        <w:rPr>
          <w:rFonts w:asciiTheme="minorHAnsi" w:hAnsiTheme="minorHAnsi"/>
        </w:rPr>
        <w:t xml:space="preserve">use recognized Timber Legality Frameworks – including FSC and PEFC certification as well as FLEGT licenses – as </w:t>
      </w:r>
      <w:r w:rsidR="00B57036" w:rsidRPr="000B7B8D">
        <w:rPr>
          <w:rFonts w:asciiTheme="minorHAnsi" w:hAnsiTheme="minorHAnsi"/>
        </w:rPr>
        <w:t xml:space="preserve">a  risk assessment pathway, though </w:t>
      </w:r>
      <w:r w:rsidR="005C4003" w:rsidRPr="000B7B8D">
        <w:rPr>
          <w:rFonts w:asciiTheme="minorHAnsi" w:hAnsiTheme="minorHAnsi"/>
        </w:rPr>
        <w:t>firms</w:t>
      </w:r>
      <w:r w:rsidR="00B57036" w:rsidRPr="000B7B8D">
        <w:rPr>
          <w:rFonts w:asciiTheme="minorHAnsi" w:hAnsiTheme="minorHAnsi"/>
        </w:rPr>
        <w:t xml:space="preserve"> remain responsible for assessing the</w:t>
      </w:r>
      <w:r w:rsidR="00763D7E" w:rsidRPr="000B7B8D">
        <w:rPr>
          <w:rFonts w:asciiTheme="minorHAnsi" w:hAnsiTheme="minorHAnsi"/>
        </w:rPr>
        <w:t>ir</w:t>
      </w:r>
      <w:r w:rsidR="00B57036" w:rsidRPr="000B7B8D">
        <w:rPr>
          <w:rFonts w:asciiTheme="minorHAnsi" w:hAnsiTheme="minorHAnsi"/>
        </w:rPr>
        <w:t xml:space="preserve"> accuracy and reliability</w:t>
      </w:r>
      <w:r w:rsidR="00763D7E" w:rsidRPr="000B7B8D">
        <w:rPr>
          <w:rFonts w:asciiTheme="minorHAnsi" w:hAnsiTheme="minorHAnsi"/>
        </w:rPr>
        <w:t xml:space="preserve"> in each case</w:t>
      </w:r>
      <w:r w:rsidR="00B57036" w:rsidRPr="000B7B8D">
        <w:rPr>
          <w:rFonts w:asciiTheme="minorHAnsi" w:hAnsiTheme="minorHAnsi"/>
        </w:rPr>
        <w:t xml:space="preserve">, as well as </w:t>
      </w:r>
      <w:r w:rsidR="00763D7E" w:rsidRPr="000B7B8D">
        <w:rPr>
          <w:rFonts w:asciiTheme="minorHAnsi" w:hAnsiTheme="minorHAnsi"/>
        </w:rPr>
        <w:t xml:space="preserve">any other information that would call the product’s legality into question </w:t>
      </w:r>
      <w:r w:rsidR="00C26771" w:rsidRPr="000B7B8D">
        <w:rPr>
          <w:rFonts w:asciiTheme="minorHAnsi" w:hAnsiTheme="minorHAnsi"/>
        </w:rPr>
        <w:t>(</w:t>
      </w:r>
      <w:r w:rsidR="00F9681C" w:rsidRPr="000B7B8D">
        <w:rPr>
          <w:rFonts w:asciiTheme="minorHAnsi" w:hAnsiTheme="minorHAnsi"/>
        </w:rPr>
        <w:t xml:space="preserve">ADAWR </w:t>
      </w:r>
      <w:r w:rsidR="00F87DF4" w:rsidRPr="000B7B8D">
        <w:rPr>
          <w:rFonts w:asciiTheme="minorHAnsi" w:hAnsiTheme="minorHAnsi"/>
        </w:rPr>
        <w:t>2018</w:t>
      </w:r>
      <w:r w:rsidR="00141638" w:rsidRPr="000B7B8D">
        <w:rPr>
          <w:rFonts w:asciiTheme="minorHAnsi" w:hAnsiTheme="minorHAnsi"/>
        </w:rPr>
        <w:t>b</w:t>
      </w:r>
      <w:r w:rsidR="00F87DF4" w:rsidRPr="000B7B8D">
        <w:rPr>
          <w:rFonts w:asciiTheme="minorHAnsi" w:hAnsiTheme="minorHAnsi"/>
        </w:rPr>
        <w:t xml:space="preserve">: 17, 44; </w:t>
      </w:r>
      <w:r w:rsidR="00141638" w:rsidRPr="000B7B8D">
        <w:rPr>
          <w:rFonts w:asciiTheme="minorHAnsi" w:hAnsiTheme="minorHAnsi"/>
        </w:rPr>
        <w:t xml:space="preserve">2017: 30).  To </w:t>
      </w:r>
      <w:r w:rsidR="00E31A66" w:rsidRPr="000B7B8D">
        <w:rPr>
          <w:rFonts w:asciiTheme="minorHAnsi" w:hAnsiTheme="minorHAnsi"/>
        </w:rPr>
        <w:t xml:space="preserve">demonstrate due diligence in ensuring the use of legally harvested timber, the Japan Clean Wood Act likewise allows operators to utilize forest </w:t>
      </w:r>
      <w:r w:rsidR="00F9681C" w:rsidRPr="000B7B8D">
        <w:rPr>
          <w:rFonts w:asciiTheme="minorHAnsi" w:hAnsiTheme="minorHAnsi"/>
        </w:rPr>
        <w:t xml:space="preserve">certification </w:t>
      </w:r>
      <w:r w:rsidR="00E31A66" w:rsidRPr="000B7B8D">
        <w:rPr>
          <w:rFonts w:asciiTheme="minorHAnsi" w:hAnsiTheme="minorHAnsi"/>
        </w:rPr>
        <w:t>and chain-of-custody schemes (EU FLEGT Facility 2017</w:t>
      </w:r>
      <w:r w:rsidR="00B23B1A" w:rsidRPr="000B7B8D">
        <w:rPr>
          <w:rFonts w:asciiTheme="minorHAnsi" w:hAnsiTheme="minorHAnsi"/>
        </w:rPr>
        <w:t>b</w:t>
      </w:r>
      <w:r w:rsidR="006219AB" w:rsidRPr="000B7B8D">
        <w:rPr>
          <w:rFonts w:asciiTheme="minorHAnsi" w:hAnsiTheme="minorHAnsi"/>
        </w:rPr>
        <w:t>:</w:t>
      </w:r>
      <w:r w:rsidR="00E31A66" w:rsidRPr="000B7B8D">
        <w:rPr>
          <w:rFonts w:asciiTheme="minorHAnsi" w:hAnsiTheme="minorHAnsi"/>
        </w:rPr>
        <w:t xml:space="preserve"> 7).</w:t>
      </w:r>
      <w:r w:rsidR="00141638" w:rsidRPr="000B7B8D">
        <w:rPr>
          <w:rFonts w:asciiTheme="minorHAnsi" w:hAnsiTheme="minorHAnsi"/>
        </w:rPr>
        <w:t xml:space="preserve">  </w:t>
      </w:r>
      <w:r w:rsidR="001338A1" w:rsidRPr="000B7B8D">
        <w:rPr>
          <w:rFonts w:asciiTheme="minorHAnsi" w:hAnsiTheme="minorHAnsi"/>
        </w:rPr>
        <w:t xml:space="preserve">But only </w:t>
      </w:r>
      <w:r w:rsidR="00530FE3" w:rsidRPr="000B7B8D">
        <w:rPr>
          <w:rFonts w:asciiTheme="minorHAnsi" w:hAnsiTheme="minorHAnsi"/>
        </w:rPr>
        <w:t xml:space="preserve">the detailed standards for imported timber issued by the Korea Forest Service </w:t>
      </w:r>
      <w:r w:rsidR="005C4003" w:rsidRPr="000B7B8D">
        <w:rPr>
          <w:rFonts w:asciiTheme="minorHAnsi" w:hAnsiTheme="minorHAnsi"/>
        </w:rPr>
        <w:t xml:space="preserve">officially </w:t>
      </w:r>
      <w:r w:rsidR="00530FE3" w:rsidRPr="000B7B8D">
        <w:rPr>
          <w:rFonts w:asciiTheme="minorHAnsi" w:hAnsiTheme="minorHAnsi"/>
        </w:rPr>
        <w:t>recognize FSC and PEFC certification as proof of legality (EU FLEGT Facility 2018</w:t>
      </w:r>
      <w:r w:rsidR="00B23B1A" w:rsidRPr="000B7B8D">
        <w:rPr>
          <w:rFonts w:asciiTheme="minorHAnsi" w:hAnsiTheme="minorHAnsi"/>
        </w:rPr>
        <w:t>b</w:t>
      </w:r>
      <w:r w:rsidR="00530FE3" w:rsidRPr="000B7B8D">
        <w:rPr>
          <w:rFonts w:asciiTheme="minorHAnsi" w:hAnsiTheme="minorHAnsi"/>
        </w:rPr>
        <w:t>: 9-10).</w:t>
      </w:r>
    </w:p>
    <w:p w14:paraId="4A4E50EC" w14:textId="5E153093" w:rsidR="00BD18A6" w:rsidRPr="000B7B8D" w:rsidRDefault="00100F84" w:rsidP="00FC732C">
      <w:pPr>
        <w:pStyle w:val="BodyText"/>
        <w:jc w:val="both"/>
        <w:rPr>
          <w:rFonts w:asciiTheme="minorHAnsi" w:hAnsiTheme="minorHAnsi"/>
        </w:rPr>
      </w:pPr>
      <w:r w:rsidRPr="000B7B8D">
        <w:rPr>
          <w:rFonts w:asciiTheme="minorHAnsi" w:hAnsiTheme="minorHAnsi"/>
        </w:rPr>
        <w:t xml:space="preserve">In both the EU and the US, trade associations, </w:t>
      </w:r>
      <w:r w:rsidR="005D3DE9" w:rsidRPr="000B7B8D">
        <w:rPr>
          <w:rFonts w:asciiTheme="minorHAnsi" w:hAnsiTheme="minorHAnsi"/>
        </w:rPr>
        <w:t xml:space="preserve">NGOs, and private </w:t>
      </w:r>
      <w:r w:rsidR="00094D1A" w:rsidRPr="000B7B8D">
        <w:rPr>
          <w:rFonts w:asciiTheme="minorHAnsi" w:hAnsiTheme="minorHAnsi"/>
        </w:rPr>
        <w:t>service providers</w:t>
      </w:r>
      <w:r w:rsidR="009A0128" w:rsidRPr="000B7B8D">
        <w:rPr>
          <w:rFonts w:asciiTheme="minorHAnsi" w:hAnsiTheme="minorHAnsi"/>
        </w:rPr>
        <w:t xml:space="preserve"> </w:t>
      </w:r>
      <w:r w:rsidR="005D3DE9" w:rsidRPr="000B7B8D">
        <w:rPr>
          <w:rFonts w:asciiTheme="minorHAnsi" w:hAnsiTheme="minorHAnsi"/>
        </w:rPr>
        <w:t xml:space="preserve">have sought to assist timber-importing and processing firms to comply with the </w:t>
      </w:r>
      <w:r w:rsidR="009A0128" w:rsidRPr="000B7B8D">
        <w:rPr>
          <w:rFonts w:asciiTheme="minorHAnsi" w:hAnsiTheme="minorHAnsi"/>
        </w:rPr>
        <w:t xml:space="preserve">legality requirements of the EUTR and </w:t>
      </w:r>
      <w:r w:rsidR="00EF5965" w:rsidRPr="000B7B8D">
        <w:rPr>
          <w:rFonts w:asciiTheme="minorHAnsi" w:hAnsiTheme="minorHAnsi"/>
        </w:rPr>
        <w:t xml:space="preserve">LTPA through a variety of </w:t>
      </w:r>
      <w:r w:rsidR="005204B4" w:rsidRPr="000B7B8D">
        <w:rPr>
          <w:rFonts w:asciiTheme="minorHAnsi" w:hAnsiTheme="minorHAnsi"/>
        </w:rPr>
        <w:t>channels</w:t>
      </w:r>
      <w:r w:rsidR="007F2302" w:rsidRPr="000B7B8D">
        <w:rPr>
          <w:rFonts w:asciiTheme="minorHAnsi" w:hAnsiTheme="minorHAnsi"/>
        </w:rPr>
        <w:t>, including forest certification</w:t>
      </w:r>
      <w:r w:rsidR="00EF5965" w:rsidRPr="000B7B8D">
        <w:rPr>
          <w:rFonts w:asciiTheme="minorHAnsi" w:hAnsiTheme="minorHAnsi"/>
        </w:rPr>
        <w:t xml:space="preserve">.  </w:t>
      </w:r>
      <w:r w:rsidR="007F2302" w:rsidRPr="000B7B8D">
        <w:rPr>
          <w:rFonts w:asciiTheme="minorHAnsi" w:hAnsiTheme="minorHAnsi"/>
        </w:rPr>
        <w:t>The European</w:t>
      </w:r>
      <w:r w:rsidR="00FA1D2C" w:rsidRPr="000B7B8D">
        <w:rPr>
          <w:rFonts w:asciiTheme="minorHAnsi" w:hAnsiTheme="minorHAnsi"/>
        </w:rPr>
        <w:t xml:space="preserve"> Timber Trade Federation (ETTF), an early supporter of the </w:t>
      </w:r>
      <w:r w:rsidR="00AA1D03" w:rsidRPr="000B7B8D">
        <w:rPr>
          <w:rFonts w:asciiTheme="minorHAnsi" w:hAnsiTheme="minorHAnsi"/>
        </w:rPr>
        <w:t xml:space="preserve">EUTR (Sotirov </w:t>
      </w:r>
      <w:r w:rsidR="005258AB" w:rsidRPr="000B7B8D">
        <w:rPr>
          <w:rFonts w:asciiTheme="minorHAnsi" w:hAnsiTheme="minorHAnsi"/>
        </w:rPr>
        <w:t xml:space="preserve">et al. </w:t>
      </w:r>
      <w:r w:rsidR="00AA1D03" w:rsidRPr="000B7B8D">
        <w:rPr>
          <w:rFonts w:asciiTheme="minorHAnsi" w:hAnsiTheme="minorHAnsi"/>
        </w:rPr>
        <w:t>2017: 73)</w:t>
      </w:r>
      <w:r w:rsidR="00FA1D2C" w:rsidRPr="000B7B8D">
        <w:rPr>
          <w:rFonts w:asciiTheme="minorHAnsi" w:hAnsiTheme="minorHAnsi"/>
        </w:rPr>
        <w:t xml:space="preserve">, has developed </w:t>
      </w:r>
      <w:r w:rsidR="00AA1D03" w:rsidRPr="000B7B8D">
        <w:rPr>
          <w:rFonts w:asciiTheme="minorHAnsi" w:hAnsiTheme="minorHAnsi"/>
        </w:rPr>
        <w:t xml:space="preserve">a </w:t>
      </w:r>
      <w:r w:rsidR="00FA1D2C" w:rsidRPr="000B7B8D">
        <w:rPr>
          <w:rFonts w:asciiTheme="minorHAnsi" w:hAnsiTheme="minorHAnsi"/>
        </w:rPr>
        <w:t xml:space="preserve">due diligence system in collaboration with the Danish environmental NGO </w:t>
      </w:r>
      <w:r w:rsidR="007936E6" w:rsidRPr="000B7B8D">
        <w:rPr>
          <w:rFonts w:asciiTheme="minorHAnsi" w:hAnsiTheme="minorHAnsi"/>
        </w:rPr>
        <w:t>NEPCon</w:t>
      </w:r>
      <w:r w:rsidR="00FA1D2C" w:rsidRPr="000B7B8D">
        <w:rPr>
          <w:rFonts w:asciiTheme="minorHAnsi" w:hAnsiTheme="minorHAnsi"/>
        </w:rPr>
        <w:t>, which its national affiliates are encouraged to offer their members</w:t>
      </w:r>
      <w:r w:rsidR="00C239E6" w:rsidRPr="000B7B8D">
        <w:rPr>
          <w:rFonts w:asciiTheme="minorHAnsi" w:hAnsiTheme="minorHAnsi"/>
        </w:rPr>
        <w:t>.</w:t>
      </w:r>
      <w:r w:rsidR="00C239E6" w:rsidRPr="000B7B8D">
        <w:rPr>
          <w:rStyle w:val="FootnoteReference"/>
          <w:rFonts w:asciiTheme="minorHAnsi" w:hAnsiTheme="minorHAnsi"/>
        </w:rPr>
        <w:footnoteReference w:id="22"/>
      </w:r>
      <w:r w:rsidR="00FA1D2C" w:rsidRPr="000B7B8D">
        <w:rPr>
          <w:rFonts w:asciiTheme="minorHAnsi" w:hAnsiTheme="minorHAnsi"/>
        </w:rPr>
        <w:t xml:space="preserve">  Several ETTF national affiliates have become recognized MOs, as has </w:t>
      </w:r>
      <w:r w:rsidR="007936E6" w:rsidRPr="000B7B8D">
        <w:rPr>
          <w:rFonts w:asciiTheme="minorHAnsi" w:hAnsiTheme="minorHAnsi"/>
        </w:rPr>
        <w:t>NEPCon</w:t>
      </w:r>
      <w:r w:rsidR="00FA1D2C" w:rsidRPr="000B7B8D">
        <w:rPr>
          <w:rFonts w:asciiTheme="minorHAnsi" w:hAnsiTheme="minorHAnsi"/>
        </w:rPr>
        <w:t xml:space="preserve">, </w:t>
      </w:r>
      <w:r w:rsidR="00D42060" w:rsidRPr="000B7B8D">
        <w:rPr>
          <w:rFonts w:asciiTheme="minorHAnsi" w:hAnsiTheme="minorHAnsi"/>
        </w:rPr>
        <w:t>alongside</w:t>
      </w:r>
      <w:r w:rsidR="00FA1D2C" w:rsidRPr="000B7B8D">
        <w:rPr>
          <w:rFonts w:asciiTheme="minorHAnsi" w:hAnsiTheme="minorHAnsi"/>
        </w:rPr>
        <w:t xml:space="preserve"> a </w:t>
      </w:r>
      <w:r w:rsidR="00D42060" w:rsidRPr="000B7B8D">
        <w:rPr>
          <w:rFonts w:asciiTheme="minorHAnsi" w:hAnsiTheme="minorHAnsi"/>
        </w:rPr>
        <w:t xml:space="preserve">range of </w:t>
      </w:r>
      <w:r w:rsidR="005C4003" w:rsidRPr="000B7B8D">
        <w:rPr>
          <w:rFonts w:asciiTheme="minorHAnsi" w:hAnsiTheme="minorHAnsi"/>
        </w:rPr>
        <w:t xml:space="preserve">other </w:t>
      </w:r>
      <w:r w:rsidR="001B3CAE" w:rsidRPr="000B7B8D">
        <w:rPr>
          <w:rFonts w:asciiTheme="minorHAnsi" w:hAnsiTheme="minorHAnsi"/>
        </w:rPr>
        <w:lastRenderedPageBreak/>
        <w:t xml:space="preserve">standardization, </w:t>
      </w:r>
      <w:r w:rsidR="00D42060" w:rsidRPr="000B7B8D">
        <w:rPr>
          <w:rFonts w:asciiTheme="minorHAnsi" w:hAnsiTheme="minorHAnsi"/>
        </w:rPr>
        <w:t>certification</w:t>
      </w:r>
      <w:r w:rsidR="005C4003" w:rsidRPr="000B7B8D">
        <w:rPr>
          <w:rFonts w:asciiTheme="minorHAnsi" w:hAnsiTheme="minorHAnsi"/>
        </w:rPr>
        <w:t>,</w:t>
      </w:r>
      <w:r w:rsidR="00D42060" w:rsidRPr="000B7B8D">
        <w:rPr>
          <w:rFonts w:asciiTheme="minorHAnsi" w:hAnsiTheme="minorHAnsi"/>
        </w:rPr>
        <w:t xml:space="preserve"> </w:t>
      </w:r>
      <w:r w:rsidR="001B3CAE" w:rsidRPr="000B7B8D">
        <w:rPr>
          <w:rFonts w:asciiTheme="minorHAnsi" w:hAnsiTheme="minorHAnsi"/>
        </w:rPr>
        <w:t xml:space="preserve">and auditing </w:t>
      </w:r>
      <w:r w:rsidR="00D42060" w:rsidRPr="000B7B8D">
        <w:rPr>
          <w:rFonts w:asciiTheme="minorHAnsi" w:hAnsiTheme="minorHAnsi"/>
        </w:rPr>
        <w:t>bodies.</w:t>
      </w:r>
      <w:r w:rsidR="001B3CAE" w:rsidRPr="000B7B8D">
        <w:rPr>
          <w:rStyle w:val="FootnoteReference"/>
          <w:rFonts w:asciiTheme="minorHAnsi" w:hAnsiTheme="minorHAnsi"/>
        </w:rPr>
        <w:footnoteReference w:id="23"/>
      </w:r>
      <w:r w:rsidR="0099769F" w:rsidRPr="000B7B8D">
        <w:rPr>
          <w:rFonts w:asciiTheme="minorHAnsi" w:hAnsiTheme="minorHAnsi"/>
        </w:rPr>
        <w:t xml:space="preserve">  Soon after the </w:t>
      </w:r>
      <w:r w:rsidR="00AF0CC7" w:rsidRPr="000B7B8D">
        <w:rPr>
          <w:rFonts w:asciiTheme="minorHAnsi" w:hAnsiTheme="minorHAnsi"/>
        </w:rPr>
        <w:t>EUTR’s</w:t>
      </w:r>
      <w:r w:rsidR="001D5BF3" w:rsidRPr="000B7B8D">
        <w:rPr>
          <w:rFonts w:asciiTheme="minorHAnsi" w:hAnsiTheme="minorHAnsi"/>
        </w:rPr>
        <w:t xml:space="preserve"> </w:t>
      </w:r>
      <w:r w:rsidR="0099769F" w:rsidRPr="000B7B8D">
        <w:rPr>
          <w:rFonts w:asciiTheme="minorHAnsi" w:hAnsiTheme="minorHAnsi"/>
        </w:rPr>
        <w:t xml:space="preserve">passage, ETTF </w:t>
      </w:r>
      <w:r w:rsidR="00F24861" w:rsidRPr="000B7B8D">
        <w:rPr>
          <w:rFonts w:asciiTheme="minorHAnsi" w:hAnsiTheme="minorHAnsi"/>
        </w:rPr>
        <w:t>hired</w:t>
      </w:r>
      <w:r w:rsidR="0099769F" w:rsidRPr="000B7B8D">
        <w:rPr>
          <w:rFonts w:asciiTheme="minorHAnsi" w:hAnsiTheme="minorHAnsi"/>
        </w:rPr>
        <w:t xml:space="preserve"> a consultancy to assess existing private forest certification and legality verification schemes, whose report showed that none of them fully complied with </w:t>
      </w:r>
      <w:r w:rsidR="003E1765" w:rsidRPr="000B7B8D">
        <w:rPr>
          <w:rFonts w:asciiTheme="minorHAnsi" w:hAnsiTheme="minorHAnsi"/>
        </w:rPr>
        <w:t xml:space="preserve">the </w:t>
      </w:r>
      <w:r w:rsidR="00AF0CC7" w:rsidRPr="000B7B8D">
        <w:rPr>
          <w:rFonts w:asciiTheme="minorHAnsi" w:hAnsiTheme="minorHAnsi"/>
        </w:rPr>
        <w:t>legislation</w:t>
      </w:r>
      <w:r w:rsidR="005C4003" w:rsidRPr="000B7B8D">
        <w:rPr>
          <w:rFonts w:asciiTheme="minorHAnsi" w:hAnsiTheme="minorHAnsi"/>
        </w:rPr>
        <w:t xml:space="preserve">, and identified </w:t>
      </w:r>
      <w:r w:rsidR="00007B9C" w:rsidRPr="000B7B8D">
        <w:rPr>
          <w:rFonts w:asciiTheme="minorHAnsi" w:hAnsiTheme="minorHAnsi"/>
        </w:rPr>
        <w:t xml:space="preserve">key </w:t>
      </w:r>
      <w:r w:rsidR="005C4003" w:rsidRPr="000B7B8D">
        <w:rPr>
          <w:rFonts w:asciiTheme="minorHAnsi" w:hAnsiTheme="minorHAnsi"/>
        </w:rPr>
        <w:t xml:space="preserve">areas for </w:t>
      </w:r>
      <w:r w:rsidR="00007B9C" w:rsidRPr="000B7B8D">
        <w:rPr>
          <w:rFonts w:asciiTheme="minorHAnsi" w:hAnsiTheme="minorHAnsi"/>
        </w:rPr>
        <w:t>improvement</w:t>
      </w:r>
      <w:r w:rsidR="0099769F" w:rsidRPr="000B7B8D">
        <w:rPr>
          <w:rFonts w:asciiTheme="minorHAnsi" w:hAnsiTheme="minorHAnsi"/>
        </w:rPr>
        <w:t xml:space="preserve">.  </w:t>
      </w:r>
      <w:r w:rsidR="007936E6" w:rsidRPr="000B7B8D">
        <w:rPr>
          <w:rFonts w:asciiTheme="minorHAnsi" w:hAnsiTheme="minorHAnsi"/>
        </w:rPr>
        <w:t>NEPCon</w:t>
      </w:r>
      <w:r w:rsidR="00094D1A" w:rsidRPr="000B7B8D">
        <w:rPr>
          <w:rFonts w:asciiTheme="minorHAnsi" w:hAnsiTheme="minorHAnsi"/>
        </w:rPr>
        <w:t xml:space="preserve"> </w:t>
      </w:r>
      <w:r w:rsidR="001B3CAE" w:rsidRPr="000B7B8D">
        <w:rPr>
          <w:rFonts w:asciiTheme="minorHAnsi" w:hAnsiTheme="minorHAnsi"/>
        </w:rPr>
        <w:t>now</w:t>
      </w:r>
      <w:r w:rsidR="00094D1A" w:rsidRPr="000B7B8D">
        <w:rPr>
          <w:rFonts w:asciiTheme="minorHAnsi" w:hAnsiTheme="minorHAnsi"/>
        </w:rPr>
        <w:t xml:space="preserve"> produces regularly updated </w:t>
      </w:r>
      <w:r w:rsidR="001B3CAE" w:rsidRPr="000B7B8D">
        <w:rPr>
          <w:rFonts w:asciiTheme="minorHAnsi" w:hAnsiTheme="minorHAnsi"/>
        </w:rPr>
        <w:t xml:space="preserve">guides to how far the </w:t>
      </w:r>
      <w:r w:rsidR="003C7BC3" w:rsidRPr="000B7B8D">
        <w:rPr>
          <w:rFonts w:asciiTheme="minorHAnsi" w:hAnsiTheme="minorHAnsi"/>
        </w:rPr>
        <w:t>FSC and PEFC</w:t>
      </w:r>
      <w:r w:rsidR="001B3CAE" w:rsidRPr="000B7B8D">
        <w:rPr>
          <w:rFonts w:asciiTheme="minorHAnsi" w:hAnsiTheme="minorHAnsi"/>
        </w:rPr>
        <w:t xml:space="preserve"> meet the EUTR’s requirements, based on a common evaluation framework</w:t>
      </w:r>
      <w:r w:rsidR="00112333" w:rsidRPr="000B7B8D">
        <w:rPr>
          <w:rFonts w:asciiTheme="minorHAnsi" w:hAnsiTheme="minorHAnsi"/>
        </w:rPr>
        <w:t xml:space="preserve">, </w:t>
      </w:r>
      <w:r w:rsidR="00F24861" w:rsidRPr="000B7B8D">
        <w:rPr>
          <w:rFonts w:asciiTheme="minorHAnsi" w:hAnsiTheme="minorHAnsi"/>
        </w:rPr>
        <w:t>along with</w:t>
      </w:r>
      <w:r w:rsidR="00112333" w:rsidRPr="000B7B8D">
        <w:rPr>
          <w:rFonts w:asciiTheme="minorHAnsi" w:hAnsiTheme="minorHAnsi"/>
        </w:rPr>
        <w:t xml:space="preserve"> </w:t>
      </w:r>
      <w:r w:rsidR="00AB6B20" w:rsidRPr="000B7B8D">
        <w:rPr>
          <w:rFonts w:asciiTheme="minorHAnsi" w:hAnsiTheme="minorHAnsi"/>
        </w:rPr>
        <w:t xml:space="preserve">a </w:t>
      </w:r>
      <w:r w:rsidR="00F24861" w:rsidRPr="000B7B8D">
        <w:rPr>
          <w:rFonts w:asciiTheme="minorHAnsi" w:hAnsiTheme="minorHAnsi"/>
        </w:rPr>
        <w:t>panoply</w:t>
      </w:r>
      <w:r w:rsidR="00AB6B20" w:rsidRPr="000B7B8D">
        <w:rPr>
          <w:rFonts w:asciiTheme="minorHAnsi" w:hAnsiTheme="minorHAnsi"/>
        </w:rPr>
        <w:t xml:space="preserve"> of tools for</w:t>
      </w:r>
      <w:r w:rsidR="00676113" w:rsidRPr="000B7B8D">
        <w:rPr>
          <w:rFonts w:asciiTheme="minorHAnsi" w:hAnsiTheme="minorHAnsi"/>
        </w:rPr>
        <w:t xml:space="preserve"> ensuring legal timber sourcing</w:t>
      </w:r>
      <w:r w:rsidR="00AB6B20" w:rsidRPr="000B7B8D">
        <w:rPr>
          <w:rFonts w:asciiTheme="minorHAnsi" w:hAnsiTheme="minorHAnsi"/>
        </w:rPr>
        <w:t xml:space="preserve"> </w:t>
      </w:r>
      <w:r w:rsidR="001B3CAE" w:rsidRPr="000B7B8D">
        <w:rPr>
          <w:rFonts w:asciiTheme="minorHAnsi" w:hAnsiTheme="minorHAnsi"/>
        </w:rPr>
        <w:t xml:space="preserve"> (</w:t>
      </w:r>
      <w:r w:rsidR="001D5BF3" w:rsidRPr="000B7B8D">
        <w:rPr>
          <w:rFonts w:asciiTheme="minorHAnsi" w:hAnsiTheme="minorHAnsi"/>
        </w:rPr>
        <w:t xml:space="preserve">Butler 2013; Proforest 2012; </w:t>
      </w:r>
      <w:r w:rsidR="00036EBE" w:rsidRPr="000B7B8D">
        <w:rPr>
          <w:rFonts w:asciiTheme="minorHAnsi" w:hAnsiTheme="minorHAnsi"/>
        </w:rPr>
        <w:t xml:space="preserve">Cupit 2018; </w:t>
      </w:r>
      <w:hyperlink r:id="rId16" w:history="1">
        <w:r w:rsidR="00F12B2F" w:rsidRPr="000B7B8D">
          <w:rPr>
            <w:rStyle w:val="Hyperlink"/>
            <w:rFonts w:asciiTheme="minorHAnsi" w:hAnsiTheme="minorHAnsi"/>
          </w:rPr>
          <w:t>www.nepcon.org</w:t>
        </w:r>
      </w:hyperlink>
      <w:r w:rsidR="00D34DA4" w:rsidRPr="000B7B8D">
        <w:rPr>
          <w:rFonts w:asciiTheme="minorHAnsi" w:hAnsiTheme="minorHAnsi"/>
        </w:rPr>
        <w:t>).</w:t>
      </w:r>
      <w:r w:rsidR="00112333" w:rsidRPr="000B7B8D">
        <w:rPr>
          <w:rFonts w:asciiTheme="minorHAnsi" w:hAnsiTheme="minorHAnsi"/>
        </w:rPr>
        <w:t xml:space="preserve"> </w:t>
      </w:r>
      <w:r w:rsidR="00BD18A6" w:rsidRPr="000B7B8D">
        <w:rPr>
          <w:rFonts w:asciiTheme="minorHAnsi" w:hAnsiTheme="minorHAnsi"/>
        </w:rPr>
        <w:t xml:space="preserve"> In the US, similarly, the Forest Legality Alliance, a coalition of </w:t>
      </w:r>
      <w:r w:rsidR="009D349B" w:rsidRPr="000B7B8D">
        <w:rPr>
          <w:rFonts w:asciiTheme="minorHAnsi" w:hAnsiTheme="minorHAnsi"/>
        </w:rPr>
        <w:t xml:space="preserve">environmental </w:t>
      </w:r>
      <w:r w:rsidR="00BD18A6" w:rsidRPr="000B7B8D">
        <w:rPr>
          <w:rFonts w:asciiTheme="minorHAnsi" w:hAnsiTheme="minorHAnsi"/>
        </w:rPr>
        <w:t xml:space="preserve">NGOs and </w:t>
      </w:r>
      <w:r w:rsidR="00DF09D9" w:rsidRPr="000B7B8D">
        <w:rPr>
          <w:rFonts w:asciiTheme="minorHAnsi" w:hAnsiTheme="minorHAnsi"/>
        </w:rPr>
        <w:t xml:space="preserve">industry associations instrumental in the passage of the </w:t>
      </w:r>
      <w:r w:rsidR="007C3A09" w:rsidRPr="000B7B8D">
        <w:rPr>
          <w:rFonts w:asciiTheme="minorHAnsi" w:hAnsiTheme="minorHAnsi"/>
        </w:rPr>
        <w:t>LTPA</w:t>
      </w:r>
      <w:r w:rsidR="005C4003" w:rsidRPr="000B7B8D">
        <w:rPr>
          <w:rFonts w:asciiTheme="minorHAnsi" w:hAnsiTheme="minorHAnsi"/>
        </w:rPr>
        <w:t>,</w:t>
      </w:r>
      <w:r w:rsidR="00FA71F1" w:rsidRPr="000B7B8D">
        <w:rPr>
          <w:rFonts w:asciiTheme="minorHAnsi" w:hAnsiTheme="minorHAnsi"/>
        </w:rPr>
        <w:t xml:space="preserve"> </w:t>
      </w:r>
      <w:r w:rsidR="005C4003" w:rsidRPr="000B7B8D">
        <w:rPr>
          <w:rFonts w:asciiTheme="minorHAnsi" w:hAnsiTheme="minorHAnsi"/>
        </w:rPr>
        <w:t>has</w:t>
      </w:r>
      <w:r w:rsidR="007C3A09" w:rsidRPr="000B7B8D">
        <w:rPr>
          <w:rFonts w:asciiTheme="minorHAnsi" w:hAnsiTheme="minorHAnsi"/>
        </w:rPr>
        <w:t xml:space="preserve"> created online declaration and risk assessment t</w:t>
      </w:r>
      <w:r w:rsidR="009B3D7E" w:rsidRPr="000B7B8D">
        <w:rPr>
          <w:rFonts w:asciiTheme="minorHAnsi" w:hAnsiTheme="minorHAnsi"/>
        </w:rPr>
        <w:t xml:space="preserve">ools, while a closely related multi-stakeholder partnership has developed </w:t>
      </w:r>
      <w:r w:rsidR="009D349B" w:rsidRPr="000B7B8D">
        <w:rPr>
          <w:rFonts w:asciiTheme="minorHAnsi" w:hAnsiTheme="minorHAnsi"/>
        </w:rPr>
        <w:t>“Lacey Act Due Care Consensus Standards”, which encourage wood businesses to join FSC, PEFC, or Seneca Creek/AHEC US Hardwood certification schemes</w:t>
      </w:r>
      <w:r w:rsidR="006E3641" w:rsidRPr="000B7B8D">
        <w:rPr>
          <w:rFonts w:asciiTheme="minorHAnsi" w:hAnsiTheme="minorHAnsi"/>
        </w:rPr>
        <w:t xml:space="preserve"> (Leipold &amp; Winkel 2016: 37-</w:t>
      </w:r>
      <w:r w:rsidR="00FA71F1" w:rsidRPr="000B7B8D">
        <w:rPr>
          <w:rFonts w:asciiTheme="minorHAnsi" w:hAnsiTheme="minorHAnsi"/>
        </w:rPr>
        <w:t xml:space="preserve">42; </w:t>
      </w:r>
      <w:hyperlink r:id="rId17" w:history="1">
        <w:r w:rsidR="00FC732C" w:rsidRPr="000B7B8D">
          <w:rPr>
            <w:rStyle w:val="Hyperlink"/>
            <w:rFonts w:asciiTheme="minorHAnsi" w:hAnsiTheme="minorHAnsi"/>
          </w:rPr>
          <w:t>http://forestlegality.org/risk-tool</w:t>
        </w:r>
      </w:hyperlink>
      <w:r w:rsidR="00FC732C" w:rsidRPr="000B7B8D">
        <w:rPr>
          <w:rFonts w:asciiTheme="minorHAnsi" w:hAnsiTheme="minorHAnsi"/>
        </w:rPr>
        <w:t xml:space="preserve">; </w:t>
      </w:r>
      <w:hyperlink r:id="rId18" w:history="1">
        <w:r w:rsidR="00007B9C" w:rsidRPr="000B7B8D">
          <w:rPr>
            <w:rStyle w:val="Hyperlink"/>
            <w:rFonts w:asciiTheme="minorHAnsi" w:hAnsiTheme="minorHAnsi"/>
          </w:rPr>
          <w:t>http://www.laceyduecare.com/</w:t>
        </w:r>
      </w:hyperlink>
      <w:r w:rsidR="00007B9C" w:rsidRPr="000B7B8D">
        <w:rPr>
          <w:rFonts w:asciiTheme="minorHAnsi" w:hAnsiTheme="minorHAnsi"/>
        </w:rPr>
        <w:t>).</w:t>
      </w:r>
    </w:p>
    <w:p w14:paraId="6B5B925C" w14:textId="34E50651" w:rsidR="00565216" w:rsidRPr="000B7B8D" w:rsidRDefault="00CC785C" w:rsidP="00E31A66">
      <w:pPr>
        <w:pStyle w:val="BodyText"/>
        <w:jc w:val="both"/>
        <w:rPr>
          <w:rFonts w:asciiTheme="minorHAnsi" w:hAnsiTheme="minorHAnsi"/>
        </w:rPr>
      </w:pPr>
      <w:r w:rsidRPr="000B7B8D">
        <w:rPr>
          <w:rFonts w:asciiTheme="minorHAnsi" w:hAnsiTheme="minorHAnsi"/>
        </w:rPr>
        <w:t>Both the F</w:t>
      </w:r>
      <w:r w:rsidR="003D0E7E" w:rsidRPr="000B7B8D">
        <w:rPr>
          <w:rFonts w:asciiTheme="minorHAnsi" w:hAnsiTheme="minorHAnsi"/>
        </w:rPr>
        <w:t xml:space="preserve">SC and the PEFC have </w:t>
      </w:r>
      <w:r w:rsidR="008F342F" w:rsidRPr="000B7B8D">
        <w:rPr>
          <w:rFonts w:asciiTheme="minorHAnsi" w:hAnsiTheme="minorHAnsi"/>
        </w:rPr>
        <w:t>substantially</w:t>
      </w:r>
      <w:r w:rsidR="003D0E7E" w:rsidRPr="000B7B8D">
        <w:rPr>
          <w:rFonts w:asciiTheme="minorHAnsi" w:hAnsiTheme="minorHAnsi"/>
        </w:rPr>
        <w:t xml:space="preserve"> revised their standards and procedures to </w:t>
      </w:r>
      <w:r w:rsidR="003422A0" w:rsidRPr="000B7B8D">
        <w:rPr>
          <w:rFonts w:asciiTheme="minorHAnsi" w:hAnsiTheme="minorHAnsi"/>
        </w:rPr>
        <w:t>align them</w:t>
      </w:r>
      <w:r w:rsidR="003D0E7E" w:rsidRPr="000B7B8D">
        <w:rPr>
          <w:rFonts w:asciiTheme="minorHAnsi" w:hAnsiTheme="minorHAnsi"/>
        </w:rPr>
        <w:t xml:space="preserve"> with the </w:t>
      </w:r>
      <w:r w:rsidR="008F342F" w:rsidRPr="000B7B8D">
        <w:rPr>
          <w:rFonts w:asciiTheme="minorHAnsi" w:hAnsiTheme="minorHAnsi"/>
        </w:rPr>
        <w:t xml:space="preserve">due diligence/due care requirements of public legality regulations in timber-consuming countries.  So too have a number of </w:t>
      </w:r>
      <w:r w:rsidR="00125420" w:rsidRPr="000B7B8D">
        <w:rPr>
          <w:rFonts w:asciiTheme="minorHAnsi" w:hAnsiTheme="minorHAnsi"/>
        </w:rPr>
        <w:t>PEFC-affiliated schemes</w:t>
      </w:r>
      <w:r w:rsidR="008F342F" w:rsidRPr="000B7B8D">
        <w:rPr>
          <w:rFonts w:asciiTheme="minorHAnsi" w:hAnsiTheme="minorHAnsi"/>
        </w:rPr>
        <w:t xml:space="preserve"> in countries such as </w:t>
      </w:r>
      <w:r w:rsidR="00125420" w:rsidRPr="000B7B8D">
        <w:rPr>
          <w:rFonts w:asciiTheme="minorHAnsi" w:hAnsiTheme="minorHAnsi"/>
        </w:rPr>
        <w:t xml:space="preserve">the US, Malaysia, and Brazil.  The most </w:t>
      </w:r>
      <w:r w:rsidR="008A1D88" w:rsidRPr="000B7B8D">
        <w:rPr>
          <w:rFonts w:asciiTheme="minorHAnsi" w:hAnsiTheme="minorHAnsi"/>
        </w:rPr>
        <w:t>significant</w:t>
      </w:r>
      <w:r w:rsidR="00125420" w:rsidRPr="000B7B8D">
        <w:rPr>
          <w:rFonts w:asciiTheme="minorHAnsi" w:hAnsiTheme="minorHAnsi"/>
        </w:rPr>
        <w:t xml:space="preserve"> </w:t>
      </w:r>
      <w:r w:rsidR="00B71AB4" w:rsidRPr="000B7B8D">
        <w:rPr>
          <w:rFonts w:asciiTheme="minorHAnsi" w:hAnsiTheme="minorHAnsi"/>
        </w:rPr>
        <w:t>modifications</w:t>
      </w:r>
      <w:r w:rsidR="00C9091D" w:rsidRPr="000B7B8D">
        <w:rPr>
          <w:rFonts w:asciiTheme="minorHAnsi" w:hAnsiTheme="minorHAnsi"/>
        </w:rPr>
        <w:t xml:space="preserve"> </w:t>
      </w:r>
      <w:r w:rsidR="00B71AB4" w:rsidRPr="000B7B8D">
        <w:rPr>
          <w:rFonts w:asciiTheme="minorHAnsi" w:hAnsiTheme="minorHAnsi"/>
        </w:rPr>
        <w:t xml:space="preserve">to these schemes </w:t>
      </w:r>
      <w:r w:rsidR="0003237E" w:rsidRPr="000B7B8D">
        <w:rPr>
          <w:rFonts w:asciiTheme="minorHAnsi" w:hAnsiTheme="minorHAnsi"/>
        </w:rPr>
        <w:t xml:space="preserve">have </w:t>
      </w:r>
      <w:r w:rsidR="007D7FB3" w:rsidRPr="000B7B8D">
        <w:rPr>
          <w:rFonts w:asciiTheme="minorHAnsi" w:hAnsiTheme="minorHAnsi"/>
        </w:rPr>
        <w:t xml:space="preserve">concerned the </w:t>
      </w:r>
      <w:r w:rsidR="00EB6061" w:rsidRPr="000B7B8D">
        <w:rPr>
          <w:rFonts w:asciiTheme="minorHAnsi" w:hAnsiTheme="minorHAnsi"/>
        </w:rPr>
        <w:t>re</w:t>
      </w:r>
      <w:r w:rsidR="002602E1" w:rsidRPr="000B7B8D">
        <w:rPr>
          <w:rFonts w:asciiTheme="minorHAnsi" w:hAnsiTheme="minorHAnsi"/>
        </w:rPr>
        <w:t xml:space="preserve">definition of the </w:t>
      </w:r>
      <w:r w:rsidR="00782149" w:rsidRPr="000B7B8D">
        <w:rPr>
          <w:rFonts w:asciiTheme="minorHAnsi" w:hAnsiTheme="minorHAnsi"/>
        </w:rPr>
        <w:t xml:space="preserve">applicable </w:t>
      </w:r>
      <w:r w:rsidR="00B4372A" w:rsidRPr="000B7B8D">
        <w:rPr>
          <w:rFonts w:asciiTheme="minorHAnsi" w:hAnsiTheme="minorHAnsi"/>
        </w:rPr>
        <w:t xml:space="preserve">national </w:t>
      </w:r>
      <w:r w:rsidR="00B71AB4" w:rsidRPr="000B7B8D">
        <w:rPr>
          <w:rFonts w:asciiTheme="minorHAnsi" w:hAnsiTheme="minorHAnsi"/>
        </w:rPr>
        <w:t xml:space="preserve">laws </w:t>
      </w:r>
      <w:r w:rsidR="00824B5F" w:rsidRPr="000B7B8D">
        <w:rPr>
          <w:rFonts w:asciiTheme="minorHAnsi" w:hAnsiTheme="minorHAnsi"/>
        </w:rPr>
        <w:t xml:space="preserve">to </w:t>
      </w:r>
      <w:r w:rsidR="00782149" w:rsidRPr="000B7B8D">
        <w:rPr>
          <w:rFonts w:asciiTheme="minorHAnsi" w:hAnsiTheme="minorHAnsi"/>
        </w:rPr>
        <w:t>include trade and customs regulations</w:t>
      </w:r>
      <w:r w:rsidR="00B71AB4" w:rsidRPr="000B7B8D">
        <w:rPr>
          <w:rFonts w:asciiTheme="minorHAnsi" w:hAnsiTheme="minorHAnsi"/>
        </w:rPr>
        <w:t xml:space="preserve">; </w:t>
      </w:r>
      <w:r w:rsidR="00841E49" w:rsidRPr="000B7B8D">
        <w:rPr>
          <w:rFonts w:asciiTheme="minorHAnsi" w:hAnsiTheme="minorHAnsi"/>
        </w:rPr>
        <w:t xml:space="preserve">the provision of detailed information to customers on </w:t>
      </w:r>
      <w:r w:rsidR="00361628" w:rsidRPr="000B7B8D">
        <w:rPr>
          <w:rFonts w:asciiTheme="minorHAnsi" w:hAnsiTheme="minorHAnsi"/>
        </w:rPr>
        <w:t xml:space="preserve">the species and local origin of certified products in high-risk countries; </w:t>
      </w:r>
      <w:r w:rsidR="0003237E" w:rsidRPr="000B7B8D">
        <w:rPr>
          <w:rFonts w:asciiTheme="minorHAnsi" w:hAnsiTheme="minorHAnsi"/>
        </w:rPr>
        <w:t xml:space="preserve">and </w:t>
      </w:r>
      <w:r w:rsidR="00824B5F" w:rsidRPr="000B7B8D">
        <w:rPr>
          <w:rFonts w:asciiTheme="minorHAnsi" w:hAnsiTheme="minorHAnsi"/>
        </w:rPr>
        <w:t xml:space="preserve">the </w:t>
      </w:r>
      <w:r w:rsidR="00B4372A" w:rsidRPr="000B7B8D">
        <w:rPr>
          <w:rFonts w:asciiTheme="minorHAnsi" w:hAnsiTheme="minorHAnsi"/>
        </w:rPr>
        <w:t>incorporation of</w:t>
      </w:r>
      <w:r w:rsidR="0050440C" w:rsidRPr="000B7B8D">
        <w:rPr>
          <w:rFonts w:asciiTheme="minorHAnsi" w:hAnsiTheme="minorHAnsi"/>
        </w:rPr>
        <w:t xml:space="preserve"> mandatory </w:t>
      </w:r>
      <w:r w:rsidR="00050361" w:rsidRPr="000B7B8D">
        <w:rPr>
          <w:rFonts w:asciiTheme="minorHAnsi" w:hAnsiTheme="minorHAnsi"/>
        </w:rPr>
        <w:t>due diligence</w:t>
      </w:r>
      <w:r w:rsidR="0050440C" w:rsidRPr="000B7B8D">
        <w:rPr>
          <w:rFonts w:asciiTheme="minorHAnsi" w:hAnsiTheme="minorHAnsi"/>
        </w:rPr>
        <w:t xml:space="preserve"> </w:t>
      </w:r>
      <w:r w:rsidR="003C286B" w:rsidRPr="000B7B8D">
        <w:rPr>
          <w:rFonts w:asciiTheme="minorHAnsi" w:hAnsiTheme="minorHAnsi"/>
        </w:rPr>
        <w:t>procedures</w:t>
      </w:r>
      <w:r w:rsidR="00050361" w:rsidRPr="000B7B8D">
        <w:rPr>
          <w:rFonts w:asciiTheme="minorHAnsi" w:hAnsiTheme="minorHAnsi"/>
        </w:rPr>
        <w:t xml:space="preserve"> </w:t>
      </w:r>
      <w:r w:rsidR="00B4372A" w:rsidRPr="000B7B8D">
        <w:rPr>
          <w:rFonts w:asciiTheme="minorHAnsi" w:hAnsiTheme="minorHAnsi"/>
        </w:rPr>
        <w:t xml:space="preserve">into the </w:t>
      </w:r>
      <w:r w:rsidR="008E616A" w:rsidRPr="000B7B8D">
        <w:rPr>
          <w:rFonts w:asciiTheme="minorHAnsi" w:hAnsiTheme="minorHAnsi"/>
        </w:rPr>
        <w:t xml:space="preserve">FSC Controlled Wood and </w:t>
      </w:r>
      <w:r w:rsidR="0050440C" w:rsidRPr="000B7B8D">
        <w:rPr>
          <w:rFonts w:asciiTheme="minorHAnsi" w:hAnsiTheme="minorHAnsi"/>
        </w:rPr>
        <w:t xml:space="preserve">FSC and </w:t>
      </w:r>
      <w:r w:rsidR="00B4372A" w:rsidRPr="000B7B8D">
        <w:rPr>
          <w:rFonts w:asciiTheme="minorHAnsi" w:hAnsiTheme="minorHAnsi"/>
        </w:rPr>
        <w:t xml:space="preserve">PEFC chain-of-custody </w:t>
      </w:r>
      <w:r w:rsidR="0050440C" w:rsidRPr="000B7B8D">
        <w:rPr>
          <w:rFonts w:asciiTheme="minorHAnsi" w:hAnsiTheme="minorHAnsi"/>
        </w:rPr>
        <w:t xml:space="preserve">standards. </w:t>
      </w:r>
      <w:r w:rsidR="0007232B" w:rsidRPr="000B7B8D">
        <w:rPr>
          <w:rFonts w:asciiTheme="minorHAnsi" w:hAnsiTheme="minorHAnsi"/>
        </w:rPr>
        <w:t xml:space="preserve"> To prevent abuse of the latter, the FSC now prohibits organizations that have not handled certified products since their last audit from using the scheme’s trademark.  It</w:t>
      </w:r>
      <w:r w:rsidR="0050440C" w:rsidRPr="000B7B8D">
        <w:rPr>
          <w:rFonts w:asciiTheme="minorHAnsi" w:hAnsiTheme="minorHAnsi"/>
        </w:rPr>
        <w:t xml:space="preserve"> </w:t>
      </w:r>
      <w:r w:rsidR="00C834D7" w:rsidRPr="000B7B8D">
        <w:rPr>
          <w:rFonts w:asciiTheme="minorHAnsi" w:hAnsiTheme="minorHAnsi"/>
        </w:rPr>
        <w:t>has</w:t>
      </w:r>
      <w:r w:rsidR="0050440C" w:rsidRPr="000B7B8D">
        <w:rPr>
          <w:rFonts w:asciiTheme="minorHAnsi" w:hAnsiTheme="minorHAnsi"/>
        </w:rPr>
        <w:t xml:space="preserve"> </w:t>
      </w:r>
      <w:r w:rsidR="0007232B" w:rsidRPr="000B7B8D">
        <w:rPr>
          <w:rFonts w:asciiTheme="minorHAnsi" w:hAnsiTheme="minorHAnsi"/>
        </w:rPr>
        <w:t xml:space="preserve">also </w:t>
      </w:r>
      <w:r w:rsidR="00C834D7" w:rsidRPr="000B7B8D">
        <w:rPr>
          <w:rFonts w:asciiTheme="minorHAnsi" w:hAnsiTheme="minorHAnsi"/>
        </w:rPr>
        <w:t>launched a</w:t>
      </w:r>
      <w:r w:rsidR="00403C26" w:rsidRPr="000B7B8D">
        <w:rPr>
          <w:rFonts w:asciiTheme="minorHAnsi" w:hAnsiTheme="minorHAnsi"/>
        </w:rPr>
        <w:t>n</w:t>
      </w:r>
      <w:r w:rsidR="00C834D7" w:rsidRPr="000B7B8D">
        <w:rPr>
          <w:rFonts w:asciiTheme="minorHAnsi" w:hAnsiTheme="minorHAnsi"/>
        </w:rPr>
        <w:t xml:space="preserve"> Online Claims Platform to assist customers in validating transaction volumes to ensure that mixing of non-certified material has not occurred, </w:t>
      </w:r>
      <w:r w:rsidR="00403C26" w:rsidRPr="000B7B8D">
        <w:rPr>
          <w:rFonts w:asciiTheme="minorHAnsi" w:hAnsiTheme="minorHAnsi"/>
        </w:rPr>
        <w:t>together with</w:t>
      </w:r>
      <w:r w:rsidR="00C834D7" w:rsidRPr="000B7B8D">
        <w:rPr>
          <w:rFonts w:asciiTheme="minorHAnsi" w:hAnsiTheme="minorHAnsi"/>
        </w:rPr>
        <w:t xml:space="preserve"> a transnational wood identification testing </w:t>
      </w:r>
      <w:r w:rsidR="00C834D7" w:rsidRPr="000B7B8D">
        <w:rPr>
          <w:rFonts w:asciiTheme="minorHAnsi" w:hAnsiTheme="minorHAnsi"/>
        </w:rPr>
        <w:lastRenderedPageBreak/>
        <w:t xml:space="preserve">program to </w:t>
      </w:r>
      <w:r w:rsidR="00403C26" w:rsidRPr="000B7B8D">
        <w:rPr>
          <w:rFonts w:asciiTheme="minorHAnsi" w:hAnsiTheme="minorHAnsi"/>
        </w:rPr>
        <w:t>investigate</w:t>
      </w:r>
      <w:r w:rsidR="00C834D7" w:rsidRPr="000B7B8D">
        <w:rPr>
          <w:rFonts w:asciiTheme="minorHAnsi" w:hAnsiTheme="minorHAnsi"/>
        </w:rPr>
        <w:t xml:space="preserve"> species and origin claims in high-risk supply chains</w:t>
      </w:r>
      <w:r w:rsidR="0007232B" w:rsidRPr="000B7B8D">
        <w:rPr>
          <w:rFonts w:asciiTheme="minorHAnsi" w:hAnsiTheme="minorHAnsi"/>
        </w:rPr>
        <w:t xml:space="preserve"> </w:t>
      </w:r>
      <w:r w:rsidR="0003237E" w:rsidRPr="000B7B8D">
        <w:rPr>
          <w:rFonts w:asciiTheme="minorHAnsi" w:hAnsiTheme="minorHAnsi"/>
        </w:rPr>
        <w:t>(</w:t>
      </w:r>
      <w:r w:rsidR="0050440C" w:rsidRPr="000B7B8D">
        <w:rPr>
          <w:rFonts w:asciiTheme="minorHAnsi" w:hAnsiTheme="minorHAnsi"/>
        </w:rPr>
        <w:t>Saunders 2014; PEFC 2015</w:t>
      </w:r>
      <w:r w:rsidR="00BE242B" w:rsidRPr="000B7B8D">
        <w:rPr>
          <w:rFonts w:asciiTheme="minorHAnsi" w:hAnsiTheme="minorHAnsi"/>
        </w:rPr>
        <w:t>a</w:t>
      </w:r>
      <w:r w:rsidR="0003237E" w:rsidRPr="000B7B8D">
        <w:rPr>
          <w:rFonts w:asciiTheme="minorHAnsi" w:hAnsiTheme="minorHAnsi"/>
        </w:rPr>
        <w:t>; FSC 2018</w:t>
      </w:r>
      <w:r w:rsidR="001211C3" w:rsidRPr="000B7B8D">
        <w:rPr>
          <w:rFonts w:asciiTheme="minorHAnsi" w:hAnsiTheme="minorHAnsi"/>
        </w:rPr>
        <w:t>; TREE meeting summary, 13-15 March 2019</w:t>
      </w:r>
      <w:r w:rsidR="0003237E" w:rsidRPr="000B7B8D">
        <w:rPr>
          <w:rFonts w:asciiTheme="minorHAnsi" w:hAnsiTheme="minorHAnsi"/>
        </w:rPr>
        <w:t>).</w:t>
      </w:r>
      <w:r w:rsidR="00006B48" w:rsidRPr="000B7B8D">
        <w:rPr>
          <w:rFonts w:asciiTheme="minorHAnsi" w:hAnsiTheme="minorHAnsi"/>
        </w:rPr>
        <w:t xml:space="preserve">  </w:t>
      </w:r>
    </w:p>
    <w:p w14:paraId="04302234" w14:textId="6041DC9D" w:rsidR="00344724" w:rsidRPr="000B7B8D" w:rsidRDefault="00863328" w:rsidP="00E31A66">
      <w:pPr>
        <w:pStyle w:val="BodyText"/>
        <w:jc w:val="both"/>
        <w:rPr>
          <w:rFonts w:asciiTheme="minorHAnsi" w:hAnsiTheme="minorHAnsi"/>
        </w:rPr>
      </w:pPr>
      <w:r w:rsidRPr="000B7B8D">
        <w:rPr>
          <w:rFonts w:asciiTheme="minorHAnsi" w:hAnsiTheme="minorHAnsi"/>
        </w:rPr>
        <w:t xml:space="preserve">Contrary to expectations, </w:t>
      </w:r>
      <w:r w:rsidR="00FE5C86" w:rsidRPr="000B7B8D">
        <w:rPr>
          <w:rFonts w:asciiTheme="minorHAnsi" w:hAnsiTheme="minorHAnsi"/>
        </w:rPr>
        <w:t xml:space="preserve">few </w:t>
      </w:r>
      <w:r w:rsidR="00F85122" w:rsidRPr="000B7B8D">
        <w:rPr>
          <w:rFonts w:asciiTheme="minorHAnsi" w:hAnsiTheme="minorHAnsi"/>
        </w:rPr>
        <w:t xml:space="preserve">EU timber operators have </w:t>
      </w:r>
      <w:r w:rsidR="002145BB" w:rsidRPr="000B7B8D">
        <w:rPr>
          <w:rFonts w:asciiTheme="minorHAnsi" w:hAnsiTheme="minorHAnsi"/>
        </w:rPr>
        <w:t xml:space="preserve">signed up to </w:t>
      </w:r>
      <w:r w:rsidR="00E41B19" w:rsidRPr="000B7B8D">
        <w:rPr>
          <w:rFonts w:asciiTheme="minorHAnsi" w:hAnsiTheme="minorHAnsi"/>
        </w:rPr>
        <w:t xml:space="preserve">use due diligence systems </w:t>
      </w:r>
      <w:r w:rsidR="00386FB0" w:rsidRPr="000B7B8D">
        <w:rPr>
          <w:rFonts w:asciiTheme="minorHAnsi" w:hAnsiTheme="minorHAnsi"/>
        </w:rPr>
        <w:t>provided</w:t>
      </w:r>
      <w:r w:rsidR="00E41B19" w:rsidRPr="000B7B8D">
        <w:rPr>
          <w:rFonts w:asciiTheme="minorHAnsi" w:hAnsiTheme="minorHAnsi"/>
        </w:rPr>
        <w:t xml:space="preserve"> by recognized Monitoring Organisations.  </w:t>
      </w:r>
      <w:r w:rsidR="000318DE" w:rsidRPr="000B7B8D">
        <w:rPr>
          <w:rFonts w:asciiTheme="minorHAnsi" w:hAnsiTheme="minorHAnsi"/>
        </w:rPr>
        <w:t>Beyond the additional costs involved, the main explanation</w:t>
      </w:r>
      <w:r w:rsidR="000D780A" w:rsidRPr="000B7B8D">
        <w:rPr>
          <w:rFonts w:asciiTheme="minorHAnsi" w:hAnsiTheme="minorHAnsi"/>
        </w:rPr>
        <w:t>, according to the 2016 EUTR evaluation,</w:t>
      </w:r>
      <w:r w:rsidR="000318DE" w:rsidRPr="000B7B8D">
        <w:rPr>
          <w:rFonts w:asciiTheme="minorHAnsi" w:hAnsiTheme="minorHAnsi"/>
        </w:rPr>
        <w:t xml:space="preserve"> seems to be “the fact that MOs have an obligation to report to the CA on major failures in the use of a DDS by operators”.  As </w:t>
      </w:r>
      <w:r w:rsidR="000D780A" w:rsidRPr="000B7B8D">
        <w:rPr>
          <w:rFonts w:asciiTheme="minorHAnsi" w:hAnsiTheme="minorHAnsi"/>
        </w:rPr>
        <w:t xml:space="preserve">a </w:t>
      </w:r>
      <w:r w:rsidR="007936E6" w:rsidRPr="000B7B8D">
        <w:rPr>
          <w:rFonts w:asciiTheme="minorHAnsi" w:hAnsiTheme="minorHAnsi"/>
        </w:rPr>
        <w:t>NEPCon</w:t>
      </w:r>
      <w:r w:rsidR="000318DE" w:rsidRPr="000B7B8D">
        <w:rPr>
          <w:rFonts w:asciiTheme="minorHAnsi" w:hAnsiTheme="minorHAnsi"/>
        </w:rPr>
        <w:t xml:space="preserve"> </w:t>
      </w:r>
      <w:r w:rsidR="000D780A" w:rsidRPr="000B7B8D">
        <w:rPr>
          <w:rFonts w:asciiTheme="minorHAnsi" w:hAnsiTheme="minorHAnsi"/>
        </w:rPr>
        <w:t xml:space="preserve">official </w:t>
      </w:r>
      <w:r w:rsidR="001E3C60" w:rsidRPr="000B7B8D">
        <w:rPr>
          <w:rFonts w:asciiTheme="minorHAnsi" w:hAnsiTheme="minorHAnsi"/>
        </w:rPr>
        <w:t>told</w:t>
      </w:r>
      <w:r w:rsidR="000318DE" w:rsidRPr="000B7B8D">
        <w:rPr>
          <w:rFonts w:asciiTheme="minorHAnsi" w:hAnsiTheme="minorHAnsi"/>
        </w:rPr>
        <w:t xml:space="preserve"> the TREE network, “there is</w:t>
      </w:r>
      <w:r w:rsidR="001E3C60" w:rsidRPr="000B7B8D">
        <w:rPr>
          <w:rFonts w:asciiTheme="minorHAnsi" w:hAnsiTheme="minorHAnsi"/>
        </w:rPr>
        <w:t xml:space="preserve"> minimal interest in MO services because companies feel like they are inviting ‘law enforcement’ in, and problems will be reported to CAs”.  Conversely, however, </w:t>
      </w:r>
      <w:r w:rsidR="00403C75" w:rsidRPr="000B7B8D">
        <w:rPr>
          <w:rFonts w:asciiTheme="minorHAnsi" w:hAnsiTheme="minorHAnsi"/>
        </w:rPr>
        <w:t>MOs</w:t>
      </w:r>
      <w:r w:rsidR="000318DE" w:rsidRPr="000B7B8D">
        <w:rPr>
          <w:rFonts w:asciiTheme="minorHAnsi" w:hAnsiTheme="minorHAnsi"/>
        </w:rPr>
        <w:t xml:space="preserve"> </w:t>
      </w:r>
      <w:r w:rsidR="000D780A" w:rsidRPr="000B7B8D">
        <w:rPr>
          <w:rFonts w:asciiTheme="minorHAnsi" w:hAnsiTheme="minorHAnsi"/>
        </w:rPr>
        <w:t xml:space="preserve">(including </w:t>
      </w:r>
      <w:r w:rsidR="007936E6" w:rsidRPr="000B7B8D">
        <w:rPr>
          <w:rFonts w:asciiTheme="minorHAnsi" w:hAnsiTheme="minorHAnsi"/>
        </w:rPr>
        <w:t>NEPCon</w:t>
      </w:r>
      <w:r w:rsidR="000D780A" w:rsidRPr="000B7B8D">
        <w:rPr>
          <w:rFonts w:asciiTheme="minorHAnsi" w:hAnsiTheme="minorHAnsi"/>
        </w:rPr>
        <w:t xml:space="preserve"> itself) “have reported providing technical assistance to thousands of operators to develop their own DDS</w:t>
      </w:r>
      <w:r w:rsidR="00386FB0" w:rsidRPr="000B7B8D">
        <w:rPr>
          <w:rFonts w:asciiTheme="minorHAnsi" w:hAnsiTheme="minorHAnsi"/>
        </w:rPr>
        <w:t>”</w:t>
      </w:r>
      <w:r w:rsidR="00D90BCD" w:rsidRPr="000B7B8D">
        <w:rPr>
          <w:rFonts w:asciiTheme="minorHAnsi" w:hAnsiTheme="minorHAnsi"/>
        </w:rPr>
        <w:t xml:space="preserve"> (European Commission 2016d: 25; </w:t>
      </w:r>
      <w:r w:rsidR="007936E6" w:rsidRPr="000B7B8D">
        <w:rPr>
          <w:rFonts w:asciiTheme="minorHAnsi" w:hAnsiTheme="minorHAnsi"/>
        </w:rPr>
        <w:t>Cupit 2018).</w:t>
      </w:r>
    </w:p>
    <w:p w14:paraId="22E2F631" w14:textId="64582501" w:rsidR="00824B5F" w:rsidRPr="000B7B8D" w:rsidRDefault="008B44B8" w:rsidP="00E31A66">
      <w:pPr>
        <w:pStyle w:val="BodyText"/>
        <w:jc w:val="both"/>
        <w:rPr>
          <w:rFonts w:asciiTheme="minorHAnsi" w:hAnsiTheme="minorHAnsi"/>
        </w:rPr>
      </w:pPr>
      <w:r w:rsidRPr="000B7B8D">
        <w:rPr>
          <w:rFonts w:asciiTheme="minorHAnsi" w:hAnsiTheme="minorHAnsi"/>
        </w:rPr>
        <w:t xml:space="preserve">Scholars initially disagreed about whether the </w:t>
      </w:r>
      <w:r w:rsidR="003571DB" w:rsidRPr="000B7B8D">
        <w:rPr>
          <w:rFonts w:asciiTheme="minorHAnsi" w:hAnsiTheme="minorHAnsi"/>
        </w:rPr>
        <w:t>EU FLEGT initiative and the adoption of public legality regulation in other timber-consuming countries would stimulate demand for private sustainable forest management certification schemes such as the FSC and PEFC</w:t>
      </w:r>
      <w:r w:rsidR="000E08FD" w:rsidRPr="000B7B8D">
        <w:rPr>
          <w:rFonts w:asciiTheme="minorHAnsi" w:hAnsiTheme="minorHAnsi"/>
        </w:rPr>
        <w:t xml:space="preserve"> (Cashore &amp; Stone 2014; Overdevest &amp; Zeitlin 2014)</w:t>
      </w:r>
      <w:r w:rsidR="003571DB" w:rsidRPr="000B7B8D">
        <w:rPr>
          <w:rFonts w:asciiTheme="minorHAnsi" w:hAnsiTheme="minorHAnsi"/>
        </w:rPr>
        <w:t>, or only for less costly private legality verification systems (</w:t>
      </w:r>
      <w:r w:rsidR="009D61D6" w:rsidRPr="000B7B8D">
        <w:rPr>
          <w:rFonts w:asciiTheme="minorHAnsi" w:hAnsiTheme="minorHAnsi"/>
        </w:rPr>
        <w:t>Bar</w:t>
      </w:r>
      <w:r w:rsidR="000E08FD" w:rsidRPr="000B7B8D">
        <w:rPr>
          <w:rFonts w:asciiTheme="minorHAnsi" w:hAnsiTheme="minorHAnsi"/>
        </w:rPr>
        <w:t>tley 2014</w:t>
      </w:r>
      <w:r w:rsidR="003571DB" w:rsidRPr="000B7B8D">
        <w:rPr>
          <w:rFonts w:asciiTheme="minorHAnsi" w:hAnsiTheme="minorHAnsi"/>
        </w:rPr>
        <w:t>).</w:t>
      </w:r>
      <w:r w:rsidR="009D61D6" w:rsidRPr="000B7B8D">
        <w:rPr>
          <w:rFonts w:asciiTheme="minorHAnsi" w:hAnsiTheme="minorHAnsi"/>
        </w:rPr>
        <w:t xml:space="preserve">  </w:t>
      </w:r>
      <w:r w:rsidR="0086516D" w:rsidRPr="000B7B8D">
        <w:rPr>
          <w:rFonts w:asciiTheme="minorHAnsi" w:hAnsiTheme="minorHAnsi"/>
        </w:rPr>
        <w:t>Since 2006</w:t>
      </w:r>
      <w:r w:rsidR="00077F65" w:rsidRPr="000B7B8D">
        <w:rPr>
          <w:rFonts w:asciiTheme="minorHAnsi" w:hAnsiTheme="minorHAnsi"/>
        </w:rPr>
        <w:t xml:space="preserve">, </w:t>
      </w:r>
      <w:r w:rsidR="00A21C33" w:rsidRPr="000B7B8D">
        <w:rPr>
          <w:rFonts w:asciiTheme="minorHAnsi" w:hAnsiTheme="minorHAnsi"/>
        </w:rPr>
        <w:t xml:space="preserve">however, as Figure 1 shows, the forest area certified by both the FSC and the PEFC </w:t>
      </w:r>
      <w:r w:rsidR="00386FB0" w:rsidRPr="000B7B8D">
        <w:rPr>
          <w:rFonts w:asciiTheme="minorHAnsi" w:hAnsiTheme="minorHAnsi"/>
        </w:rPr>
        <w:t>has</w:t>
      </w:r>
      <w:r w:rsidR="00A21C33" w:rsidRPr="000B7B8D">
        <w:rPr>
          <w:rFonts w:asciiTheme="minorHAnsi" w:hAnsiTheme="minorHAnsi"/>
        </w:rPr>
        <w:t xml:space="preserve"> increased </w:t>
      </w:r>
      <w:r w:rsidR="00C31491" w:rsidRPr="000B7B8D">
        <w:rPr>
          <w:rFonts w:asciiTheme="minorHAnsi" w:hAnsiTheme="minorHAnsi"/>
        </w:rPr>
        <w:t xml:space="preserve">substantially, </w:t>
      </w:r>
      <w:r w:rsidR="00B93AD6" w:rsidRPr="000B7B8D">
        <w:rPr>
          <w:rFonts w:asciiTheme="minorHAnsi" w:hAnsiTheme="minorHAnsi"/>
        </w:rPr>
        <w:t>with sharp accelerations following the pass</w:t>
      </w:r>
      <w:r w:rsidR="00386FB0" w:rsidRPr="000B7B8D">
        <w:rPr>
          <w:rFonts w:asciiTheme="minorHAnsi" w:hAnsiTheme="minorHAnsi"/>
        </w:rPr>
        <w:t>age of the LTPA, EUTR, and ILPA.</w:t>
      </w:r>
      <w:r w:rsidR="00397EBB" w:rsidRPr="000B7B8D">
        <w:rPr>
          <w:rStyle w:val="FootnoteReference"/>
          <w:rFonts w:asciiTheme="minorHAnsi" w:hAnsiTheme="minorHAnsi"/>
        </w:rPr>
        <w:footnoteReference w:id="24"/>
      </w:r>
      <w:r w:rsidR="00395A5D" w:rsidRPr="000B7B8D">
        <w:rPr>
          <w:rFonts w:asciiTheme="minorHAnsi" w:hAnsiTheme="minorHAnsi"/>
        </w:rPr>
        <w:t xml:space="preserve"> </w:t>
      </w:r>
      <w:r w:rsidR="00B93AD6" w:rsidRPr="000B7B8D">
        <w:rPr>
          <w:rFonts w:asciiTheme="minorHAnsi" w:hAnsiTheme="minorHAnsi"/>
        </w:rPr>
        <w:t xml:space="preserve"> </w:t>
      </w:r>
      <w:r w:rsidR="00386FB0" w:rsidRPr="000B7B8D">
        <w:rPr>
          <w:rFonts w:asciiTheme="minorHAnsi" w:hAnsiTheme="minorHAnsi"/>
        </w:rPr>
        <w:t>M</w:t>
      </w:r>
      <w:r w:rsidR="00B93AD6" w:rsidRPr="000B7B8D">
        <w:rPr>
          <w:rFonts w:asciiTheme="minorHAnsi" w:hAnsiTheme="minorHAnsi"/>
        </w:rPr>
        <w:t>uch of this growth</w:t>
      </w:r>
      <w:r w:rsidR="00386FB0" w:rsidRPr="000B7B8D">
        <w:rPr>
          <w:rFonts w:asciiTheme="minorHAnsi" w:hAnsiTheme="minorHAnsi"/>
        </w:rPr>
        <w:t>, moreover,</w:t>
      </w:r>
      <w:r w:rsidR="00B93AD6" w:rsidRPr="000B7B8D">
        <w:rPr>
          <w:rFonts w:asciiTheme="minorHAnsi" w:hAnsiTheme="minorHAnsi"/>
        </w:rPr>
        <w:t xml:space="preserve"> </w:t>
      </w:r>
      <w:r w:rsidR="00386FB0" w:rsidRPr="000B7B8D">
        <w:rPr>
          <w:rFonts w:asciiTheme="minorHAnsi" w:hAnsiTheme="minorHAnsi"/>
        </w:rPr>
        <w:t>has occurre</w:t>
      </w:r>
      <w:r w:rsidR="00B93AD6" w:rsidRPr="000B7B8D">
        <w:rPr>
          <w:rFonts w:asciiTheme="minorHAnsi" w:hAnsiTheme="minorHAnsi"/>
        </w:rPr>
        <w:t>d outside Europe and North America</w:t>
      </w:r>
      <w:r w:rsidR="00386FB0" w:rsidRPr="000B7B8D">
        <w:rPr>
          <w:rFonts w:asciiTheme="minorHAnsi" w:hAnsiTheme="minorHAnsi"/>
        </w:rPr>
        <w:t xml:space="preserve">, which still account for the </w:t>
      </w:r>
      <w:r w:rsidR="00395A5D" w:rsidRPr="000B7B8D">
        <w:rPr>
          <w:rFonts w:asciiTheme="minorHAnsi" w:hAnsiTheme="minorHAnsi"/>
        </w:rPr>
        <w:t xml:space="preserve">vast </w:t>
      </w:r>
      <w:r w:rsidR="00386FB0" w:rsidRPr="000B7B8D">
        <w:rPr>
          <w:rFonts w:asciiTheme="minorHAnsi" w:hAnsiTheme="minorHAnsi"/>
        </w:rPr>
        <w:t>bulk of certified forests</w:t>
      </w:r>
      <w:r w:rsidR="00663E6D" w:rsidRPr="000B7B8D">
        <w:rPr>
          <w:rFonts w:asciiTheme="minorHAnsi" w:hAnsiTheme="minorHAnsi"/>
        </w:rPr>
        <w:t xml:space="preserve"> (UNE</w:t>
      </w:r>
      <w:r w:rsidR="00B93AD6" w:rsidRPr="000B7B8D">
        <w:rPr>
          <w:rFonts w:asciiTheme="minorHAnsi" w:hAnsiTheme="minorHAnsi"/>
        </w:rPr>
        <w:t xml:space="preserve">CE </w:t>
      </w:r>
      <w:r w:rsidR="00D86C47" w:rsidRPr="000B7B8D">
        <w:rPr>
          <w:rFonts w:asciiTheme="minorHAnsi" w:hAnsiTheme="minorHAnsi"/>
        </w:rPr>
        <w:t>2017: 15-18; 20</w:t>
      </w:r>
      <w:r w:rsidR="00B93AD6" w:rsidRPr="000B7B8D">
        <w:rPr>
          <w:rFonts w:asciiTheme="minorHAnsi" w:hAnsiTheme="minorHAnsi"/>
        </w:rPr>
        <w:t>18: 18-20).</w:t>
      </w:r>
      <w:r w:rsidR="008C6EC4" w:rsidRPr="000B7B8D">
        <w:rPr>
          <w:rFonts w:asciiTheme="minorHAnsi" w:hAnsiTheme="minorHAnsi"/>
        </w:rPr>
        <w:t xml:space="preserve"> </w:t>
      </w:r>
      <w:r w:rsidR="00397EBB" w:rsidRPr="000B7B8D">
        <w:rPr>
          <w:rFonts w:asciiTheme="minorHAnsi" w:hAnsiTheme="minorHAnsi"/>
        </w:rPr>
        <w:t xml:space="preserve"> </w:t>
      </w:r>
      <w:r w:rsidR="00D76A63" w:rsidRPr="000B7B8D">
        <w:rPr>
          <w:rFonts w:asciiTheme="minorHAnsi" w:hAnsiTheme="minorHAnsi"/>
        </w:rPr>
        <w:t xml:space="preserve">In Indonesia, the </w:t>
      </w:r>
      <w:r w:rsidR="00680C8A" w:rsidRPr="000B7B8D">
        <w:rPr>
          <w:rFonts w:asciiTheme="minorHAnsi" w:hAnsiTheme="minorHAnsi"/>
        </w:rPr>
        <w:t xml:space="preserve">number of FSC certified forest management units </w:t>
      </w:r>
      <w:r w:rsidR="00FA501D" w:rsidRPr="000B7B8D">
        <w:rPr>
          <w:rFonts w:asciiTheme="minorHAnsi" w:hAnsiTheme="minorHAnsi"/>
        </w:rPr>
        <w:t xml:space="preserve">increased from 5 in 2007, before the </w:t>
      </w:r>
      <w:r w:rsidR="00A45BC8" w:rsidRPr="000B7B8D">
        <w:rPr>
          <w:rFonts w:asciiTheme="minorHAnsi" w:hAnsiTheme="minorHAnsi"/>
        </w:rPr>
        <w:t xml:space="preserve">onset of VPA negotiations with the EU, to 34 in March 2019, while the </w:t>
      </w:r>
      <w:r w:rsidR="0043791C" w:rsidRPr="000B7B8D">
        <w:rPr>
          <w:rFonts w:asciiTheme="minorHAnsi" w:hAnsiTheme="minorHAnsi"/>
        </w:rPr>
        <w:t xml:space="preserve">certified </w:t>
      </w:r>
      <w:r w:rsidR="00A45BC8" w:rsidRPr="000B7B8D">
        <w:rPr>
          <w:rFonts w:asciiTheme="minorHAnsi" w:hAnsiTheme="minorHAnsi"/>
        </w:rPr>
        <w:t xml:space="preserve">area </w:t>
      </w:r>
      <w:r w:rsidR="0043791C" w:rsidRPr="000B7B8D">
        <w:rPr>
          <w:rFonts w:asciiTheme="minorHAnsi" w:hAnsiTheme="minorHAnsi"/>
        </w:rPr>
        <w:t xml:space="preserve">more than </w:t>
      </w:r>
      <w:r w:rsidR="00153CFB" w:rsidRPr="000B7B8D">
        <w:rPr>
          <w:rFonts w:asciiTheme="minorHAnsi" w:hAnsiTheme="minorHAnsi"/>
        </w:rPr>
        <w:t>tripled, from</w:t>
      </w:r>
      <w:r w:rsidR="00A45BC8" w:rsidRPr="000B7B8D">
        <w:rPr>
          <w:rFonts w:asciiTheme="minorHAnsi" w:hAnsiTheme="minorHAnsi"/>
        </w:rPr>
        <w:t xml:space="preserve"> </w:t>
      </w:r>
      <w:r w:rsidR="00A85BD8" w:rsidRPr="000B7B8D">
        <w:rPr>
          <w:rFonts w:asciiTheme="minorHAnsi" w:hAnsiTheme="minorHAnsi"/>
        </w:rPr>
        <w:t xml:space="preserve">739,368 to </w:t>
      </w:r>
      <w:r w:rsidR="00A45BC8" w:rsidRPr="000B7B8D">
        <w:rPr>
          <w:rFonts w:asciiTheme="minorHAnsi" w:hAnsiTheme="minorHAnsi"/>
        </w:rPr>
        <w:t>2,539,000</w:t>
      </w:r>
      <w:r w:rsidR="00A85BD8" w:rsidRPr="000B7B8D">
        <w:rPr>
          <w:rFonts w:asciiTheme="minorHAnsi" w:hAnsiTheme="minorHAnsi"/>
        </w:rPr>
        <w:t xml:space="preserve"> hectares (FSC 2019; Marion Karmann, FSC, </w:t>
      </w:r>
      <w:r w:rsidR="00265AEF" w:rsidRPr="000B7B8D">
        <w:rPr>
          <w:rFonts w:asciiTheme="minorHAnsi" w:hAnsiTheme="minorHAnsi"/>
        </w:rPr>
        <w:t>personal communication</w:t>
      </w:r>
      <w:r w:rsidR="00A85BD8" w:rsidRPr="000B7B8D">
        <w:rPr>
          <w:rFonts w:asciiTheme="minorHAnsi" w:hAnsiTheme="minorHAnsi"/>
        </w:rPr>
        <w:t xml:space="preserve">).  PEFC certification likewise jumped from </w:t>
      </w:r>
      <w:r w:rsidR="007A7F21" w:rsidRPr="000B7B8D">
        <w:rPr>
          <w:rFonts w:asciiTheme="minorHAnsi" w:hAnsiTheme="minorHAnsi"/>
        </w:rPr>
        <w:t>727,078 hectares in 2015</w:t>
      </w:r>
      <w:r w:rsidR="00A85BD8" w:rsidRPr="000B7B8D">
        <w:rPr>
          <w:rFonts w:asciiTheme="minorHAnsi" w:hAnsiTheme="minorHAnsi"/>
        </w:rPr>
        <w:t xml:space="preserve"> (the first year reported) to 3,903,695 in December 2018</w:t>
      </w:r>
      <w:r w:rsidR="007A7F21" w:rsidRPr="000B7B8D">
        <w:rPr>
          <w:rFonts w:asciiTheme="minorHAnsi" w:hAnsiTheme="minorHAnsi"/>
        </w:rPr>
        <w:t xml:space="preserve"> (PEFC 2015</w:t>
      </w:r>
      <w:r w:rsidR="006E3641" w:rsidRPr="000B7B8D">
        <w:rPr>
          <w:rFonts w:asciiTheme="minorHAnsi" w:hAnsiTheme="minorHAnsi"/>
        </w:rPr>
        <w:t>b</w:t>
      </w:r>
      <w:r w:rsidR="00A85BD8" w:rsidRPr="000B7B8D">
        <w:rPr>
          <w:rFonts w:asciiTheme="minorHAnsi" w:hAnsiTheme="minorHAnsi"/>
        </w:rPr>
        <w:t>, 2018).  In the FSC case</w:t>
      </w:r>
      <w:r w:rsidR="00C6521E" w:rsidRPr="000B7B8D">
        <w:rPr>
          <w:rFonts w:asciiTheme="minorHAnsi" w:hAnsiTheme="minorHAnsi"/>
        </w:rPr>
        <w:t>, this</w:t>
      </w:r>
      <w:r w:rsidR="00A85BD8" w:rsidRPr="000B7B8D">
        <w:rPr>
          <w:rFonts w:asciiTheme="minorHAnsi" w:hAnsiTheme="minorHAnsi"/>
        </w:rPr>
        <w:t xml:space="preserve"> </w:t>
      </w:r>
      <w:r w:rsidR="00A85BD8" w:rsidRPr="000B7B8D">
        <w:rPr>
          <w:rFonts w:asciiTheme="minorHAnsi" w:hAnsiTheme="minorHAnsi"/>
        </w:rPr>
        <w:lastRenderedPageBreak/>
        <w:t>growth in certification was driven not only by growing demand from foreign customers (including large Japanese firms), but also by financial and capacity-building support from internat</w:t>
      </w:r>
      <w:r w:rsidR="00C6521E" w:rsidRPr="000B7B8D">
        <w:rPr>
          <w:rFonts w:asciiTheme="minorHAnsi" w:hAnsiTheme="minorHAnsi"/>
        </w:rPr>
        <w:t xml:space="preserve">ional donors and NGOs, such as </w:t>
      </w:r>
      <w:r w:rsidR="004C5AE3" w:rsidRPr="000B7B8D">
        <w:rPr>
          <w:rFonts w:asciiTheme="minorHAnsi" w:hAnsiTheme="minorHAnsi"/>
        </w:rPr>
        <w:t xml:space="preserve">the Borneo Initiative and </w:t>
      </w:r>
      <w:r w:rsidR="00C6521E" w:rsidRPr="000B7B8D">
        <w:rPr>
          <w:rFonts w:asciiTheme="minorHAnsi" w:hAnsiTheme="minorHAnsi"/>
        </w:rPr>
        <w:t>T</w:t>
      </w:r>
      <w:r w:rsidR="00A85BD8" w:rsidRPr="000B7B8D">
        <w:rPr>
          <w:rFonts w:asciiTheme="minorHAnsi" w:hAnsiTheme="minorHAnsi"/>
        </w:rPr>
        <w:t xml:space="preserve">he </w:t>
      </w:r>
      <w:r w:rsidR="00C6521E" w:rsidRPr="000B7B8D">
        <w:rPr>
          <w:rFonts w:asciiTheme="minorHAnsi" w:hAnsiTheme="minorHAnsi"/>
        </w:rPr>
        <w:t>Nature Conservancy</w:t>
      </w:r>
      <w:r w:rsidR="00AA2B3F" w:rsidRPr="000B7B8D">
        <w:rPr>
          <w:rFonts w:asciiTheme="minorHAnsi" w:hAnsiTheme="minorHAnsi"/>
        </w:rPr>
        <w:t xml:space="preserve"> </w:t>
      </w:r>
      <w:r w:rsidR="00C6521E" w:rsidRPr="000B7B8D">
        <w:rPr>
          <w:rFonts w:asciiTheme="minorHAnsi" w:hAnsiTheme="minorHAnsi"/>
        </w:rPr>
        <w:t>(</w:t>
      </w:r>
      <w:r w:rsidR="004F7656" w:rsidRPr="000B7B8D">
        <w:rPr>
          <w:rFonts w:asciiTheme="minorHAnsi" w:hAnsiTheme="minorHAnsi"/>
        </w:rPr>
        <w:t xml:space="preserve">Ruslandi et al. </w:t>
      </w:r>
      <w:r w:rsidR="00AA2B3F" w:rsidRPr="000B7B8D">
        <w:rPr>
          <w:rFonts w:asciiTheme="minorHAnsi" w:hAnsiTheme="minorHAnsi"/>
        </w:rPr>
        <w:t>2014</w:t>
      </w:r>
      <w:r w:rsidR="00063F6A" w:rsidRPr="000B7B8D">
        <w:rPr>
          <w:rFonts w:asciiTheme="minorHAnsi" w:hAnsiTheme="minorHAnsi"/>
        </w:rPr>
        <w:t xml:space="preserve">; </w:t>
      </w:r>
      <w:hyperlink r:id="rId19" w:history="1">
        <w:r w:rsidR="00AA2B3F" w:rsidRPr="000B7B8D">
          <w:rPr>
            <w:rStyle w:val="Hyperlink"/>
            <w:rFonts w:asciiTheme="minorHAnsi" w:hAnsiTheme="minorHAnsi"/>
          </w:rPr>
          <w:t>https://theborneoinitiative.org/</w:t>
        </w:r>
      </w:hyperlink>
      <w:r w:rsidR="00AA2B3F" w:rsidRPr="000B7B8D">
        <w:rPr>
          <w:rFonts w:asciiTheme="minorHAnsi" w:hAnsiTheme="minorHAnsi"/>
        </w:rPr>
        <w:t xml:space="preserve">; </w:t>
      </w:r>
      <w:r w:rsidR="000067F7" w:rsidRPr="000B7B8D">
        <w:rPr>
          <w:rFonts w:asciiTheme="minorHAnsi" w:hAnsiTheme="minorHAnsi"/>
        </w:rPr>
        <w:t xml:space="preserve">PT </w:t>
      </w:r>
      <w:r w:rsidR="00142C7B" w:rsidRPr="000B7B8D">
        <w:rPr>
          <w:rFonts w:asciiTheme="minorHAnsi" w:hAnsiTheme="minorHAnsi"/>
        </w:rPr>
        <w:t>Gunung Gajah Ab</w:t>
      </w:r>
      <w:r w:rsidR="009A6675" w:rsidRPr="000B7B8D">
        <w:rPr>
          <w:rFonts w:asciiTheme="minorHAnsi" w:hAnsiTheme="minorHAnsi"/>
        </w:rPr>
        <w:t xml:space="preserve">adi </w:t>
      </w:r>
      <w:r w:rsidR="001E6FA4" w:rsidRPr="000B7B8D">
        <w:rPr>
          <w:rFonts w:asciiTheme="minorHAnsi" w:hAnsiTheme="minorHAnsi"/>
        </w:rPr>
        <w:t>&amp;</w:t>
      </w:r>
      <w:r w:rsidR="009A6675" w:rsidRPr="000B7B8D">
        <w:rPr>
          <w:rFonts w:asciiTheme="minorHAnsi" w:hAnsiTheme="minorHAnsi"/>
        </w:rPr>
        <w:t xml:space="preserve"> </w:t>
      </w:r>
      <w:r w:rsidR="000067F7" w:rsidRPr="000B7B8D">
        <w:rPr>
          <w:rFonts w:asciiTheme="minorHAnsi" w:hAnsiTheme="minorHAnsi"/>
        </w:rPr>
        <w:t xml:space="preserve">PT </w:t>
      </w:r>
      <w:r w:rsidR="000D592D" w:rsidRPr="000B7B8D">
        <w:rPr>
          <w:rFonts w:asciiTheme="minorHAnsi" w:hAnsiTheme="minorHAnsi"/>
        </w:rPr>
        <w:t>Karya Lestari interviews</w:t>
      </w:r>
      <w:r w:rsidR="009A6675" w:rsidRPr="000B7B8D">
        <w:rPr>
          <w:rFonts w:asciiTheme="minorHAnsi" w:hAnsiTheme="minorHAnsi"/>
        </w:rPr>
        <w:t>)</w:t>
      </w:r>
      <w:r w:rsidR="0000350C" w:rsidRPr="000B7B8D">
        <w:rPr>
          <w:rFonts w:asciiTheme="minorHAnsi" w:hAnsiTheme="minorHAnsi"/>
        </w:rPr>
        <w:t xml:space="preserve">. </w:t>
      </w:r>
      <w:r w:rsidR="0006005C" w:rsidRPr="000B7B8D">
        <w:rPr>
          <w:rFonts w:asciiTheme="minorHAnsi" w:hAnsiTheme="minorHAnsi"/>
        </w:rPr>
        <w:t xml:space="preserve"> Nor is FSC certification easy to </w:t>
      </w:r>
      <w:r w:rsidR="001E6FA4" w:rsidRPr="000B7B8D">
        <w:rPr>
          <w:rFonts w:asciiTheme="minorHAnsi" w:hAnsiTheme="minorHAnsi"/>
        </w:rPr>
        <w:t>maintain</w:t>
      </w:r>
      <w:r w:rsidR="0006005C" w:rsidRPr="000B7B8D">
        <w:rPr>
          <w:rFonts w:asciiTheme="minorHAnsi" w:hAnsiTheme="minorHAnsi"/>
        </w:rPr>
        <w:t xml:space="preserve">: a number of Indonesian forest management units have had their certificates suspended in recent years (including two natural forest concessions in East Kalimantan we visited in </w:t>
      </w:r>
      <w:r w:rsidR="00395A5D" w:rsidRPr="000B7B8D">
        <w:rPr>
          <w:rFonts w:asciiTheme="minorHAnsi" w:hAnsiTheme="minorHAnsi"/>
        </w:rPr>
        <w:t>March</w:t>
      </w:r>
      <w:r w:rsidR="0006005C" w:rsidRPr="000B7B8D">
        <w:rPr>
          <w:rFonts w:asciiTheme="minorHAnsi" w:hAnsiTheme="minorHAnsi"/>
        </w:rPr>
        <w:t xml:space="preserve"> 2018), typically for failing to </w:t>
      </w:r>
      <w:r w:rsidR="00E467F0" w:rsidRPr="000B7B8D">
        <w:rPr>
          <w:rFonts w:asciiTheme="minorHAnsi" w:hAnsiTheme="minorHAnsi"/>
        </w:rPr>
        <w:t>clear</w:t>
      </w:r>
      <w:r w:rsidR="0006005C" w:rsidRPr="000B7B8D">
        <w:rPr>
          <w:rFonts w:asciiTheme="minorHAnsi" w:hAnsiTheme="minorHAnsi"/>
        </w:rPr>
        <w:t xml:space="preserve"> corrective action requests within the de</w:t>
      </w:r>
      <w:r w:rsidR="009A4C9C" w:rsidRPr="000B7B8D">
        <w:rPr>
          <w:rFonts w:asciiTheme="minorHAnsi" w:hAnsiTheme="minorHAnsi"/>
        </w:rPr>
        <w:t>adline specified by the auditor</w:t>
      </w:r>
      <w:r w:rsidR="00E467F0" w:rsidRPr="000B7B8D">
        <w:rPr>
          <w:rFonts w:asciiTheme="minorHAnsi" w:hAnsiTheme="minorHAnsi"/>
        </w:rPr>
        <w:t>.</w:t>
      </w:r>
      <w:r w:rsidR="00E467F0" w:rsidRPr="000B7B8D">
        <w:rPr>
          <w:rStyle w:val="FootnoteReference"/>
          <w:rFonts w:asciiTheme="minorHAnsi" w:hAnsiTheme="minorHAnsi"/>
        </w:rPr>
        <w:footnoteReference w:id="25"/>
      </w:r>
      <w:r w:rsidR="009A4C9C" w:rsidRPr="000B7B8D">
        <w:rPr>
          <w:rFonts w:asciiTheme="minorHAnsi" w:hAnsiTheme="minorHAnsi"/>
        </w:rPr>
        <w:t xml:space="preserve"> </w:t>
      </w:r>
    </w:p>
    <w:p w14:paraId="0CAFB284" w14:textId="77777777" w:rsidR="001E2739" w:rsidRPr="000B7B8D" w:rsidRDefault="001E2739" w:rsidP="001E2739">
      <w:pPr>
        <w:pStyle w:val="Caption"/>
        <w:rPr>
          <w:rFonts w:asciiTheme="minorHAnsi" w:hAnsiTheme="minorHAnsi"/>
          <w:sz w:val="24"/>
        </w:rPr>
      </w:pPr>
      <w:r w:rsidRPr="000B7B8D">
        <w:rPr>
          <w:rFonts w:asciiTheme="minorHAnsi" w:hAnsiTheme="minorHAnsi"/>
          <w:sz w:val="24"/>
        </w:rPr>
        <w:lastRenderedPageBreak/>
        <w:t>Figure 1: Forest area certified by major schemes 2006-2017</w:t>
      </w:r>
    </w:p>
    <w:p w14:paraId="4B601D69" w14:textId="77777777" w:rsidR="001E2739" w:rsidRPr="000B7B8D" w:rsidRDefault="001E2739" w:rsidP="001E2739">
      <w:pPr>
        <w:pStyle w:val="BodyTextFlush"/>
        <w:spacing w:after="0" w:line="240" w:lineRule="auto"/>
        <w:rPr>
          <w:rFonts w:asciiTheme="minorHAnsi" w:hAnsiTheme="minorHAnsi"/>
        </w:rPr>
      </w:pPr>
      <w:r w:rsidRPr="000B7B8D">
        <w:rPr>
          <w:rFonts w:asciiTheme="minorHAnsi" w:hAnsiTheme="minorHAnsi"/>
          <w:noProof/>
          <w:lang w:val="en-GB" w:eastAsia="en-GB"/>
        </w:rPr>
        <w:drawing>
          <wp:inline distT="0" distB="0" distL="0" distR="0" wp14:anchorId="7B97E3F0" wp14:editId="0D10610E">
            <wp:extent cx="4368800" cy="370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68800" cy="3708400"/>
                    </a:xfrm>
                    <a:prstGeom prst="rect">
                      <a:avLst/>
                    </a:prstGeom>
                  </pic:spPr>
                </pic:pic>
              </a:graphicData>
            </a:graphic>
          </wp:inline>
        </w:drawing>
      </w:r>
    </w:p>
    <w:p w14:paraId="41552C79" w14:textId="77777777" w:rsidR="001E2739" w:rsidRPr="000B7B8D" w:rsidRDefault="001E2739" w:rsidP="001E2739">
      <w:pPr>
        <w:pStyle w:val="Caption"/>
        <w:spacing w:before="0" w:line="360" w:lineRule="auto"/>
        <w:rPr>
          <w:rFonts w:asciiTheme="minorHAnsi" w:hAnsiTheme="minorHAnsi"/>
          <w:sz w:val="24"/>
        </w:rPr>
      </w:pPr>
      <w:r w:rsidRPr="000B7B8D">
        <w:rPr>
          <w:rFonts w:asciiTheme="minorHAnsi" w:hAnsiTheme="minorHAnsi"/>
          <w:sz w:val="24"/>
        </w:rPr>
        <w:t>Source: FAO-UNECE 2017: 15.</w:t>
      </w:r>
    </w:p>
    <w:p w14:paraId="1ED76D65" w14:textId="7E6C8ABE" w:rsidR="00395D04" w:rsidRPr="000B7B8D" w:rsidRDefault="003D0C96" w:rsidP="00902542">
      <w:pPr>
        <w:pStyle w:val="BodyText"/>
        <w:jc w:val="both"/>
        <w:rPr>
          <w:rFonts w:asciiTheme="minorHAnsi" w:hAnsiTheme="minorHAnsi"/>
        </w:rPr>
      </w:pPr>
      <w:r w:rsidRPr="000B7B8D">
        <w:rPr>
          <w:rFonts w:asciiTheme="minorHAnsi" w:hAnsiTheme="minorHAnsi"/>
        </w:rPr>
        <w:t xml:space="preserve">Accompanying this surge </w:t>
      </w:r>
      <w:r w:rsidR="00EA0165" w:rsidRPr="000B7B8D">
        <w:rPr>
          <w:rFonts w:asciiTheme="minorHAnsi" w:hAnsiTheme="minorHAnsi"/>
        </w:rPr>
        <w:t xml:space="preserve">have been periodic demands from the major schemes and their customers for public recognition of </w:t>
      </w:r>
      <w:r w:rsidR="00395A5D" w:rsidRPr="000B7B8D">
        <w:rPr>
          <w:rFonts w:asciiTheme="minorHAnsi" w:hAnsiTheme="minorHAnsi"/>
        </w:rPr>
        <w:t xml:space="preserve">private </w:t>
      </w:r>
      <w:r w:rsidR="00EA0165" w:rsidRPr="000B7B8D">
        <w:rPr>
          <w:rFonts w:asciiTheme="minorHAnsi" w:hAnsiTheme="minorHAnsi"/>
        </w:rPr>
        <w:t>certification as evidence of due diligence and as a “safe harbor” against liability for illegal timbe</w:t>
      </w:r>
      <w:r w:rsidR="002E7F59" w:rsidRPr="000B7B8D">
        <w:rPr>
          <w:rFonts w:asciiTheme="minorHAnsi" w:hAnsiTheme="minorHAnsi"/>
        </w:rPr>
        <w:t>r trafficking.  B</w:t>
      </w:r>
      <w:r w:rsidR="00EA0165" w:rsidRPr="000B7B8D">
        <w:rPr>
          <w:rFonts w:asciiTheme="minorHAnsi" w:hAnsiTheme="minorHAnsi"/>
        </w:rPr>
        <w:t xml:space="preserve">oth the FSC and the PEFC have urged the </w:t>
      </w:r>
      <w:r w:rsidR="00041AB0" w:rsidRPr="000B7B8D">
        <w:rPr>
          <w:rFonts w:asciiTheme="minorHAnsi" w:hAnsiTheme="minorHAnsi"/>
        </w:rPr>
        <w:t xml:space="preserve">European Commission and the national Competent Authorities to </w:t>
      </w:r>
      <w:r w:rsidR="00EF57AA" w:rsidRPr="000B7B8D">
        <w:rPr>
          <w:rFonts w:asciiTheme="minorHAnsi" w:hAnsiTheme="minorHAnsi"/>
        </w:rPr>
        <w:t xml:space="preserve">harmonize their </w:t>
      </w:r>
      <w:r w:rsidR="006E6897" w:rsidRPr="000B7B8D">
        <w:rPr>
          <w:rFonts w:asciiTheme="minorHAnsi" w:hAnsiTheme="minorHAnsi"/>
        </w:rPr>
        <w:t xml:space="preserve">approach to </w:t>
      </w:r>
      <w:r w:rsidR="002E7F59" w:rsidRPr="000B7B8D">
        <w:rPr>
          <w:rFonts w:asciiTheme="minorHAnsi" w:hAnsiTheme="minorHAnsi"/>
        </w:rPr>
        <w:t xml:space="preserve">the use of private certification in EUTR compliance, </w:t>
      </w:r>
      <w:r w:rsidR="009E7146" w:rsidRPr="000B7B8D">
        <w:rPr>
          <w:rFonts w:asciiTheme="minorHAnsi" w:hAnsiTheme="minorHAnsi"/>
        </w:rPr>
        <w:t>whether</w:t>
      </w:r>
      <w:r w:rsidR="002E7F59" w:rsidRPr="000B7B8D">
        <w:rPr>
          <w:rFonts w:asciiTheme="minorHAnsi" w:hAnsiTheme="minorHAnsi"/>
        </w:rPr>
        <w:t xml:space="preserve"> by </w:t>
      </w:r>
      <w:r w:rsidR="00395D04" w:rsidRPr="000B7B8D">
        <w:rPr>
          <w:rFonts w:asciiTheme="minorHAnsi" w:hAnsiTheme="minorHAnsi"/>
        </w:rPr>
        <w:t>providing</w:t>
      </w:r>
      <w:r w:rsidR="002E7F59" w:rsidRPr="000B7B8D">
        <w:rPr>
          <w:rFonts w:asciiTheme="minorHAnsi" w:hAnsiTheme="minorHAnsi"/>
        </w:rPr>
        <w:t xml:space="preserve"> regularly updated EU-wide </w:t>
      </w:r>
      <w:r w:rsidR="005631A6" w:rsidRPr="000B7B8D">
        <w:rPr>
          <w:rFonts w:asciiTheme="minorHAnsi" w:hAnsiTheme="minorHAnsi"/>
        </w:rPr>
        <w:t>evaluations</w:t>
      </w:r>
      <w:r w:rsidR="002E7F59" w:rsidRPr="000B7B8D">
        <w:rPr>
          <w:rFonts w:asciiTheme="minorHAnsi" w:hAnsiTheme="minorHAnsi"/>
        </w:rPr>
        <w:t xml:space="preserve"> of their </w:t>
      </w:r>
      <w:r w:rsidR="00902542" w:rsidRPr="000B7B8D">
        <w:rPr>
          <w:rFonts w:asciiTheme="minorHAnsi" w:hAnsiTheme="minorHAnsi"/>
        </w:rPr>
        <w:t xml:space="preserve">risk assessment and </w:t>
      </w:r>
      <w:r w:rsidR="002E7F59" w:rsidRPr="000B7B8D">
        <w:rPr>
          <w:rFonts w:asciiTheme="minorHAnsi" w:hAnsiTheme="minorHAnsi"/>
        </w:rPr>
        <w:t xml:space="preserve">legality verification procedures </w:t>
      </w:r>
      <w:r w:rsidR="00902542" w:rsidRPr="000B7B8D">
        <w:rPr>
          <w:rFonts w:asciiTheme="minorHAnsi" w:hAnsiTheme="minorHAnsi"/>
        </w:rPr>
        <w:t xml:space="preserve">(FSC 2015), or by </w:t>
      </w:r>
      <w:r w:rsidR="00395D04" w:rsidRPr="000B7B8D">
        <w:rPr>
          <w:rFonts w:asciiTheme="minorHAnsi" w:hAnsiTheme="minorHAnsi"/>
        </w:rPr>
        <w:t>recogniz</w:t>
      </w:r>
      <w:r w:rsidR="00902542" w:rsidRPr="000B7B8D">
        <w:rPr>
          <w:rFonts w:asciiTheme="minorHAnsi" w:hAnsiTheme="minorHAnsi"/>
        </w:rPr>
        <w:t>ing</w:t>
      </w:r>
      <w:r w:rsidR="00041AB0" w:rsidRPr="000B7B8D">
        <w:rPr>
          <w:rFonts w:asciiTheme="minorHAnsi" w:hAnsiTheme="minorHAnsi"/>
        </w:rPr>
        <w:t xml:space="preserve"> </w:t>
      </w:r>
      <w:r w:rsidR="00902542" w:rsidRPr="000B7B8D">
        <w:rPr>
          <w:rFonts w:asciiTheme="minorHAnsi" w:hAnsiTheme="minorHAnsi"/>
        </w:rPr>
        <w:t xml:space="preserve">approved </w:t>
      </w:r>
      <w:r w:rsidR="00041AB0" w:rsidRPr="000B7B8D">
        <w:rPr>
          <w:rFonts w:asciiTheme="minorHAnsi" w:hAnsiTheme="minorHAnsi"/>
        </w:rPr>
        <w:t xml:space="preserve">“EUTR-compatible” certification as proof of “negligible risk” and </w:t>
      </w:r>
      <w:r w:rsidR="00902542" w:rsidRPr="000B7B8D">
        <w:rPr>
          <w:rFonts w:asciiTheme="minorHAnsi" w:hAnsiTheme="minorHAnsi"/>
        </w:rPr>
        <w:t>ultimately</w:t>
      </w:r>
      <w:r w:rsidR="00041AB0" w:rsidRPr="000B7B8D">
        <w:rPr>
          <w:rFonts w:asciiTheme="minorHAnsi" w:hAnsiTheme="minorHAnsi"/>
        </w:rPr>
        <w:t xml:space="preserve"> as a</w:t>
      </w:r>
      <w:r w:rsidR="00902542" w:rsidRPr="000B7B8D">
        <w:rPr>
          <w:rFonts w:asciiTheme="minorHAnsi" w:hAnsiTheme="minorHAnsi"/>
        </w:rPr>
        <w:t xml:space="preserve"> </w:t>
      </w:r>
      <w:r w:rsidR="00041AB0" w:rsidRPr="000B7B8D">
        <w:rPr>
          <w:rFonts w:asciiTheme="minorHAnsi" w:hAnsiTheme="minorHAnsi"/>
        </w:rPr>
        <w:t>“green lane” into the European market</w:t>
      </w:r>
      <w:r w:rsidR="00902542" w:rsidRPr="000B7B8D">
        <w:rPr>
          <w:rFonts w:asciiTheme="minorHAnsi" w:hAnsiTheme="minorHAnsi"/>
        </w:rPr>
        <w:t xml:space="preserve"> (PEFC 2015</w:t>
      </w:r>
      <w:r w:rsidR="006E3641" w:rsidRPr="000B7B8D">
        <w:rPr>
          <w:rFonts w:asciiTheme="minorHAnsi" w:hAnsiTheme="minorHAnsi"/>
        </w:rPr>
        <w:t>a</w:t>
      </w:r>
      <w:r w:rsidR="00902542" w:rsidRPr="000B7B8D">
        <w:rPr>
          <w:rFonts w:asciiTheme="minorHAnsi" w:hAnsiTheme="minorHAnsi"/>
        </w:rPr>
        <w:t>).</w:t>
      </w:r>
      <w:r w:rsidR="00757169" w:rsidRPr="000B7B8D">
        <w:rPr>
          <w:rFonts w:asciiTheme="minorHAnsi" w:hAnsiTheme="minorHAnsi"/>
        </w:rPr>
        <w:t xml:space="preserve">  </w:t>
      </w:r>
      <w:r w:rsidR="00395D04" w:rsidRPr="000B7B8D">
        <w:rPr>
          <w:rFonts w:asciiTheme="minorHAnsi" w:hAnsiTheme="minorHAnsi"/>
        </w:rPr>
        <w:t xml:space="preserve">Large wood </w:t>
      </w:r>
      <w:r w:rsidR="00C027EB" w:rsidRPr="000B7B8D">
        <w:rPr>
          <w:rFonts w:asciiTheme="minorHAnsi" w:hAnsiTheme="minorHAnsi"/>
        </w:rPr>
        <w:t>operators</w:t>
      </w:r>
      <w:r w:rsidR="00395D04" w:rsidRPr="000B7B8D">
        <w:rPr>
          <w:rFonts w:asciiTheme="minorHAnsi" w:hAnsiTheme="minorHAnsi"/>
        </w:rPr>
        <w:t xml:space="preserve"> such as IKEA, which maintains a demanding due diligence system for its complex global supply chain, have likewise pressed the EU to recognize international forest certification schemes </w:t>
      </w:r>
      <w:r w:rsidR="00225258" w:rsidRPr="000B7B8D">
        <w:rPr>
          <w:rFonts w:asciiTheme="minorHAnsi" w:hAnsiTheme="minorHAnsi"/>
        </w:rPr>
        <w:t>like</w:t>
      </w:r>
      <w:r w:rsidR="00395D04" w:rsidRPr="000B7B8D">
        <w:rPr>
          <w:rFonts w:asciiTheme="minorHAnsi" w:hAnsiTheme="minorHAnsi"/>
        </w:rPr>
        <w:t xml:space="preserve"> the FSC “as </w:t>
      </w:r>
      <w:r w:rsidR="00395D04" w:rsidRPr="000B7B8D">
        <w:rPr>
          <w:rFonts w:asciiTheme="minorHAnsi" w:hAnsiTheme="minorHAnsi"/>
          <w:u w:val="single"/>
        </w:rPr>
        <w:t xml:space="preserve">one </w:t>
      </w:r>
      <w:r w:rsidR="00395D04" w:rsidRPr="000B7B8D">
        <w:rPr>
          <w:rFonts w:asciiTheme="minorHAnsi" w:hAnsiTheme="minorHAnsi"/>
        </w:rPr>
        <w:t xml:space="preserve">important part of the necessary due diligence system” in order to </w:t>
      </w:r>
      <w:r w:rsidR="00C027EB" w:rsidRPr="000B7B8D">
        <w:rPr>
          <w:rFonts w:asciiTheme="minorHAnsi" w:hAnsiTheme="minorHAnsi"/>
        </w:rPr>
        <w:t>foster</w:t>
      </w:r>
      <w:r w:rsidR="00395D04" w:rsidRPr="000B7B8D">
        <w:rPr>
          <w:rFonts w:asciiTheme="minorHAnsi" w:hAnsiTheme="minorHAnsi"/>
        </w:rPr>
        <w:t xml:space="preserve"> a common approach to EUTR </w:t>
      </w:r>
      <w:r w:rsidR="00C027EB" w:rsidRPr="000B7B8D">
        <w:rPr>
          <w:rFonts w:asciiTheme="minorHAnsi" w:hAnsiTheme="minorHAnsi"/>
        </w:rPr>
        <w:t>compliance</w:t>
      </w:r>
      <w:r w:rsidR="00395D04" w:rsidRPr="000B7B8D">
        <w:rPr>
          <w:rFonts w:asciiTheme="minorHAnsi" w:hAnsiTheme="minorHAnsi"/>
        </w:rPr>
        <w:t xml:space="preserve"> </w:t>
      </w:r>
      <w:r w:rsidR="00C027EB" w:rsidRPr="000B7B8D">
        <w:rPr>
          <w:rFonts w:asciiTheme="minorHAnsi" w:hAnsiTheme="minorHAnsi"/>
        </w:rPr>
        <w:t>across the 28 member states (IKEA</w:t>
      </w:r>
      <w:r w:rsidR="00187E4F" w:rsidRPr="000B7B8D">
        <w:rPr>
          <w:rFonts w:asciiTheme="minorHAnsi" w:hAnsiTheme="minorHAnsi"/>
        </w:rPr>
        <w:t xml:space="preserve"> 2018; EUTR/FLEGT Expert Group Minutes 7/12/2108). </w:t>
      </w:r>
      <w:r w:rsidR="00225258" w:rsidRPr="000B7B8D">
        <w:rPr>
          <w:rFonts w:asciiTheme="minorHAnsi" w:hAnsiTheme="minorHAnsi"/>
        </w:rPr>
        <w:t xml:space="preserve"> </w:t>
      </w:r>
      <w:r w:rsidR="00696D9B" w:rsidRPr="000B7B8D">
        <w:rPr>
          <w:rFonts w:asciiTheme="minorHAnsi" w:hAnsiTheme="minorHAnsi"/>
        </w:rPr>
        <w:t xml:space="preserve">In the US, too, some industry representatives advocate recognition </w:t>
      </w:r>
      <w:r w:rsidR="00612F51" w:rsidRPr="000B7B8D">
        <w:rPr>
          <w:rFonts w:asciiTheme="minorHAnsi" w:hAnsiTheme="minorHAnsi"/>
        </w:rPr>
        <w:lastRenderedPageBreak/>
        <w:t xml:space="preserve">of FSC certification “as a possiblity to demonstrate due care…while ‘franchising out risks’” (Leipold &amp; Winkel 2016: 42). </w:t>
      </w:r>
      <w:r w:rsidR="00225258" w:rsidRPr="000B7B8D">
        <w:rPr>
          <w:rFonts w:asciiTheme="minorHAnsi" w:hAnsiTheme="minorHAnsi"/>
        </w:rPr>
        <w:t xml:space="preserve"> </w:t>
      </w:r>
      <w:r w:rsidR="000D780D" w:rsidRPr="000B7B8D">
        <w:rPr>
          <w:rFonts w:asciiTheme="minorHAnsi" w:hAnsiTheme="minorHAnsi"/>
        </w:rPr>
        <w:t>Following a</w:t>
      </w:r>
      <w:r w:rsidR="0010768D" w:rsidRPr="000B7B8D">
        <w:rPr>
          <w:rFonts w:asciiTheme="minorHAnsi" w:hAnsiTheme="minorHAnsi"/>
        </w:rPr>
        <w:t>n</w:t>
      </w:r>
      <w:r w:rsidR="000D780D" w:rsidRPr="000B7B8D">
        <w:rPr>
          <w:rFonts w:asciiTheme="minorHAnsi" w:hAnsiTheme="minorHAnsi"/>
        </w:rPr>
        <w:t xml:space="preserve"> </w:t>
      </w:r>
      <w:r w:rsidR="0010768D" w:rsidRPr="000B7B8D">
        <w:rPr>
          <w:rFonts w:asciiTheme="minorHAnsi" w:hAnsiTheme="minorHAnsi"/>
        </w:rPr>
        <w:t>independent consultancy-led</w:t>
      </w:r>
      <w:r w:rsidR="000D780D" w:rsidRPr="000B7B8D">
        <w:rPr>
          <w:rFonts w:asciiTheme="minorHAnsi" w:hAnsiTheme="minorHAnsi"/>
        </w:rPr>
        <w:t xml:space="preserve"> </w:t>
      </w:r>
      <w:r w:rsidR="0010768D" w:rsidRPr="000B7B8D">
        <w:rPr>
          <w:rFonts w:asciiTheme="minorHAnsi" w:hAnsiTheme="minorHAnsi"/>
        </w:rPr>
        <w:t>review</w:t>
      </w:r>
      <w:r w:rsidR="000D780D" w:rsidRPr="000B7B8D">
        <w:rPr>
          <w:rFonts w:asciiTheme="minorHAnsi" w:hAnsiTheme="minorHAnsi"/>
        </w:rPr>
        <w:t xml:space="preserve"> and “Regulatory Impact Statement” on the effects of </w:t>
      </w:r>
      <w:r w:rsidR="009C22FC" w:rsidRPr="000B7B8D">
        <w:rPr>
          <w:rFonts w:asciiTheme="minorHAnsi" w:hAnsiTheme="minorHAnsi"/>
        </w:rPr>
        <w:t>Australia’s illegal logging regulations</w:t>
      </w:r>
      <w:r w:rsidR="000D780D" w:rsidRPr="000B7B8D">
        <w:rPr>
          <w:rFonts w:asciiTheme="minorHAnsi" w:hAnsiTheme="minorHAnsi"/>
        </w:rPr>
        <w:t xml:space="preserve">, </w:t>
      </w:r>
      <w:r w:rsidR="00FB00D9" w:rsidRPr="000B7B8D">
        <w:rPr>
          <w:rFonts w:asciiTheme="minorHAnsi" w:hAnsiTheme="minorHAnsi"/>
        </w:rPr>
        <w:t xml:space="preserve">the </w:t>
      </w:r>
      <w:r w:rsidR="009C22FC" w:rsidRPr="000B7B8D">
        <w:rPr>
          <w:rFonts w:asciiTheme="minorHAnsi" w:hAnsiTheme="minorHAnsi"/>
        </w:rPr>
        <w:t>Liberal-National government</w:t>
      </w:r>
      <w:r w:rsidR="0049085B" w:rsidRPr="000B7B8D">
        <w:rPr>
          <w:rFonts w:asciiTheme="minorHAnsi" w:hAnsiTheme="minorHAnsi"/>
        </w:rPr>
        <w:t>,</w:t>
      </w:r>
      <w:r w:rsidR="009C22FC" w:rsidRPr="000B7B8D">
        <w:rPr>
          <w:rFonts w:asciiTheme="minorHAnsi" w:hAnsiTheme="minorHAnsi"/>
        </w:rPr>
        <w:t xml:space="preserve"> </w:t>
      </w:r>
      <w:r w:rsidR="0049085B" w:rsidRPr="000B7B8D">
        <w:rPr>
          <w:rFonts w:asciiTheme="minorHAnsi" w:hAnsiTheme="minorHAnsi"/>
        </w:rPr>
        <w:t>which</w:t>
      </w:r>
      <w:r w:rsidR="009C22FC" w:rsidRPr="000B7B8D">
        <w:rPr>
          <w:rFonts w:asciiTheme="minorHAnsi" w:hAnsiTheme="minorHAnsi"/>
        </w:rPr>
        <w:t xml:space="preserve"> came to pow</w:t>
      </w:r>
      <w:r w:rsidR="004D4638" w:rsidRPr="000B7B8D">
        <w:rPr>
          <w:rFonts w:asciiTheme="minorHAnsi" w:hAnsiTheme="minorHAnsi"/>
        </w:rPr>
        <w:t>er after the passage of the ILPA</w:t>
      </w:r>
      <w:r w:rsidR="0049085B" w:rsidRPr="000B7B8D">
        <w:rPr>
          <w:rFonts w:asciiTheme="minorHAnsi" w:hAnsiTheme="minorHAnsi"/>
        </w:rPr>
        <w:t>,</w:t>
      </w:r>
      <w:r w:rsidR="009C22FC" w:rsidRPr="000B7B8D">
        <w:rPr>
          <w:rFonts w:asciiTheme="minorHAnsi" w:hAnsiTheme="minorHAnsi"/>
        </w:rPr>
        <w:t xml:space="preserve"> </w:t>
      </w:r>
      <w:r w:rsidR="004D4638" w:rsidRPr="000B7B8D">
        <w:rPr>
          <w:rFonts w:asciiTheme="minorHAnsi" w:hAnsiTheme="minorHAnsi"/>
        </w:rPr>
        <w:t>proposed in 2017</w:t>
      </w:r>
      <w:r w:rsidR="009C22FC" w:rsidRPr="000B7B8D">
        <w:rPr>
          <w:rFonts w:asciiTheme="minorHAnsi" w:hAnsiTheme="minorHAnsi"/>
        </w:rPr>
        <w:t xml:space="preserve"> </w:t>
      </w:r>
      <w:r w:rsidR="00B87AF7" w:rsidRPr="000B7B8D">
        <w:rPr>
          <w:rFonts w:asciiTheme="minorHAnsi" w:hAnsiTheme="minorHAnsi"/>
        </w:rPr>
        <w:t>that</w:t>
      </w:r>
      <w:r w:rsidR="004D4638" w:rsidRPr="000B7B8D">
        <w:rPr>
          <w:rFonts w:asciiTheme="minorHAnsi" w:hAnsiTheme="minorHAnsi"/>
        </w:rPr>
        <w:t xml:space="preserve"> PEFC and FSC certified </w:t>
      </w:r>
      <w:r w:rsidR="0049085B" w:rsidRPr="000B7B8D">
        <w:rPr>
          <w:rFonts w:asciiTheme="minorHAnsi" w:hAnsiTheme="minorHAnsi"/>
        </w:rPr>
        <w:t>timber</w:t>
      </w:r>
      <w:r w:rsidR="004D4638" w:rsidRPr="000B7B8D">
        <w:rPr>
          <w:rFonts w:asciiTheme="minorHAnsi" w:hAnsiTheme="minorHAnsi"/>
        </w:rPr>
        <w:t xml:space="preserve"> </w:t>
      </w:r>
      <w:r w:rsidR="00B87AF7" w:rsidRPr="000B7B8D">
        <w:rPr>
          <w:rFonts w:asciiTheme="minorHAnsi" w:hAnsiTheme="minorHAnsi"/>
        </w:rPr>
        <w:t>should</w:t>
      </w:r>
      <w:r w:rsidR="004D4638" w:rsidRPr="000B7B8D">
        <w:rPr>
          <w:rFonts w:asciiTheme="minorHAnsi" w:hAnsiTheme="minorHAnsi"/>
        </w:rPr>
        <w:t xml:space="preserve"> automatically be “deemed to comply” with the Act’s due diligence requirements in order to reduce the </w:t>
      </w:r>
      <w:r w:rsidR="002F6B5E" w:rsidRPr="000B7B8D">
        <w:rPr>
          <w:rFonts w:asciiTheme="minorHAnsi" w:hAnsiTheme="minorHAnsi"/>
        </w:rPr>
        <w:t xml:space="preserve">cost </w:t>
      </w:r>
      <w:r w:rsidR="004D4638" w:rsidRPr="000B7B8D">
        <w:rPr>
          <w:rFonts w:asciiTheme="minorHAnsi" w:hAnsiTheme="minorHAnsi"/>
        </w:rPr>
        <w:t xml:space="preserve">burden on </w:t>
      </w:r>
      <w:r w:rsidR="0049085B" w:rsidRPr="000B7B8D">
        <w:rPr>
          <w:rFonts w:asciiTheme="minorHAnsi" w:hAnsiTheme="minorHAnsi"/>
        </w:rPr>
        <w:t>businesses (</w:t>
      </w:r>
      <w:r w:rsidR="00395A5D" w:rsidRPr="000B7B8D">
        <w:rPr>
          <w:rFonts w:asciiTheme="minorHAnsi" w:hAnsiTheme="minorHAnsi"/>
        </w:rPr>
        <w:t>ADAWR</w:t>
      </w:r>
      <w:r w:rsidR="0049085B" w:rsidRPr="000B7B8D">
        <w:rPr>
          <w:rFonts w:asciiTheme="minorHAnsi" w:hAnsiTheme="minorHAnsi"/>
        </w:rPr>
        <w:t xml:space="preserve"> 2017, 2018</w:t>
      </w:r>
      <w:r w:rsidR="003F6529" w:rsidRPr="000B7B8D">
        <w:rPr>
          <w:rFonts w:asciiTheme="minorHAnsi" w:hAnsiTheme="minorHAnsi"/>
        </w:rPr>
        <w:t>a</w:t>
      </w:r>
      <w:r w:rsidR="0049085B" w:rsidRPr="000B7B8D">
        <w:rPr>
          <w:rFonts w:asciiTheme="minorHAnsi" w:hAnsiTheme="minorHAnsi"/>
        </w:rPr>
        <w:t>).</w:t>
      </w:r>
    </w:p>
    <w:p w14:paraId="4A989784" w14:textId="2FE55399" w:rsidR="00041AB0" w:rsidRPr="000B7B8D" w:rsidRDefault="0049085B" w:rsidP="00B5702B">
      <w:pPr>
        <w:pStyle w:val="BodyText"/>
        <w:jc w:val="both"/>
        <w:rPr>
          <w:rFonts w:asciiTheme="minorHAnsi" w:hAnsiTheme="minorHAnsi"/>
        </w:rPr>
      </w:pPr>
      <w:r w:rsidRPr="000B7B8D">
        <w:rPr>
          <w:rFonts w:asciiTheme="minorHAnsi" w:hAnsiTheme="minorHAnsi"/>
        </w:rPr>
        <w:t xml:space="preserve">So far, however, none of these proposals for </w:t>
      </w:r>
      <w:r w:rsidR="00B87AF7" w:rsidRPr="000B7B8D">
        <w:rPr>
          <w:rFonts w:asciiTheme="minorHAnsi" w:hAnsiTheme="minorHAnsi"/>
        </w:rPr>
        <w:t xml:space="preserve">public </w:t>
      </w:r>
      <w:r w:rsidRPr="000B7B8D">
        <w:rPr>
          <w:rFonts w:asciiTheme="minorHAnsi" w:hAnsiTheme="minorHAnsi"/>
        </w:rPr>
        <w:t xml:space="preserve">recognition of private forest certification have been accepted, with the </w:t>
      </w:r>
      <w:r w:rsidR="0028049B" w:rsidRPr="000B7B8D">
        <w:rPr>
          <w:rFonts w:asciiTheme="minorHAnsi" w:hAnsiTheme="minorHAnsi"/>
        </w:rPr>
        <w:t xml:space="preserve">partial </w:t>
      </w:r>
      <w:r w:rsidRPr="000B7B8D">
        <w:rPr>
          <w:rFonts w:asciiTheme="minorHAnsi" w:hAnsiTheme="minorHAnsi"/>
        </w:rPr>
        <w:t>exception of the 2017 South Korean legislation.</w:t>
      </w:r>
      <w:r w:rsidR="0028049B" w:rsidRPr="000B7B8D">
        <w:rPr>
          <w:rStyle w:val="FootnoteReference"/>
          <w:rFonts w:asciiTheme="minorHAnsi" w:hAnsiTheme="minorHAnsi"/>
        </w:rPr>
        <w:footnoteReference w:id="26"/>
      </w:r>
      <w:r w:rsidRPr="000B7B8D">
        <w:rPr>
          <w:rFonts w:asciiTheme="minorHAnsi" w:hAnsiTheme="minorHAnsi"/>
        </w:rPr>
        <w:t xml:space="preserve">  </w:t>
      </w:r>
      <w:r w:rsidR="00B41BC9" w:rsidRPr="000B7B8D">
        <w:rPr>
          <w:rFonts w:asciiTheme="minorHAnsi" w:hAnsiTheme="minorHAnsi"/>
        </w:rPr>
        <w:t xml:space="preserve">US authorities have been clear from the outset </w:t>
      </w:r>
      <w:r w:rsidR="00E07C36" w:rsidRPr="000B7B8D">
        <w:rPr>
          <w:rFonts w:asciiTheme="minorHAnsi" w:hAnsiTheme="minorHAnsi"/>
        </w:rPr>
        <w:t xml:space="preserve">that private certification, </w:t>
      </w:r>
      <w:r w:rsidR="00913B20" w:rsidRPr="000B7B8D">
        <w:rPr>
          <w:rFonts w:asciiTheme="minorHAnsi" w:hAnsiTheme="minorHAnsi"/>
        </w:rPr>
        <w:t>although</w:t>
      </w:r>
      <w:r w:rsidR="00E07C36" w:rsidRPr="000B7B8D">
        <w:rPr>
          <w:rFonts w:asciiTheme="minorHAnsi" w:hAnsiTheme="minorHAnsi"/>
        </w:rPr>
        <w:t xml:space="preserve"> useful in </w:t>
      </w:r>
      <w:r w:rsidR="00A074E6" w:rsidRPr="000B7B8D">
        <w:rPr>
          <w:rFonts w:asciiTheme="minorHAnsi" w:hAnsiTheme="minorHAnsi"/>
        </w:rPr>
        <w:t>demonstrating due care</w:t>
      </w:r>
      <w:r w:rsidR="00E07C36" w:rsidRPr="000B7B8D">
        <w:rPr>
          <w:rFonts w:asciiTheme="minorHAnsi" w:hAnsiTheme="minorHAnsi"/>
        </w:rPr>
        <w:t xml:space="preserve">, </w:t>
      </w:r>
      <w:r w:rsidR="00A074E6" w:rsidRPr="000B7B8D">
        <w:rPr>
          <w:rFonts w:asciiTheme="minorHAnsi" w:hAnsiTheme="minorHAnsi"/>
        </w:rPr>
        <w:t xml:space="preserve">does not absolve operators of liability for Lacey Act violations, </w:t>
      </w:r>
      <w:r w:rsidR="00B87AF7" w:rsidRPr="000B7B8D">
        <w:rPr>
          <w:rFonts w:asciiTheme="minorHAnsi" w:hAnsiTheme="minorHAnsi"/>
        </w:rPr>
        <w:t>and</w:t>
      </w:r>
      <w:r w:rsidR="00A074E6" w:rsidRPr="000B7B8D">
        <w:rPr>
          <w:rFonts w:asciiTheme="minorHAnsi" w:hAnsiTheme="minorHAnsi"/>
        </w:rPr>
        <w:t xml:space="preserve"> </w:t>
      </w:r>
      <w:r w:rsidR="00913B20" w:rsidRPr="000B7B8D">
        <w:rPr>
          <w:rFonts w:asciiTheme="minorHAnsi" w:hAnsiTheme="minorHAnsi"/>
        </w:rPr>
        <w:t xml:space="preserve">the </w:t>
      </w:r>
      <w:r w:rsidR="001B3107" w:rsidRPr="000B7B8D">
        <w:rPr>
          <w:rFonts w:asciiTheme="minorHAnsi" w:hAnsiTheme="minorHAnsi"/>
        </w:rPr>
        <w:t>“</w:t>
      </w:r>
      <w:r w:rsidR="00913B20" w:rsidRPr="000B7B8D">
        <w:rPr>
          <w:rFonts w:asciiTheme="minorHAnsi" w:hAnsiTheme="minorHAnsi"/>
        </w:rPr>
        <w:t>main suppliers</w:t>
      </w:r>
      <w:r w:rsidR="001B3107" w:rsidRPr="000B7B8D">
        <w:rPr>
          <w:rFonts w:asciiTheme="minorHAnsi" w:hAnsiTheme="minorHAnsi"/>
        </w:rPr>
        <w:t>”</w:t>
      </w:r>
      <w:r w:rsidR="00913B20" w:rsidRPr="000B7B8D">
        <w:rPr>
          <w:rFonts w:asciiTheme="minorHAnsi" w:hAnsiTheme="minorHAnsi"/>
        </w:rPr>
        <w:t xml:space="preserve"> in all of the recent high-profile LTPA cases (including Lumber Liquidators) were “FSC-certified in some capacity” (Johnson &amp; Gehl</w:t>
      </w:r>
      <w:r w:rsidR="004D6DF6" w:rsidRPr="000B7B8D">
        <w:rPr>
          <w:rFonts w:asciiTheme="minorHAnsi" w:hAnsiTheme="minorHAnsi"/>
        </w:rPr>
        <w:t xml:space="preserve"> 2019</w:t>
      </w:r>
      <w:r w:rsidR="00913B20" w:rsidRPr="000B7B8D">
        <w:rPr>
          <w:rFonts w:asciiTheme="minorHAnsi" w:hAnsiTheme="minorHAnsi"/>
        </w:rPr>
        <w:t xml:space="preserve">;  </w:t>
      </w:r>
      <w:r w:rsidR="004D6DF6" w:rsidRPr="000B7B8D">
        <w:rPr>
          <w:rFonts w:asciiTheme="minorHAnsi" w:hAnsiTheme="minorHAnsi"/>
        </w:rPr>
        <w:t>Conniff 2018).</w:t>
      </w:r>
      <w:r w:rsidR="001B3107" w:rsidRPr="000B7B8D">
        <w:rPr>
          <w:rFonts w:asciiTheme="minorHAnsi" w:hAnsiTheme="minorHAnsi"/>
        </w:rPr>
        <w:t xml:space="preserve">  </w:t>
      </w:r>
      <w:r w:rsidR="004314E4" w:rsidRPr="000B7B8D">
        <w:rPr>
          <w:rFonts w:asciiTheme="minorHAnsi" w:hAnsiTheme="minorHAnsi"/>
        </w:rPr>
        <w:t xml:space="preserve">The EUTR/FLEGT Expert Group </w:t>
      </w:r>
      <w:r w:rsidR="00EB5302" w:rsidRPr="000B7B8D">
        <w:rPr>
          <w:rFonts w:asciiTheme="minorHAnsi" w:hAnsiTheme="minorHAnsi"/>
        </w:rPr>
        <w:t xml:space="preserve">recognizes the need to clarify and improve its guidance to </w:t>
      </w:r>
      <w:r w:rsidR="00F1513A" w:rsidRPr="000B7B8D">
        <w:rPr>
          <w:rFonts w:asciiTheme="minorHAnsi" w:hAnsiTheme="minorHAnsi"/>
        </w:rPr>
        <w:t>CAs and operators</w:t>
      </w:r>
      <w:r w:rsidR="00EB5302" w:rsidRPr="000B7B8D">
        <w:rPr>
          <w:rFonts w:asciiTheme="minorHAnsi" w:hAnsiTheme="minorHAnsi"/>
        </w:rPr>
        <w:t xml:space="preserve"> on the </w:t>
      </w:r>
      <w:r w:rsidR="00F1513A" w:rsidRPr="000B7B8D">
        <w:rPr>
          <w:rFonts w:asciiTheme="minorHAnsi" w:hAnsiTheme="minorHAnsi"/>
        </w:rPr>
        <w:t>use of third-party certification in EUTR due diligence, but continues to insist that the latter cannot substitute for independent risk assessments in high-risk areas</w:t>
      </w:r>
      <w:r w:rsidR="001211C3" w:rsidRPr="000B7B8D">
        <w:rPr>
          <w:rFonts w:asciiTheme="minorHAnsi" w:hAnsiTheme="minorHAnsi"/>
        </w:rPr>
        <w:t xml:space="preserve"> (</w:t>
      </w:r>
      <w:r w:rsidR="004D3491" w:rsidRPr="000B7B8D">
        <w:rPr>
          <w:rFonts w:asciiTheme="minorHAnsi" w:hAnsiTheme="minorHAnsi"/>
        </w:rPr>
        <w:t>Hinrichs interview; EUTR/FLEGT Expert Group Minutes 19/4/18; Fores</w:t>
      </w:r>
      <w:r w:rsidR="00032225" w:rsidRPr="000B7B8D">
        <w:rPr>
          <w:rFonts w:asciiTheme="minorHAnsi" w:hAnsiTheme="minorHAnsi"/>
        </w:rPr>
        <w:t>t Trends 2016)</w:t>
      </w:r>
      <w:r w:rsidR="00B87AF7" w:rsidRPr="000B7B8D">
        <w:rPr>
          <w:rFonts w:asciiTheme="minorHAnsi" w:hAnsiTheme="minorHAnsi"/>
        </w:rPr>
        <w:t xml:space="preserve">.  Thus in </w:t>
      </w:r>
      <w:r w:rsidR="00F1513A" w:rsidRPr="000B7B8D">
        <w:rPr>
          <w:rFonts w:asciiTheme="minorHAnsi" w:hAnsiTheme="minorHAnsi"/>
        </w:rPr>
        <w:t xml:space="preserve">March 2018, an operator importing FSC-certified wood from Cameroon was fined by the UK CA for failing to conduct due diligence on its legality (UNEP-WCMC </w:t>
      </w:r>
      <w:r w:rsidR="00F1513A" w:rsidRPr="000B7B8D">
        <w:rPr>
          <w:rFonts w:asciiTheme="minorHAnsi" w:hAnsiTheme="minorHAnsi"/>
          <w:i/>
        </w:rPr>
        <w:t>Briefing Note</w:t>
      </w:r>
      <w:r w:rsidR="00F1513A" w:rsidRPr="000B7B8D">
        <w:rPr>
          <w:rFonts w:asciiTheme="minorHAnsi" w:hAnsiTheme="minorHAnsi"/>
        </w:rPr>
        <w:t xml:space="preserve"> Feb-Mar. 2018).</w:t>
      </w:r>
      <w:r w:rsidR="007C57BA" w:rsidRPr="000B7B8D">
        <w:rPr>
          <w:rFonts w:asciiTheme="minorHAnsi" w:hAnsiTheme="minorHAnsi"/>
        </w:rPr>
        <w:t xml:space="preserve">  In Australia, </w:t>
      </w:r>
      <w:r w:rsidR="00032225" w:rsidRPr="000B7B8D">
        <w:rPr>
          <w:rFonts w:asciiTheme="minorHAnsi" w:hAnsiTheme="minorHAnsi"/>
        </w:rPr>
        <w:t>the government’</w:t>
      </w:r>
      <w:r w:rsidR="004D6EA4" w:rsidRPr="000B7B8D">
        <w:rPr>
          <w:rFonts w:asciiTheme="minorHAnsi" w:hAnsiTheme="minorHAnsi"/>
        </w:rPr>
        <w:t xml:space="preserve">s proposed “deemed to comply” arrangement for certified wood imports were rejected by the Senate </w:t>
      </w:r>
      <w:r w:rsidR="008D1324" w:rsidRPr="000B7B8D">
        <w:rPr>
          <w:rFonts w:asciiTheme="minorHAnsi" w:hAnsiTheme="minorHAnsi"/>
        </w:rPr>
        <w:t xml:space="preserve">in the face of </w:t>
      </w:r>
      <w:r w:rsidR="00225258" w:rsidRPr="000B7B8D">
        <w:rPr>
          <w:rFonts w:asciiTheme="minorHAnsi" w:hAnsiTheme="minorHAnsi"/>
        </w:rPr>
        <w:t>criticisms</w:t>
      </w:r>
      <w:r w:rsidR="008D1324" w:rsidRPr="000B7B8D">
        <w:rPr>
          <w:rFonts w:asciiTheme="minorHAnsi" w:hAnsiTheme="minorHAnsi"/>
        </w:rPr>
        <w:t xml:space="preserve"> from </w:t>
      </w:r>
      <w:r w:rsidR="004D79AD" w:rsidRPr="000B7B8D">
        <w:rPr>
          <w:rFonts w:asciiTheme="minorHAnsi" w:hAnsiTheme="minorHAnsi"/>
        </w:rPr>
        <w:t>transnational</w:t>
      </w:r>
      <w:r w:rsidR="008D1324" w:rsidRPr="000B7B8D">
        <w:rPr>
          <w:rFonts w:asciiTheme="minorHAnsi" w:hAnsiTheme="minorHAnsi"/>
        </w:rPr>
        <w:t xml:space="preserve"> NGOs such as Forest Trends</w:t>
      </w:r>
      <w:r w:rsidR="004D79AD" w:rsidRPr="000B7B8D">
        <w:rPr>
          <w:rFonts w:asciiTheme="minorHAnsi" w:hAnsiTheme="minorHAnsi"/>
        </w:rPr>
        <w:t>,</w:t>
      </w:r>
      <w:r w:rsidR="008D1324" w:rsidRPr="000B7B8D">
        <w:rPr>
          <w:rFonts w:asciiTheme="minorHAnsi" w:hAnsiTheme="minorHAnsi"/>
        </w:rPr>
        <w:t xml:space="preserve"> </w:t>
      </w:r>
      <w:r w:rsidR="00761B87" w:rsidRPr="000B7B8D">
        <w:rPr>
          <w:rFonts w:asciiTheme="minorHAnsi" w:hAnsiTheme="minorHAnsi"/>
        </w:rPr>
        <w:t xml:space="preserve">who </w:t>
      </w:r>
      <w:r w:rsidR="004E02CE" w:rsidRPr="000B7B8D">
        <w:rPr>
          <w:rFonts w:asciiTheme="minorHAnsi" w:hAnsiTheme="minorHAnsi"/>
        </w:rPr>
        <w:t xml:space="preserve">emphasized the “well-documented problem” of “fraud within even the most robust certification schemes”, </w:t>
      </w:r>
      <w:r w:rsidR="00161BFE" w:rsidRPr="000B7B8D">
        <w:rPr>
          <w:rFonts w:asciiTheme="minorHAnsi" w:hAnsiTheme="minorHAnsi"/>
        </w:rPr>
        <w:t>including</w:t>
      </w:r>
      <w:r w:rsidR="004E02CE" w:rsidRPr="000B7B8D">
        <w:rPr>
          <w:rFonts w:asciiTheme="minorHAnsi" w:hAnsiTheme="minorHAnsi"/>
        </w:rPr>
        <w:t xml:space="preserve"> the FSC, and their “challenges in controlling chain of custody, particularly through any sort of processing </w:t>
      </w:r>
      <w:r w:rsidR="00811543" w:rsidRPr="000B7B8D">
        <w:rPr>
          <w:rFonts w:asciiTheme="minorHAnsi" w:hAnsiTheme="minorHAnsi"/>
        </w:rPr>
        <w:t>or multi-country trade hubs”</w:t>
      </w:r>
      <w:r w:rsidR="00B5702B" w:rsidRPr="000B7B8D">
        <w:rPr>
          <w:rFonts w:asciiTheme="minorHAnsi" w:hAnsiTheme="minorHAnsi"/>
        </w:rPr>
        <w:t xml:space="preserve">, </w:t>
      </w:r>
      <w:r w:rsidR="00B0224F" w:rsidRPr="000B7B8D">
        <w:rPr>
          <w:rFonts w:asciiTheme="minorHAnsi" w:hAnsiTheme="minorHAnsi"/>
        </w:rPr>
        <w:t xml:space="preserve">as well as </w:t>
      </w:r>
      <w:r w:rsidR="00225258" w:rsidRPr="000B7B8D">
        <w:rPr>
          <w:rFonts w:asciiTheme="minorHAnsi" w:hAnsiTheme="minorHAnsi"/>
        </w:rPr>
        <w:t xml:space="preserve">opposition </w:t>
      </w:r>
      <w:r w:rsidR="00B0224F" w:rsidRPr="000B7B8D">
        <w:rPr>
          <w:rFonts w:asciiTheme="minorHAnsi" w:hAnsiTheme="minorHAnsi"/>
        </w:rPr>
        <w:lastRenderedPageBreak/>
        <w:t>from domestic producer interests like the forestry workers’ union</w:t>
      </w:r>
      <w:r w:rsidR="000D592D" w:rsidRPr="000B7B8D">
        <w:rPr>
          <w:rFonts w:asciiTheme="minorHAnsi" w:hAnsiTheme="minorHAnsi"/>
        </w:rPr>
        <w:t xml:space="preserve"> (</w:t>
      </w:r>
      <w:r w:rsidR="004D79AD" w:rsidRPr="000B7B8D">
        <w:rPr>
          <w:rFonts w:asciiTheme="minorHAnsi" w:hAnsiTheme="minorHAnsi"/>
        </w:rPr>
        <w:t xml:space="preserve">Forest Trends 2016; </w:t>
      </w:r>
      <w:hyperlink r:id="rId21" w:history="1">
        <w:r w:rsidR="004454C0" w:rsidRPr="00E57AD5">
          <w:rPr>
            <w:rStyle w:val="Hyperlink"/>
            <w:rFonts w:asciiTheme="minorHAnsi" w:hAnsiTheme="minorHAnsi"/>
          </w:rPr>
          <w:t>https://issuu.com/timberandforestryenews/docs/issue_498</w:t>
        </w:r>
      </w:hyperlink>
      <w:r w:rsidR="000D592D" w:rsidRPr="000B7B8D">
        <w:rPr>
          <w:rFonts w:asciiTheme="minorHAnsi" w:hAnsiTheme="minorHAnsi"/>
        </w:rPr>
        <w:t>)</w:t>
      </w:r>
      <w:r w:rsidR="0054564A" w:rsidRPr="000B7B8D">
        <w:rPr>
          <w:rFonts w:asciiTheme="minorHAnsi" w:hAnsiTheme="minorHAnsi"/>
        </w:rPr>
        <w:t>.</w:t>
      </w:r>
    </w:p>
    <w:p w14:paraId="16BCD47D" w14:textId="2BA57E09" w:rsidR="00D86C47" w:rsidRPr="000B7B8D" w:rsidRDefault="00B87AF7" w:rsidP="00570F41">
      <w:pPr>
        <w:pStyle w:val="BodyText"/>
        <w:jc w:val="both"/>
        <w:rPr>
          <w:rFonts w:asciiTheme="minorHAnsi" w:hAnsiTheme="minorHAnsi"/>
        </w:rPr>
      </w:pPr>
      <w:r w:rsidRPr="000B7B8D">
        <w:rPr>
          <w:rFonts w:asciiTheme="minorHAnsi" w:hAnsiTheme="minorHAnsi"/>
        </w:rPr>
        <w:t>In the longer term, it is conceivable that the EUTR/FLEGT Expert Group and</w:t>
      </w:r>
      <w:r w:rsidR="005E5310" w:rsidRPr="000B7B8D">
        <w:rPr>
          <w:rFonts w:asciiTheme="minorHAnsi" w:hAnsiTheme="minorHAnsi"/>
        </w:rPr>
        <w:t>/or</w:t>
      </w:r>
      <w:r w:rsidRPr="000B7B8D">
        <w:rPr>
          <w:rFonts w:asciiTheme="minorHAnsi" w:hAnsiTheme="minorHAnsi"/>
        </w:rPr>
        <w:t xml:space="preserve"> the TREE network could take responsibility for </w:t>
      </w:r>
      <w:r w:rsidR="005E5310" w:rsidRPr="000B7B8D">
        <w:rPr>
          <w:rFonts w:asciiTheme="minorHAnsi" w:hAnsiTheme="minorHAnsi"/>
        </w:rPr>
        <w:t>producing</w:t>
      </w:r>
      <w:r w:rsidR="005631A6" w:rsidRPr="000B7B8D">
        <w:rPr>
          <w:rFonts w:asciiTheme="minorHAnsi" w:hAnsiTheme="minorHAnsi"/>
        </w:rPr>
        <w:t xml:space="preserve"> authoritative, </w:t>
      </w:r>
      <w:r w:rsidRPr="000B7B8D">
        <w:rPr>
          <w:rFonts w:asciiTheme="minorHAnsi" w:hAnsiTheme="minorHAnsi"/>
        </w:rPr>
        <w:t xml:space="preserve">regularly updated </w:t>
      </w:r>
      <w:r w:rsidR="005631A6" w:rsidRPr="000B7B8D">
        <w:rPr>
          <w:rFonts w:asciiTheme="minorHAnsi" w:hAnsiTheme="minorHAnsi"/>
        </w:rPr>
        <w:t>evaluations</w:t>
      </w:r>
      <w:r w:rsidRPr="000B7B8D">
        <w:rPr>
          <w:rFonts w:asciiTheme="minorHAnsi" w:hAnsiTheme="minorHAnsi"/>
        </w:rPr>
        <w:t xml:space="preserve"> of private certification schemes’ risk assessment and legality verification procedures, as the FSC proposes, while leaving ultimate liability for trafficking in illegal timber with the operators themselves.  </w:t>
      </w:r>
      <w:r w:rsidR="00AC431E" w:rsidRPr="000B7B8D">
        <w:rPr>
          <w:rFonts w:asciiTheme="minorHAnsi" w:hAnsiTheme="minorHAnsi"/>
        </w:rPr>
        <w:t xml:space="preserve">Such </w:t>
      </w:r>
      <w:r w:rsidR="005E5310" w:rsidRPr="000B7B8D">
        <w:rPr>
          <w:rFonts w:asciiTheme="minorHAnsi" w:hAnsiTheme="minorHAnsi"/>
        </w:rPr>
        <w:t xml:space="preserve">coordinated </w:t>
      </w:r>
      <w:r w:rsidR="005631A6" w:rsidRPr="000B7B8D">
        <w:rPr>
          <w:rFonts w:asciiTheme="minorHAnsi" w:hAnsiTheme="minorHAnsi"/>
        </w:rPr>
        <w:t>evaluations</w:t>
      </w:r>
      <w:r w:rsidR="00AC431E" w:rsidRPr="000B7B8D">
        <w:rPr>
          <w:rFonts w:asciiTheme="minorHAnsi" w:hAnsiTheme="minorHAnsi"/>
        </w:rPr>
        <w:t xml:space="preserve"> could </w:t>
      </w:r>
      <w:r w:rsidR="005E5310" w:rsidRPr="000B7B8D">
        <w:rPr>
          <w:rFonts w:asciiTheme="minorHAnsi" w:hAnsiTheme="minorHAnsi"/>
        </w:rPr>
        <w:t>provide</w:t>
      </w:r>
      <w:r w:rsidR="00AC431E" w:rsidRPr="000B7B8D">
        <w:rPr>
          <w:rFonts w:asciiTheme="minorHAnsi" w:hAnsiTheme="minorHAnsi"/>
        </w:rPr>
        <w:t xml:space="preserve"> greater interpretive consistency </w:t>
      </w:r>
      <w:r w:rsidR="005E5310" w:rsidRPr="000B7B8D">
        <w:rPr>
          <w:rFonts w:asciiTheme="minorHAnsi" w:hAnsiTheme="minorHAnsi"/>
        </w:rPr>
        <w:t xml:space="preserve">and security </w:t>
      </w:r>
      <w:r w:rsidR="00A64E67" w:rsidRPr="000B7B8D">
        <w:rPr>
          <w:rFonts w:asciiTheme="minorHAnsi" w:hAnsiTheme="minorHAnsi"/>
        </w:rPr>
        <w:t xml:space="preserve">for </w:t>
      </w:r>
      <w:r w:rsidR="005631A6" w:rsidRPr="000B7B8D">
        <w:rPr>
          <w:rFonts w:asciiTheme="minorHAnsi" w:hAnsiTheme="minorHAnsi"/>
        </w:rPr>
        <w:t xml:space="preserve">well-intentioned </w:t>
      </w:r>
      <w:r w:rsidR="005E5310" w:rsidRPr="000B7B8D">
        <w:rPr>
          <w:rFonts w:asciiTheme="minorHAnsi" w:hAnsiTheme="minorHAnsi"/>
        </w:rPr>
        <w:t xml:space="preserve">operators </w:t>
      </w:r>
      <w:r w:rsidR="00A64E67" w:rsidRPr="000B7B8D">
        <w:rPr>
          <w:rFonts w:asciiTheme="minorHAnsi" w:hAnsiTheme="minorHAnsi"/>
        </w:rPr>
        <w:t xml:space="preserve">seeking to </w:t>
      </w:r>
      <w:r w:rsidR="005E5310" w:rsidRPr="000B7B8D">
        <w:rPr>
          <w:rFonts w:asciiTheme="minorHAnsi" w:hAnsiTheme="minorHAnsi"/>
        </w:rPr>
        <w:t xml:space="preserve">use private certification </w:t>
      </w:r>
      <w:r w:rsidR="005631A6" w:rsidRPr="000B7B8D">
        <w:rPr>
          <w:rFonts w:asciiTheme="minorHAnsi" w:hAnsiTheme="minorHAnsi"/>
        </w:rPr>
        <w:t>in</w:t>
      </w:r>
      <w:r w:rsidR="005E5310" w:rsidRPr="000B7B8D">
        <w:rPr>
          <w:rFonts w:asciiTheme="minorHAnsi" w:hAnsiTheme="minorHAnsi"/>
        </w:rPr>
        <w:t xml:space="preserve"> </w:t>
      </w:r>
      <w:r w:rsidR="005631A6" w:rsidRPr="000B7B8D">
        <w:rPr>
          <w:rFonts w:asciiTheme="minorHAnsi" w:hAnsiTheme="minorHAnsi"/>
        </w:rPr>
        <w:t>complying</w:t>
      </w:r>
      <w:r w:rsidR="005E5310" w:rsidRPr="000B7B8D">
        <w:rPr>
          <w:rFonts w:asciiTheme="minorHAnsi" w:hAnsiTheme="minorHAnsi"/>
        </w:rPr>
        <w:t xml:space="preserve"> </w:t>
      </w:r>
      <w:r w:rsidR="00A64E67" w:rsidRPr="000B7B8D">
        <w:rPr>
          <w:rFonts w:asciiTheme="minorHAnsi" w:hAnsiTheme="minorHAnsi"/>
        </w:rPr>
        <w:t xml:space="preserve">with </w:t>
      </w:r>
      <w:r w:rsidR="005E5310" w:rsidRPr="000B7B8D">
        <w:rPr>
          <w:rFonts w:asciiTheme="minorHAnsi" w:hAnsiTheme="minorHAnsi"/>
        </w:rPr>
        <w:t xml:space="preserve">public legality regulations </w:t>
      </w:r>
      <w:r w:rsidR="005631A6" w:rsidRPr="000B7B8D">
        <w:rPr>
          <w:rFonts w:asciiTheme="minorHAnsi" w:hAnsiTheme="minorHAnsi"/>
        </w:rPr>
        <w:t xml:space="preserve">in different jurisdictions </w:t>
      </w:r>
      <w:r w:rsidR="005E5310" w:rsidRPr="000B7B8D">
        <w:rPr>
          <w:rFonts w:asciiTheme="minorHAnsi" w:hAnsiTheme="minorHAnsi"/>
        </w:rPr>
        <w:t xml:space="preserve">(Hoekman &amp; Sabel 2019: 8), while </w:t>
      </w:r>
      <w:r w:rsidR="00AB295A" w:rsidRPr="000B7B8D">
        <w:rPr>
          <w:rFonts w:asciiTheme="minorHAnsi" w:hAnsiTheme="minorHAnsi"/>
        </w:rPr>
        <w:t>nonetheless</w:t>
      </w:r>
      <w:r w:rsidR="005631A6" w:rsidRPr="000B7B8D">
        <w:rPr>
          <w:rFonts w:asciiTheme="minorHAnsi" w:hAnsiTheme="minorHAnsi"/>
        </w:rPr>
        <w:t xml:space="preserve"> </w:t>
      </w:r>
      <w:r w:rsidR="005E5310" w:rsidRPr="000B7B8D">
        <w:rPr>
          <w:rFonts w:asciiTheme="minorHAnsi" w:hAnsiTheme="minorHAnsi"/>
        </w:rPr>
        <w:t xml:space="preserve">creating “an environment where companies will invest resources in maintaining their records and reporting to ensure no fraud in the system…or improving the credibility of </w:t>
      </w:r>
      <w:r w:rsidR="005631A6" w:rsidRPr="000B7B8D">
        <w:rPr>
          <w:rFonts w:asciiTheme="minorHAnsi" w:hAnsiTheme="minorHAnsi"/>
        </w:rPr>
        <w:t>[certification] schemes” (Forest Trends 2016).</w:t>
      </w:r>
    </w:p>
    <w:p w14:paraId="38F0E905" w14:textId="713A9EB6" w:rsidR="00C62E31" w:rsidRPr="000B7B8D" w:rsidRDefault="00CD6F3E" w:rsidP="00570F41">
      <w:pPr>
        <w:pStyle w:val="BodyText"/>
        <w:jc w:val="both"/>
        <w:rPr>
          <w:rFonts w:asciiTheme="minorHAnsi" w:hAnsiTheme="minorHAnsi"/>
        </w:rPr>
      </w:pPr>
      <w:r w:rsidRPr="000B7B8D">
        <w:rPr>
          <w:rFonts w:asciiTheme="minorHAnsi" w:hAnsiTheme="minorHAnsi"/>
        </w:rPr>
        <w:t xml:space="preserve">In the meantime, however, </w:t>
      </w:r>
      <w:r w:rsidR="000F7B54" w:rsidRPr="000B7B8D">
        <w:rPr>
          <w:rFonts w:asciiTheme="minorHAnsi" w:hAnsiTheme="minorHAnsi"/>
        </w:rPr>
        <w:t xml:space="preserve">a panoply of organizations, both private and public, have stepped in </w:t>
      </w:r>
      <w:r w:rsidR="00D244F5" w:rsidRPr="000B7B8D">
        <w:rPr>
          <w:rFonts w:asciiTheme="minorHAnsi" w:hAnsiTheme="minorHAnsi"/>
        </w:rPr>
        <w:t xml:space="preserve">to bridge this gap in the transnational timber regime by bringing together reliable, up-to-date information on illegal sourcing risks </w:t>
      </w:r>
      <w:r w:rsidR="000F7B54" w:rsidRPr="000B7B8D">
        <w:rPr>
          <w:rFonts w:asciiTheme="minorHAnsi" w:hAnsiTheme="minorHAnsi"/>
        </w:rPr>
        <w:t>in different countries and sectors.</w:t>
      </w:r>
      <w:r w:rsidR="00D244F5" w:rsidRPr="000B7B8D">
        <w:rPr>
          <w:rFonts w:asciiTheme="minorHAnsi" w:hAnsiTheme="minorHAnsi"/>
        </w:rPr>
        <w:t xml:space="preserve">  </w:t>
      </w:r>
      <w:r w:rsidR="00B87EED" w:rsidRPr="000B7B8D">
        <w:rPr>
          <w:rFonts w:asciiTheme="minorHAnsi" w:hAnsiTheme="minorHAnsi"/>
        </w:rPr>
        <w:t>Thus, for example, the World Resource Instit</w:t>
      </w:r>
      <w:r w:rsidR="008A452F" w:rsidRPr="000B7B8D">
        <w:rPr>
          <w:rFonts w:asciiTheme="minorHAnsi" w:hAnsiTheme="minorHAnsi"/>
        </w:rPr>
        <w:t>ute</w:t>
      </w:r>
      <w:r w:rsidR="00C62E31" w:rsidRPr="000B7B8D">
        <w:rPr>
          <w:rFonts w:asciiTheme="minorHAnsi" w:hAnsiTheme="minorHAnsi"/>
        </w:rPr>
        <w:t xml:space="preserve"> (WRI)</w:t>
      </w:r>
      <w:r w:rsidR="008A452F" w:rsidRPr="000B7B8D">
        <w:rPr>
          <w:rFonts w:asciiTheme="minorHAnsi" w:hAnsiTheme="minorHAnsi"/>
        </w:rPr>
        <w:t xml:space="preserve">, a transnational NGO which was active in the passage of the LTPA, has </w:t>
      </w:r>
      <w:r w:rsidR="00C95001" w:rsidRPr="000B7B8D">
        <w:rPr>
          <w:rFonts w:asciiTheme="minorHAnsi" w:hAnsiTheme="minorHAnsi"/>
        </w:rPr>
        <w:t>created</w:t>
      </w:r>
      <w:r w:rsidR="008A452F" w:rsidRPr="000B7B8D">
        <w:rPr>
          <w:rFonts w:asciiTheme="minorHAnsi" w:hAnsiTheme="minorHAnsi"/>
        </w:rPr>
        <w:t xml:space="preserve"> in collaboration with a network of government, civil society, and business partners an Open Timber Portal </w:t>
      </w:r>
      <w:r w:rsidR="0055345E" w:rsidRPr="000B7B8D">
        <w:rPr>
          <w:rFonts w:asciiTheme="minorHAnsi" w:hAnsiTheme="minorHAnsi"/>
        </w:rPr>
        <w:t xml:space="preserve">to provide quality-controlled information about the legality of forest operations in producer countries, drawing on a variety of sources, including public </w:t>
      </w:r>
      <w:r w:rsidR="00C62E31" w:rsidRPr="000B7B8D">
        <w:rPr>
          <w:rFonts w:asciiTheme="minorHAnsi" w:hAnsiTheme="minorHAnsi"/>
        </w:rPr>
        <w:t xml:space="preserve">and company </w:t>
      </w:r>
      <w:r w:rsidR="0055345E" w:rsidRPr="000B7B8D">
        <w:rPr>
          <w:rFonts w:asciiTheme="minorHAnsi" w:hAnsiTheme="minorHAnsi"/>
        </w:rPr>
        <w:t xml:space="preserve">documents, independent monitoring reports, </w:t>
      </w:r>
      <w:r w:rsidR="00C62E31" w:rsidRPr="000B7B8D">
        <w:rPr>
          <w:rFonts w:asciiTheme="minorHAnsi" w:hAnsiTheme="minorHAnsi"/>
        </w:rPr>
        <w:t xml:space="preserve">and </w:t>
      </w:r>
      <w:r w:rsidR="0055345E" w:rsidRPr="000B7B8D">
        <w:rPr>
          <w:rFonts w:asciiTheme="minorHAnsi" w:hAnsiTheme="minorHAnsi"/>
        </w:rPr>
        <w:t xml:space="preserve">geospatial </w:t>
      </w:r>
      <w:r w:rsidR="00C62E31" w:rsidRPr="000B7B8D">
        <w:rPr>
          <w:rFonts w:asciiTheme="minorHAnsi" w:hAnsiTheme="minorHAnsi"/>
        </w:rPr>
        <w:t>data</w:t>
      </w:r>
      <w:r w:rsidR="0078621F" w:rsidRPr="000B7B8D">
        <w:rPr>
          <w:rFonts w:asciiTheme="minorHAnsi" w:hAnsiTheme="minorHAnsi"/>
        </w:rPr>
        <w:t xml:space="preserve"> </w:t>
      </w:r>
      <w:r w:rsidR="00C62E31" w:rsidRPr="000B7B8D">
        <w:rPr>
          <w:rFonts w:asciiTheme="minorHAnsi" w:hAnsiTheme="minorHAnsi"/>
        </w:rPr>
        <w:t>(</w:t>
      </w:r>
      <w:r w:rsidR="00BF4E0D" w:rsidRPr="000B7B8D">
        <w:rPr>
          <w:rFonts w:asciiTheme="minorHAnsi" w:hAnsiTheme="minorHAnsi"/>
        </w:rPr>
        <w:t>Vallee</w:t>
      </w:r>
      <w:r w:rsidR="00C62E31" w:rsidRPr="000B7B8D">
        <w:rPr>
          <w:rFonts w:asciiTheme="minorHAnsi" w:hAnsiTheme="minorHAnsi"/>
        </w:rPr>
        <w:t xml:space="preserve"> 2017; </w:t>
      </w:r>
      <w:r w:rsidR="001211C3" w:rsidRPr="000B7B8D">
        <w:rPr>
          <w:rFonts w:asciiTheme="minorHAnsi" w:hAnsiTheme="minorHAnsi"/>
        </w:rPr>
        <w:t>TREE meeting summary</w:t>
      </w:r>
      <w:r w:rsidR="006E3641" w:rsidRPr="000B7B8D">
        <w:rPr>
          <w:rFonts w:asciiTheme="minorHAnsi" w:hAnsiTheme="minorHAnsi"/>
        </w:rPr>
        <w:t xml:space="preserve"> </w:t>
      </w:r>
      <w:r w:rsidR="00C62E31" w:rsidRPr="000B7B8D">
        <w:rPr>
          <w:rFonts w:asciiTheme="minorHAnsi" w:hAnsiTheme="minorHAnsi"/>
        </w:rPr>
        <w:t xml:space="preserve">23-25/10/17; </w:t>
      </w:r>
      <w:hyperlink r:id="rId22" w:history="1">
        <w:r w:rsidR="00C62E31" w:rsidRPr="000B7B8D">
          <w:rPr>
            <w:rStyle w:val="Hyperlink"/>
            <w:rFonts w:asciiTheme="minorHAnsi" w:hAnsiTheme="minorHAnsi"/>
          </w:rPr>
          <w:t>http://www.opentimberportal.org/)</w:t>
        </w:r>
      </w:hyperlink>
      <w:r w:rsidR="00C62E31" w:rsidRPr="000B7B8D">
        <w:rPr>
          <w:rFonts w:asciiTheme="minorHAnsi" w:hAnsiTheme="minorHAnsi"/>
        </w:rPr>
        <w:t xml:space="preserve">.  </w:t>
      </w:r>
      <w:r w:rsidR="00A80AC4" w:rsidRPr="000B7B8D">
        <w:rPr>
          <w:rFonts w:asciiTheme="minorHAnsi" w:hAnsiTheme="minorHAnsi"/>
        </w:rPr>
        <w:t xml:space="preserve">The European Forest Institute </w:t>
      </w:r>
      <w:r w:rsidR="00C95001" w:rsidRPr="000B7B8D">
        <w:rPr>
          <w:rFonts w:asciiTheme="minorHAnsi" w:hAnsiTheme="minorHAnsi"/>
        </w:rPr>
        <w:t>coordinates</w:t>
      </w:r>
      <w:r w:rsidR="00D40B83" w:rsidRPr="000B7B8D">
        <w:rPr>
          <w:rFonts w:asciiTheme="minorHAnsi" w:hAnsiTheme="minorHAnsi"/>
        </w:rPr>
        <w:t xml:space="preserve"> a G</w:t>
      </w:r>
      <w:r w:rsidR="006E3802" w:rsidRPr="000B7B8D">
        <w:rPr>
          <w:rFonts w:asciiTheme="minorHAnsi" w:hAnsiTheme="minorHAnsi"/>
        </w:rPr>
        <w:t xml:space="preserve">lobal Timber Tracking Network </w:t>
      </w:r>
      <w:r w:rsidR="008B45C0" w:rsidRPr="000B7B8D">
        <w:rPr>
          <w:rFonts w:asciiTheme="minorHAnsi" w:hAnsiTheme="minorHAnsi"/>
        </w:rPr>
        <w:t xml:space="preserve">(GTTN) </w:t>
      </w:r>
      <w:r w:rsidR="006E3802" w:rsidRPr="000B7B8D">
        <w:rPr>
          <w:rFonts w:asciiTheme="minorHAnsi" w:hAnsiTheme="minorHAnsi"/>
        </w:rPr>
        <w:t xml:space="preserve">to promote </w:t>
      </w:r>
      <w:r w:rsidR="002E4E87" w:rsidRPr="000B7B8D">
        <w:rPr>
          <w:rFonts w:asciiTheme="minorHAnsi" w:hAnsiTheme="minorHAnsi"/>
        </w:rPr>
        <w:t xml:space="preserve">technically </w:t>
      </w:r>
      <w:r w:rsidR="006E3802" w:rsidRPr="000B7B8D">
        <w:rPr>
          <w:rFonts w:asciiTheme="minorHAnsi" w:hAnsiTheme="minorHAnsi"/>
        </w:rPr>
        <w:t>“innovative approaches to verify trade claims of wood-based products”</w:t>
      </w:r>
      <w:r w:rsidR="008B45C0" w:rsidRPr="000B7B8D">
        <w:rPr>
          <w:rFonts w:asciiTheme="minorHAnsi" w:hAnsiTheme="minorHAnsi"/>
        </w:rPr>
        <w:t xml:space="preserve"> through </w:t>
      </w:r>
      <w:r w:rsidR="00C95001" w:rsidRPr="000B7B8D">
        <w:rPr>
          <w:rFonts w:asciiTheme="minorHAnsi" w:hAnsiTheme="minorHAnsi"/>
        </w:rPr>
        <w:t xml:space="preserve">the development of standardized </w:t>
      </w:r>
      <w:r w:rsidR="001E1FF3" w:rsidRPr="000B7B8D">
        <w:rPr>
          <w:rFonts w:asciiTheme="minorHAnsi" w:hAnsiTheme="minorHAnsi"/>
        </w:rPr>
        <w:t xml:space="preserve">testing </w:t>
      </w:r>
      <w:r w:rsidR="00C95001" w:rsidRPr="000B7B8D">
        <w:rPr>
          <w:rFonts w:asciiTheme="minorHAnsi" w:hAnsiTheme="minorHAnsi"/>
        </w:rPr>
        <w:t>protocols and guidelines, a reference database, and a service providers’ directory</w:t>
      </w:r>
      <w:r w:rsidR="001211C3" w:rsidRPr="000B7B8D">
        <w:rPr>
          <w:rFonts w:asciiTheme="minorHAnsi" w:hAnsiTheme="minorHAnsi"/>
        </w:rPr>
        <w:t xml:space="preserve"> (Van Brusselen et al. 2018; </w:t>
      </w:r>
      <w:r w:rsidR="00C95001" w:rsidRPr="000B7B8D">
        <w:rPr>
          <w:rFonts w:asciiTheme="minorHAnsi" w:hAnsiTheme="minorHAnsi"/>
        </w:rPr>
        <w:t xml:space="preserve">Hinrichs interview; </w:t>
      </w:r>
      <w:hyperlink r:id="rId23" w:history="1">
        <w:r w:rsidR="00C95001" w:rsidRPr="000B7B8D">
          <w:rPr>
            <w:rStyle w:val="Hyperlink"/>
            <w:rFonts w:asciiTheme="minorHAnsi" w:hAnsiTheme="minorHAnsi"/>
          </w:rPr>
          <w:t>www.globaltimbertrackingnetwork.org)</w:t>
        </w:r>
      </w:hyperlink>
      <w:r w:rsidR="00C95001" w:rsidRPr="000B7B8D">
        <w:rPr>
          <w:rFonts w:asciiTheme="minorHAnsi" w:hAnsiTheme="minorHAnsi"/>
        </w:rPr>
        <w:t xml:space="preserve">.  </w:t>
      </w:r>
      <w:r w:rsidR="00294101" w:rsidRPr="000B7B8D">
        <w:rPr>
          <w:rFonts w:asciiTheme="minorHAnsi" w:hAnsiTheme="minorHAnsi"/>
        </w:rPr>
        <w:t>BVRio</w:t>
      </w:r>
      <w:r w:rsidR="00B923CB" w:rsidRPr="000B7B8D">
        <w:rPr>
          <w:rFonts w:asciiTheme="minorHAnsi" w:hAnsiTheme="minorHAnsi"/>
        </w:rPr>
        <w:t>, a Brazilian-based multistakeholder organization</w:t>
      </w:r>
      <w:r w:rsidR="006C33E5" w:rsidRPr="000B7B8D">
        <w:rPr>
          <w:rFonts w:asciiTheme="minorHAnsi" w:hAnsiTheme="minorHAnsi"/>
        </w:rPr>
        <w:t xml:space="preserve"> which is now expanding to cover </w:t>
      </w:r>
      <w:r w:rsidR="00F643A6" w:rsidRPr="000B7B8D">
        <w:rPr>
          <w:rFonts w:asciiTheme="minorHAnsi" w:hAnsiTheme="minorHAnsi"/>
        </w:rPr>
        <w:t xml:space="preserve">China, </w:t>
      </w:r>
      <w:r w:rsidR="006C33E5" w:rsidRPr="000B7B8D">
        <w:rPr>
          <w:rFonts w:asciiTheme="minorHAnsi" w:hAnsiTheme="minorHAnsi"/>
        </w:rPr>
        <w:t>Indonesia</w:t>
      </w:r>
      <w:r w:rsidR="00F643A6" w:rsidRPr="000B7B8D">
        <w:rPr>
          <w:rFonts w:asciiTheme="minorHAnsi" w:hAnsiTheme="minorHAnsi"/>
        </w:rPr>
        <w:t>,</w:t>
      </w:r>
      <w:r w:rsidR="006C33E5" w:rsidRPr="000B7B8D">
        <w:rPr>
          <w:rFonts w:asciiTheme="minorHAnsi" w:hAnsiTheme="minorHAnsi"/>
        </w:rPr>
        <w:t xml:space="preserve"> and West Africa</w:t>
      </w:r>
      <w:r w:rsidR="00B923CB" w:rsidRPr="000B7B8D">
        <w:rPr>
          <w:rFonts w:asciiTheme="minorHAnsi" w:hAnsiTheme="minorHAnsi"/>
        </w:rPr>
        <w:t xml:space="preserve">, has established a Responsible Timber Exchange </w:t>
      </w:r>
      <w:r w:rsidR="000F31AB" w:rsidRPr="000B7B8D">
        <w:rPr>
          <w:rFonts w:asciiTheme="minorHAnsi" w:hAnsiTheme="minorHAnsi"/>
        </w:rPr>
        <w:t xml:space="preserve">Platform for trading in legally sourced wood, based on big data analysis of all </w:t>
      </w:r>
      <w:r w:rsidR="000F31AB" w:rsidRPr="000B7B8D">
        <w:rPr>
          <w:rFonts w:asciiTheme="minorHAnsi" w:hAnsiTheme="minorHAnsi"/>
        </w:rPr>
        <w:lastRenderedPageBreak/>
        <w:t>available primary information, including legal documents, infractions and embargoes, and satellite imagery</w:t>
      </w:r>
      <w:r w:rsidR="006C33E5" w:rsidRPr="000B7B8D">
        <w:rPr>
          <w:rFonts w:asciiTheme="minorHAnsi" w:hAnsiTheme="minorHAnsi"/>
        </w:rPr>
        <w:t xml:space="preserve"> (</w:t>
      </w:r>
      <w:r w:rsidR="009F39F7" w:rsidRPr="000B7B8D">
        <w:rPr>
          <w:rFonts w:asciiTheme="minorHAnsi" w:hAnsiTheme="minorHAnsi"/>
        </w:rPr>
        <w:t>Parker</w:t>
      </w:r>
      <w:r w:rsidR="006C33E5" w:rsidRPr="000B7B8D">
        <w:rPr>
          <w:rFonts w:asciiTheme="minorHAnsi" w:hAnsiTheme="minorHAnsi"/>
        </w:rPr>
        <w:t xml:space="preserve"> 2018; </w:t>
      </w:r>
      <w:hyperlink r:id="rId24" w:history="1">
        <w:r w:rsidR="00F643A6" w:rsidRPr="000B7B8D">
          <w:rPr>
            <w:rStyle w:val="Hyperlink"/>
            <w:rFonts w:asciiTheme="minorHAnsi" w:hAnsiTheme="minorHAnsi"/>
          </w:rPr>
          <w:t>www.bvrio.org/timber)</w:t>
        </w:r>
      </w:hyperlink>
      <w:r w:rsidR="006C33E5" w:rsidRPr="000B7B8D">
        <w:rPr>
          <w:rFonts w:asciiTheme="minorHAnsi" w:hAnsiTheme="minorHAnsi"/>
        </w:rPr>
        <w:t>.</w:t>
      </w:r>
      <w:r w:rsidR="00F643A6" w:rsidRPr="000B7B8D">
        <w:rPr>
          <w:rFonts w:asciiTheme="minorHAnsi" w:hAnsiTheme="minorHAnsi"/>
        </w:rPr>
        <w:t xml:space="preserve">  </w:t>
      </w:r>
      <w:r w:rsidR="00C82138" w:rsidRPr="000B7B8D">
        <w:rPr>
          <w:rFonts w:asciiTheme="minorHAnsi" w:hAnsiTheme="minorHAnsi"/>
        </w:rPr>
        <w:t xml:space="preserve">NEPCon and BVRio </w:t>
      </w:r>
      <w:r w:rsidR="00D21AC6" w:rsidRPr="000B7B8D">
        <w:rPr>
          <w:rFonts w:asciiTheme="minorHAnsi" w:hAnsiTheme="minorHAnsi"/>
        </w:rPr>
        <w:t xml:space="preserve">publish </w:t>
      </w:r>
      <w:r w:rsidR="00422229" w:rsidRPr="000B7B8D">
        <w:rPr>
          <w:rFonts w:asciiTheme="minorHAnsi" w:hAnsiTheme="minorHAnsi"/>
        </w:rPr>
        <w:t>periodically</w:t>
      </w:r>
      <w:r w:rsidR="00D21AC6" w:rsidRPr="000B7B8D">
        <w:rPr>
          <w:rFonts w:asciiTheme="minorHAnsi" w:hAnsiTheme="minorHAnsi"/>
        </w:rPr>
        <w:t xml:space="preserve"> updated country-specific due diligence guides, as do UNEP-WCMC, the Australian Department of Agriculture, and the Korea Forest Service (</w:t>
      </w:r>
      <w:r w:rsidR="009F39F7" w:rsidRPr="000B7B8D">
        <w:rPr>
          <w:rFonts w:asciiTheme="minorHAnsi" w:hAnsiTheme="minorHAnsi"/>
        </w:rPr>
        <w:t xml:space="preserve">Parker </w:t>
      </w:r>
      <w:r w:rsidR="006A5B65" w:rsidRPr="000B7B8D">
        <w:rPr>
          <w:rFonts w:asciiTheme="minorHAnsi" w:hAnsiTheme="minorHAnsi"/>
        </w:rPr>
        <w:t xml:space="preserve">2018; NEPCon 2018; </w:t>
      </w:r>
      <w:hyperlink r:id="rId25" w:history="1">
        <w:r w:rsidR="00AB79C7" w:rsidRPr="000B7B8D">
          <w:rPr>
            <w:rStyle w:val="Hyperlink"/>
            <w:rFonts w:asciiTheme="minorHAnsi" w:hAnsiTheme="minorHAnsi"/>
          </w:rPr>
          <w:t>https://www.unep-wcmc.org/featured-projects/eu-timber-regulations-and-flegt)</w:t>
        </w:r>
      </w:hyperlink>
      <w:r w:rsidR="00AB79C7" w:rsidRPr="000B7B8D">
        <w:rPr>
          <w:rFonts w:asciiTheme="minorHAnsi" w:hAnsiTheme="minorHAnsi"/>
        </w:rPr>
        <w:t>.  UNEP-WCMC, the EU FLEGT Facility, and Client Earth all publish regular electronic newsletters, which collect and disseminate current information on public enforcement actions and substantiated concerns of illegal logging around the world, including those involving private certification schemes</w:t>
      </w:r>
      <w:r w:rsidR="00705567" w:rsidRPr="000B7B8D">
        <w:rPr>
          <w:rFonts w:asciiTheme="minorHAnsi" w:hAnsiTheme="minorHAnsi"/>
        </w:rPr>
        <w:t xml:space="preserve">.  </w:t>
      </w:r>
      <w:r w:rsidR="00AB79C7" w:rsidRPr="000B7B8D">
        <w:rPr>
          <w:rFonts w:asciiTheme="minorHAnsi" w:hAnsiTheme="minorHAnsi"/>
        </w:rPr>
        <w:t xml:space="preserve">Hence even in the absence of a single authoritative clearing house for the transnational timber legality regime, </w:t>
      </w:r>
      <w:r w:rsidR="00403934" w:rsidRPr="000B7B8D">
        <w:rPr>
          <w:rFonts w:asciiTheme="minorHAnsi" w:hAnsiTheme="minorHAnsi"/>
        </w:rPr>
        <w:t>credible</w:t>
      </w:r>
      <w:r w:rsidR="00705567" w:rsidRPr="000B7B8D">
        <w:rPr>
          <w:rFonts w:asciiTheme="minorHAnsi" w:hAnsiTheme="minorHAnsi"/>
        </w:rPr>
        <w:t xml:space="preserve"> sources of information for operators seeking to mitigate the risks of illegal sourcing are becoming increasingly widely available.</w:t>
      </w:r>
    </w:p>
    <w:p w14:paraId="6D8F061D" w14:textId="7A462CB3" w:rsidR="005070B0" w:rsidRPr="000B7B8D" w:rsidRDefault="00C95001" w:rsidP="00C95001">
      <w:pPr>
        <w:pStyle w:val="Heading1"/>
        <w:numPr>
          <w:ilvl w:val="0"/>
          <w:numId w:val="25"/>
        </w:numPr>
        <w:rPr>
          <w:rFonts w:asciiTheme="minorHAnsi" w:hAnsiTheme="minorHAnsi"/>
        </w:rPr>
      </w:pPr>
      <w:r w:rsidRPr="000B7B8D">
        <w:rPr>
          <w:rFonts w:asciiTheme="minorHAnsi" w:hAnsiTheme="minorHAnsi"/>
        </w:rPr>
        <w:t xml:space="preserve">China: </w:t>
      </w:r>
      <w:r w:rsidR="0002748C" w:rsidRPr="000B7B8D">
        <w:rPr>
          <w:rFonts w:asciiTheme="minorHAnsi" w:hAnsiTheme="minorHAnsi"/>
        </w:rPr>
        <w:t>Integrating</w:t>
      </w:r>
      <w:r w:rsidRPr="000B7B8D">
        <w:rPr>
          <w:rFonts w:asciiTheme="minorHAnsi" w:hAnsiTheme="minorHAnsi"/>
        </w:rPr>
        <w:t xml:space="preserve"> the Elephant in the Room</w:t>
      </w:r>
    </w:p>
    <w:p w14:paraId="51B126E9" w14:textId="4C577A5E" w:rsidR="00C95001" w:rsidRPr="000B7B8D" w:rsidRDefault="005D70B1" w:rsidP="00570F41">
      <w:pPr>
        <w:pStyle w:val="BodyText"/>
        <w:jc w:val="both"/>
        <w:rPr>
          <w:rFonts w:asciiTheme="minorHAnsi" w:hAnsiTheme="minorHAnsi"/>
        </w:rPr>
      </w:pPr>
      <w:r w:rsidRPr="000B7B8D">
        <w:rPr>
          <w:rFonts w:asciiTheme="minorHAnsi" w:hAnsiTheme="minorHAnsi"/>
        </w:rPr>
        <w:t xml:space="preserve">A </w:t>
      </w:r>
      <w:r w:rsidR="0002748C" w:rsidRPr="000B7B8D">
        <w:rPr>
          <w:rFonts w:asciiTheme="minorHAnsi" w:hAnsiTheme="minorHAnsi"/>
        </w:rPr>
        <w:t xml:space="preserve">critical challenge for the </w:t>
      </w:r>
      <w:r w:rsidR="001B2802" w:rsidRPr="000B7B8D">
        <w:rPr>
          <w:rFonts w:asciiTheme="minorHAnsi" w:hAnsiTheme="minorHAnsi"/>
        </w:rPr>
        <w:t>emerging</w:t>
      </w:r>
      <w:r w:rsidR="0002748C" w:rsidRPr="000B7B8D">
        <w:rPr>
          <w:rFonts w:asciiTheme="minorHAnsi" w:hAnsiTheme="minorHAnsi"/>
        </w:rPr>
        <w:t xml:space="preserve"> timber legality regime is its capacity to integrate China, the world’s largest </w:t>
      </w:r>
      <w:r w:rsidR="007F6148" w:rsidRPr="000B7B8D">
        <w:rPr>
          <w:rFonts w:asciiTheme="minorHAnsi" w:hAnsiTheme="minorHAnsi"/>
        </w:rPr>
        <w:t xml:space="preserve">wood </w:t>
      </w:r>
      <w:r w:rsidR="0002748C" w:rsidRPr="000B7B8D">
        <w:rPr>
          <w:rFonts w:asciiTheme="minorHAnsi" w:hAnsiTheme="minorHAnsi"/>
        </w:rPr>
        <w:t xml:space="preserve">importer.  Although </w:t>
      </w:r>
      <w:r w:rsidR="003829D7" w:rsidRPr="000B7B8D">
        <w:rPr>
          <w:rFonts w:asciiTheme="minorHAnsi" w:hAnsiTheme="minorHAnsi"/>
        </w:rPr>
        <w:t xml:space="preserve">domestic consumption accounts for </w:t>
      </w:r>
      <w:r w:rsidR="00645C65" w:rsidRPr="000B7B8D">
        <w:rPr>
          <w:rFonts w:asciiTheme="minorHAnsi" w:hAnsiTheme="minorHAnsi"/>
        </w:rPr>
        <w:t>more than</w:t>
      </w:r>
      <w:r w:rsidR="007F6148" w:rsidRPr="000B7B8D">
        <w:rPr>
          <w:rFonts w:asciiTheme="minorHAnsi" w:hAnsiTheme="minorHAnsi"/>
        </w:rPr>
        <w:t xml:space="preserve"> three-quarters of total </w:t>
      </w:r>
      <w:r w:rsidR="003424C9" w:rsidRPr="000B7B8D">
        <w:rPr>
          <w:rFonts w:asciiTheme="minorHAnsi" w:hAnsiTheme="minorHAnsi"/>
        </w:rPr>
        <w:t xml:space="preserve">demand, China nonetheless remains the world’s largest exporter of wood products, above all furniture and plywood.  </w:t>
      </w:r>
      <w:r w:rsidR="005C48A9" w:rsidRPr="000B7B8D">
        <w:rPr>
          <w:rFonts w:asciiTheme="minorHAnsi" w:hAnsiTheme="minorHAnsi"/>
        </w:rPr>
        <w:t>Around 60%</w:t>
      </w:r>
      <w:r w:rsidR="003424C9" w:rsidRPr="000B7B8D">
        <w:rPr>
          <w:rFonts w:asciiTheme="minorHAnsi" w:hAnsiTheme="minorHAnsi"/>
        </w:rPr>
        <w:t xml:space="preserve"> of Chinese </w:t>
      </w:r>
      <w:r w:rsidR="003312C8" w:rsidRPr="000B7B8D">
        <w:rPr>
          <w:rFonts w:asciiTheme="minorHAnsi" w:hAnsiTheme="minorHAnsi"/>
        </w:rPr>
        <w:t xml:space="preserve">wood </w:t>
      </w:r>
      <w:r w:rsidR="003424C9" w:rsidRPr="000B7B8D">
        <w:rPr>
          <w:rFonts w:asciiTheme="minorHAnsi" w:hAnsiTheme="minorHAnsi"/>
        </w:rPr>
        <w:t xml:space="preserve">exports </w:t>
      </w:r>
      <w:r w:rsidR="003312C8" w:rsidRPr="000B7B8D">
        <w:rPr>
          <w:rFonts w:asciiTheme="minorHAnsi" w:hAnsiTheme="minorHAnsi"/>
        </w:rPr>
        <w:t xml:space="preserve">(by value) </w:t>
      </w:r>
      <w:r w:rsidR="003424C9" w:rsidRPr="000B7B8D">
        <w:rPr>
          <w:rFonts w:asciiTheme="minorHAnsi" w:hAnsiTheme="minorHAnsi"/>
        </w:rPr>
        <w:t xml:space="preserve">are directed to markets </w:t>
      </w:r>
      <w:r w:rsidR="003A48D1" w:rsidRPr="000B7B8D">
        <w:rPr>
          <w:rFonts w:asciiTheme="minorHAnsi" w:hAnsiTheme="minorHAnsi"/>
        </w:rPr>
        <w:t>that have adopted</w:t>
      </w:r>
      <w:r w:rsidR="003424C9" w:rsidRPr="000B7B8D">
        <w:rPr>
          <w:rFonts w:asciiTheme="minorHAnsi" w:hAnsiTheme="minorHAnsi"/>
        </w:rPr>
        <w:t xml:space="preserve"> public timber legality </w:t>
      </w:r>
      <w:r w:rsidR="003A48D1" w:rsidRPr="000B7B8D">
        <w:rPr>
          <w:rFonts w:asciiTheme="minorHAnsi" w:hAnsiTheme="minorHAnsi"/>
        </w:rPr>
        <w:t>regulations</w:t>
      </w:r>
      <w:r w:rsidR="003424C9" w:rsidRPr="000B7B8D">
        <w:rPr>
          <w:rFonts w:asciiTheme="minorHAnsi" w:hAnsiTheme="minorHAnsi"/>
        </w:rPr>
        <w:t xml:space="preserve">, including 44% </w:t>
      </w:r>
      <w:r w:rsidR="003A48D1" w:rsidRPr="000B7B8D">
        <w:rPr>
          <w:rFonts w:asciiTheme="minorHAnsi" w:hAnsiTheme="minorHAnsi"/>
        </w:rPr>
        <w:t>to</w:t>
      </w:r>
      <w:r w:rsidR="003424C9" w:rsidRPr="000B7B8D">
        <w:rPr>
          <w:rFonts w:asciiTheme="minorHAnsi" w:hAnsiTheme="minorHAnsi"/>
        </w:rPr>
        <w:t xml:space="preserve"> the US and the EU alone (Wellesley 2014; Richer 2015; Speechly 2016; </w:t>
      </w:r>
      <w:r w:rsidR="00130E6F" w:rsidRPr="000B7B8D">
        <w:rPr>
          <w:rFonts w:asciiTheme="minorHAnsi" w:hAnsiTheme="minorHAnsi"/>
        </w:rPr>
        <w:t xml:space="preserve">Barua et al. </w:t>
      </w:r>
      <w:r w:rsidR="005254D5" w:rsidRPr="000B7B8D">
        <w:rPr>
          <w:rFonts w:asciiTheme="minorHAnsi" w:hAnsiTheme="minorHAnsi"/>
        </w:rPr>
        <w:t xml:space="preserve"> 2016</w:t>
      </w:r>
      <w:r w:rsidR="003312C8" w:rsidRPr="000B7B8D">
        <w:rPr>
          <w:rFonts w:asciiTheme="minorHAnsi" w:hAnsiTheme="minorHAnsi"/>
        </w:rPr>
        <w:t>; personal communication, James Hewitt</w:t>
      </w:r>
      <w:r w:rsidR="005254D5" w:rsidRPr="000B7B8D">
        <w:rPr>
          <w:rFonts w:asciiTheme="minorHAnsi" w:hAnsiTheme="minorHAnsi"/>
        </w:rPr>
        <w:t>).</w:t>
      </w:r>
      <w:r w:rsidR="003A48D1" w:rsidRPr="000B7B8D">
        <w:rPr>
          <w:rFonts w:asciiTheme="minorHAnsi" w:hAnsiTheme="minorHAnsi"/>
        </w:rPr>
        <w:t xml:space="preserve">  </w:t>
      </w:r>
      <w:r w:rsidR="004552DF" w:rsidRPr="000B7B8D">
        <w:rPr>
          <w:rFonts w:asciiTheme="minorHAnsi" w:hAnsiTheme="minorHAnsi"/>
        </w:rPr>
        <w:t xml:space="preserve">Hence </w:t>
      </w:r>
      <w:r w:rsidR="0015305C" w:rsidRPr="000B7B8D">
        <w:rPr>
          <w:rFonts w:asciiTheme="minorHAnsi" w:hAnsiTheme="minorHAnsi"/>
        </w:rPr>
        <w:t xml:space="preserve">the Chinese </w:t>
      </w:r>
      <w:r w:rsidR="0001371F" w:rsidRPr="000B7B8D">
        <w:rPr>
          <w:rFonts w:asciiTheme="minorHAnsi" w:hAnsiTheme="minorHAnsi"/>
        </w:rPr>
        <w:t>state</w:t>
      </w:r>
      <w:r w:rsidR="0015305C" w:rsidRPr="000B7B8D">
        <w:rPr>
          <w:rFonts w:asciiTheme="minorHAnsi" w:hAnsiTheme="minorHAnsi"/>
        </w:rPr>
        <w:t xml:space="preserve"> and </w:t>
      </w:r>
      <w:r w:rsidR="009D36ED" w:rsidRPr="000B7B8D">
        <w:rPr>
          <w:rFonts w:asciiTheme="minorHAnsi" w:hAnsiTheme="minorHAnsi"/>
        </w:rPr>
        <w:t xml:space="preserve">Chinese </w:t>
      </w:r>
      <w:r w:rsidR="00162A35" w:rsidRPr="000B7B8D">
        <w:rPr>
          <w:rFonts w:asciiTheme="minorHAnsi" w:hAnsiTheme="minorHAnsi"/>
        </w:rPr>
        <w:t xml:space="preserve">wood </w:t>
      </w:r>
      <w:r w:rsidR="00A66948" w:rsidRPr="000B7B8D">
        <w:rPr>
          <w:rFonts w:asciiTheme="minorHAnsi" w:hAnsiTheme="minorHAnsi"/>
        </w:rPr>
        <w:t>exporters</w:t>
      </w:r>
      <w:r w:rsidR="009D36ED" w:rsidRPr="000B7B8D">
        <w:rPr>
          <w:rFonts w:asciiTheme="minorHAnsi" w:hAnsiTheme="minorHAnsi"/>
        </w:rPr>
        <w:t xml:space="preserve"> have come under </w:t>
      </w:r>
      <w:r w:rsidR="00D60D7B" w:rsidRPr="000B7B8D">
        <w:rPr>
          <w:rFonts w:asciiTheme="minorHAnsi" w:hAnsiTheme="minorHAnsi"/>
        </w:rPr>
        <w:t>growing</w:t>
      </w:r>
      <w:r w:rsidR="009D36ED" w:rsidRPr="000B7B8D">
        <w:rPr>
          <w:rFonts w:asciiTheme="minorHAnsi" w:hAnsiTheme="minorHAnsi"/>
        </w:rPr>
        <w:t xml:space="preserve"> </w:t>
      </w:r>
      <w:r w:rsidR="001B2802" w:rsidRPr="000B7B8D">
        <w:rPr>
          <w:rFonts w:asciiTheme="minorHAnsi" w:hAnsiTheme="minorHAnsi"/>
        </w:rPr>
        <w:t xml:space="preserve">transnational </w:t>
      </w:r>
      <w:r w:rsidR="009D36ED" w:rsidRPr="000B7B8D">
        <w:rPr>
          <w:rFonts w:asciiTheme="minorHAnsi" w:hAnsiTheme="minorHAnsi"/>
        </w:rPr>
        <w:t xml:space="preserve">pressure </w:t>
      </w:r>
      <w:r w:rsidR="0001371F" w:rsidRPr="000B7B8D">
        <w:rPr>
          <w:rFonts w:asciiTheme="minorHAnsi" w:hAnsiTheme="minorHAnsi"/>
        </w:rPr>
        <w:t xml:space="preserve">from both foreign governments and campaigning NGOs </w:t>
      </w:r>
      <w:r w:rsidR="00A66948" w:rsidRPr="000B7B8D">
        <w:rPr>
          <w:rFonts w:asciiTheme="minorHAnsi" w:hAnsiTheme="minorHAnsi"/>
        </w:rPr>
        <w:t xml:space="preserve">to </w:t>
      </w:r>
      <w:r w:rsidR="00625F4B" w:rsidRPr="000B7B8D">
        <w:rPr>
          <w:rFonts w:asciiTheme="minorHAnsi" w:hAnsiTheme="minorHAnsi"/>
        </w:rPr>
        <w:t>demonstrate their willing</w:t>
      </w:r>
      <w:r w:rsidR="00BA23CC" w:rsidRPr="000B7B8D">
        <w:rPr>
          <w:rFonts w:asciiTheme="minorHAnsi" w:hAnsiTheme="minorHAnsi"/>
        </w:rPr>
        <w:t>ness and capacity to</w:t>
      </w:r>
      <w:r w:rsidR="009D36ED" w:rsidRPr="000B7B8D">
        <w:rPr>
          <w:rFonts w:asciiTheme="minorHAnsi" w:hAnsiTheme="minorHAnsi"/>
        </w:rPr>
        <w:t xml:space="preserve"> </w:t>
      </w:r>
      <w:r w:rsidR="001B2802" w:rsidRPr="000B7B8D">
        <w:rPr>
          <w:rFonts w:asciiTheme="minorHAnsi" w:hAnsiTheme="minorHAnsi"/>
        </w:rPr>
        <w:t>avoid trafficking in illegally harvested timber.</w:t>
      </w:r>
    </w:p>
    <w:p w14:paraId="21B4829D" w14:textId="54BB4EDC" w:rsidR="00972640" w:rsidRPr="000B7B8D" w:rsidRDefault="00D96374" w:rsidP="00570F41">
      <w:pPr>
        <w:pStyle w:val="BodyText"/>
        <w:jc w:val="both"/>
        <w:rPr>
          <w:rFonts w:asciiTheme="minorHAnsi" w:hAnsiTheme="minorHAnsi"/>
        </w:rPr>
      </w:pPr>
      <w:r w:rsidRPr="000B7B8D">
        <w:rPr>
          <w:rFonts w:asciiTheme="minorHAnsi" w:hAnsiTheme="minorHAnsi"/>
        </w:rPr>
        <w:t>Over the past decade, the Chinese government has beco</w:t>
      </w:r>
      <w:r w:rsidR="00BA23CC" w:rsidRPr="000B7B8D">
        <w:rPr>
          <w:rFonts w:asciiTheme="minorHAnsi" w:hAnsiTheme="minorHAnsi"/>
        </w:rPr>
        <w:t xml:space="preserve">me increasingly explicit in endorsing the </w:t>
      </w:r>
      <w:r w:rsidR="00A0503D" w:rsidRPr="000B7B8D">
        <w:rPr>
          <w:rFonts w:asciiTheme="minorHAnsi" w:hAnsiTheme="minorHAnsi"/>
        </w:rPr>
        <w:t>fight against illegal logging as a</w:t>
      </w:r>
      <w:r w:rsidR="00CE4165" w:rsidRPr="000B7B8D">
        <w:rPr>
          <w:rFonts w:asciiTheme="minorHAnsi" w:hAnsiTheme="minorHAnsi"/>
        </w:rPr>
        <w:t xml:space="preserve"> </w:t>
      </w:r>
      <w:r w:rsidR="007B33E0" w:rsidRPr="000B7B8D">
        <w:rPr>
          <w:rFonts w:asciiTheme="minorHAnsi" w:hAnsiTheme="minorHAnsi"/>
        </w:rPr>
        <w:t>global</w:t>
      </w:r>
      <w:r w:rsidR="00A0503D" w:rsidRPr="000B7B8D">
        <w:rPr>
          <w:rFonts w:asciiTheme="minorHAnsi" w:hAnsiTheme="minorHAnsi"/>
        </w:rPr>
        <w:t xml:space="preserve"> norm with which </w:t>
      </w:r>
      <w:r w:rsidR="00753C91" w:rsidRPr="000B7B8D">
        <w:rPr>
          <w:rFonts w:asciiTheme="minorHAnsi" w:hAnsiTheme="minorHAnsi"/>
        </w:rPr>
        <w:t>domestic</w:t>
      </w:r>
      <w:r w:rsidR="00C934A7" w:rsidRPr="000B7B8D">
        <w:rPr>
          <w:rFonts w:asciiTheme="minorHAnsi" w:hAnsiTheme="minorHAnsi"/>
        </w:rPr>
        <w:t xml:space="preserve"> enterprises</w:t>
      </w:r>
      <w:r w:rsidR="00A44C79" w:rsidRPr="000B7B8D">
        <w:rPr>
          <w:rFonts w:asciiTheme="minorHAnsi" w:hAnsiTheme="minorHAnsi"/>
        </w:rPr>
        <w:t xml:space="preserve"> should comply</w:t>
      </w:r>
      <w:r w:rsidR="00A0503D" w:rsidRPr="000B7B8D">
        <w:rPr>
          <w:rFonts w:asciiTheme="minorHAnsi" w:hAnsiTheme="minorHAnsi"/>
        </w:rPr>
        <w:t xml:space="preserve">.  </w:t>
      </w:r>
      <w:r w:rsidR="00753C91" w:rsidRPr="000B7B8D">
        <w:rPr>
          <w:rFonts w:asciiTheme="minorHAnsi" w:hAnsiTheme="minorHAnsi"/>
        </w:rPr>
        <w:t xml:space="preserve">Thus China participates actively in the </w:t>
      </w:r>
      <w:r w:rsidR="002534FE" w:rsidRPr="000B7B8D">
        <w:rPr>
          <w:rFonts w:asciiTheme="minorHAnsi" w:hAnsiTheme="minorHAnsi"/>
        </w:rPr>
        <w:t>APEC</w:t>
      </w:r>
      <w:r w:rsidR="00753C91" w:rsidRPr="000B7B8D">
        <w:rPr>
          <w:rFonts w:asciiTheme="minorHAnsi" w:hAnsiTheme="minorHAnsi"/>
        </w:rPr>
        <w:t xml:space="preserve"> Experts Group on Illegal Logging and Associated Trade (EGILAT), which has developed a ‘common understanding’ of the problem and </w:t>
      </w:r>
      <w:r w:rsidR="000A5F09" w:rsidRPr="000B7B8D">
        <w:rPr>
          <w:rFonts w:asciiTheme="minorHAnsi" w:hAnsiTheme="minorHAnsi"/>
        </w:rPr>
        <w:t>has developed</w:t>
      </w:r>
      <w:r w:rsidR="00753C91" w:rsidRPr="000B7B8D">
        <w:rPr>
          <w:rFonts w:asciiTheme="minorHAnsi" w:hAnsiTheme="minorHAnsi"/>
        </w:rPr>
        <w:t xml:space="preserve"> a multi-year </w:t>
      </w:r>
      <w:r w:rsidR="000A5F09" w:rsidRPr="000B7B8D">
        <w:rPr>
          <w:rFonts w:asciiTheme="minorHAnsi" w:hAnsiTheme="minorHAnsi"/>
        </w:rPr>
        <w:t xml:space="preserve">strategic </w:t>
      </w:r>
      <w:r w:rsidR="00753C91" w:rsidRPr="000B7B8D">
        <w:rPr>
          <w:rFonts w:asciiTheme="minorHAnsi" w:hAnsiTheme="minorHAnsi"/>
        </w:rPr>
        <w:t xml:space="preserve">plan to combat it </w:t>
      </w:r>
      <w:r w:rsidR="00E9031E" w:rsidRPr="000B7B8D">
        <w:rPr>
          <w:rFonts w:asciiTheme="minorHAnsi" w:hAnsiTheme="minorHAnsi"/>
        </w:rPr>
        <w:t xml:space="preserve">(Speechly 2016: </w:t>
      </w:r>
      <w:r w:rsidR="000A5F09" w:rsidRPr="000B7B8D">
        <w:rPr>
          <w:rFonts w:asciiTheme="minorHAnsi" w:hAnsiTheme="minorHAnsi"/>
        </w:rPr>
        <w:t xml:space="preserve">36-7; </w:t>
      </w:r>
      <w:hyperlink r:id="rId26" w:history="1">
        <w:r w:rsidR="00184CDE" w:rsidRPr="000B7B8D">
          <w:rPr>
            <w:rStyle w:val="Hyperlink"/>
            <w:rFonts w:asciiTheme="minorHAnsi" w:hAnsiTheme="minorHAnsi"/>
          </w:rPr>
          <w:t>https://www.apec.org/Groups/SOM-Steering-Committee-on-Economic-and-Technical-Cooperation/Working-Groups/Illegal-Logging-and-Associated-Trade)</w:t>
        </w:r>
      </w:hyperlink>
      <w:r w:rsidR="000A5F09" w:rsidRPr="000B7B8D">
        <w:rPr>
          <w:rFonts w:asciiTheme="minorHAnsi" w:hAnsiTheme="minorHAnsi"/>
        </w:rPr>
        <w:t>.</w:t>
      </w:r>
      <w:r w:rsidR="00184CDE" w:rsidRPr="000B7B8D">
        <w:rPr>
          <w:rFonts w:asciiTheme="minorHAnsi" w:hAnsiTheme="minorHAnsi"/>
        </w:rPr>
        <w:t xml:space="preserve">  China has </w:t>
      </w:r>
      <w:r w:rsidR="006F4ED8" w:rsidRPr="000B7B8D">
        <w:rPr>
          <w:rFonts w:asciiTheme="minorHAnsi" w:hAnsiTheme="minorHAnsi"/>
        </w:rPr>
        <w:t xml:space="preserve">also signed </w:t>
      </w:r>
      <w:r w:rsidR="00831361" w:rsidRPr="000B7B8D">
        <w:rPr>
          <w:rFonts w:asciiTheme="minorHAnsi" w:hAnsiTheme="minorHAnsi"/>
        </w:rPr>
        <w:t xml:space="preserve">a series of </w:t>
      </w:r>
      <w:r w:rsidR="006F4ED8" w:rsidRPr="000B7B8D">
        <w:rPr>
          <w:rFonts w:asciiTheme="minorHAnsi" w:hAnsiTheme="minorHAnsi"/>
        </w:rPr>
        <w:t xml:space="preserve">bilateral agreements on tackling illegal logging with the US, EU, Australia, Japan, Indonesia, Myanmar, and Mozambique </w:t>
      </w:r>
      <w:r w:rsidR="00A16F83" w:rsidRPr="000B7B8D">
        <w:rPr>
          <w:rFonts w:asciiTheme="minorHAnsi" w:hAnsiTheme="minorHAnsi"/>
        </w:rPr>
        <w:t>(Speechly 2016: 34-</w:t>
      </w:r>
      <w:r w:rsidR="006F4ED8" w:rsidRPr="000B7B8D">
        <w:rPr>
          <w:rFonts w:asciiTheme="minorHAnsi" w:hAnsiTheme="minorHAnsi"/>
        </w:rPr>
        <w:t>6</w:t>
      </w:r>
      <w:r w:rsidR="00A16F83" w:rsidRPr="000B7B8D">
        <w:rPr>
          <w:rFonts w:asciiTheme="minorHAnsi" w:hAnsiTheme="minorHAnsi"/>
        </w:rPr>
        <w:t>; Wellesley 2014: 10</w:t>
      </w:r>
      <w:r w:rsidR="006F4ED8" w:rsidRPr="000B7B8D">
        <w:rPr>
          <w:rFonts w:asciiTheme="minorHAnsi" w:hAnsiTheme="minorHAnsi"/>
        </w:rPr>
        <w:t xml:space="preserve">). The China-EU </w:t>
      </w:r>
      <w:r w:rsidR="008917B5" w:rsidRPr="000B7B8D">
        <w:rPr>
          <w:rFonts w:asciiTheme="minorHAnsi" w:hAnsiTheme="minorHAnsi"/>
        </w:rPr>
        <w:t xml:space="preserve">FLEG </w:t>
      </w:r>
      <w:r w:rsidR="006F4ED8" w:rsidRPr="000B7B8D">
        <w:rPr>
          <w:rFonts w:asciiTheme="minorHAnsi" w:hAnsiTheme="minorHAnsi"/>
        </w:rPr>
        <w:t xml:space="preserve">Bilateral Cooperation Mechanism (BCM), which </w:t>
      </w:r>
      <w:r w:rsidR="00831361" w:rsidRPr="000B7B8D">
        <w:rPr>
          <w:rFonts w:asciiTheme="minorHAnsi" w:hAnsiTheme="minorHAnsi"/>
        </w:rPr>
        <w:t xml:space="preserve">held its </w:t>
      </w:r>
      <w:r w:rsidR="00E67D0B" w:rsidRPr="000B7B8D">
        <w:rPr>
          <w:rFonts w:asciiTheme="minorHAnsi" w:hAnsiTheme="minorHAnsi"/>
        </w:rPr>
        <w:t>eighth</w:t>
      </w:r>
      <w:r w:rsidR="00831361" w:rsidRPr="000B7B8D">
        <w:rPr>
          <w:rFonts w:asciiTheme="minorHAnsi" w:hAnsiTheme="minorHAnsi"/>
        </w:rPr>
        <w:t xml:space="preserve"> annual meeting in 2018, </w:t>
      </w:r>
      <w:r w:rsidR="008917B5" w:rsidRPr="000B7B8D">
        <w:rPr>
          <w:rFonts w:asciiTheme="minorHAnsi" w:hAnsiTheme="minorHAnsi"/>
        </w:rPr>
        <w:t xml:space="preserve">currently </w:t>
      </w:r>
      <w:r w:rsidR="00831361" w:rsidRPr="000B7B8D">
        <w:rPr>
          <w:rFonts w:asciiTheme="minorHAnsi" w:hAnsiTheme="minorHAnsi"/>
        </w:rPr>
        <w:t>focuses on supporting new Chinese legislation to promote legally-sourced timber, providing input to guidelines for Chinese overseas enterprises, developing trilateral cooperation with Indonesia around FLEGT licensing, and strengthening synergies with African VPA countries (</w:t>
      </w:r>
      <w:hyperlink r:id="rId27" w:history="1">
        <w:r w:rsidR="0014095B" w:rsidRPr="000B7B8D">
          <w:rPr>
            <w:rStyle w:val="Hyperlink"/>
            <w:rFonts w:asciiTheme="minorHAnsi" w:hAnsiTheme="minorHAnsi"/>
          </w:rPr>
          <w:t>http://www.euflegt.efi.int/es/activities-china</w:t>
        </w:r>
      </w:hyperlink>
      <w:r w:rsidR="0014095B" w:rsidRPr="000B7B8D">
        <w:rPr>
          <w:rFonts w:asciiTheme="minorHAnsi" w:hAnsiTheme="minorHAnsi"/>
        </w:rPr>
        <w:t xml:space="preserve">; </w:t>
      </w:r>
      <w:r w:rsidR="008917B5" w:rsidRPr="000B7B8D">
        <w:rPr>
          <w:rFonts w:asciiTheme="minorHAnsi" w:hAnsiTheme="minorHAnsi"/>
        </w:rPr>
        <w:t>Speechly 2016: 32-3</w:t>
      </w:r>
      <w:r w:rsidR="0014095B" w:rsidRPr="000B7B8D">
        <w:rPr>
          <w:rFonts w:asciiTheme="minorHAnsi" w:hAnsiTheme="minorHAnsi"/>
        </w:rPr>
        <w:t>)</w:t>
      </w:r>
      <w:r w:rsidR="008917B5" w:rsidRPr="000B7B8D">
        <w:rPr>
          <w:rFonts w:asciiTheme="minorHAnsi" w:hAnsiTheme="minorHAnsi"/>
        </w:rPr>
        <w:t xml:space="preserve">.  </w:t>
      </w:r>
      <w:r w:rsidR="007C285E" w:rsidRPr="000B7B8D">
        <w:rPr>
          <w:rFonts w:asciiTheme="minorHAnsi" w:hAnsiTheme="minorHAnsi"/>
        </w:rPr>
        <w:t xml:space="preserve">The 2018 China-Mozambique MoU on forest conservation and illegal logging includes </w:t>
      </w:r>
      <w:r w:rsidR="00FB328E" w:rsidRPr="000B7B8D">
        <w:rPr>
          <w:rFonts w:asciiTheme="minorHAnsi" w:hAnsiTheme="minorHAnsi"/>
        </w:rPr>
        <w:t>the World-Wide Fund for Nature (</w:t>
      </w:r>
      <w:r w:rsidR="009952FB" w:rsidRPr="000B7B8D">
        <w:rPr>
          <w:rFonts w:asciiTheme="minorHAnsi" w:hAnsiTheme="minorHAnsi"/>
        </w:rPr>
        <w:t>WWF</w:t>
      </w:r>
      <w:r w:rsidR="00FB328E" w:rsidRPr="000B7B8D">
        <w:rPr>
          <w:rFonts w:asciiTheme="minorHAnsi" w:hAnsiTheme="minorHAnsi"/>
        </w:rPr>
        <w:t>)</w:t>
      </w:r>
      <w:r w:rsidR="009952FB" w:rsidRPr="000B7B8D">
        <w:rPr>
          <w:rFonts w:asciiTheme="minorHAnsi" w:hAnsiTheme="minorHAnsi"/>
        </w:rPr>
        <w:t xml:space="preserve"> as part of </w:t>
      </w:r>
      <w:r w:rsidR="00236375" w:rsidRPr="000B7B8D">
        <w:rPr>
          <w:rFonts w:asciiTheme="minorHAnsi" w:hAnsiTheme="minorHAnsi"/>
        </w:rPr>
        <w:t>its</w:t>
      </w:r>
      <w:r w:rsidR="009952FB" w:rsidRPr="000B7B8D">
        <w:rPr>
          <w:rFonts w:asciiTheme="minorHAnsi" w:hAnsiTheme="minorHAnsi"/>
        </w:rPr>
        <w:t xml:space="preserve"> secretariat to enhance implementation by helping to collect trading data and coordinating with Chinese companies to support sustainable timber production</w:t>
      </w:r>
      <w:r w:rsidR="002534FE" w:rsidRPr="000B7B8D">
        <w:rPr>
          <w:rFonts w:asciiTheme="minorHAnsi" w:hAnsiTheme="minorHAnsi"/>
        </w:rPr>
        <w:t>.</w:t>
      </w:r>
      <w:r w:rsidR="002534FE" w:rsidRPr="000B7B8D">
        <w:rPr>
          <w:rStyle w:val="FootnoteReference"/>
          <w:rFonts w:asciiTheme="minorHAnsi" w:hAnsiTheme="minorHAnsi"/>
        </w:rPr>
        <w:footnoteReference w:id="27"/>
      </w:r>
      <w:r w:rsidR="009952FB" w:rsidRPr="000B7B8D">
        <w:rPr>
          <w:rFonts w:asciiTheme="minorHAnsi" w:hAnsiTheme="minorHAnsi"/>
        </w:rPr>
        <w:t>.</w:t>
      </w:r>
    </w:p>
    <w:p w14:paraId="097A03C6" w14:textId="633C7DB5" w:rsidR="00B3576A" w:rsidRPr="000B7B8D" w:rsidRDefault="00373049" w:rsidP="00570F41">
      <w:pPr>
        <w:pStyle w:val="BodyText"/>
        <w:jc w:val="both"/>
        <w:rPr>
          <w:rFonts w:asciiTheme="minorHAnsi" w:hAnsiTheme="minorHAnsi"/>
        </w:rPr>
      </w:pPr>
      <w:r w:rsidRPr="000B7B8D">
        <w:rPr>
          <w:rFonts w:asciiTheme="minorHAnsi" w:hAnsiTheme="minorHAnsi"/>
        </w:rPr>
        <w:t xml:space="preserve">Since 2007, </w:t>
      </w:r>
      <w:r w:rsidR="00EE2641" w:rsidRPr="000B7B8D">
        <w:rPr>
          <w:rFonts w:asciiTheme="minorHAnsi" w:hAnsiTheme="minorHAnsi"/>
        </w:rPr>
        <w:t>the Chinese Ministry of Commerce and State Forest</w:t>
      </w:r>
      <w:r w:rsidR="00C3671A" w:rsidRPr="000B7B8D">
        <w:rPr>
          <w:rFonts w:asciiTheme="minorHAnsi" w:hAnsiTheme="minorHAnsi"/>
        </w:rPr>
        <w:t>ry</w:t>
      </w:r>
      <w:r w:rsidR="00EE2641" w:rsidRPr="000B7B8D">
        <w:rPr>
          <w:rFonts w:asciiTheme="minorHAnsi" w:hAnsiTheme="minorHAnsi"/>
        </w:rPr>
        <w:t xml:space="preserve"> Administration (SFA) have </w:t>
      </w:r>
      <w:r w:rsidR="00DF3CE5" w:rsidRPr="000B7B8D">
        <w:rPr>
          <w:rFonts w:asciiTheme="minorHAnsi" w:hAnsiTheme="minorHAnsi"/>
        </w:rPr>
        <w:t>produced</w:t>
      </w:r>
      <w:r w:rsidR="00EE2641" w:rsidRPr="000B7B8D">
        <w:rPr>
          <w:rFonts w:asciiTheme="minorHAnsi" w:hAnsiTheme="minorHAnsi"/>
        </w:rPr>
        <w:t xml:space="preserve"> three sets of guidelines </w:t>
      </w:r>
      <w:r w:rsidR="00EF6DAD" w:rsidRPr="000B7B8D">
        <w:rPr>
          <w:rFonts w:asciiTheme="minorHAnsi" w:hAnsiTheme="minorHAnsi"/>
        </w:rPr>
        <w:t xml:space="preserve">on </w:t>
      </w:r>
      <w:r w:rsidR="009860F6" w:rsidRPr="000B7B8D">
        <w:rPr>
          <w:rFonts w:asciiTheme="minorHAnsi" w:hAnsiTheme="minorHAnsi"/>
        </w:rPr>
        <w:t xml:space="preserve">sustainable forest management, trade, and investment by Chinese overseas enterprises, which </w:t>
      </w:r>
      <w:r w:rsidR="00E658CF" w:rsidRPr="000B7B8D">
        <w:rPr>
          <w:rFonts w:asciiTheme="minorHAnsi" w:hAnsiTheme="minorHAnsi"/>
        </w:rPr>
        <w:t xml:space="preserve">demand strict compliance with host country laws and regulations.  But these guidelines remain voluntary, without any monitoring, reporting, or due diligence requirements </w:t>
      </w:r>
      <w:r w:rsidR="004B4588" w:rsidRPr="000B7B8D">
        <w:rPr>
          <w:rFonts w:asciiTheme="minorHAnsi" w:hAnsiTheme="minorHAnsi"/>
        </w:rPr>
        <w:t xml:space="preserve">to avoid illegal timber sourcing.  </w:t>
      </w:r>
      <w:r w:rsidR="001F1201" w:rsidRPr="000B7B8D">
        <w:rPr>
          <w:rFonts w:asciiTheme="minorHAnsi" w:hAnsiTheme="minorHAnsi"/>
        </w:rPr>
        <w:t xml:space="preserve">Potentially more powerful are green credit guidelines adopted in 2012, which require banks to ‘strengthen environmental and social risk management for overseas projects’ and ensure that </w:t>
      </w:r>
      <w:r w:rsidR="00C361EE" w:rsidRPr="000B7B8D">
        <w:rPr>
          <w:rFonts w:asciiTheme="minorHAnsi" w:hAnsiTheme="minorHAnsi"/>
        </w:rPr>
        <w:t>their sponsors ‘abide by applicable laws and regulations’ of the host jurisdiction</w:t>
      </w:r>
      <w:r w:rsidR="002E4B64" w:rsidRPr="000B7B8D">
        <w:rPr>
          <w:rFonts w:asciiTheme="minorHAnsi" w:hAnsiTheme="minorHAnsi"/>
        </w:rPr>
        <w:t xml:space="preserve">, though here too </w:t>
      </w:r>
      <w:r w:rsidR="004E27E5" w:rsidRPr="000B7B8D">
        <w:rPr>
          <w:rFonts w:asciiTheme="minorHAnsi" w:hAnsiTheme="minorHAnsi"/>
        </w:rPr>
        <w:t xml:space="preserve">formal </w:t>
      </w:r>
      <w:r w:rsidR="002E4B64" w:rsidRPr="000B7B8D">
        <w:rPr>
          <w:rFonts w:asciiTheme="minorHAnsi" w:hAnsiTheme="minorHAnsi"/>
        </w:rPr>
        <w:t xml:space="preserve">monitoring and compliance arrangements remain limited (Speechly 2016: 25-6, 27-8; </w:t>
      </w:r>
      <w:r w:rsidR="00130E6F" w:rsidRPr="000B7B8D">
        <w:rPr>
          <w:rFonts w:asciiTheme="minorHAnsi" w:hAnsiTheme="minorHAnsi"/>
        </w:rPr>
        <w:t>Barua et al.</w:t>
      </w:r>
      <w:r w:rsidR="00B3576A" w:rsidRPr="000B7B8D">
        <w:rPr>
          <w:rFonts w:asciiTheme="minorHAnsi" w:hAnsiTheme="minorHAnsi"/>
        </w:rPr>
        <w:t xml:space="preserve"> 2016: 47-8; Brack 2014).</w:t>
      </w:r>
    </w:p>
    <w:p w14:paraId="79156B48" w14:textId="1A69E008" w:rsidR="00690C14" w:rsidRPr="000B7B8D" w:rsidRDefault="002E4B64" w:rsidP="00570F41">
      <w:pPr>
        <w:pStyle w:val="BodyText"/>
        <w:jc w:val="both"/>
        <w:rPr>
          <w:rFonts w:asciiTheme="minorHAnsi" w:hAnsiTheme="minorHAnsi"/>
        </w:rPr>
      </w:pPr>
      <w:r w:rsidRPr="000B7B8D">
        <w:rPr>
          <w:rFonts w:asciiTheme="minorHAnsi" w:hAnsiTheme="minorHAnsi"/>
        </w:rPr>
        <w:t xml:space="preserve"> </w:t>
      </w:r>
      <w:r w:rsidR="004E27E5" w:rsidRPr="000B7B8D">
        <w:rPr>
          <w:rFonts w:asciiTheme="minorHAnsi" w:hAnsiTheme="minorHAnsi"/>
        </w:rPr>
        <w:t xml:space="preserve">In collaboration with </w:t>
      </w:r>
      <w:r w:rsidR="00DD16DC" w:rsidRPr="000B7B8D">
        <w:rPr>
          <w:rFonts w:asciiTheme="minorHAnsi" w:hAnsiTheme="minorHAnsi"/>
        </w:rPr>
        <w:t>the UK</w:t>
      </w:r>
      <w:r w:rsidR="003964D1" w:rsidRPr="000B7B8D">
        <w:rPr>
          <w:rFonts w:asciiTheme="minorHAnsi" w:hAnsiTheme="minorHAnsi"/>
        </w:rPr>
        <w:t xml:space="preserve">, the EU, </w:t>
      </w:r>
      <w:r w:rsidR="00A07E54" w:rsidRPr="000B7B8D">
        <w:rPr>
          <w:rFonts w:asciiTheme="minorHAnsi" w:hAnsiTheme="minorHAnsi"/>
        </w:rPr>
        <w:t xml:space="preserve">and domestic industry associations, the </w:t>
      </w:r>
      <w:r w:rsidR="003964D1" w:rsidRPr="000B7B8D">
        <w:rPr>
          <w:rFonts w:asciiTheme="minorHAnsi" w:hAnsiTheme="minorHAnsi"/>
        </w:rPr>
        <w:t xml:space="preserve">Chinese government is </w:t>
      </w:r>
      <w:r w:rsidR="0001371F" w:rsidRPr="000B7B8D">
        <w:rPr>
          <w:rFonts w:asciiTheme="minorHAnsi" w:hAnsiTheme="minorHAnsi"/>
        </w:rPr>
        <w:t>seeking to construct</w:t>
      </w:r>
      <w:r w:rsidR="003964D1" w:rsidRPr="000B7B8D">
        <w:rPr>
          <w:rFonts w:asciiTheme="minorHAnsi" w:hAnsiTheme="minorHAnsi"/>
        </w:rPr>
        <w:t xml:space="preserve"> a national timber legality </w:t>
      </w:r>
      <w:r w:rsidR="00F42EAD" w:rsidRPr="000B7B8D">
        <w:rPr>
          <w:rFonts w:asciiTheme="minorHAnsi" w:hAnsiTheme="minorHAnsi"/>
        </w:rPr>
        <w:t xml:space="preserve">verification </w:t>
      </w:r>
      <w:r w:rsidR="003964D1" w:rsidRPr="000B7B8D">
        <w:rPr>
          <w:rFonts w:asciiTheme="minorHAnsi" w:hAnsiTheme="minorHAnsi"/>
        </w:rPr>
        <w:t xml:space="preserve">system. </w:t>
      </w:r>
      <w:r w:rsidR="00AE04DB" w:rsidRPr="000B7B8D">
        <w:rPr>
          <w:rFonts w:asciiTheme="minorHAnsi" w:hAnsiTheme="minorHAnsi"/>
        </w:rPr>
        <w:t xml:space="preserve"> A central </w:t>
      </w:r>
      <w:r w:rsidR="00AE04DB" w:rsidRPr="000B7B8D">
        <w:rPr>
          <w:rFonts w:asciiTheme="minorHAnsi" w:hAnsiTheme="minorHAnsi"/>
        </w:rPr>
        <w:lastRenderedPageBreak/>
        <w:t xml:space="preserve">component of this </w:t>
      </w:r>
      <w:r w:rsidR="00515CD1" w:rsidRPr="000B7B8D">
        <w:rPr>
          <w:rFonts w:asciiTheme="minorHAnsi" w:hAnsiTheme="minorHAnsi"/>
        </w:rPr>
        <w:t xml:space="preserve">emergent </w:t>
      </w:r>
      <w:r w:rsidR="00AE04DB" w:rsidRPr="000B7B8D">
        <w:rPr>
          <w:rFonts w:asciiTheme="minorHAnsi" w:hAnsiTheme="minorHAnsi"/>
        </w:rPr>
        <w:t xml:space="preserve">system is </w:t>
      </w:r>
      <w:r w:rsidR="0001371F" w:rsidRPr="000B7B8D">
        <w:rPr>
          <w:rFonts w:asciiTheme="minorHAnsi" w:hAnsiTheme="minorHAnsi"/>
        </w:rPr>
        <w:t xml:space="preserve">a Timber Legality Verification Standard (TLVS) developed by the China National Forest Products Industry Association, which </w:t>
      </w:r>
      <w:r w:rsidR="00236375" w:rsidRPr="000B7B8D">
        <w:rPr>
          <w:rFonts w:asciiTheme="minorHAnsi" w:hAnsiTheme="minorHAnsi"/>
        </w:rPr>
        <w:t xml:space="preserve">together with the China Timber and Wood Products Distribution Association covers more than 80% of Chinese importers and exporters.  The TVLS </w:t>
      </w:r>
      <w:r w:rsidR="0001371F" w:rsidRPr="000B7B8D">
        <w:rPr>
          <w:rFonts w:asciiTheme="minorHAnsi" w:hAnsiTheme="minorHAnsi"/>
        </w:rPr>
        <w:t xml:space="preserve">sets out requirements for </w:t>
      </w:r>
      <w:r w:rsidR="00DF3CE5" w:rsidRPr="000B7B8D">
        <w:rPr>
          <w:rFonts w:asciiTheme="minorHAnsi" w:hAnsiTheme="minorHAnsi"/>
        </w:rPr>
        <w:t>ver</w:t>
      </w:r>
      <w:r w:rsidR="00515CD1" w:rsidRPr="000B7B8D">
        <w:rPr>
          <w:rFonts w:asciiTheme="minorHAnsi" w:hAnsiTheme="minorHAnsi"/>
        </w:rPr>
        <w:t>i</w:t>
      </w:r>
      <w:r w:rsidR="00DF3CE5" w:rsidRPr="000B7B8D">
        <w:rPr>
          <w:rFonts w:asciiTheme="minorHAnsi" w:hAnsiTheme="minorHAnsi"/>
        </w:rPr>
        <w:t xml:space="preserve">fication of </w:t>
      </w:r>
      <w:r w:rsidR="0001371F" w:rsidRPr="000B7B8D">
        <w:rPr>
          <w:rFonts w:asciiTheme="minorHAnsi" w:hAnsiTheme="minorHAnsi"/>
        </w:rPr>
        <w:t>compliance with applicable domestic laws both at the forest management level and throughout the chain</w:t>
      </w:r>
      <w:r w:rsidR="00DF3CE5" w:rsidRPr="000B7B8D">
        <w:rPr>
          <w:rFonts w:asciiTheme="minorHAnsi" w:hAnsiTheme="minorHAnsi"/>
        </w:rPr>
        <w:t xml:space="preserve"> of custody</w:t>
      </w:r>
      <w:r w:rsidR="00236375" w:rsidRPr="000B7B8D">
        <w:rPr>
          <w:rFonts w:asciiTheme="minorHAnsi" w:hAnsiTheme="minorHAnsi"/>
        </w:rPr>
        <w:t>, including due diligence procedures</w:t>
      </w:r>
      <w:r w:rsidR="00DF3CE5" w:rsidRPr="000B7B8D">
        <w:rPr>
          <w:rFonts w:asciiTheme="minorHAnsi" w:hAnsiTheme="minorHAnsi"/>
        </w:rPr>
        <w:t xml:space="preserve">. </w:t>
      </w:r>
      <w:r w:rsidR="006F0135" w:rsidRPr="000B7B8D">
        <w:rPr>
          <w:rFonts w:asciiTheme="minorHAnsi" w:hAnsiTheme="minorHAnsi"/>
        </w:rPr>
        <w:t xml:space="preserve"> </w:t>
      </w:r>
      <w:r w:rsidR="00E55BB1" w:rsidRPr="000B7B8D">
        <w:rPr>
          <w:rFonts w:asciiTheme="minorHAnsi" w:hAnsiTheme="minorHAnsi"/>
        </w:rPr>
        <w:t xml:space="preserve">To build Chinese </w:t>
      </w:r>
      <w:r w:rsidR="00E772EC" w:rsidRPr="000B7B8D">
        <w:rPr>
          <w:rFonts w:asciiTheme="minorHAnsi" w:hAnsiTheme="minorHAnsi"/>
        </w:rPr>
        <w:t>companies’</w:t>
      </w:r>
      <w:r w:rsidR="00E55BB1" w:rsidRPr="000B7B8D">
        <w:rPr>
          <w:rFonts w:asciiTheme="minorHAnsi" w:hAnsiTheme="minorHAnsi"/>
        </w:rPr>
        <w:t xml:space="preserve"> capacities to implement these standards, the China-UK Collaboration on International Forest Investment &amp; Trade (InFIT) and the Chinese Academy of Forestry </w:t>
      </w:r>
      <w:r w:rsidR="00C54042" w:rsidRPr="000B7B8D">
        <w:rPr>
          <w:rFonts w:asciiTheme="minorHAnsi" w:hAnsiTheme="minorHAnsi"/>
        </w:rPr>
        <w:t xml:space="preserve">(CAF) </w:t>
      </w:r>
      <w:r w:rsidR="00E55BB1" w:rsidRPr="000B7B8D">
        <w:rPr>
          <w:rFonts w:asciiTheme="minorHAnsi" w:hAnsiTheme="minorHAnsi"/>
        </w:rPr>
        <w:t xml:space="preserve">have </w:t>
      </w:r>
      <w:r w:rsidR="00236375" w:rsidRPr="000B7B8D">
        <w:rPr>
          <w:rFonts w:asciiTheme="minorHAnsi" w:hAnsiTheme="minorHAnsi"/>
        </w:rPr>
        <w:t>created</w:t>
      </w:r>
      <w:r w:rsidR="00E55BB1" w:rsidRPr="000B7B8D">
        <w:rPr>
          <w:rFonts w:asciiTheme="minorHAnsi" w:hAnsiTheme="minorHAnsi"/>
        </w:rPr>
        <w:t xml:space="preserve"> a China Responsible Forest Product Trade and Investment Alliance (China-RFA), which provides information, </w:t>
      </w:r>
      <w:r w:rsidR="00236375" w:rsidRPr="000B7B8D">
        <w:rPr>
          <w:rFonts w:asciiTheme="minorHAnsi" w:hAnsiTheme="minorHAnsi"/>
        </w:rPr>
        <w:t xml:space="preserve">tools, </w:t>
      </w:r>
      <w:r w:rsidR="00197925" w:rsidRPr="000B7B8D">
        <w:rPr>
          <w:rFonts w:asciiTheme="minorHAnsi" w:hAnsiTheme="minorHAnsi"/>
        </w:rPr>
        <w:t xml:space="preserve">and training on </w:t>
      </w:r>
      <w:r w:rsidR="003959B5" w:rsidRPr="000B7B8D">
        <w:rPr>
          <w:rFonts w:asciiTheme="minorHAnsi" w:hAnsiTheme="minorHAnsi"/>
        </w:rPr>
        <w:t xml:space="preserve">how to </w:t>
      </w:r>
      <w:r w:rsidR="00236375" w:rsidRPr="000B7B8D">
        <w:rPr>
          <w:rFonts w:asciiTheme="minorHAnsi" w:hAnsiTheme="minorHAnsi"/>
        </w:rPr>
        <w:t xml:space="preserve">institute due diligence systems to </w:t>
      </w:r>
      <w:r w:rsidR="003959B5" w:rsidRPr="000B7B8D">
        <w:rPr>
          <w:rFonts w:asciiTheme="minorHAnsi" w:hAnsiTheme="minorHAnsi"/>
        </w:rPr>
        <w:t>comply</w:t>
      </w:r>
      <w:r w:rsidR="00197925" w:rsidRPr="000B7B8D">
        <w:rPr>
          <w:rFonts w:asciiTheme="minorHAnsi" w:hAnsiTheme="minorHAnsi"/>
        </w:rPr>
        <w:t xml:space="preserve"> with foreign timber legality regulations.</w:t>
      </w:r>
      <w:r w:rsidR="00B5008E" w:rsidRPr="000B7B8D">
        <w:rPr>
          <w:rFonts w:asciiTheme="minorHAnsi" w:hAnsiTheme="minorHAnsi"/>
        </w:rPr>
        <w:t xml:space="preserve"> </w:t>
      </w:r>
      <w:r w:rsidR="00092DED" w:rsidRPr="000B7B8D">
        <w:rPr>
          <w:rFonts w:asciiTheme="minorHAnsi" w:hAnsiTheme="minorHAnsi"/>
        </w:rPr>
        <w:t xml:space="preserve"> </w:t>
      </w:r>
      <w:r w:rsidR="00E81D22" w:rsidRPr="000B7B8D">
        <w:rPr>
          <w:rFonts w:asciiTheme="minorHAnsi" w:hAnsiTheme="minorHAnsi"/>
        </w:rPr>
        <w:t>While</w:t>
      </w:r>
      <w:r w:rsidR="00092DED" w:rsidRPr="000B7B8D">
        <w:rPr>
          <w:rFonts w:asciiTheme="minorHAnsi" w:hAnsiTheme="minorHAnsi"/>
        </w:rPr>
        <w:t xml:space="preserve"> the </w:t>
      </w:r>
      <w:r w:rsidR="00F42EAD" w:rsidRPr="000B7B8D">
        <w:rPr>
          <w:rFonts w:asciiTheme="minorHAnsi" w:hAnsiTheme="minorHAnsi"/>
        </w:rPr>
        <w:t>standards themselves remain voluntary, their adoption by companies</w:t>
      </w:r>
      <w:r w:rsidR="006F0135" w:rsidRPr="000B7B8D">
        <w:rPr>
          <w:rFonts w:asciiTheme="minorHAnsi" w:hAnsiTheme="minorHAnsi"/>
        </w:rPr>
        <w:t>, subject to third-party certification and auditing,</w:t>
      </w:r>
      <w:r w:rsidR="00F42EAD" w:rsidRPr="000B7B8D">
        <w:rPr>
          <w:rFonts w:asciiTheme="minorHAnsi" w:hAnsiTheme="minorHAnsi"/>
        </w:rPr>
        <w:t xml:space="preserve"> </w:t>
      </w:r>
      <w:r w:rsidR="00ED442C" w:rsidRPr="000B7B8D">
        <w:rPr>
          <w:rFonts w:asciiTheme="minorHAnsi" w:hAnsiTheme="minorHAnsi"/>
        </w:rPr>
        <w:t>is expected to</w:t>
      </w:r>
      <w:r w:rsidR="00F42EAD" w:rsidRPr="000B7B8D">
        <w:rPr>
          <w:rFonts w:asciiTheme="minorHAnsi" w:hAnsiTheme="minorHAnsi"/>
        </w:rPr>
        <w:t xml:space="preserve"> be </w:t>
      </w:r>
      <w:r w:rsidR="00ED442C" w:rsidRPr="000B7B8D">
        <w:rPr>
          <w:rFonts w:asciiTheme="minorHAnsi" w:hAnsiTheme="minorHAnsi"/>
        </w:rPr>
        <w:t>spurred</w:t>
      </w:r>
      <w:r w:rsidR="00F42EAD" w:rsidRPr="000B7B8D">
        <w:rPr>
          <w:rFonts w:asciiTheme="minorHAnsi" w:hAnsiTheme="minorHAnsi"/>
        </w:rPr>
        <w:t xml:space="preserve"> by the incorporation of legality requirements for imported timber into national </w:t>
      </w:r>
      <w:r w:rsidR="00C3671A" w:rsidRPr="000B7B8D">
        <w:rPr>
          <w:rFonts w:asciiTheme="minorHAnsi" w:hAnsiTheme="minorHAnsi"/>
        </w:rPr>
        <w:t>regulation</w:t>
      </w:r>
      <w:r w:rsidR="00690C14" w:rsidRPr="000B7B8D">
        <w:rPr>
          <w:rFonts w:asciiTheme="minorHAnsi" w:hAnsiTheme="minorHAnsi"/>
        </w:rPr>
        <w:t xml:space="preserve">, </w:t>
      </w:r>
      <w:r w:rsidR="00C3671A" w:rsidRPr="000B7B8D">
        <w:rPr>
          <w:rFonts w:asciiTheme="minorHAnsi" w:hAnsiTheme="minorHAnsi"/>
        </w:rPr>
        <w:t>plans for which are being developed by the SFA</w:t>
      </w:r>
      <w:r w:rsidR="00690C14" w:rsidRPr="000B7B8D">
        <w:rPr>
          <w:rFonts w:asciiTheme="minorHAnsi" w:hAnsiTheme="minorHAnsi"/>
        </w:rPr>
        <w:t xml:space="preserve"> </w:t>
      </w:r>
      <w:r w:rsidR="006F0135" w:rsidRPr="000B7B8D">
        <w:rPr>
          <w:rFonts w:asciiTheme="minorHAnsi" w:hAnsiTheme="minorHAnsi"/>
        </w:rPr>
        <w:t>(EU FLEGT Facility 2017</w:t>
      </w:r>
      <w:r w:rsidR="002534FE" w:rsidRPr="000B7B8D">
        <w:rPr>
          <w:rFonts w:asciiTheme="minorHAnsi" w:hAnsiTheme="minorHAnsi"/>
        </w:rPr>
        <w:t>b</w:t>
      </w:r>
      <w:r w:rsidR="006F0135" w:rsidRPr="000B7B8D">
        <w:rPr>
          <w:rFonts w:asciiTheme="minorHAnsi" w:hAnsiTheme="minorHAnsi"/>
        </w:rPr>
        <w:t>, 2018</w:t>
      </w:r>
      <w:r w:rsidR="002534FE" w:rsidRPr="000B7B8D">
        <w:rPr>
          <w:rFonts w:asciiTheme="minorHAnsi" w:hAnsiTheme="minorHAnsi"/>
        </w:rPr>
        <w:t>b</w:t>
      </w:r>
      <w:r w:rsidR="006F0135" w:rsidRPr="000B7B8D">
        <w:rPr>
          <w:rFonts w:asciiTheme="minorHAnsi" w:hAnsiTheme="minorHAnsi"/>
        </w:rPr>
        <w:t xml:space="preserve">; </w:t>
      </w:r>
      <w:r w:rsidR="00E81D22" w:rsidRPr="000B7B8D">
        <w:rPr>
          <w:rFonts w:asciiTheme="minorHAnsi" w:hAnsiTheme="minorHAnsi"/>
        </w:rPr>
        <w:t xml:space="preserve">Forest Trends 2017; </w:t>
      </w:r>
      <w:r w:rsidR="00EF5649" w:rsidRPr="000B7B8D">
        <w:rPr>
          <w:rFonts w:asciiTheme="minorHAnsi" w:hAnsiTheme="minorHAnsi"/>
        </w:rPr>
        <w:t xml:space="preserve">Chen </w:t>
      </w:r>
      <w:r w:rsidR="00E81D22" w:rsidRPr="000B7B8D">
        <w:rPr>
          <w:rFonts w:asciiTheme="minorHAnsi" w:hAnsiTheme="minorHAnsi"/>
        </w:rPr>
        <w:t>2016.)</w:t>
      </w:r>
      <w:r w:rsidR="00E81D22" w:rsidRPr="000B7B8D">
        <w:rPr>
          <w:rStyle w:val="FootnoteReference"/>
          <w:rFonts w:asciiTheme="minorHAnsi" w:hAnsiTheme="minorHAnsi"/>
        </w:rPr>
        <w:footnoteReference w:id="28"/>
      </w:r>
      <w:r w:rsidR="00E81D22" w:rsidRPr="000B7B8D">
        <w:rPr>
          <w:rFonts w:asciiTheme="minorHAnsi" w:hAnsiTheme="minorHAnsi"/>
        </w:rPr>
        <w:t xml:space="preserve"> </w:t>
      </w:r>
    </w:p>
    <w:p w14:paraId="1B548A5D" w14:textId="0CB17A5C" w:rsidR="00EE0BFA" w:rsidRPr="000B7B8D" w:rsidRDefault="000733EE" w:rsidP="00570F41">
      <w:pPr>
        <w:pStyle w:val="BodyText"/>
        <w:jc w:val="both"/>
        <w:rPr>
          <w:rFonts w:asciiTheme="minorHAnsi" w:hAnsiTheme="minorHAnsi"/>
        </w:rPr>
      </w:pPr>
      <w:r w:rsidRPr="000B7B8D">
        <w:rPr>
          <w:rFonts w:asciiTheme="minorHAnsi" w:hAnsiTheme="minorHAnsi"/>
        </w:rPr>
        <w:t>Since the introduction of the US</w:t>
      </w:r>
      <w:r w:rsidR="00DE7904" w:rsidRPr="000B7B8D">
        <w:rPr>
          <w:rFonts w:asciiTheme="minorHAnsi" w:hAnsiTheme="minorHAnsi"/>
        </w:rPr>
        <w:t xml:space="preserve"> LTPA, </w:t>
      </w:r>
      <w:r w:rsidRPr="000B7B8D">
        <w:rPr>
          <w:rFonts w:asciiTheme="minorHAnsi" w:hAnsiTheme="minorHAnsi"/>
        </w:rPr>
        <w:t xml:space="preserve">the EUTR, </w:t>
      </w:r>
      <w:r w:rsidR="00DE7904" w:rsidRPr="000B7B8D">
        <w:rPr>
          <w:rFonts w:asciiTheme="minorHAnsi" w:hAnsiTheme="minorHAnsi"/>
        </w:rPr>
        <w:t xml:space="preserve">and the Australian ILPA, </w:t>
      </w:r>
      <w:r w:rsidRPr="000B7B8D">
        <w:rPr>
          <w:rFonts w:asciiTheme="minorHAnsi" w:hAnsiTheme="minorHAnsi"/>
        </w:rPr>
        <w:t xml:space="preserve">Chinese wood processing firms have increasingly shifted </w:t>
      </w:r>
      <w:r w:rsidR="006C4135" w:rsidRPr="000B7B8D">
        <w:rPr>
          <w:rFonts w:asciiTheme="minorHAnsi" w:hAnsiTheme="minorHAnsi"/>
        </w:rPr>
        <w:t xml:space="preserve">their imports </w:t>
      </w:r>
      <w:r w:rsidR="007C3D4B" w:rsidRPr="000B7B8D">
        <w:rPr>
          <w:rFonts w:asciiTheme="minorHAnsi" w:hAnsiTheme="minorHAnsi"/>
        </w:rPr>
        <w:t>away from h</w:t>
      </w:r>
      <w:r w:rsidR="00AE69EC" w:rsidRPr="000B7B8D">
        <w:rPr>
          <w:rFonts w:asciiTheme="minorHAnsi" w:hAnsiTheme="minorHAnsi"/>
        </w:rPr>
        <w:t xml:space="preserve">igh-risk countries and sources, despite being obliged to pay a higher price per unit for legally verified timber.  Not only did the </w:t>
      </w:r>
      <w:r w:rsidR="000A7CFF" w:rsidRPr="000B7B8D">
        <w:rPr>
          <w:rFonts w:asciiTheme="minorHAnsi" w:hAnsiTheme="minorHAnsi"/>
        </w:rPr>
        <w:t>share</w:t>
      </w:r>
      <w:r w:rsidR="00AE69EC" w:rsidRPr="000B7B8D">
        <w:rPr>
          <w:rFonts w:asciiTheme="minorHAnsi" w:hAnsiTheme="minorHAnsi"/>
        </w:rPr>
        <w:t xml:space="preserve"> of tropical hardwoods </w:t>
      </w:r>
      <w:r w:rsidR="00E84FED" w:rsidRPr="000B7B8D">
        <w:rPr>
          <w:rFonts w:asciiTheme="minorHAnsi" w:hAnsiTheme="minorHAnsi"/>
        </w:rPr>
        <w:t xml:space="preserve">in Chinese imports decline, but so too did that of timber from high-risk natural forests relative to lower-risk sources such as plantations.  </w:t>
      </w:r>
      <w:r w:rsidR="00160DAC" w:rsidRPr="000B7B8D">
        <w:rPr>
          <w:rFonts w:asciiTheme="minorHAnsi" w:hAnsiTheme="minorHAnsi"/>
        </w:rPr>
        <w:t>High-risk softwood imports from Russia were likewise replaced by more expensive certified timber from the US, Canada, New Zealand, Australia</w:t>
      </w:r>
      <w:r w:rsidR="001B4507" w:rsidRPr="000B7B8D">
        <w:rPr>
          <w:rFonts w:asciiTheme="minorHAnsi" w:hAnsiTheme="minorHAnsi"/>
        </w:rPr>
        <w:t>, and Europe</w:t>
      </w:r>
      <w:r w:rsidR="00565EAE" w:rsidRPr="000B7B8D">
        <w:rPr>
          <w:rFonts w:asciiTheme="minorHAnsi" w:hAnsiTheme="minorHAnsi"/>
        </w:rPr>
        <w:t xml:space="preserve"> (Barua et al. 2016; Wellesley 2014)</w:t>
      </w:r>
      <w:r w:rsidR="00160DAC" w:rsidRPr="000B7B8D">
        <w:rPr>
          <w:rFonts w:asciiTheme="minorHAnsi" w:hAnsiTheme="minorHAnsi"/>
        </w:rPr>
        <w:t xml:space="preserve">.  </w:t>
      </w:r>
      <w:r w:rsidR="00C63373" w:rsidRPr="000B7B8D">
        <w:rPr>
          <w:rFonts w:asciiTheme="minorHAnsi" w:hAnsiTheme="minorHAnsi"/>
        </w:rPr>
        <w:t xml:space="preserve">While these shifts were </w:t>
      </w:r>
      <w:r w:rsidR="007D35AB" w:rsidRPr="000B7B8D">
        <w:rPr>
          <w:rFonts w:asciiTheme="minorHAnsi" w:hAnsiTheme="minorHAnsi"/>
        </w:rPr>
        <w:t xml:space="preserve">driven by broader market trends, </w:t>
      </w:r>
      <w:r w:rsidR="006E272C" w:rsidRPr="000B7B8D">
        <w:rPr>
          <w:rFonts w:asciiTheme="minorHAnsi" w:hAnsiTheme="minorHAnsi"/>
        </w:rPr>
        <w:t>notably</w:t>
      </w:r>
      <w:r w:rsidR="007D35AB" w:rsidRPr="000B7B8D">
        <w:rPr>
          <w:rFonts w:asciiTheme="minorHAnsi" w:hAnsiTheme="minorHAnsi"/>
        </w:rPr>
        <w:t xml:space="preserve"> the growing scarcity of tropical natural timber, </w:t>
      </w:r>
      <w:r w:rsidR="006E272C" w:rsidRPr="000B7B8D">
        <w:rPr>
          <w:rFonts w:asciiTheme="minorHAnsi" w:hAnsiTheme="minorHAnsi"/>
        </w:rPr>
        <w:t xml:space="preserve">public legality requirements in consumer countries also appear to have played a significant part, as </w:t>
      </w:r>
      <w:r w:rsidR="001B4507" w:rsidRPr="000B7B8D">
        <w:rPr>
          <w:rFonts w:asciiTheme="minorHAnsi" w:hAnsiTheme="minorHAnsi"/>
        </w:rPr>
        <w:t xml:space="preserve">much of this legally verified wood was re-exported in processed form to </w:t>
      </w:r>
      <w:r w:rsidR="00DE7904" w:rsidRPr="000B7B8D">
        <w:rPr>
          <w:rFonts w:asciiTheme="minorHAnsi" w:hAnsiTheme="minorHAnsi"/>
        </w:rPr>
        <w:lastRenderedPageBreak/>
        <w:t>northern</w:t>
      </w:r>
      <w:r w:rsidR="001B4507" w:rsidRPr="000B7B8D">
        <w:rPr>
          <w:rFonts w:asciiTheme="minorHAnsi" w:hAnsiTheme="minorHAnsi"/>
        </w:rPr>
        <w:t xml:space="preserve"> markets.  </w:t>
      </w:r>
      <w:r w:rsidR="00DE7904" w:rsidRPr="000B7B8D">
        <w:rPr>
          <w:rFonts w:asciiTheme="minorHAnsi" w:hAnsiTheme="minorHAnsi"/>
        </w:rPr>
        <w:t>Thus, for example, a</w:t>
      </w:r>
      <w:r w:rsidR="00565EAE" w:rsidRPr="000B7B8D">
        <w:rPr>
          <w:rFonts w:asciiTheme="minorHAnsi" w:hAnsiTheme="minorHAnsi"/>
        </w:rPr>
        <w:t>n international</w:t>
      </w:r>
      <w:r w:rsidR="00DE7904" w:rsidRPr="000B7B8D">
        <w:rPr>
          <w:rFonts w:asciiTheme="minorHAnsi" w:hAnsiTheme="minorHAnsi"/>
        </w:rPr>
        <w:t xml:space="preserve"> survey of timber legality enforcement authoritie</w:t>
      </w:r>
      <w:r w:rsidR="00565EAE" w:rsidRPr="000B7B8D">
        <w:rPr>
          <w:rFonts w:asciiTheme="minorHAnsi" w:hAnsiTheme="minorHAnsi"/>
        </w:rPr>
        <w:t xml:space="preserve">s conducted by Forest Trends </w:t>
      </w:r>
      <w:r w:rsidR="00DE7904" w:rsidRPr="000B7B8D">
        <w:rPr>
          <w:rFonts w:asciiTheme="minorHAnsi" w:hAnsiTheme="minorHAnsi"/>
        </w:rPr>
        <w:t>found that China was the source country most frequently affected by buyer decisions to stop purchasing from risky suppliers</w:t>
      </w:r>
      <w:r w:rsidR="002534FE" w:rsidRPr="000B7B8D">
        <w:rPr>
          <w:rFonts w:asciiTheme="minorHAnsi" w:hAnsiTheme="minorHAnsi"/>
        </w:rPr>
        <w:t xml:space="preserve"> (</w:t>
      </w:r>
      <w:r w:rsidR="002534FE" w:rsidRPr="000B7B8D">
        <w:rPr>
          <w:rFonts w:asciiTheme="minorHAnsi" w:hAnsiTheme="minorHAnsi"/>
          <w:i/>
        </w:rPr>
        <w:t>TREE Newsletter</w:t>
      </w:r>
      <w:r w:rsidR="002534FE" w:rsidRPr="000B7B8D">
        <w:rPr>
          <w:rFonts w:asciiTheme="minorHAnsi" w:hAnsiTheme="minorHAnsi"/>
        </w:rPr>
        <w:t xml:space="preserve"> Autumn 2016)</w:t>
      </w:r>
      <w:r w:rsidR="00DE7904" w:rsidRPr="000B7B8D">
        <w:rPr>
          <w:rFonts w:asciiTheme="minorHAnsi" w:hAnsiTheme="minorHAnsi"/>
        </w:rPr>
        <w:t xml:space="preserve">.  </w:t>
      </w:r>
      <w:r w:rsidR="00683166" w:rsidRPr="000B7B8D">
        <w:rPr>
          <w:rFonts w:asciiTheme="minorHAnsi" w:hAnsiTheme="minorHAnsi"/>
        </w:rPr>
        <w:t xml:space="preserve">At the same time, however, </w:t>
      </w:r>
      <w:r w:rsidR="003D2BC0" w:rsidRPr="000B7B8D">
        <w:rPr>
          <w:rFonts w:asciiTheme="minorHAnsi" w:hAnsiTheme="minorHAnsi"/>
        </w:rPr>
        <w:t xml:space="preserve">transnational NGOs </w:t>
      </w:r>
      <w:r w:rsidR="00881A76" w:rsidRPr="000B7B8D">
        <w:rPr>
          <w:rFonts w:asciiTheme="minorHAnsi" w:hAnsiTheme="minorHAnsi"/>
        </w:rPr>
        <w:t xml:space="preserve">like Global Witness </w:t>
      </w:r>
      <w:r w:rsidR="007F24E6" w:rsidRPr="000B7B8D">
        <w:rPr>
          <w:rFonts w:asciiTheme="minorHAnsi" w:hAnsiTheme="minorHAnsi"/>
        </w:rPr>
        <w:t xml:space="preserve">have </w:t>
      </w:r>
      <w:r w:rsidR="00881A76" w:rsidRPr="000B7B8D">
        <w:rPr>
          <w:rFonts w:asciiTheme="minorHAnsi" w:hAnsiTheme="minorHAnsi"/>
        </w:rPr>
        <w:t>expose</w:t>
      </w:r>
      <w:r w:rsidR="00421F75" w:rsidRPr="000B7B8D">
        <w:rPr>
          <w:rFonts w:asciiTheme="minorHAnsi" w:hAnsiTheme="minorHAnsi"/>
        </w:rPr>
        <w:t>d</w:t>
      </w:r>
      <w:r w:rsidR="00881A76" w:rsidRPr="000B7B8D">
        <w:rPr>
          <w:rFonts w:asciiTheme="minorHAnsi" w:hAnsiTheme="minorHAnsi"/>
        </w:rPr>
        <w:t xml:space="preserve"> </w:t>
      </w:r>
      <w:r w:rsidR="00421F75" w:rsidRPr="000B7B8D">
        <w:rPr>
          <w:rFonts w:asciiTheme="minorHAnsi" w:hAnsiTheme="minorHAnsi"/>
        </w:rPr>
        <w:t>continuing</w:t>
      </w:r>
      <w:r w:rsidR="00881A76" w:rsidRPr="000B7B8D">
        <w:rPr>
          <w:rFonts w:asciiTheme="minorHAnsi" w:hAnsiTheme="minorHAnsi"/>
        </w:rPr>
        <w:t xml:space="preserve"> evidence of illegal logging by Chinese companies in countries like Papua New </w:t>
      </w:r>
      <w:r w:rsidR="00DF656A" w:rsidRPr="000B7B8D">
        <w:rPr>
          <w:rFonts w:asciiTheme="minorHAnsi" w:hAnsiTheme="minorHAnsi"/>
        </w:rPr>
        <w:t xml:space="preserve">Guinea and the Solomon Islands, and </w:t>
      </w:r>
      <w:r w:rsidR="003656B2" w:rsidRPr="000B7B8D">
        <w:rPr>
          <w:rFonts w:asciiTheme="minorHAnsi" w:hAnsiTheme="minorHAnsi"/>
        </w:rPr>
        <w:t xml:space="preserve">the volume of Chinese illegal wood exports to northern markets remains high, even if their </w:t>
      </w:r>
      <w:r w:rsidR="00500E57" w:rsidRPr="000B7B8D">
        <w:rPr>
          <w:rFonts w:asciiTheme="minorHAnsi" w:hAnsiTheme="minorHAnsi"/>
        </w:rPr>
        <w:t xml:space="preserve">relative </w:t>
      </w:r>
      <w:r w:rsidR="003656B2" w:rsidRPr="000B7B8D">
        <w:rPr>
          <w:rFonts w:asciiTheme="minorHAnsi" w:hAnsiTheme="minorHAnsi"/>
        </w:rPr>
        <w:t xml:space="preserve">share has declined </w:t>
      </w:r>
      <w:r w:rsidR="00434893" w:rsidRPr="000B7B8D">
        <w:rPr>
          <w:rFonts w:asciiTheme="minorHAnsi" w:hAnsiTheme="minorHAnsi"/>
        </w:rPr>
        <w:t>(</w:t>
      </w:r>
      <w:r w:rsidR="00565EAE" w:rsidRPr="000B7B8D">
        <w:rPr>
          <w:rFonts w:asciiTheme="minorHAnsi" w:hAnsiTheme="minorHAnsi"/>
        </w:rPr>
        <w:t>Global Witness 2017, 2018</w:t>
      </w:r>
      <w:r w:rsidR="004A0220" w:rsidRPr="000B7B8D">
        <w:rPr>
          <w:rFonts w:asciiTheme="minorHAnsi" w:hAnsiTheme="minorHAnsi"/>
        </w:rPr>
        <w:t>a, 2018b</w:t>
      </w:r>
      <w:r w:rsidR="00565EAE" w:rsidRPr="000B7B8D">
        <w:rPr>
          <w:rFonts w:asciiTheme="minorHAnsi" w:hAnsiTheme="minorHAnsi"/>
        </w:rPr>
        <w:t xml:space="preserve">; </w:t>
      </w:r>
      <w:r w:rsidR="00434893" w:rsidRPr="000B7B8D">
        <w:rPr>
          <w:rFonts w:asciiTheme="minorHAnsi" w:hAnsiTheme="minorHAnsi"/>
        </w:rPr>
        <w:t xml:space="preserve">Barua et al. 2016; </w:t>
      </w:r>
      <w:r w:rsidR="00565EAE" w:rsidRPr="000B7B8D">
        <w:rPr>
          <w:rFonts w:asciiTheme="minorHAnsi" w:hAnsiTheme="minorHAnsi"/>
        </w:rPr>
        <w:t>Wellesley 2014</w:t>
      </w:r>
      <w:r w:rsidR="00500E57" w:rsidRPr="000B7B8D">
        <w:rPr>
          <w:rFonts w:asciiTheme="minorHAnsi" w:hAnsiTheme="minorHAnsi"/>
        </w:rPr>
        <w:t>).</w:t>
      </w:r>
    </w:p>
    <w:p w14:paraId="3229A7C9" w14:textId="485D58DD" w:rsidR="00570F41" w:rsidRPr="000B7B8D" w:rsidRDefault="001E6776" w:rsidP="00570F41">
      <w:pPr>
        <w:pStyle w:val="BodyText"/>
        <w:jc w:val="both"/>
        <w:rPr>
          <w:rFonts w:asciiTheme="minorHAnsi" w:hAnsiTheme="minorHAnsi"/>
        </w:rPr>
      </w:pPr>
      <w:r w:rsidRPr="000B7B8D">
        <w:rPr>
          <w:rFonts w:asciiTheme="minorHAnsi" w:hAnsiTheme="minorHAnsi"/>
        </w:rPr>
        <w:t xml:space="preserve">Chinese forest enterprises themselves vary widely in size, management structure, </w:t>
      </w:r>
      <w:r w:rsidR="00151214" w:rsidRPr="000B7B8D">
        <w:rPr>
          <w:rFonts w:asciiTheme="minorHAnsi" w:hAnsiTheme="minorHAnsi"/>
        </w:rPr>
        <w:t xml:space="preserve">and capacity to monitor and control their supply chains.  </w:t>
      </w:r>
      <w:r w:rsidR="00C54042" w:rsidRPr="000B7B8D">
        <w:rPr>
          <w:rFonts w:asciiTheme="minorHAnsi" w:hAnsiTheme="minorHAnsi"/>
        </w:rPr>
        <w:t xml:space="preserve">A recent </w:t>
      </w:r>
      <w:r w:rsidR="008A008A" w:rsidRPr="000B7B8D">
        <w:rPr>
          <w:rFonts w:asciiTheme="minorHAnsi" w:hAnsiTheme="minorHAnsi"/>
        </w:rPr>
        <w:t>survey</w:t>
      </w:r>
      <w:r w:rsidR="00C54042" w:rsidRPr="000B7B8D">
        <w:rPr>
          <w:rFonts w:asciiTheme="minorHAnsi" w:hAnsiTheme="minorHAnsi"/>
        </w:rPr>
        <w:t xml:space="preserve"> </w:t>
      </w:r>
      <w:r w:rsidR="008A008A" w:rsidRPr="000B7B8D">
        <w:rPr>
          <w:rFonts w:asciiTheme="minorHAnsi" w:hAnsiTheme="minorHAnsi"/>
        </w:rPr>
        <w:t>conducted by</w:t>
      </w:r>
      <w:r w:rsidR="00C54042" w:rsidRPr="000B7B8D">
        <w:rPr>
          <w:rFonts w:asciiTheme="minorHAnsi" w:hAnsiTheme="minorHAnsi"/>
        </w:rPr>
        <w:t xml:space="preserve"> the CAF </w:t>
      </w:r>
      <w:r w:rsidR="008A008A" w:rsidRPr="000B7B8D">
        <w:rPr>
          <w:rFonts w:asciiTheme="minorHAnsi" w:hAnsiTheme="minorHAnsi"/>
        </w:rPr>
        <w:t xml:space="preserve">and western researchers found a high level of basic awareness of foreign legality requirements not only among </w:t>
      </w:r>
      <w:r w:rsidR="00A37854" w:rsidRPr="000B7B8D">
        <w:rPr>
          <w:rFonts w:asciiTheme="minorHAnsi" w:hAnsiTheme="minorHAnsi"/>
        </w:rPr>
        <w:t xml:space="preserve">export-oriented companies, but also among their domestic suppliers.  </w:t>
      </w:r>
      <w:r w:rsidR="003753F4" w:rsidRPr="000B7B8D">
        <w:rPr>
          <w:rFonts w:asciiTheme="minorHAnsi" w:hAnsiTheme="minorHAnsi"/>
        </w:rPr>
        <w:t xml:space="preserve">The most common responses </w:t>
      </w:r>
      <w:r w:rsidR="00D33A57" w:rsidRPr="000B7B8D">
        <w:rPr>
          <w:rFonts w:asciiTheme="minorHAnsi" w:hAnsiTheme="minorHAnsi"/>
        </w:rPr>
        <w:t>among the export-oriented firms were to apply third-party certification (mostly FSC controlled wood and chain of custody),</w:t>
      </w:r>
      <w:r w:rsidR="00824D82" w:rsidRPr="000B7B8D">
        <w:rPr>
          <w:rStyle w:val="FootnoteReference"/>
          <w:rFonts w:asciiTheme="minorHAnsi" w:hAnsiTheme="minorHAnsi"/>
        </w:rPr>
        <w:footnoteReference w:id="29"/>
      </w:r>
      <w:r w:rsidR="00D33A57" w:rsidRPr="000B7B8D">
        <w:rPr>
          <w:rFonts w:asciiTheme="minorHAnsi" w:hAnsiTheme="minorHAnsi"/>
        </w:rPr>
        <w:t xml:space="preserve"> to provide information in accordance with customers’ requirements, to establish internal supply-chain management and due diligence systems, and to change to low-risk suppliers.  </w:t>
      </w:r>
      <w:r w:rsidR="001A2E04" w:rsidRPr="000B7B8D">
        <w:rPr>
          <w:rFonts w:asciiTheme="minorHAnsi" w:hAnsiTheme="minorHAnsi"/>
        </w:rPr>
        <w:t xml:space="preserve">The study also shows that </w:t>
      </w:r>
      <w:r w:rsidR="006E22C2" w:rsidRPr="000B7B8D">
        <w:rPr>
          <w:rFonts w:asciiTheme="minorHAnsi" w:hAnsiTheme="minorHAnsi"/>
        </w:rPr>
        <w:t xml:space="preserve">beyond the complexity of their supply chains, Chinese wood-exporting enterprises perceive the complexity of the transnational legality regime itself, with its varying verification standards, due diligence requirements, and penalties for </w:t>
      </w:r>
      <w:r w:rsidR="00102E2E" w:rsidRPr="000B7B8D">
        <w:rPr>
          <w:rFonts w:asciiTheme="minorHAnsi" w:hAnsiTheme="minorHAnsi"/>
        </w:rPr>
        <w:t>non-compliance</w:t>
      </w:r>
      <w:r w:rsidR="006E22C2" w:rsidRPr="000B7B8D">
        <w:rPr>
          <w:rFonts w:asciiTheme="minorHAnsi" w:hAnsiTheme="minorHAnsi"/>
        </w:rPr>
        <w:t xml:space="preserve">, as a major source of additional costs and </w:t>
      </w:r>
      <w:r w:rsidR="00102E2E" w:rsidRPr="000B7B8D">
        <w:rPr>
          <w:rFonts w:asciiTheme="minorHAnsi" w:hAnsiTheme="minorHAnsi"/>
        </w:rPr>
        <w:t xml:space="preserve">constraint on their engagement.  </w:t>
      </w:r>
      <w:r w:rsidR="00F36DE1" w:rsidRPr="000B7B8D">
        <w:rPr>
          <w:rFonts w:asciiTheme="minorHAnsi" w:hAnsiTheme="minorHAnsi"/>
        </w:rPr>
        <w:t xml:space="preserve">Hence the </w:t>
      </w:r>
      <w:r w:rsidR="00A831A8" w:rsidRPr="000B7B8D">
        <w:rPr>
          <w:rFonts w:asciiTheme="minorHAnsi" w:hAnsiTheme="minorHAnsi"/>
        </w:rPr>
        <w:t xml:space="preserve">long-term </w:t>
      </w:r>
      <w:r w:rsidR="00F36DE1" w:rsidRPr="000B7B8D">
        <w:rPr>
          <w:rFonts w:asciiTheme="minorHAnsi" w:hAnsiTheme="minorHAnsi"/>
        </w:rPr>
        <w:t xml:space="preserve">effectiveness of </w:t>
      </w:r>
      <w:r w:rsidR="00B4435F" w:rsidRPr="000B7B8D">
        <w:rPr>
          <w:rFonts w:asciiTheme="minorHAnsi" w:hAnsiTheme="minorHAnsi"/>
        </w:rPr>
        <w:t xml:space="preserve">this joined-up regime will </w:t>
      </w:r>
      <w:r w:rsidR="00A831A8" w:rsidRPr="000B7B8D">
        <w:rPr>
          <w:rFonts w:asciiTheme="minorHAnsi" w:hAnsiTheme="minorHAnsi"/>
        </w:rPr>
        <w:t xml:space="preserve">arguably </w:t>
      </w:r>
      <w:r w:rsidR="00B4435F" w:rsidRPr="000B7B8D">
        <w:rPr>
          <w:rFonts w:asciiTheme="minorHAnsi" w:hAnsiTheme="minorHAnsi"/>
        </w:rPr>
        <w:t xml:space="preserve">depend not only on the capacity of consumer </w:t>
      </w:r>
      <w:r w:rsidR="00A831A8" w:rsidRPr="000B7B8D">
        <w:rPr>
          <w:rFonts w:asciiTheme="minorHAnsi" w:hAnsiTheme="minorHAnsi"/>
        </w:rPr>
        <w:t>countries</w:t>
      </w:r>
      <w:r w:rsidR="00B4435F" w:rsidRPr="000B7B8D">
        <w:rPr>
          <w:rFonts w:asciiTheme="minorHAnsi" w:hAnsiTheme="minorHAnsi"/>
        </w:rPr>
        <w:t xml:space="preserve"> like the EU and the US to ensure that the emerging Chinese Timber Legality Verification System meets their own requirements and standards, but also on their capacity to align </w:t>
      </w:r>
      <w:r w:rsidR="00A831A8" w:rsidRPr="000B7B8D">
        <w:rPr>
          <w:rFonts w:asciiTheme="minorHAnsi" w:hAnsiTheme="minorHAnsi"/>
        </w:rPr>
        <w:t>the</w:t>
      </w:r>
      <w:r w:rsidR="00A663D5" w:rsidRPr="000B7B8D">
        <w:rPr>
          <w:rFonts w:asciiTheme="minorHAnsi" w:hAnsiTheme="minorHAnsi"/>
        </w:rPr>
        <w:t>se</w:t>
      </w:r>
      <w:r w:rsidR="00A831A8" w:rsidRPr="000B7B8D">
        <w:rPr>
          <w:rFonts w:asciiTheme="minorHAnsi" w:hAnsiTheme="minorHAnsi"/>
        </w:rPr>
        <w:t xml:space="preserve"> with one another</w:t>
      </w:r>
      <w:r w:rsidR="00A663D5" w:rsidRPr="000B7B8D">
        <w:rPr>
          <w:rFonts w:asciiTheme="minorHAnsi" w:hAnsiTheme="minorHAnsi"/>
        </w:rPr>
        <w:t xml:space="preserve">, for example </w:t>
      </w:r>
      <w:r w:rsidR="00A831A8" w:rsidRPr="000B7B8D">
        <w:rPr>
          <w:rFonts w:asciiTheme="minorHAnsi" w:hAnsiTheme="minorHAnsi"/>
        </w:rPr>
        <w:t xml:space="preserve">through a process of </w:t>
      </w:r>
      <w:r w:rsidR="00783DC9" w:rsidRPr="000B7B8D">
        <w:rPr>
          <w:rFonts w:asciiTheme="minorHAnsi" w:hAnsiTheme="minorHAnsi"/>
        </w:rPr>
        <w:t>benchmarking and</w:t>
      </w:r>
      <w:r w:rsidR="00A831A8" w:rsidRPr="000B7B8D">
        <w:rPr>
          <w:rFonts w:asciiTheme="minorHAnsi" w:hAnsiTheme="minorHAnsi"/>
        </w:rPr>
        <w:t xml:space="preserve"> </w:t>
      </w:r>
      <w:r w:rsidR="003C71FE" w:rsidRPr="000B7B8D">
        <w:rPr>
          <w:rFonts w:asciiTheme="minorHAnsi" w:hAnsiTheme="minorHAnsi"/>
        </w:rPr>
        <w:t xml:space="preserve">mutual </w:t>
      </w:r>
      <w:r w:rsidR="00A831A8" w:rsidRPr="000B7B8D">
        <w:rPr>
          <w:rFonts w:asciiTheme="minorHAnsi" w:hAnsiTheme="minorHAnsi"/>
        </w:rPr>
        <w:t>equivalence assessment</w:t>
      </w:r>
      <w:r w:rsidR="00A663D5" w:rsidRPr="000B7B8D">
        <w:rPr>
          <w:rFonts w:asciiTheme="minorHAnsi" w:hAnsiTheme="minorHAnsi"/>
        </w:rPr>
        <w:t xml:space="preserve"> within</w:t>
      </w:r>
      <w:r w:rsidR="00A831A8" w:rsidRPr="000B7B8D">
        <w:rPr>
          <w:rFonts w:asciiTheme="minorHAnsi" w:hAnsiTheme="minorHAnsi"/>
        </w:rPr>
        <w:t xml:space="preserve"> the TREE network, </w:t>
      </w:r>
      <w:r w:rsidR="00B4435F" w:rsidRPr="000B7B8D">
        <w:rPr>
          <w:rFonts w:asciiTheme="minorHAnsi" w:hAnsiTheme="minorHAnsi"/>
        </w:rPr>
        <w:t xml:space="preserve">in order </w:t>
      </w:r>
      <w:r w:rsidR="00B4435F" w:rsidRPr="000B7B8D">
        <w:rPr>
          <w:rFonts w:asciiTheme="minorHAnsi" w:hAnsiTheme="minorHAnsi"/>
        </w:rPr>
        <w:lastRenderedPageBreak/>
        <w:t xml:space="preserve">to present a common interpretive face </w:t>
      </w:r>
      <w:r w:rsidR="008C356F" w:rsidRPr="000B7B8D">
        <w:rPr>
          <w:rFonts w:asciiTheme="minorHAnsi" w:hAnsiTheme="minorHAnsi"/>
        </w:rPr>
        <w:t>to third-country suppliers (Nathan et al. 2018</w:t>
      </w:r>
      <w:r w:rsidR="00A831A8" w:rsidRPr="000B7B8D">
        <w:rPr>
          <w:rFonts w:asciiTheme="minorHAnsi" w:hAnsiTheme="minorHAnsi"/>
        </w:rPr>
        <w:t>; cf. Hoekman and Sabel 2019</w:t>
      </w:r>
      <w:r w:rsidR="008C356F" w:rsidRPr="000B7B8D">
        <w:rPr>
          <w:rFonts w:asciiTheme="minorHAnsi" w:hAnsiTheme="minorHAnsi"/>
        </w:rPr>
        <w:t>).</w:t>
      </w:r>
      <w:r w:rsidR="003C71FE" w:rsidRPr="000B7B8D">
        <w:rPr>
          <w:rStyle w:val="FootnoteReference"/>
          <w:rFonts w:asciiTheme="minorHAnsi" w:hAnsiTheme="minorHAnsi"/>
        </w:rPr>
        <w:footnoteReference w:id="30"/>
      </w:r>
    </w:p>
    <w:p w14:paraId="472EDF33" w14:textId="6C357E5E" w:rsidR="00737422" w:rsidRPr="000B7B8D" w:rsidRDefault="00737422" w:rsidP="00737422">
      <w:pPr>
        <w:pStyle w:val="Heading1"/>
        <w:numPr>
          <w:ilvl w:val="0"/>
          <w:numId w:val="25"/>
        </w:numPr>
        <w:rPr>
          <w:rFonts w:asciiTheme="minorHAnsi" w:hAnsiTheme="minorHAnsi"/>
        </w:rPr>
      </w:pPr>
      <w:r w:rsidRPr="000B7B8D">
        <w:rPr>
          <w:rFonts w:asciiTheme="minorHAnsi" w:hAnsiTheme="minorHAnsi"/>
        </w:rPr>
        <w:t>Conclusions</w:t>
      </w:r>
    </w:p>
    <w:p w14:paraId="3662C3DB" w14:textId="2E476AC9" w:rsidR="00737422" w:rsidRPr="000B7B8D" w:rsidRDefault="006A21E9" w:rsidP="00570F41">
      <w:pPr>
        <w:pStyle w:val="BodyText"/>
        <w:jc w:val="both"/>
        <w:rPr>
          <w:rFonts w:asciiTheme="minorHAnsi" w:hAnsiTheme="minorHAnsi"/>
        </w:rPr>
      </w:pPr>
      <w:r w:rsidRPr="000B7B8D">
        <w:rPr>
          <w:rFonts w:asciiTheme="minorHAnsi" w:hAnsiTheme="minorHAnsi"/>
        </w:rPr>
        <w:t xml:space="preserve">Although there is still no overarching </w:t>
      </w:r>
      <w:r w:rsidR="00FA3243" w:rsidRPr="000B7B8D">
        <w:rPr>
          <w:rFonts w:asciiTheme="minorHAnsi" w:hAnsiTheme="minorHAnsi"/>
        </w:rPr>
        <w:t xml:space="preserve">global forest governance regime, </w:t>
      </w:r>
      <w:r w:rsidR="00DC61EE" w:rsidRPr="000B7B8D">
        <w:rPr>
          <w:rFonts w:asciiTheme="minorHAnsi" w:hAnsiTheme="minorHAnsi"/>
        </w:rPr>
        <w:t xml:space="preserve">an increasingly joined-up transnational regime for timber legality has nonetheless </w:t>
      </w:r>
      <w:r w:rsidR="00A6465E" w:rsidRPr="000B7B8D">
        <w:rPr>
          <w:rFonts w:asciiTheme="minorHAnsi" w:hAnsiTheme="minorHAnsi"/>
        </w:rPr>
        <w:t>developed</w:t>
      </w:r>
      <w:r w:rsidR="00DC61EE" w:rsidRPr="000B7B8D">
        <w:rPr>
          <w:rFonts w:asciiTheme="minorHAnsi" w:hAnsiTheme="minorHAnsi"/>
        </w:rPr>
        <w:t xml:space="preserve"> over the past 15 years.  </w:t>
      </w:r>
      <w:r w:rsidR="002B6962" w:rsidRPr="000B7B8D">
        <w:rPr>
          <w:rFonts w:asciiTheme="minorHAnsi" w:hAnsiTheme="minorHAnsi"/>
        </w:rPr>
        <w:t>This joined-up regime</w:t>
      </w:r>
      <w:r w:rsidR="008F2448" w:rsidRPr="000B7B8D">
        <w:rPr>
          <w:rFonts w:asciiTheme="minorHAnsi" w:hAnsiTheme="minorHAnsi"/>
        </w:rPr>
        <w:t>, as this paper has shown,</w:t>
      </w:r>
      <w:r w:rsidR="002B6962" w:rsidRPr="000B7B8D">
        <w:rPr>
          <w:rFonts w:asciiTheme="minorHAnsi" w:hAnsiTheme="minorHAnsi"/>
        </w:rPr>
        <w:t xml:space="preserve"> is characterized by four main </w:t>
      </w:r>
      <w:r w:rsidR="008F2448" w:rsidRPr="000B7B8D">
        <w:rPr>
          <w:rFonts w:asciiTheme="minorHAnsi" w:hAnsiTheme="minorHAnsi"/>
        </w:rPr>
        <w:t xml:space="preserve">elements: growing convergence </w:t>
      </w:r>
      <w:r w:rsidR="00176CB9" w:rsidRPr="000B7B8D">
        <w:rPr>
          <w:rFonts w:asciiTheme="minorHAnsi" w:hAnsiTheme="minorHAnsi"/>
        </w:rPr>
        <w:t xml:space="preserve">among autonomous actors and initiatives </w:t>
      </w:r>
      <w:r w:rsidR="008F2448" w:rsidRPr="000B7B8D">
        <w:rPr>
          <w:rFonts w:asciiTheme="minorHAnsi" w:hAnsiTheme="minorHAnsi"/>
        </w:rPr>
        <w:t xml:space="preserve">around </w:t>
      </w:r>
      <w:r w:rsidR="00176CB9" w:rsidRPr="000B7B8D">
        <w:rPr>
          <w:rFonts w:asciiTheme="minorHAnsi" w:hAnsiTheme="minorHAnsi"/>
        </w:rPr>
        <w:t xml:space="preserve">a shared problem definition and accompanying </w:t>
      </w:r>
      <w:r w:rsidR="008F2448" w:rsidRPr="000B7B8D">
        <w:rPr>
          <w:rFonts w:asciiTheme="minorHAnsi" w:hAnsiTheme="minorHAnsi"/>
        </w:rPr>
        <w:t xml:space="preserve">norms, </w:t>
      </w:r>
      <w:r w:rsidR="00176CB9" w:rsidRPr="000B7B8D">
        <w:rPr>
          <w:rFonts w:asciiTheme="minorHAnsi" w:hAnsiTheme="minorHAnsi"/>
        </w:rPr>
        <w:t>principles, and goals for combating illegal logging; the diffusion of mutually reinforcing and often cross-referencing rules and standards; progressive institutionalization of practical cooperation to advance these goals</w:t>
      </w:r>
      <w:r w:rsidR="003564E2" w:rsidRPr="000B7B8D">
        <w:rPr>
          <w:rFonts w:asciiTheme="minorHAnsi" w:hAnsiTheme="minorHAnsi"/>
        </w:rPr>
        <w:t>, including collaborative enforcement of sanctions for non-compliance</w:t>
      </w:r>
      <w:r w:rsidR="00176CB9" w:rsidRPr="000B7B8D">
        <w:rPr>
          <w:rFonts w:asciiTheme="minorHAnsi" w:hAnsiTheme="minorHAnsi"/>
        </w:rPr>
        <w:t xml:space="preserve">; and comparative monitoring, review, and revision of </w:t>
      </w:r>
      <w:r w:rsidR="003564E2" w:rsidRPr="000B7B8D">
        <w:rPr>
          <w:rFonts w:asciiTheme="minorHAnsi" w:hAnsiTheme="minorHAnsi"/>
        </w:rPr>
        <w:t xml:space="preserve">implementation </w:t>
      </w:r>
      <w:r w:rsidR="00046C55" w:rsidRPr="000B7B8D">
        <w:rPr>
          <w:rFonts w:asciiTheme="minorHAnsi" w:hAnsiTheme="minorHAnsi"/>
        </w:rPr>
        <w:t>approaches</w:t>
      </w:r>
      <w:r w:rsidR="00176CB9" w:rsidRPr="000B7B8D">
        <w:rPr>
          <w:rFonts w:asciiTheme="minorHAnsi" w:hAnsiTheme="minorHAnsi"/>
        </w:rPr>
        <w:t xml:space="preserve"> at multiple levels across jurisdictions and schemes.  </w:t>
      </w:r>
    </w:p>
    <w:p w14:paraId="7156883A" w14:textId="15DC2FF4" w:rsidR="004853D9" w:rsidRPr="000B7B8D" w:rsidRDefault="00550C1C" w:rsidP="00550C1C">
      <w:pPr>
        <w:pStyle w:val="BodyText"/>
        <w:jc w:val="both"/>
        <w:rPr>
          <w:rFonts w:asciiTheme="minorHAnsi" w:hAnsiTheme="minorHAnsi"/>
        </w:rPr>
      </w:pPr>
      <w:r w:rsidRPr="000B7B8D">
        <w:rPr>
          <w:rFonts w:asciiTheme="minorHAnsi" w:hAnsiTheme="minorHAnsi"/>
        </w:rPr>
        <w:t>The emerging t</w:t>
      </w:r>
      <w:r w:rsidR="0074036C" w:rsidRPr="000B7B8D">
        <w:rPr>
          <w:rFonts w:asciiTheme="minorHAnsi" w:hAnsiTheme="minorHAnsi"/>
        </w:rPr>
        <w:t xml:space="preserve">ransnational timber legality regime </w:t>
      </w:r>
      <w:r w:rsidR="00C9314A" w:rsidRPr="000B7B8D">
        <w:rPr>
          <w:rFonts w:asciiTheme="minorHAnsi" w:hAnsiTheme="minorHAnsi"/>
        </w:rPr>
        <w:t xml:space="preserve">is centered around the EU FLEGT initiative, whose experimentalist architecture has fostered productive interactions </w:t>
      </w:r>
      <w:r w:rsidR="003564E2" w:rsidRPr="000B7B8D">
        <w:rPr>
          <w:rFonts w:asciiTheme="minorHAnsi" w:hAnsiTheme="minorHAnsi"/>
        </w:rPr>
        <w:t xml:space="preserve">both </w:t>
      </w:r>
      <w:r w:rsidR="00C9314A" w:rsidRPr="000B7B8D">
        <w:rPr>
          <w:rFonts w:asciiTheme="minorHAnsi" w:hAnsiTheme="minorHAnsi"/>
        </w:rPr>
        <w:t xml:space="preserve">with public regulation in </w:t>
      </w:r>
      <w:r w:rsidR="003564E2" w:rsidRPr="000B7B8D">
        <w:rPr>
          <w:rFonts w:asciiTheme="minorHAnsi" w:hAnsiTheme="minorHAnsi"/>
        </w:rPr>
        <w:t>other countries and</w:t>
      </w:r>
      <w:r w:rsidR="00C9314A" w:rsidRPr="000B7B8D">
        <w:rPr>
          <w:rFonts w:asciiTheme="minorHAnsi" w:hAnsiTheme="minorHAnsi"/>
        </w:rPr>
        <w:t xml:space="preserve"> </w:t>
      </w:r>
      <w:r w:rsidR="003564E2" w:rsidRPr="000B7B8D">
        <w:rPr>
          <w:rFonts w:asciiTheme="minorHAnsi" w:hAnsiTheme="minorHAnsi"/>
        </w:rPr>
        <w:t xml:space="preserve">with </w:t>
      </w:r>
      <w:r w:rsidR="00C9314A" w:rsidRPr="000B7B8D">
        <w:rPr>
          <w:rFonts w:asciiTheme="minorHAnsi" w:hAnsiTheme="minorHAnsi"/>
        </w:rPr>
        <w:t xml:space="preserve">private certification </w:t>
      </w:r>
      <w:r w:rsidR="003564E2" w:rsidRPr="000B7B8D">
        <w:rPr>
          <w:rFonts w:asciiTheme="minorHAnsi" w:hAnsiTheme="minorHAnsi"/>
        </w:rPr>
        <w:t xml:space="preserve">schemes.  But </w:t>
      </w:r>
      <w:r w:rsidRPr="000B7B8D">
        <w:rPr>
          <w:rFonts w:asciiTheme="minorHAnsi" w:hAnsiTheme="minorHAnsi"/>
        </w:rPr>
        <w:t>this</w:t>
      </w:r>
      <w:r w:rsidR="003564E2" w:rsidRPr="000B7B8D">
        <w:rPr>
          <w:rFonts w:asciiTheme="minorHAnsi" w:hAnsiTheme="minorHAnsi"/>
        </w:rPr>
        <w:t xml:space="preserve"> </w:t>
      </w:r>
      <w:r w:rsidRPr="000B7B8D">
        <w:rPr>
          <w:rFonts w:asciiTheme="minorHAnsi" w:hAnsiTheme="minorHAnsi"/>
        </w:rPr>
        <w:t>joined-up</w:t>
      </w:r>
      <w:r w:rsidR="00A37229" w:rsidRPr="000B7B8D">
        <w:rPr>
          <w:rFonts w:asciiTheme="minorHAnsi" w:hAnsiTheme="minorHAnsi"/>
        </w:rPr>
        <w:t xml:space="preserve"> </w:t>
      </w:r>
      <w:r w:rsidR="003564E2" w:rsidRPr="000B7B8D">
        <w:rPr>
          <w:rFonts w:asciiTheme="minorHAnsi" w:hAnsiTheme="minorHAnsi"/>
        </w:rPr>
        <w:t xml:space="preserve">transnational regime, as this paper has also shown, remains highly polyarchic, </w:t>
      </w:r>
      <w:r w:rsidR="005C2ABF" w:rsidRPr="000B7B8D">
        <w:rPr>
          <w:rFonts w:asciiTheme="minorHAnsi" w:hAnsiTheme="minorHAnsi"/>
        </w:rPr>
        <w:t>with broad scope for independent initiatives by non-state actors such as transnational NGOs and private service providers</w:t>
      </w:r>
      <w:r w:rsidR="00A6465E" w:rsidRPr="000B7B8D">
        <w:rPr>
          <w:rFonts w:asciiTheme="minorHAnsi" w:hAnsiTheme="minorHAnsi"/>
        </w:rPr>
        <w:t>,</w:t>
      </w:r>
      <w:r w:rsidR="005C2ABF" w:rsidRPr="000B7B8D">
        <w:rPr>
          <w:rFonts w:asciiTheme="minorHAnsi" w:hAnsiTheme="minorHAnsi"/>
        </w:rPr>
        <w:t xml:space="preserve"> </w:t>
      </w:r>
      <w:r w:rsidR="004D164D" w:rsidRPr="000B7B8D">
        <w:rPr>
          <w:rFonts w:asciiTheme="minorHAnsi" w:hAnsiTheme="minorHAnsi"/>
        </w:rPr>
        <w:t>along with</w:t>
      </w:r>
      <w:r w:rsidR="005C2ABF" w:rsidRPr="000B7B8D">
        <w:rPr>
          <w:rFonts w:asciiTheme="minorHAnsi" w:hAnsiTheme="minorHAnsi"/>
        </w:rPr>
        <w:t xml:space="preserve"> national governments, international organizations, </w:t>
      </w:r>
      <w:r w:rsidR="00A6465E" w:rsidRPr="000B7B8D">
        <w:rPr>
          <w:rFonts w:asciiTheme="minorHAnsi" w:hAnsiTheme="minorHAnsi"/>
        </w:rPr>
        <w:t xml:space="preserve">and </w:t>
      </w:r>
      <w:r w:rsidR="005C2ABF" w:rsidRPr="000B7B8D">
        <w:rPr>
          <w:rFonts w:asciiTheme="minorHAnsi" w:hAnsiTheme="minorHAnsi"/>
        </w:rPr>
        <w:t xml:space="preserve">multi-donor partnerships, </w:t>
      </w:r>
      <w:r w:rsidR="00A6465E" w:rsidRPr="000B7B8D">
        <w:rPr>
          <w:rFonts w:asciiTheme="minorHAnsi" w:hAnsiTheme="minorHAnsi"/>
        </w:rPr>
        <w:t>in addition to</w:t>
      </w:r>
      <w:r w:rsidR="005C2ABF" w:rsidRPr="000B7B8D">
        <w:rPr>
          <w:rFonts w:asciiTheme="minorHAnsi" w:hAnsiTheme="minorHAnsi"/>
        </w:rPr>
        <w:t xml:space="preserve"> the EU itself.  </w:t>
      </w:r>
    </w:p>
    <w:p w14:paraId="11A8D2AB" w14:textId="5CA80953" w:rsidR="00E02696" w:rsidRPr="000B7B8D" w:rsidRDefault="00E02696" w:rsidP="00570F41">
      <w:pPr>
        <w:pStyle w:val="BodyText"/>
        <w:jc w:val="both"/>
        <w:rPr>
          <w:rFonts w:asciiTheme="minorHAnsi" w:hAnsiTheme="minorHAnsi"/>
        </w:rPr>
      </w:pPr>
      <w:r w:rsidRPr="000B7B8D">
        <w:rPr>
          <w:rFonts w:asciiTheme="minorHAnsi" w:hAnsiTheme="minorHAnsi"/>
        </w:rPr>
        <w:t xml:space="preserve">Horizontal integration and coordination of actors </w:t>
      </w:r>
      <w:r w:rsidR="00FF4E55" w:rsidRPr="000B7B8D">
        <w:rPr>
          <w:rFonts w:asciiTheme="minorHAnsi" w:hAnsiTheme="minorHAnsi"/>
        </w:rPr>
        <w:t xml:space="preserve">within this emerging regime thus depends on a series of experimentalist mechanisms, whose operation this paper has analyzed.  One </w:t>
      </w:r>
      <w:r w:rsidR="00935560" w:rsidRPr="000B7B8D">
        <w:rPr>
          <w:rFonts w:asciiTheme="minorHAnsi" w:hAnsiTheme="minorHAnsi"/>
        </w:rPr>
        <w:t>such mechanism</w:t>
      </w:r>
      <w:r w:rsidR="00FF4E55" w:rsidRPr="000B7B8D">
        <w:rPr>
          <w:rFonts w:asciiTheme="minorHAnsi" w:hAnsiTheme="minorHAnsi"/>
        </w:rPr>
        <w:t xml:space="preserve"> is the normative and enforcement externalities resulting </w:t>
      </w:r>
      <w:r w:rsidR="00BB24A3" w:rsidRPr="000B7B8D">
        <w:rPr>
          <w:rFonts w:asciiTheme="minorHAnsi" w:hAnsiTheme="minorHAnsi"/>
        </w:rPr>
        <w:t>from cross-</w:t>
      </w:r>
      <w:r w:rsidR="00BB24A3" w:rsidRPr="000B7B8D">
        <w:rPr>
          <w:rFonts w:asciiTheme="minorHAnsi" w:hAnsiTheme="minorHAnsi"/>
        </w:rPr>
        <w:lastRenderedPageBreak/>
        <w:t xml:space="preserve">referencing and mutual endorsement of rules and standards across public authorities and private certification schemes, which Oren Perez </w:t>
      </w:r>
      <w:r w:rsidR="004B488D" w:rsidRPr="000B7B8D">
        <w:rPr>
          <w:rFonts w:asciiTheme="minorHAnsi" w:hAnsiTheme="minorHAnsi"/>
        </w:rPr>
        <w:t xml:space="preserve">(2011) has termed “ensemble regulation”.  Examples discussed above include enforcement reciprocity between the EUTR and the US Lacey, which helps to close loopholes in both legal frameworks, and the revision by </w:t>
      </w:r>
      <w:r w:rsidR="00252A10" w:rsidRPr="000B7B8D">
        <w:rPr>
          <w:rFonts w:asciiTheme="minorHAnsi" w:hAnsiTheme="minorHAnsi"/>
        </w:rPr>
        <w:t>the FSC and the PEFC of their standards and procedures to align them with new public legality regulations in timber-importing countries.</w:t>
      </w:r>
      <w:r w:rsidR="002B461D" w:rsidRPr="000B7B8D">
        <w:rPr>
          <w:rFonts w:asciiTheme="minorHAnsi" w:hAnsiTheme="minorHAnsi"/>
        </w:rPr>
        <w:t xml:space="preserve">  </w:t>
      </w:r>
      <w:r w:rsidR="00935560" w:rsidRPr="000B7B8D">
        <w:rPr>
          <w:rFonts w:asciiTheme="minorHAnsi" w:hAnsiTheme="minorHAnsi"/>
        </w:rPr>
        <w:t xml:space="preserve">A second experimentalist mechanism </w:t>
      </w:r>
      <w:r w:rsidR="002675D9" w:rsidRPr="000B7B8D">
        <w:rPr>
          <w:rFonts w:asciiTheme="minorHAnsi" w:hAnsiTheme="minorHAnsi"/>
        </w:rPr>
        <w:t xml:space="preserve">for horizontal integration and coordination </w:t>
      </w:r>
      <w:r w:rsidR="00935560" w:rsidRPr="000B7B8D">
        <w:rPr>
          <w:rFonts w:asciiTheme="minorHAnsi" w:hAnsiTheme="minorHAnsi"/>
        </w:rPr>
        <w:t xml:space="preserve">is </w:t>
      </w:r>
      <w:r w:rsidR="00B71B47" w:rsidRPr="000B7B8D">
        <w:rPr>
          <w:rFonts w:asciiTheme="minorHAnsi" w:hAnsiTheme="minorHAnsi"/>
        </w:rPr>
        <w:t xml:space="preserve">mutual learning </w:t>
      </w:r>
      <w:r w:rsidR="00EA5BC4" w:rsidRPr="000B7B8D">
        <w:rPr>
          <w:rFonts w:asciiTheme="minorHAnsi" w:hAnsiTheme="minorHAnsi"/>
        </w:rPr>
        <w:t xml:space="preserve">and peer review </w:t>
      </w:r>
      <w:r w:rsidR="00B71B47" w:rsidRPr="000B7B8D">
        <w:rPr>
          <w:rFonts w:asciiTheme="minorHAnsi" w:hAnsiTheme="minorHAnsi"/>
        </w:rPr>
        <w:t xml:space="preserve">through </w:t>
      </w:r>
      <w:r w:rsidR="00935560" w:rsidRPr="000B7B8D">
        <w:rPr>
          <w:rFonts w:asciiTheme="minorHAnsi" w:hAnsiTheme="minorHAnsi"/>
        </w:rPr>
        <w:t xml:space="preserve">information pooling, </w:t>
      </w:r>
      <w:r w:rsidR="00B71B47" w:rsidRPr="000B7B8D">
        <w:rPr>
          <w:rFonts w:asciiTheme="minorHAnsi" w:hAnsiTheme="minorHAnsi"/>
        </w:rPr>
        <w:t xml:space="preserve">comparison of enforcement approaches, development of </w:t>
      </w:r>
      <w:r w:rsidR="002675D9" w:rsidRPr="000B7B8D">
        <w:rPr>
          <w:rFonts w:asciiTheme="minorHAnsi" w:hAnsiTheme="minorHAnsi"/>
        </w:rPr>
        <w:t>common methodologies and tools,</w:t>
      </w:r>
      <w:r w:rsidR="00B71B47" w:rsidRPr="000B7B8D">
        <w:rPr>
          <w:rFonts w:asciiTheme="minorHAnsi" w:hAnsiTheme="minorHAnsi"/>
        </w:rPr>
        <w:t xml:space="preserve"> </w:t>
      </w:r>
      <w:r w:rsidR="00EA5BC4" w:rsidRPr="000B7B8D">
        <w:rPr>
          <w:rFonts w:asciiTheme="minorHAnsi" w:hAnsiTheme="minorHAnsi"/>
        </w:rPr>
        <w:t>collaborative</w:t>
      </w:r>
      <w:r w:rsidR="00B71B47" w:rsidRPr="000B7B8D">
        <w:rPr>
          <w:rFonts w:asciiTheme="minorHAnsi" w:hAnsiTheme="minorHAnsi"/>
        </w:rPr>
        <w:t xml:space="preserve"> training </w:t>
      </w:r>
      <w:r w:rsidR="002675D9" w:rsidRPr="000B7B8D">
        <w:rPr>
          <w:rFonts w:asciiTheme="minorHAnsi" w:hAnsiTheme="minorHAnsi"/>
        </w:rPr>
        <w:t>and inspection activities</w:t>
      </w:r>
      <w:r w:rsidR="00B71B47" w:rsidRPr="000B7B8D">
        <w:rPr>
          <w:rFonts w:asciiTheme="minorHAnsi" w:hAnsiTheme="minorHAnsi"/>
        </w:rPr>
        <w:t xml:space="preserve">, and </w:t>
      </w:r>
      <w:r w:rsidR="00EA5BC4" w:rsidRPr="000B7B8D">
        <w:rPr>
          <w:rFonts w:asciiTheme="minorHAnsi" w:hAnsiTheme="minorHAnsi"/>
        </w:rPr>
        <w:t xml:space="preserve">joint assessment of “substantiated concerns” </w:t>
      </w:r>
      <w:r w:rsidR="003051CC" w:rsidRPr="000B7B8D">
        <w:rPr>
          <w:rFonts w:asciiTheme="minorHAnsi" w:hAnsiTheme="minorHAnsi"/>
        </w:rPr>
        <w:t xml:space="preserve">of illegal logging </w:t>
      </w:r>
      <w:r w:rsidR="00EA5BC4" w:rsidRPr="000B7B8D">
        <w:rPr>
          <w:rFonts w:asciiTheme="minorHAnsi" w:hAnsiTheme="minorHAnsi"/>
        </w:rPr>
        <w:t xml:space="preserve">by front-line enforcement officials from different jurisdictions within the EUTR/FLEGT Expert Group and TREE network.  </w:t>
      </w:r>
      <w:r w:rsidR="00550C1C" w:rsidRPr="000B7B8D">
        <w:rPr>
          <w:rFonts w:asciiTheme="minorHAnsi" w:hAnsiTheme="minorHAnsi"/>
        </w:rPr>
        <w:t xml:space="preserve"> </w:t>
      </w:r>
      <w:r w:rsidR="00EA5BC4" w:rsidRPr="000B7B8D">
        <w:rPr>
          <w:rFonts w:asciiTheme="minorHAnsi" w:hAnsiTheme="minorHAnsi"/>
        </w:rPr>
        <w:t xml:space="preserve">A third </w:t>
      </w:r>
      <w:r w:rsidR="00116CA7" w:rsidRPr="000B7B8D">
        <w:rPr>
          <w:rFonts w:asciiTheme="minorHAnsi" w:hAnsiTheme="minorHAnsi"/>
        </w:rPr>
        <w:t>closely related</w:t>
      </w:r>
      <w:r w:rsidR="00EA5BC4" w:rsidRPr="000B7B8D">
        <w:rPr>
          <w:rFonts w:asciiTheme="minorHAnsi" w:hAnsiTheme="minorHAnsi"/>
        </w:rPr>
        <w:t xml:space="preserve"> mechanism </w:t>
      </w:r>
      <w:r w:rsidR="00350B35" w:rsidRPr="000B7B8D">
        <w:rPr>
          <w:rFonts w:asciiTheme="minorHAnsi" w:hAnsiTheme="minorHAnsi"/>
        </w:rPr>
        <w:t xml:space="preserve">is public oversight </w:t>
      </w:r>
      <w:r w:rsidR="003051CC" w:rsidRPr="000B7B8D">
        <w:rPr>
          <w:rFonts w:asciiTheme="minorHAnsi" w:hAnsiTheme="minorHAnsi"/>
        </w:rPr>
        <w:t xml:space="preserve">and </w:t>
      </w:r>
      <w:r w:rsidR="00D94785" w:rsidRPr="000B7B8D">
        <w:rPr>
          <w:rFonts w:asciiTheme="minorHAnsi" w:hAnsiTheme="minorHAnsi"/>
        </w:rPr>
        <w:t xml:space="preserve">review of private certification and national legality verification </w:t>
      </w:r>
      <w:r w:rsidR="00350B35" w:rsidRPr="000B7B8D">
        <w:rPr>
          <w:rFonts w:asciiTheme="minorHAnsi" w:hAnsiTheme="minorHAnsi"/>
        </w:rPr>
        <w:t xml:space="preserve">schemes within these networks, which </w:t>
      </w:r>
      <w:r w:rsidR="00C93209" w:rsidRPr="000B7B8D">
        <w:rPr>
          <w:rFonts w:asciiTheme="minorHAnsi" w:hAnsiTheme="minorHAnsi"/>
        </w:rPr>
        <w:t xml:space="preserve">as suggested above </w:t>
      </w:r>
      <w:r w:rsidR="00350B35" w:rsidRPr="000B7B8D">
        <w:rPr>
          <w:rFonts w:asciiTheme="minorHAnsi" w:hAnsiTheme="minorHAnsi"/>
        </w:rPr>
        <w:t xml:space="preserve">could eventually develop into a full-blown system of </w:t>
      </w:r>
      <w:r w:rsidR="00F13A25" w:rsidRPr="000B7B8D">
        <w:rPr>
          <w:rFonts w:asciiTheme="minorHAnsi" w:hAnsiTheme="minorHAnsi"/>
        </w:rPr>
        <w:t>comparative benchmarking and ongoing equivalence assessment</w:t>
      </w:r>
      <w:r w:rsidR="00350B35" w:rsidRPr="000B7B8D">
        <w:rPr>
          <w:rFonts w:asciiTheme="minorHAnsi" w:hAnsiTheme="minorHAnsi"/>
        </w:rPr>
        <w:t xml:space="preserve">.  A final </w:t>
      </w:r>
      <w:r w:rsidR="00550C1C" w:rsidRPr="000B7B8D">
        <w:rPr>
          <w:rFonts w:asciiTheme="minorHAnsi" w:hAnsiTheme="minorHAnsi"/>
        </w:rPr>
        <w:t>experimentalist</w:t>
      </w:r>
      <w:r w:rsidR="00C93209" w:rsidRPr="000B7B8D">
        <w:rPr>
          <w:rFonts w:asciiTheme="minorHAnsi" w:hAnsiTheme="minorHAnsi"/>
        </w:rPr>
        <w:t xml:space="preserve"> </w:t>
      </w:r>
      <w:r w:rsidR="00350B35" w:rsidRPr="000B7B8D">
        <w:rPr>
          <w:rFonts w:asciiTheme="minorHAnsi" w:hAnsiTheme="minorHAnsi"/>
        </w:rPr>
        <w:t xml:space="preserve">mechanism is the “penalty default” effect of the EUTR and other public regulations in timber-importing countries, which have pushed major processing and exporting countries like China to cooperate with the emerging transnational legality regime, while </w:t>
      </w:r>
      <w:r w:rsidR="00F13A25" w:rsidRPr="000B7B8D">
        <w:rPr>
          <w:rFonts w:asciiTheme="minorHAnsi" w:hAnsiTheme="minorHAnsi"/>
        </w:rPr>
        <w:t xml:space="preserve">also </w:t>
      </w:r>
      <w:r w:rsidR="00C929BE" w:rsidRPr="000B7B8D">
        <w:rPr>
          <w:rFonts w:asciiTheme="minorHAnsi" w:hAnsiTheme="minorHAnsi"/>
        </w:rPr>
        <w:t>inducing</w:t>
      </w:r>
      <w:r w:rsidR="00350B35" w:rsidRPr="000B7B8D">
        <w:rPr>
          <w:rFonts w:asciiTheme="minorHAnsi" w:hAnsiTheme="minorHAnsi"/>
        </w:rPr>
        <w:t xml:space="preserve"> transnational firms to </w:t>
      </w:r>
      <w:r w:rsidR="00C929BE" w:rsidRPr="000B7B8D">
        <w:rPr>
          <w:rFonts w:asciiTheme="minorHAnsi" w:hAnsiTheme="minorHAnsi"/>
        </w:rPr>
        <w:t xml:space="preserve">develop due diligence systems aimed at minimizing the risks of illegal sourcing within their supply chains. </w:t>
      </w:r>
    </w:p>
    <w:p w14:paraId="6677C399" w14:textId="566C1C53" w:rsidR="00C929BE" w:rsidRPr="000B7B8D" w:rsidRDefault="00DF3BF9" w:rsidP="009403B8">
      <w:pPr>
        <w:pStyle w:val="BodyText"/>
        <w:jc w:val="both"/>
        <w:rPr>
          <w:rFonts w:asciiTheme="minorHAnsi" w:hAnsiTheme="minorHAnsi"/>
        </w:rPr>
      </w:pPr>
      <w:r w:rsidRPr="000B7B8D">
        <w:rPr>
          <w:rFonts w:asciiTheme="minorHAnsi" w:hAnsiTheme="minorHAnsi"/>
        </w:rPr>
        <w:t>The</w:t>
      </w:r>
      <w:r w:rsidR="005474E5" w:rsidRPr="000B7B8D">
        <w:rPr>
          <w:rFonts w:asciiTheme="minorHAnsi" w:hAnsiTheme="minorHAnsi"/>
        </w:rPr>
        <w:t xml:space="preserve"> </w:t>
      </w:r>
      <w:r w:rsidRPr="000B7B8D">
        <w:rPr>
          <w:rFonts w:asciiTheme="minorHAnsi" w:hAnsiTheme="minorHAnsi"/>
        </w:rPr>
        <w:t xml:space="preserve">transnational timber legality regime has expanded steadily in </w:t>
      </w:r>
      <w:r w:rsidR="0099432F" w:rsidRPr="000B7B8D">
        <w:rPr>
          <w:rFonts w:asciiTheme="minorHAnsi" w:hAnsiTheme="minorHAnsi"/>
        </w:rPr>
        <w:t xml:space="preserve">scope and extent in recent years, as new countries have agreed FLEGT VPAs with the EU and/or introduced public legality regulations for wood harvesting and trade, while coverage of private forest certification and legality verification schemes has also expanded.  The emerging regime has likewise proved remarkably </w:t>
      </w:r>
      <w:r w:rsidR="00884772" w:rsidRPr="000B7B8D">
        <w:rPr>
          <w:rFonts w:asciiTheme="minorHAnsi" w:hAnsiTheme="minorHAnsi"/>
        </w:rPr>
        <w:t xml:space="preserve">resilient to domestic and international political upheavals, including the advent of right-wing deregulatory governments in both Australia and the US (Leipold et al. 2016; WRI 2018), </w:t>
      </w:r>
      <w:r w:rsidR="00077AD6" w:rsidRPr="000B7B8D">
        <w:rPr>
          <w:rFonts w:asciiTheme="minorHAnsi" w:hAnsiTheme="minorHAnsi"/>
        </w:rPr>
        <w:t>as well as</w:t>
      </w:r>
      <w:r w:rsidR="00884772" w:rsidRPr="000B7B8D">
        <w:rPr>
          <w:rFonts w:asciiTheme="minorHAnsi" w:hAnsiTheme="minorHAnsi"/>
        </w:rPr>
        <w:t xml:space="preserve"> Brexit, where </w:t>
      </w:r>
      <w:r w:rsidR="009403B8" w:rsidRPr="000B7B8D">
        <w:rPr>
          <w:rFonts w:asciiTheme="minorHAnsi" w:hAnsiTheme="minorHAnsi"/>
        </w:rPr>
        <w:t xml:space="preserve">the UK has announced that it will continue to enforce EU rules for timber imports, including due diligence requirements, </w:t>
      </w:r>
      <w:r w:rsidR="00077AD6" w:rsidRPr="000B7B8D">
        <w:rPr>
          <w:rFonts w:asciiTheme="minorHAnsi" w:hAnsiTheme="minorHAnsi"/>
        </w:rPr>
        <w:t>even in the case of a no-deal exit</w:t>
      </w:r>
      <w:r w:rsidR="009403B8" w:rsidRPr="000B7B8D">
        <w:rPr>
          <w:rFonts w:asciiTheme="minorHAnsi" w:hAnsiTheme="minorHAnsi"/>
        </w:rPr>
        <w:t xml:space="preserve"> (</w:t>
      </w:r>
      <w:hyperlink r:id="rId28" w:history="1">
        <w:r w:rsidR="009403B8" w:rsidRPr="000B7B8D">
          <w:rPr>
            <w:rStyle w:val="Hyperlink"/>
            <w:rFonts w:asciiTheme="minorHAnsi" w:hAnsiTheme="minorHAnsi"/>
          </w:rPr>
          <w:t>https://www.gov.uk/guidance/trading-timber-imports-and-exports-if-theres-no-brexit-deal)</w:t>
        </w:r>
      </w:hyperlink>
      <w:r w:rsidR="009403B8" w:rsidRPr="000B7B8D">
        <w:rPr>
          <w:rFonts w:asciiTheme="minorHAnsi" w:hAnsiTheme="minorHAnsi"/>
        </w:rPr>
        <w:t>.</w:t>
      </w:r>
    </w:p>
    <w:p w14:paraId="40F0DFE6" w14:textId="4D0E9F1A" w:rsidR="00313040" w:rsidRPr="000B7B8D" w:rsidRDefault="00077AD6" w:rsidP="00505AC3">
      <w:pPr>
        <w:pStyle w:val="BodyText"/>
        <w:jc w:val="both"/>
        <w:rPr>
          <w:rFonts w:asciiTheme="minorHAnsi" w:hAnsiTheme="minorHAnsi"/>
        </w:rPr>
      </w:pPr>
      <w:r w:rsidRPr="000B7B8D">
        <w:rPr>
          <w:rFonts w:asciiTheme="minorHAnsi" w:hAnsiTheme="minorHAnsi"/>
        </w:rPr>
        <w:lastRenderedPageBreak/>
        <w:t xml:space="preserve">The analysis in this paper thus confirms </w:t>
      </w:r>
      <w:r w:rsidR="002958B8" w:rsidRPr="000B7B8D">
        <w:rPr>
          <w:rFonts w:asciiTheme="minorHAnsi" w:hAnsiTheme="minorHAnsi"/>
        </w:rPr>
        <w:t xml:space="preserve">the claim advanced in previous work that a </w:t>
      </w:r>
      <w:r w:rsidR="00F13A25" w:rsidRPr="000B7B8D">
        <w:rPr>
          <w:rFonts w:asciiTheme="minorHAnsi" w:hAnsiTheme="minorHAnsi"/>
        </w:rPr>
        <w:t xml:space="preserve">robust </w:t>
      </w:r>
      <w:r w:rsidR="002958B8" w:rsidRPr="000B7B8D">
        <w:rPr>
          <w:rFonts w:asciiTheme="minorHAnsi" w:hAnsiTheme="minorHAnsi"/>
        </w:rPr>
        <w:t>joined-up transnational regime can be assembled piece-by-piece under polyarchic conditions</w:t>
      </w:r>
      <w:r w:rsidR="00AB7241" w:rsidRPr="000B7B8D">
        <w:rPr>
          <w:rFonts w:asciiTheme="minorHAnsi" w:hAnsiTheme="minorHAnsi"/>
        </w:rPr>
        <w:t xml:space="preserve"> through coordinated learning from decentralized experimentation</w:t>
      </w:r>
      <w:r w:rsidR="00F94F59" w:rsidRPr="000B7B8D">
        <w:rPr>
          <w:rFonts w:asciiTheme="minorHAnsi" w:hAnsiTheme="minorHAnsi"/>
        </w:rPr>
        <w:t xml:space="preserve">, without </w:t>
      </w:r>
      <w:r w:rsidR="00AB7241" w:rsidRPr="000B7B8D">
        <w:rPr>
          <w:rFonts w:asciiTheme="minorHAnsi" w:hAnsiTheme="minorHAnsi"/>
        </w:rPr>
        <w:t>a hegemonic power to impose common global rules (Overdevest &amp; Zeitlin 2014).</w:t>
      </w:r>
      <w:r w:rsidR="002958B8" w:rsidRPr="000B7B8D">
        <w:rPr>
          <w:rFonts w:asciiTheme="minorHAnsi" w:hAnsiTheme="minorHAnsi"/>
        </w:rPr>
        <w:t xml:space="preserve"> </w:t>
      </w:r>
      <w:r w:rsidR="00B0137D" w:rsidRPr="000B7B8D">
        <w:rPr>
          <w:rFonts w:asciiTheme="minorHAnsi" w:hAnsiTheme="minorHAnsi"/>
        </w:rPr>
        <w:t xml:space="preserve"> At the same time, </w:t>
      </w:r>
      <w:r w:rsidR="001F5826" w:rsidRPr="000B7B8D">
        <w:rPr>
          <w:rFonts w:asciiTheme="minorHAnsi" w:hAnsiTheme="minorHAnsi"/>
        </w:rPr>
        <w:t xml:space="preserve">as </w:t>
      </w:r>
      <w:r w:rsidR="000C1520" w:rsidRPr="000B7B8D">
        <w:rPr>
          <w:rFonts w:asciiTheme="minorHAnsi" w:hAnsiTheme="minorHAnsi"/>
        </w:rPr>
        <w:t xml:space="preserve">the paper also shows, </w:t>
      </w:r>
      <w:r w:rsidR="00F65540" w:rsidRPr="000B7B8D">
        <w:rPr>
          <w:rFonts w:asciiTheme="minorHAnsi" w:hAnsiTheme="minorHAnsi"/>
        </w:rPr>
        <w:t>significant</w:t>
      </w:r>
      <w:r w:rsidR="000C1520" w:rsidRPr="000B7B8D">
        <w:rPr>
          <w:rFonts w:asciiTheme="minorHAnsi" w:hAnsiTheme="minorHAnsi"/>
        </w:rPr>
        <w:t xml:space="preserve"> gaps </w:t>
      </w:r>
      <w:r w:rsidR="009F2B4F" w:rsidRPr="000B7B8D">
        <w:rPr>
          <w:rFonts w:asciiTheme="minorHAnsi" w:hAnsiTheme="minorHAnsi"/>
        </w:rPr>
        <w:t xml:space="preserve">nonetheless </w:t>
      </w:r>
      <w:r w:rsidR="00F65540" w:rsidRPr="000B7B8D">
        <w:rPr>
          <w:rFonts w:asciiTheme="minorHAnsi" w:hAnsiTheme="minorHAnsi"/>
        </w:rPr>
        <w:t xml:space="preserve">remain within the emerging timber legality regime, which if left </w:t>
      </w:r>
      <w:r w:rsidR="00A96E6D" w:rsidRPr="000B7B8D">
        <w:rPr>
          <w:rFonts w:asciiTheme="minorHAnsi" w:hAnsiTheme="minorHAnsi"/>
        </w:rPr>
        <w:t>unfilled</w:t>
      </w:r>
      <w:r w:rsidR="00F65540" w:rsidRPr="000B7B8D">
        <w:rPr>
          <w:rFonts w:asciiTheme="minorHAnsi" w:hAnsiTheme="minorHAnsi"/>
        </w:rPr>
        <w:t xml:space="preserve"> are likely to constrain its </w:t>
      </w:r>
      <w:r w:rsidR="009F2B4F" w:rsidRPr="000B7B8D">
        <w:rPr>
          <w:rFonts w:asciiTheme="minorHAnsi" w:hAnsiTheme="minorHAnsi"/>
        </w:rPr>
        <w:t xml:space="preserve">future </w:t>
      </w:r>
      <w:r w:rsidR="00F65540" w:rsidRPr="000B7B8D">
        <w:rPr>
          <w:rFonts w:asciiTheme="minorHAnsi" w:hAnsiTheme="minorHAnsi"/>
        </w:rPr>
        <w:t xml:space="preserve">expansion and effectiveness.  </w:t>
      </w:r>
      <w:r w:rsidR="009F2B4F" w:rsidRPr="000B7B8D">
        <w:rPr>
          <w:rFonts w:asciiTheme="minorHAnsi" w:hAnsiTheme="minorHAnsi"/>
        </w:rPr>
        <w:t xml:space="preserve">Most salient among these is the proliferation across jurisdictions of overlapping legality standards, verification procedures, due diligence requirements, and penalties, which as we have seen in the case of China, raise the barriers and costs for firms seeking to comply with the </w:t>
      </w:r>
      <w:r w:rsidR="00F13A25" w:rsidRPr="000B7B8D">
        <w:rPr>
          <w:rFonts w:asciiTheme="minorHAnsi" w:hAnsiTheme="minorHAnsi"/>
        </w:rPr>
        <w:t xml:space="preserve">underlying </w:t>
      </w:r>
      <w:r w:rsidR="009F2B4F" w:rsidRPr="000B7B8D">
        <w:rPr>
          <w:rFonts w:asciiTheme="minorHAnsi" w:hAnsiTheme="minorHAnsi"/>
        </w:rPr>
        <w:t xml:space="preserve">norm </w:t>
      </w:r>
      <w:r w:rsidR="00F13A25" w:rsidRPr="000B7B8D">
        <w:rPr>
          <w:rFonts w:asciiTheme="minorHAnsi" w:hAnsiTheme="minorHAnsi"/>
        </w:rPr>
        <w:t>against</w:t>
      </w:r>
      <w:r w:rsidR="009F2B4F" w:rsidRPr="000B7B8D">
        <w:rPr>
          <w:rFonts w:asciiTheme="minorHAnsi" w:hAnsiTheme="minorHAnsi"/>
        </w:rPr>
        <w:t xml:space="preserve"> trafficking in illegally logged wood.  Here too, however, as suggested </w:t>
      </w:r>
      <w:r w:rsidR="00F13A25" w:rsidRPr="000B7B8D">
        <w:rPr>
          <w:rFonts w:asciiTheme="minorHAnsi" w:hAnsiTheme="minorHAnsi"/>
        </w:rPr>
        <w:t>above</w:t>
      </w:r>
      <w:r w:rsidR="009F2B4F" w:rsidRPr="000B7B8D">
        <w:rPr>
          <w:rFonts w:asciiTheme="minorHAnsi" w:hAnsiTheme="minorHAnsi"/>
        </w:rPr>
        <w:t xml:space="preserve">, experimentalist mechanisms of </w:t>
      </w:r>
      <w:r w:rsidR="00D6597A" w:rsidRPr="000B7B8D">
        <w:rPr>
          <w:rFonts w:asciiTheme="minorHAnsi" w:hAnsiTheme="minorHAnsi"/>
        </w:rPr>
        <w:t>benchmarking and mutual equivalence assessment through transnational institutions such as the TREE network offer a promising route to aligning the legality requirements and standards of participating jurisdictions, without imposing a single set of uniform rules and procedures across the emerging transnational regime.</w:t>
      </w:r>
    </w:p>
    <w:p w14:paraId="01F8E893" w14:textId="558C604A" w:rsidR="002534FE" w:rsidRPr="000B7B8D" w:rsidRDefault="002534FE" w:rsidP="00737422">
      <w:pPr>
        <w:pStyle w:val="Heading1"/>
        <w:ind w:left="0" w:firstLine="0"/>
        <w:rPr>
          <w:rFonts w:asciiTheme="minorHAnsi" w:hAnsiTheme="minorHAnsi"/>
        </w:rPr>
      </w:pPr>
      <w:r w:rsidRPr="000B7B8D">
        <w:rPr>
          <w:rFonts w:asciiTheme="minorHAnsi" w:hAnsiTheme="minorHAnsi"/>
        </w:rPr>
        <w:t>Acronyms</w:t>
      </w:r>
    </w:p>
    <w:p w14:paraId="069D3D6E" w14:textId="0E14928D" w:rsidR="006219AB" w:rsidRPr="000B7B8D" w:rsidRDefault="006219AB" w:rsidP="00D63BC0">
      <w:pPr>
        <w:pStyle w:val="BodyTextSingle-SpacedFlush"/>
        <w:rPr>
          <w:rFonts w:asciiTheme="minorHAnsi" w:hAnsiTheme="minorHAnsi"/>
        </w:rPr>
      </w:pPr>
      <w:r w:rsidRPr="000B7B8D">
        <w:rPr>
          <w:rFonts w:asciiTheme="minorHAnsi" w:hAnsiTheme="minorHAnsi"/>
        </w:rPr>
        <w:t>ADAWR</w:t>
      </w:r>
      <w:r w:rsidR="00663E6D" w:rsidRPr="000B7B8D">
        <w:rPr>
          <w:rFonts w:asciiTheme="minorHAnsi" w:hAnsiTheme="minorHAnsi"/>
        </w:rPr>
        <w:tab/>
        <w:t>Australian Department of Agriculture and Water Resources</w:t>
      </w:r>
    </w:p>
    <w:p w14:paraId="76F1B5B4" w14:textId="31D4B400" w:rsidR="00663E6D" w:rsidRPr="000B7B8D" w:rsidRDefault="00663E6D" w:rsidP="00D63BC0">
      <w:pPr>
        <w:pStyle w:val="BodyTextSingle-SpacedFlush"/>
        <w:rPr>
          <w:rFonts w:asciiTheme="minorHAnsi" w:hAnsiTheme="minorHAnsi"/>
        </w:rPr>
      </w:pPr>
      <w:r w:rsidRPr="000B7B8D">
        <w:rPr>
          <w:rFonts w:asciiTheme="minorHAnsi" w:hAnsiTheme="minorHAnsi"/>
        </w:rPr>
        <w:t>APEC</w:t>
      </w:r>
      <w:r w:rsidRPr="000B7B8D">
        <w:rPr>
          <w:rFonts w:asciiTheme="minorHAnsi" w:hAnsiTheme="minorHAnsi"/>
        </w:rPr>
        <w:tab/>
      </w:r>
      <w:r w:rsidRPr="000B7B8D">
        <w:rPr>
          <w:rFonts w:asciiTheme="minorHAnsi" w:hAnsiTheme="minorHAnsi"/>
        </w:rPr>
        <w:tab/>
        <w:t>Asia Pacific Economic Cooperation</w:t>
      </w:r>
    </w:p>
    <w:p w14:paraId="62875FCD" w14:textId="2747B14C" w:rsidR="006219AB" w:rsidRPr="000B7B8D" w:rsidRDefault="006219AB" w:rsidP="00D63BC0">
      <w:pPr>
        <w:pStyle w:val="BodyTextSingle-SpacedFlush"/>
        <w:rPr>
          <w:rFonts w:asciiTheme="minorHAnsi" w:hAnsiTheme="minorHAnsi"/>
        </w:rPr>
      </w:pPr>
      <w:r w:rsidRPr="000B7B8D">
        <w:rPr>
          <w:rFonts w:asciiTheme="minorHAnsi" w:hAnsiTheme="minorHAnsi"/>
        </w:rPr>
        <w:t>APHIS</w:t>
      </w:r>
      <w:r w:rsidR="00663E6D" w:rsidRPr="000B7B8D">
        <w:rPr>
          <w:rFonts w:asciiTheme="minorHAnsi" w:hAnsiTheme="minorHAnsi"/>
        </w:rPr>
        <w:tab/>
      </w:r>
      <w:r w:rsidR="00663E6D" w:rsidRPr="000B7B8D">
        <w:rPr>
          <w:rFonts w:asciiTheme="minorHAnsi" w:hAnsiTheme="minorHAnsi"/>
        </w:rPr>
        <w:tab/>
        <w:t>Animal Plant Health Inspection Service (US)</w:t>
      </w:r>
    </w:p>
    <w:p w14:paraId="7493B9D8" w14:textId="046975FF" w:rsidR="006219AB" w:rsidRPr="000B7B8D" w:rsidRDefault="006219AB" w:rsidP="00D63BC0">
      <w:pPr>
        <w:pStyle w:val="BodyTextSingle-SpacedFlush"/>
        <w:rPr>
          <w:rFonts w:asciiTheme="minorHAnsi" w:hAnsiTheme="minorHAnsi"/>
        </w:rPr>
      </w:pPr>
      <w:r w:rsidRPr="000B7B8D">
        <w:rPr>
          <w:rFonts w:asciiTheme="minorHAnsi" w:hAnsiTheme="minorHAnsi"/>
        </w:rPr>
        <w:t>BCM</w:t>
      </w:r>
      <w:r w:rsidR="00663E6D" w:rsidRPr="000B7B8D">
        <w:rPr>
          <w:rFonts w:asciiTheme="minorHAnsi" w:hAnsiTheme="minorHAnsi"/>
        </w:rPr>
        <w:tab/>
      </w:r>
      <w:r w:rsidR="00663E6D" w:rsidRPr="000B7B8D">
        <w:rPr>
          <w:rFonts w:asciiTheme="minorHAnsi" w:hAnsiTheme="minorHAnsi"/>
        </w:rPr>
        <w:tab/>
        <w:t>Bilateral Cooperation Mechanism</w:t>
      </w:r>
    </w:p>
    <w:p w14:paraId="05BB6A72" w14:textId="5CE072C1" w:rsidR="00C72295" w:rsidRPr="000B7B8D" w:rsidRDefault="00C72295" w:rsidP="00D63BC0">
      <w:pPr>
        <w:pStyle w:val="BodyTextSingle-SpacedFlush"/>
        <w:rPr>
          <w:rFonts w:asciiTheme="minorHAnsi" w:hAnsiTheme="minorHAnsi"/>
        </w:rPr>
      </w:pPr>
      <w:r w:rsidRPr="000B7B8D">
        <w:rPr>
          <w:rFonts w:asciiTheme="minorHAnsi" w:hAnsiTheme="minorHAnsi"/>
        </w:rPr>
        <w:t>CA</w:t>
      </w:r>
      <w:r w:rsidR="00663E6D" w:rsidRPr="000B7B8D">
        <w:rPr>
          <w:rFonts w:asciiTheme="minorHAnsi" w:hAnsiTheme="minorHAnsi"/>
        </w:rPr>
        <w:tab/>
      </w:r>
      <w:r w:rsidR="00663E6D" w:rsidRPr="000B7B8D">
        <w:rPr>
          <w:rFonts w:asciiTheme="minorHAnsi" w:hAnsiTheme="minorHAnsi"/>
        </w:rPr>
        <w:tab/>
        <w:t>Competent Authority</w:t>
      </w:r>
    </w:p>
    <w:p w14:paraId="45F44FC1" w14:textId="299F3C04" w:rsidR="0038220C" w:rsidRPr="000B7B8D" w:rsidRDefault="0038220C" w:rsidP="00D63BC0">
      <w:pPr>
        <w:pStyle w:val="BodyTextSingle-SpacedFlush"/>
        <w:rPr>
          <w:rFonts w:asciiTheme="minorHAnsi" w:hAnsiTheme="minorHAnsi"/>
        </w:rPr>
      </w:pPr>
      <w:r w:rsidRPr="000B7B8D">
        <w:rPr>
          <w:rFonts w:asciiTheme="minorHAnsi" w:hAnsiTheme="minorHAnsi"/>
        </w:rPr>
        <w:t>CAF</w:t>
      </w:r>
      <w:r w:rsidR="00663E6D" w:rsidRPr="000B7B8D">
        <w:rPr>
          <w:rFonts w:asciiTheme="minorHAnsi" w:hAnsiTheme="minorHAnsi"/>
        </w:rPr>
        <w:tab/>
      </w:r>
      <w:r w:rsidR="00663E6D" w:rsidRPr="000B7B8D">
        <w:rPr>
          <w:rFonts w:asciiTheme="minorHAnsi" w:hAnsiTheme="minorHAnsi"/>
        </w:rPr>
        <w:tab/>
        <w:t>Chinese Academy of Forestry</w:t>
      </w:r>
    </w:p>
    <w:p w14:paraId="756DC343" w14:textId="5CCE407D" w:rsidR="006219AB" w:rsidRPr="000B7B8D" w:rsidRDefault="006219AB" w:rsidP="00D63BC0">
      <w:pPr>
        <w:pStyle w:val="BodyTextSingle-SpacedFlush"/>
        <w:rPr>
          <w:rFonts w:asciiTheme="minorHAnsi" w:hAnsiTheme="minorHAnsi"/>
        </w:rPr>
      </w:pPr>
      <w:r w:rsidRPr="000B7B8D">
        <w:rPr>
          <w:rFonts w:asciiTheme="minorHAnsi" w:hAnsiTheme="minorHAnsi"/>
        </w:rPr>
        <w:t>CITES</w:t>
      </w:r>
      <w:r w:rsidR="00663E6D" w:rsidRPr="000B7B8D">
        <w:rPr>
          <w:rFonts w:asciiTheme="minorHAnsi" w:hAnsiTheme="minorHAnsi"/>
        </w:rPr>
        <w:tab/>
      </w:r>
      <w:r w:rsidR="00663E6D" w:rsidRPr="000B7B8D">
        <w:rPr>
          <w:rFonts w:asciiTheme="minorHAnsi" w:hAnsiTheme="minorHAnsi"/>
        </w:rPr>
        <w:tab/>
        <w:t>Convention on International Trade in Endangered Species</w:t>
      </w:r>
    </w:p>
    <w:p w14:paraId="7A60F2EB" w14:textId="6F8CEFD9" w:rsidR="006219AB" w:rsidRPr="000B7B8D" w:rsidRDefault="006219AB" w:rsidP="00D63BC0">
      <w:pPr>
        <w:pStyle w:val="BodyTextSingle-SpacedFlush"/>
        <w:rPr>
          <w:rFonts w:asciiTheme="minorHAnsi" w:hAnsiTheme="minorHAnsi"/>
        </w:rPr>
      </w:pPr>
      <w:r w:rsidRPr="000B7B8D">
        <w:rPr>
          <w:rFonts w:asciiTheme="minorHAnsi" w:hAnsiTheme="minorHAnsi"/>
        </w:rPr>
        <w:t>CoC</w:t>
      </w:r>
      <w:r w:rsidR="00663E6D" w:rsidRPr="000B7B8D">
        <w:rPr>
          <w:rFonts w:asciiTheme="minorHAnsi" w:hAnsiTheme="minorHAnsi"/>
        </w:rPr>
        <w:tab/>
      </w:r>
      <w:r w:rsidR="00663E6D" w:rsidRPr="000B7B8D">
        <w:rPr>
          <w:rFonts w:asciiTheme="minorHAnsi" w:hAnsiTheme="minorHAnsi"/>
        </w:rPr>
        <w:tab/>
        <w:t>Chain of Custody</w:t>
      </w:r>
    </w:p>
    <w:p w14:paraId="5BA709FE" w14:textId="0CDA3C04" w:rsidR="006219AB" w:rsidRPr="000B7B8D" w:rsidRDefault="006219AB" w:rsidP="00D63BC0">
      <w:pPr>
        <w:pStyle w:val="BodyTextSingle-SpacedFlush"/>
        <w:rPr>
          <w:rFonts w:asciiTheme="minorHAnsi" w:hAnsiTheme="minorHAnsi"/>
        </w:rPr>
      </w:pPr>
      <w:r w:rsidRPr="000B7B8D">
        <w:rPr>
          <w:rFonts w:asciiTheme="minorHAnsi" w:hAnsiTheme="minorHAnsi"/>
        </w:rPr>
        <w:t>DDS</w:t>
      </w:r>
      <w:r w:rsidR="00663E6D" w:rsidRPr="000B7B8D">
        <w:rPr>
          <w:rFonts w:asciiTheme="minorHAnsi" w:hAnsiTheme="minorHAnsi"/>
        </w:rPr>
        <w:tab/>
      </w:r>
      <w:r w:rsidR="00663E6D" w:rsidRPr="000B7B8D">
        <w:rPr>
          <w:rFonts w:asciiTheme="minorHAnsi" w:hAnsiTheme="minorHAnsi"/>
        </w:rPr>
        <w:tab/>
        <w:t>Due Diligence System</w:t>
      </w:r>
    </w:p>
    <w:p w14:paraId="1601F02E" w14:textId="436C39D5" w:rsidR="006219AB" w:rsidRPr="000B7B8D" w:rsidRDefault="006219AB" w:rsidP="00D63BC0">
      <w:pPr>
        <w:pStyle w:val="BodyTextSingle-SpacedFlush"/>
        <w:rPr>
          <w:rFonts w:asciiTheme="minorHAnsi" w:hAnsiTheme="minorHAnsi"/>
        </w:rPr>
      </w:pPr>
      <w:r w:rsidRPr="000B7B8D">
        <w:rPr>
          <w:rFonts w:asciiTheme="minorHAnsi" w:hAnsiTheme="minorHAnsi"/>
        </w:rPr>
        <w:t>DOJ</w:t>
      </w:r>
      <w:r w:rsidR="00663E6D" w:rsidRPr="000B7B8D">
        <w:rPr>
          <w:rFonts w:asciiTheme="minorHAnsi" w:hAnsiTheme="minorHAnsi"/>
        </w:rPr>
        <w:tab/>
      </w:r>
      <w:r w:rsidR="00663E6D" w:rsidRPr="000B7B8D">
        <w:rPr>
          <w:rFonts w:asciiTheme="minorHAnsi" w:hAnsiTheme="minorHAnsi"/>
        </w:rPr>
        <w:tab/>
        <w:t>Department of Justice (US)</w:t>
      </w:r>
    </w:p>
    <w:p w14:paraId="06BF8B6B" w14:textId="611D7DB4" w:rsidR="006219AB" w:rsidRPr="000B7B8D" w:rsidRDefault="006219AB" w:rsidP="00D63BC0">
      <w:pPr>
        <w:pStyle w:val="BodyTextSingle-SpacedFlush"/>
        <w:rPr>
          <w:rFonts w:asciiTheme="minorHAnsi" w:hAnsiTheme="minorHAnsi"/>
        </w:rPr>
      </w:pPr>
      <w:r w:rsidRPr="000B7B8D">
        <w:rPr>
          <w:rFonts w:asciiTheme="minorHAnsi" w:hAnsiTheme="minorHAnsi"/>
        </w:rPr>
        <w:t>ECP</w:t>
      </w:r>
      <w:r w:rsidR="00663E6D" w:rsidRPr="000B7B8D">
        <w:rPr>
          <w:rFonts w:asciiTheme="minorHAnsi" w:hAnsiTheme="minorHAnsi"/>
        </w:rPr>
        <w:tab/>
      </w:r>
      <w:r w:rsidR="00663E6D" w:rsidRPr="000B7B8D">
        <w:rPr>
          <w:rFonts w:asciiTheme="minorHAnsi" w:hAnsiTheme="minorHAnsi"/>
        </w:rPr>
        <w:tab/>
        <w:t>Environmental Compliance Plan</w:t>
      </w:r>
    </w:p>
    <w:p w14:paraId="2EEFE96F" w14:textId="231CAE9F" w:rsidR="00D63BC0" w:rsidRPr="000B7B8D" w:rsidRDefault="00D63BC0" w:rsidP="00D63BC0">
      <w:pPr>
        <w:pStyle w:val="BodyTextSingle-SpacedFlush"/>
        <w:rPr>
          <w:rFonts w:asciiTheme="minorHAnsi" w:hAnsiTheme="minorHAnsi"/>
        </w:rPr>
      </w:pPr>
      <w:r w:rsidRPr="000B7B8D">
        <w:rPr>
          <w:rFonts w:asciiTheme="minorHAnsi" w:hAnsiTheme="minorHAnsi"/>
        </w:rPr>
        <w:t>EGILAT</w:t>
      </w:r>
      <w:r w:rsidR="00663E6D" w:rsidRPr="000B7B8D">
        <w:rPr>
          <w:rFonts w:asciiTheme="minorHAnsi" w:hAnsiTheme="minorHAnsi"/>
        </w:rPr>
        <w:tab/>
      </w:r>
      <w:r w:rsidR="00663E6D" w:rsidRPr="000B7B8D">
        <w:rPr>
          <w:rFonts w:asciiTheme="minorHAnsi" w:hAnsiTheme="minorHAnsi"/>
        </w:rPr>
        <w:tab/>
        <w:t>Experts’ Group on Illegal Logging and Associated Trade</w:t>
      </w:r>
    </w:p>
    <w:p w14:paraId="3773EA18" w14:textId="74E874A1" w:rsidR="007459DF" w:rsidRPr="000B7B8D" w:rsidRDefault="007459DF" w:rsidP="00D63BC0">
      <w:pPr>
        <w:pStyle w:val="BodyTextSingle-SpacedFlush"/>
        <w:rPr>
          <w:rFonts w:asciiTheme="minorHAnsi" w:hAnsiTheme="minorHAnsi"/>
        </w:rPr>
      </w:pPr>
      <w:r w:rsidRPr="000B7B8D">
        <w:rPr>
          <w:rFonts w:asciiTheme="minorHAnsi" w:hAnsiTheme="minorHAnsi"/>
        </w:rPr>
        <w:t>ETTF</w:t>
      </w:r>
      <w:r w:rsidRPr="000B7B8D">
        <w:rPr>
          <w:rFonts w:asciiTheme="minorHAnsi" w:hAnsiTheme="minorHAnsi"/>
        </w:rPr>
        <w:tab/>
      </w:r>
      <w:r w:rsidRPr="000B7B8D">
        <w:rPr>
          <w:rFonts w:asciiTheme="minorHAnsi" w:hAnsiTheme="minorHAnsi"/>
        </w:rPr>
        <w:tab/>
        <w:t>European Timber Trade Federation</w:t>
      </w:r>
    </w:p>
    <w:p w14:paraId="04079B79" w14:textId="1E63D511" w:rsidR="002534FE" w:rsidRPr="000B7B8D" w:rsidRDefault="002534FE" w:rsidP="00D63BC0">
      <w:pPr>
        <w:pStyle w:val="BodyTextSingle-SpacedFlush"/>
        <w:rPr>
          <w:rFonts w:asciiTheme="minorHAnsi" w:hAnsiTheme="minorHAnsi"/>
        </w:rPr>
      </w:pPr>
      <w:r w:rsidRPr="000B7B8D">
        <w:rPr>
          <w:rFonts w:asciiTheme="minorHAnsi" w:hAnsiTheme="minorHAnsi"/>
        </w:rPr>
        <w:t>EU</w:t>
      </w:r>
      <w:r w:rsidR="00663E6D" w:rsidRPr="000B7B8D">
        <w:rPr>
          <w:rFonts w:asciiTheme="minorHAnsi" w:hAnsiTheme="minorHAnsi"/>
        </w:rPr>
        <w:tab/>
      </w:r>
      <w:r w:rsidR="00663E6D" w:rsidRPr="000B7B8D">
        <w:rPr>
          <w:rFonts w:asciiTheme="minorHAnsi" w:hAnsiTheme="minorHAnsi"/>
        </w:rPr>
        <w:tab/>
        <w:t>European Union</w:t>
      </w:r>
    </w:p>
    <w:p w14:paraId="223FEACB" w14:textId="178A35F6" w:rsidR="002534FE" w:rsidRPr="000B7B8D" w:rsidRDefault="002534FE" w:rsidP="00D63BC0">
      <w:pPr>
        <w:pStyle w:val="BodyTextSingle-SpacedFlush"/>
        <w:rPr>
          <w:rFonts w:asciiTheme="minorHAnsi" w:hAnsiTheme="minorHAnsi"/>
        </w:rPr>
      </w:pPr>
      <w:r w:rsidRPr="000B7B8D">
        <w:rPr>
          <w:rFonts w:asciiTheme="minorHAnsi" w:hAnsiTheme="minorHAnsi"/>
        </w:rPr>
        <w:t>EUTR</w:t>
      </w:r>
      <w:r w:rsidR="00873104" w:rsidRPr="000B7B8D">
        <w:rPr>
          <w:rFonts w:asciiTheme="minorHAnsi" w:hAnsiTheme="minorHAnsi"/>
        </w:rPr>
        <w:tab/>
      </w:r>
      <w:r w:rsidR="00873104" w:rsidRPr="000B7B8D">
        <w:rPr>
          <w:rFonts w:asciiTheme="minorHAnsi" w:hAnsiTheme="minorHAnsi"/>
        </w:rPr>
        <w:tab/>
        <w:t>European Union Timber Regulation</w:t>
      </w:r>
    </w:p>
    <w:p w14:paraId="68783E68" w14:textId="39BB29DE" w:rsidR="00C72295" w:rsidRPr="000B7B8D" w:rsidRDefault="00C72295" w:rsidP="00D63BC0">
      <w:pPr>
        <w:pStyle w:val="BodyTextSingle-SpacedFlush"/>
        <w:rPr>
          <w:rFonts w:asciiTheme="minorHAnsi" w:hAnsiTheme="minorHAnsi"/>
        </w:rPr>
      </w:pPr>
      <w:r w:rsidRPr="000B7B8D">
        <w:rPr>
          <w:rFonts w:asciiTheme="minorHAnsi" w:hAnsiTheme="minorHAnsi"/>
        </w:rPr>
        <w:t>FAO</w:t>
      </w:r>
      <w:r w:rsidR="00873104" w:rsidRPr="000B7B8D">
        <w:rPr>
          <w:rFonts w:asciiTheme="minorHAnsi" w:hAnsiTheme="minorHAnsi"/>
        </w:rPr>
        <w:tab/>
      </w:r>
      <w:r w:rsidR="00873104" w:rsidRPr="000B7B8D">
        <w:rPr>
          <w:rFonts w:asciiTheme="minorHAnsi" w:hAnsiTheme="minorHAnsi"/>
        </w:rPr>
        <w:tab/>
        <w:t>Food a</w:t>
      </w:r>
      <w:r w:rsidR="00B37822" w:rsidRPr="000B7B8D">
        <w:rPr>
          <w:rFonts w:asciiTheme="minorHAnsi" w:hAnsiTheme="minorHAnsi"/>
        </w:rPr>
        <w:t>nd Agriculture Organization of the United Nations</w:t>
      </w:r>
    </w:p>
    <w:p w14:paraId="6D62C3E6" w14:textId="01024313" w:rsidR="00873104" w:rsidRPr="000B7B8D" w:rsidRDefault="00873104" w:rsidP="00D63BC0">
      <w:pPr>
        <w:pStyle w:val="BodyTextSingle-SpacedFlush"/>
        <w:rPr>
          <w:rFonts w:asciiTheme="minorHAnsi" w:hAnsiTheme="minorHAnsi"/>
        </w:rPr>
      </w:pPr>
      <w:r w:rsidRPr="000B7B8D">
        <w:rPr>
          <w:rFonts w:asciiTheme="minorHAnsi" w:hAnsiTheme="minorHAnsi"/>
        </w:rPr>
        <w:t>FLEG</w:t>
      </w:r>
      <w:r w:rsidRPr="000B7B8D">
        <w:rPr>
          <w:rFonts w:asciiTheme="minorHAnsi" w:hAnsiTheme="minorHAnsi"/>
        </w:rPr>
        <w:tab/>
      </w:r>
      <w:r w:rsidRPr="000B7B8D">
        <w:rPr>
          <w:rFonts w:asciiTheme="minorHAnsi" w:hAnsiTheme="minorHAnsi"/>
        </w:rPr>
        <w:tab/>
        <w:t>Forest Law Enforcement and Governance</w:t>
      </w:r>
    </w:p>
    <w:p w14:paraId="227BA4C5" w14:textId="6AA5956F" w:rsidR="002534FE" w:rsidRPr="000B7B8D" w:rsidRDefault="002534FE" w:rsidP="00D63BC0">
      <w:pPr>
        <w:pStyle w:val="BodyTextSingle-SpacedFlush"/>
        <w:rPr>
          <w:rFonts w:asciiTheme="minorHAnsi" w:hAnsiTheme="minorHAnsi"/>
        </w:rPr>
      </w:pPr>
      <w:r w:rsidRPr="000B7B8D">
        <w:rPr>
          <w:rFonts w:asciiTheme="minorHAnsi" w:hAnsiTheme="minorHAnsi"/>
        </w:rPr>
        <w:t>FLEGT</w:t>
      </w:r>
      <w:r w:rsidR="00873104" w:rsidRPr="000B7B8D">
        <w:rPr>
          <w:rFonts w:asciiTheme="minorHAnsi" w:hAnsiTheme="minorHAnsi"/>
        </w:rPr>
        <w:tab/>
      </w:r>
      <w:r w:rsidR="00873104" w:rsidRPr="000B7B8D">
        <w:rPr>
          <w:rFonts w:asciiTheme="minorHAnsi" w:hAnsiTheme="minorHAnsi"/>
        </w:rPr>
        <w:tab/>
        <w:t>Forest Law Enforcement, Governance and Trade</w:t>
      </w:r>
    </w:p>
    <w:p w14:paraId="085671C4" w14:textId="4ED3CE66" w:rsidR="002534FE" w:rsidRPr="000B7B8D" w:rsidRDefault="002534FE" w:rsidP="00D63BC0">
      <w:pPr>
        <w:pStyle w:val="BodyTextSingle-SpacedFlush"/>
        <w:rPr>
          <w:rFonts w:asciiTheme="minorHAnsi" w:hAnsiTheme="minorHAnsi"/>
        </w:rPr>
      </w:pPr>
      <w:r w:rsidRPr="000B7B8D">
        <w:rPr>
          <w:rFonts w:asciiTheme="minorHAnsi" w:hAnsiTheme="minorHAnsi"/>
        </w:rPr>
        <w:lastRenderedPageBreak/>
        <w:t>FSC</w:t>
      </w:r>
      <w:r w:rsidR="00873104" w:rsidRPr="000B7B8D">
        <w:rPr>
          <w:rFonts w:asciiTheme="minorHAnsi" w:hAnsiTheme="minorHAnsi"/>
        </w:rPr>
        <w:tab/>
      </w:r>
      <w:r w:rsidR="00873104" w:rsidRPr="000B7B8D">
        <w:rPr>
          <w:rFonts w:asciiTheme="minorHAnsi" w:hAnsiTheme="minorHAnsi"/>
        </w:rPr>
        <w:tab/>
        <w:t>Forest Stewardship Council</w:t>
      </w:r>
    </w:p>
    <w:p w14:paraId="1E1B6033" w14:textId="2EA1F620" w:rsidR="006219AB" w:rsidRPr="000B7B8D" w:rsidRDefault="006219AB" w:rsidP="00D63BC0">
      <w:pPr>
        <w:pStyle w:val="BodyTextSingle-SpacedFlush"/>
        <w:rPr>
          <w:rFonts w:asciiTheme="minorHAnsi" w:hAnsiTheme="minorHAnsi"/>
        </w:rPr>
      </w:pPr>
      <w:r w:rsidRPr="000B7B8D">
        <w:rPr>
          <w:rFonts w:asciiTheme="minorHAnsi" w:hAnsiTheme="minorHAnsi"/>
        </w:rPr>
        <w:t>GTTN</w:t>
      </w:r>
      <w:r w:rsidR="00873104" w:rsidRPr="000B7B8D">
        <w:rPr>
          <w:rFonts w:asciiTheme="minorHAnsi" w:hAnsiTheme="minorHAnsi"/>
        </w:rPr>
        <w:tab/>
      </w:r>
      <w:r w:rsidR="00873104" w:rsidRPr="000B7B8D">
        <w:rPr>
          <w:rFonts w:asciiTheme="minorHAnsi" w:hAnsiTheme="minorHAnsi"/>
        </w:rPr>
        <w:tab/>
        <w:t>Global Timber Tracking Network</w:t>
      </w:r>
    </w:p>
    <w:p w14:paraId="2152E0BC" w14:textId="166BEB1D" w:rsidR="006219AB" w:rsidRPr="000B7B8D" w:rsidRDefault="006219AB" w:rsidP="00D63BC0">
      <w:pPr>
        <w:pStyle w:val="BodyTextSingle-SpacedFlush"/>
        <w:rPr>
          <w:rFonts w:asciiTheme="minorHAnsi" w:hAnsiTheme="minorHAnsi"/>
        </w:rPr>
      </w:pPr>
      <w:r w:rsidRPr="000B7B8D">
        <w:rPr>
          <w:rFonts w:asciiTheme="minorHAnsi" w:hAnsiTheme="minorHAnsi"/>
        </w:rPr>
        <w:t>ILPA</w:t>
      </w:r>
      <w:r w:rsidR="00873104" w:rsidRPr="000B7B8D">
        <w:rPr>
          <w:rFonts w:asciiTheme="minorHAnsi" w:hAnsiTheme="minorHAnsi"/>
        </w:rPr>
        <w:tab/>
      </w:r>
      <w:r w:rsidR="00873104" w:rsidRPr="000B7B8D">
        <w:rPr>
          <w:rFonts w:asciiTheme="minorHAnsi" w:hAnsiTheme="minorHAnsi"/>
        </w:rPr>
        <w:tab/>
        <w:t>Illegal Logging Prohibition Act (Australia)</w:t>
      </w:r>
    </w:p>
    <w:p w14:paraId="4051AAAF" w14:textId="452787EF" w:rsidR="00C72295" w:rsidRPr="000B7B8D" w:rsidRDefault="00C72295" w:rsidP="00D63BC0">
      <w:pPr>
        <w:pStyle w:val="BodyTextSingle-SpacedFlush"/>
        <w:rPr>
          <w:rFonts w:asciiTheme="minorHAnsi" w:hAnsiTheme="minorHAnsi"/>
        </w:rPr>
      </w:pPr>
      <w:r w:rsidRPr="000B7B8D">
        <w:rPr>
          <w:rFonts w:asciiTheme="minorHAnsi" w:hAnsiTheme="minorHAnsi"/>
        </w:rPr>
        <w:t>IMM</w:t>
      </w:r>
      <w:r w:rsidR="00873104" w:rsidRPr="000B7B8D">
        <w:rPr>
          <w:rFonts w:asciiTheme="minorHAnsi" w:hAnsiTheme="minorHAnsi"/>
        </w:rPr>
        <w:tab/>
      </w:r>
      <w:r w:rsidR="00873104" w:rsidRPr="000B7B8D">
        <w:rPr>
          <w:rFonts w:asciiTheme="minorHAnsi" w:hAnsiTheme="minorHAnsi"/>
        </w:rPr>
        <w:tab/>
        <w:t>Independent Market Monitor</w:t>
      </w:r>
    </w:p>
    <w:p w14:paraId="23BFECFF" w14:textId="6A9CE384" w:rsidR="0038220C" w:rsidRPr="000B7B8D" w:rsidRDefault="0038220C" w:rsidP="00D63BC0">
      <w:pPr>
        <w:pStyle w:val="BodyTextSingle-SpacedFlush"/>
        <w:rPr>
          <w:rFonts w:asciiTheme="minorHAnsi" w:hAnsiTheme="minorHAnsi"/>
        </w:rPr>
      </w:pPr>
      <w:r w:rsidRPr="000B7B8D">
        <w:rPr>
          <w:rFonts w:asciiTheme="minorHAnsi" w:hAnsiTheme="minorHAnsi"/>
        </w:rPr>
        <w:t>InFIT</w:t>
      </w:r>
      <w:r w:rsidR="00873104" w:rsidRPr="000B7B8D">
        <w:rPr>
          <w:rFonts w:asciiTheme="minorHAnsi" w:hAnsiTheme="minorHAnsi"/>
        </w:rPr>
        <w:tab/>
      </w:r>
      <w:r w:rsidR="00873104" w:rsidRPr="000B7B8D">
        <w:rPr>
          <w:rFonts w:asciiTheme="minorHAnsi" w:hAnsiTheme="minorHAnsi"/>
        </w:rPr>
        <w:tab/>
      </w:r>
      <w:r w:rsidR="007459DF" w:rsidRPr="000B7B8D">
        <w:rPr>
          <w:rFonts w:asciiTheme="minorHAnsi" w:hAnsiTheme="minorHAnsi"/>
        </w:rPr>
        <w:t>International Forest Investment &amp; Trade (UK-China Collaboration)</w:t>
      </w:r>
    </w:p>
    <w:p w14:paraId="3A32AEF4" w14:textId="1FD131E5" w:rsidR="00C72295" w:rsidRPr="000B7B8D" w:rsidRDefault="00C72295" w:rsidP="00D63BC0">
      <w:pPr>
        <w:pStyle w:val="BodyTextSingle-SpacedFlush"/>
        <w:rPr>
          <w:rFonts w:asciiTheme="minorHAnsi" w:hAnsiTheme="minorHAnsi"/>
        </w:rPr>
      </w:pPr>
      <w:r w:rsidRPr="000B7B8D">
        <w:rPr>
          <w:rFonts w:asciiTheme="minorHAnsi" w:hAnsiTheme="minorHAnsi"/>
        </w:rPr>
        <w:t>ITTO</w:t>
      </w:r>
      <w:r w:rsidR="007459DF" w:rsidRPr="000B7B8D">
        <w:rPr>
          <w:rFonts w:asciiTheme="minorHAnsi" w:hAnsiTheme="minorHAnsi"/>
        </w:rPr>
        <w:tab/>
      </w:r>
      <w:r w:rsidR="007459DF" w:rsidRPr="000B7B8D">
        <w:rPr>
          <w:rFonts w:asciiTheme="minorHAnsi" w:hAnsiTheme="minorHAnsi"/>
        </w:rPr>
        <w:tab/>
        <w:t>International Tropical Timber Organization</w:t>
      </w:r>
    </w:p>
    <w:p w14:paraId="5A64DBFA" w14:textId="14CF437F" w:rsidR="00C72295" w:rsidRPr="000B7B8D" w:rsidRDefault="00C72295" w:rsidP="00D63BC0">
      <w:pPr>
        <w:pStyle w:val="BodyTextSingle-SpacedFlush"/>
        <w:rPr>
          <w:rFonts w:asciiTheme="minorHAnsi" w:hAnsiTheme="minorHAnsi"/>
        </w:rPr>
      </w:pPr>
      <w:r w:rsidRPr="000B7B8D">
        <w:rPr>
          <w:rFonts w:asciiTheme="minorHAnsi" w:hAnsiTheme="minorHAnsi"/>
        </w:rPr>
        <w:t>JIC</w:t>
      </w:r>
      <w:r w:rsidR="007459DF" w:rsidRPr="000B7B8D">
        <w:rPr>
          <w:rFonts w:asciiTheme="minorHAnsi" w:hAnsiTheme="minorHAnsi"/>
        </w:rPr>
        <w:tab/>
      </w:r>
      <w:r w:rsidR="007459DF" w:rsidRPr="000B7B8D">
        <w:rPr>
          <w:rFonts w:asciiTheme="minorHAnsi" w:hAnsiTheme="minorHAnsi"/>
        </w:rPr>
        <w:tab/>
        <w:t>Joint Implementation Committee</w:t>
      </w:r>
    </w:p>
    <w:p w14:paraId="1EF650EE" w14:textId="6E5D0E1D" w:rsidR="006219AB" w:rsidRPr="000B7B8D" w:rsidRDefault="006219AB" w:rsidP="00D63BC0">
      <w:pPr>
        <w:pStyle w:val="BodyTextSingle-SpacedFlush"/>
        <w:rPr>
          <w:rFonts w:asciiTheme="minorHAnsi" w:hAnsiTheme="minorHAnsi"/>
        </w:rPr>
      </w:pPr>
      <w:r w:rsidRPr="000B7B8D">
        <w:rPr>
          <w:rFonts w:asciiTheme="minorHAnsi" w:hAnsiTheme="minorHAnsi"/>
        </w:rPr>
        <w:t>LL</w:t>
      </w:r>
      <w:r w:rsidR="007459DF" w:rsidRPr="000B7B8D">
        <w:rPr>
          <w:rFonts w:asciiTheme="minorHAnsi" w:hAnsiTheme="minorHAnsi"/>
        </w:rPr>
        <w:tab/>
      </w:r>
      <w:r w:rsidR="007459DF" w:rsidRPr="000B7B8D">
        <w:rPr>
          <w:rFonts w:asciiTheme="minorHAnsi" w:hAnsiTheme="minorHAnsi"/>
        </w:rPr>
        <w:tab/>
        <w:t>Lumber Liquidators</w:t>
      </w:r>
    </w:p>
    <w:p w14:paraId="74B57EDA" w14:textId="02F36A78" w:rsidR="006219AB" w:rsidRPr="000B7B8D" w:rsidRDefault="006219AB" w:rsidP="00D63BC0">
      <w:pPr>
        <w:pStyle w:val="BodyTextSingle-SpacedFlush"/>
        <w:rPr>
          <w:rFonts w:asciiTheme="minorHAnsi" w:hAnsiTheme="minorHAnsi"/>
        </w:rPr>
      </w:pPr>
      <w:r w:rsidRPr="000B7B8D">
        <w:rPr>
          <w:rFonts w:asciiTheme="minorHAnsi" w:hAnsiTheme="minorHAnsi"/>
        </w:rPr>
        <w:t>LTPA</w:t>
      </w:r>
      <w:r w:rsidR="007459DF" w:rsidRPr="000B7B8D">
        <w:rPr>
          <w:rFonts w:asciiTheme="minorHAnsi" w:hAnsiTheme="minorHAnsi"/>
        </w:rPr>
        <w:tab/>
      </w:r>
      <w:r w:rsidR="007459DF" w:rsidRPr="000B7B8D">
        <w:rPr>
          <w:rFonts w:asciiTheme="minorHAnsi" w:hAnsiTheme="minorHAnsi"/>
        </w:rPr>
        <w:tab/>
        <w:t>Legal Timber Protection Act</w:t>
      </w:r>
    </w:p>
    <w:p w14:paraId="1E7BE3AD" w14:textId="4F4841DA" w:rsidR="006219AB" w:rsidRPr="000B7B8D" w:rsidRDefault="006219AB" w:rsidP="00D63BC0">
      <w:pPr>
        <w:pStyle w:val="BodyTextSingle-SpacedFlush"/>
        <w:rPr>
          <w:rFonts w:asciiTheme="minorHAnsi" w:hAnsiTheme="minorHAnsi"/>
        </w:rPr>
      </w:pPr>
      <w:r w:rsidRPr="000B7B8D">
        <w:rPr>
          <w:rFonts w:asciiTheme="minorHAnsi" w:hAnsiTheme="minorHAnsi"/>
        </w:rPr>
        <w:t>MO</w:t>
      </w:r>
      <w:r w:rsidR="007459DF" w:rsidRPr="000B7B8D">
        <w:rPr>
          <w:rFonts w:asciiTheme="minorHAnsi" w:hAnsiTheme="minorHAnsi"/>
        </w:rPr>
        <w:tab/>
      </w:r>
      <w:r w:rsidR="007459DF" w:rsidRPr="000B7B8D">
        <w:rPr>
          <w:rFonts w:asciiTheme="minorHAnsi" w:hAnsiTheme="minorHAnsi"/>
        </w:rPr>
        <w:tab/>
        <w:t>Monitoring Organization</w:t>
      </w:r>
    </w:p>
    <w:p w14:paraId="62649F08" w14:textId="55C81C84" w:rsidR="002534FE" w:rsidRPr="000B7B8D" w:rsidRDefault="002534FE" w:rsidP="00D63BC0">
      <w:pPr>
        <w:pStyle w:val="BodyTextSingle-SpacedFlush"/>
        <w:rPr>
          <w:rFonts w:asciiTheme="minorHAnsi" w:hAnsiTheme="minorHAnsi"/>
        </w:rPr>
      </w:pPr>
      <w:r w:rsidRPr="000B7B8D">
        <w:rPr>
          <w:rFonts w:asciiTheme="minorHAnsi" w:hAnsiTheme="minorHAnsi"/>
        </w:rPr>
        <w:t>PEFC</w:t>
      </w:r>
      <w:r w:rsidR="007459DF" w:rsidRPr="000B7B8D">
        <w:rPr>
          <w:rFonts w:asciiTheme="minorHAnsi" w:hAnsiTheme="minorHAnsi"/>
        </w:rPr>
        <w:tab/>
      </w:r>
      <w:r w:rsidR="007459DF" w:rsidRPr="000B7B8D">
        <w:rPr>
          <w:rFonts w:asciiTheme="minorHAnsi" w:hAnsiTheme="minorHAnsi"/>
        </w:rPr>
        <w:tab/>
        <w:t>Program for the Endorsement of Forest Certification</w:t>
      </w:r>
    </w:p>
    <w:p w14:paraId="604B9595" w14:textId="78FAE6AA" w:rsidR="0038220C" w:rsidRPr="000B7B8D" w:rsidRDefault="0038220C" w:rsidP="00D63BC0">
      <w:pPr>
        <w:pStyle w:val="BodyTextSingle-SpacedFlush"/>
        <w:rPr>
          <w:rFonts w:asciiTheme="minorHAnsi" w:hAnsiTheme="minorHAnsi"/>
        </w:rPr>
      </w:pPr>
      <w:r w:rsidRPr="000B7B8D">
        <w:rPr>
          <w:rFonts w:asciiTheme="minorHAnsi" w:hAnsiTheme="minorHAnsi"/>
        </w:rPr>
        <w:t>SFA</w:t>
      </w:r>
      <w:r w:rsidR="007459DF" w:rsidRPr="000B7B8D">
        <w:rPr>
          <w:rFonts w:asciiTheme="minorHAnsi" w:hAnsiTheme="minorHAnsi"/>
        </w:rPr>
        <w:tab/>
      </w:r>
      <w:r w:rsidR="007459DF" w:rsidRPr="000B7B8D">
        <w:rPr>
          <w:rFonts w:asciiTheme="minorHAnsi" w:hAnsiTheme="minorHAnsi"/>
        </w:rPr>
        <w:tab/>
        <w:t>State Forestry Authority (China)</w:t>
      </w:r>
    </w:p>
    <w:p w14:paraId="67D1FD62" w14:textId="4C700B7B" w:rsidR="00C72295" w:rsidRPr="000B7B8D" w:rsidRDefault="00C72295" w:rsidP="00D63BC0">
      <w:pPr>
        <w:pStyle w:val="BodyTextSingle-SpacedFlush"/>
        <w:rPr>
          <w:rFonts w:asciiTheme="minorHAnsi" w:hAnsiTheme="minorHAnsi"/>
        </w:rPr>
      </w:pPr>
      <w:r w:rsidRPr="000B7B8D">
        <w:rPr>
          <w:rFonts w:asciiTheme="minorHAnsi" w:hAnsiTheme="minorHAnsi"/>
        </w:rPr>
        <w:t>TLAS</w:t>
      </w:r>
      <w:r w:rsidR="007459DF" w:rsidRPr="000B7B8D">
        <w:rPr>
          <w:rFonts w:asciiTheme="minorHAnsi" w:hAnsiTheme="minorHAnsi"/>
        </w:rPr>
        <w:tab/>
      </w:r>
      <w:r w:rsidR="007459DF" w:rsidRPr="000B7B8D">
        <w:rPr>
          <w:rFonts w:asciiTheme="minorHAnsi" w:hAnsiTheme="minorHAnsi"/>
        </w:rPr>
        <w:tab/>
        <w:t>Timber Legality Assurance System</w:t>
      </w:r>
    </w:p>
    <w:p w14:paraId="673CEBC5" w14:textId="0175541D" w:rsidR="0038220C" w:rsidRPr="000B7B8D" w:rsidRDefault="0038220C" w:rsidP="00D63BC0">
      <w:pPr>
        <w:pStyle w:val="BodyTextSingle-SpacedFlush"/>
        <w:rPr>
          <w:rFonts w:asciiTheme="minorHAnsi" w:hAnsiTheme="minorHAnsi"/>
        </w:rPr>
      </w:pPr>
      <w:r w:rsidRPr="000B7B8D">
        <w:rPr>
          <w:rFonts w:asciiTheme="minorHAnsi" w:hAnsiTheme="minorHAnsi"/>
        </w:rPr>
        <w:t>TLVS</w:t>
      </w:r>
      <w:r w:rsidR="007459DF" w:rsidRPr="000B7B8D">
        <w:rPr>
          <w:rFonts w:asciiTheme="minorHAnsi" w:hAnsiTheme="minorHAnsi"/>
        </w:rPr>
        <w:tab/>
      </w:r>
      <w:r w:rsidR="007459DF" w:rsidRPr="000B7B8D">
        <w:rPr>
          <w:rFonts w:asciiTheme="minorHAnsi" w:hAnsiTheme="minorHAnsi"/>
        </w:rPr>
        <w:tab/>
        <w:t>Timber Legality Verification Standard (China)</w:t>
      </w:r>
    </w:p>
    <w:p w14:paraId="12DC619F" w14:textId="0D289BA1" w:rsidR="006219AB" w:rsidRPr="000B7B8D" w:rsidRDefault="006219AB" w:rsidP="00D63BC0">
      <w:pPr>
        <w:pStyle w:val="BodyTextSingle-SpacedFlush"/>
        <w:rPr>
          <w:rFonts w:asciiTheme="minorHAnsi" w:hAnsiTheme="minorHAnsi"/>
        </w:rPr>
      </w:pPr>
      <w:r w:rsidRPr="000B7B8D">
        <w:rPr>
          <w:rFonts w:asciiTheme="minorHAnsi" w:hAnsiTheme="minorHAnsi"/>
        </w:rPr>
        <w:t>TPP</w:t>
      </w:r>
      <w:r w:rsidR="007459DF" w:rsidRPr="000B7B8D">
        <w:rPr>
          <w:rFonts w:asciiTheme="minorHAnsi" w:hAnsiTheme="minorHAnsi"/>
        </w:rPr>
        <w:tab/>
      </w:r>
      <w:r w:rsidR="007459DF" w:rsidRPr="000B7B8D">
        <w:rPr>
          <w:rFonts w:asciiTheme="minorHAnsi" w:hAnsiTheme="minorHAnsi"/>
        </w:rPr>
        <w:tab/>
        <w:t>Trans-Pacific Partnership</w:t>
      </w:r>
    </w:p>
    <w:p w14:paraId="2F8BA77E" w14:textId="69E720B7" w:rsidR="00C72295" w:rsidRPr="000B7B8D" w:rsidRDefault="00C72295" w:rsidP="00D63BC0">
      <w:pPr>
        <w:pStyle w:val="BodyTextSingle-SpacedFlush"/>
        <w:rPr>
          <w:rFonts w:asciiTheme="minorHAnsi" w:hAnsiTheme="minorHAnsi"/>
        </w:rPr>
      </w:pPr>
      <w:r w:rsidRPr="000B7B8D">
        <w:rPr>
          <w:rFonts w:asciiTheme="minorHAnsi" w:hAnsiTheme="minorHAnsi"/>
        </w:rPr>
        <w:t>TREE</w:t>
      </w:r>
      <w:r w:rsidR="007459DF" w:rsidRPr="000B7B8D">
        <w:rPr>
          <w:rFonts w:asciiTheme="minorHAnsi" w:hAnsiTheme="minorHAnsi"/>
        </w:rPr>
        <w:tab/>
      </w:r>
      <w:r w:rsidR="007459DF" w:rsidRPr="000B7B8D">
        <w:rPr>
          <w:rFonts w:asciiTheme="minorHAnsi" w:hAnsiTheme="minorHAnsi"/>
        </w:rPr>
        <w:tab/>
        <w:t>Timber Regulation Enforcement Exchange</w:t>
      </w:r>
    </w:p>
    <w:p w14:paraId="471E2B53" w14:textId="67A9BE42" w:rsidR="00663E6D" w:rsidRPr="000B7B8D" w:rsidRDefault="002534FE" w:rsidP="00D63BC0">
      <w:pPr>
        <w:pStyle w:val="BodyTextSingle-SpacedFlush"/>
        <w:rPr>
          <w:rFonts w:asciiTheme="minorHAnsi" w:hAnsiTheme="minorHAnsi"/>
        </w:rPr>
      </w:pPr>
      <w:r w:rsidRPr="000B7B8D">
        <w:rPr>
          <w:rFonts w:asciiTheme="minorHAnsi" w:hAnsiTheme="minorHAnsi"/>
        </w:rPr>
        <w:t>UN</w:t>
      </w:r>
      <w:r w:rsidR="00663E6D" w:rsidRPr="000B7B8D">
        <w:rPr>
          <w:rFonts w:asciiTheme="minorHAnsi" w:hAnsiTheme="minorHAnsi"/>
        </w:rPr>
        <w:t>ECE</w:t>
      </w:r>
      <w:r w:rsidR="00663E6D" w:rsidRPr="000B7B8D">
        <w:rPr>
          <w:rFonts w:asciiTheme="minorHAnsi" w:hAnsiTheme="minorHAnsi"/>
        </w:rPr>
        <w:tab/>
      </w:r>
      <w:r w:rsidR="00663E6D" w:rsidRPr="000B7B8D">
        <w:rPr>
          <w:rFonts w:asciiTheme="minorHAnsi" w:hAnsiTheme="minorHAnsi"/>
        </w:rPr>
        <w:tab/>
        <w:t>United Nations Economic Commission for Europe</w:t>
      </w:r>
    </w:p>
    <w:p w14:paraId="4C392FC8" w14:textId="1FE12F33" w:rsidR="006219AB" w:rsidRPr="000B7B8D" w:rsidRDefault="006219AB" w:rsidP="00D63BC0">
      <w:pPr>
        <w:pStyle w:val="BodyTextSingle-SpacedFlush"/>
        <w:rPr>
          <w:rFonts w:asciiTheme="minorHAnsi" w:hAnsiTheme="minorHAnsi"/>
        </w:rPr>
      </w:pPr>
      <w:r w:rsidRPr="000B7B8D">
        <w:rPr>
          <w:rFonts w:asciiTheme="minorHAnsi" w:hAnsiTheme="minorHAnsi"/>
        </w:rPr>
        <w:t>UNEP-WCMC</w:t>
      </w:r>
      <w:r w:rsidR="007459DF" w:rsidRPr="000B7B8D">
        <w:rPr>
          <w:rFonts w:asciiTheme="minorHAnsi" w:hAnsiTheme="minorHAnsi"/>
        </w:rPr>
        <w:tab/>
        <w:t>United Nations Environment Program-World Conservation Monitoring Centre</w:t>
      </w:r>
    </w:p>
    <w:p w14:paraId="7C6CD73B" w14:textId="1CDC8AA0" w:rsidR="002534FE" w:rsidRPr="000B7B8D" w:rsidRDefault="002534FE" w:rsidP="00D63BC0">
      <w:pPr>
        <w:pStyle w:val="BodyTextSingle-SpacedFlush"/>
        <w:rPr>
          <w:rFonts w:asciiTheme="minorHAnsi" w:hAnsiTheme="minorHAnsi"/>
        </w:rPr>
      </w:pPr>
      <w:r w:rsidRPr="000B7B8D">
        <w:rPr>
          <w:rFonts w:asciiTheme="minorHAnsi" w:hAnsiTheme="minorHAnsi"/>
        </w:rPr>
        <w:t>VPA</w:t>
      </w:r>
      <w:r w:rsidR="007459DF" w:rsidRPr="000B7B8D">
        <w:rPr>
          <w:rFonts w:asciiTheme="minorHAnsi" w:hAnsiTheme="minorHAnsi"/>
        </w:rPr>
        <w:tab/>
      </w:r>
      <w:r w:rsidR="007459DF" w:rsidRPr="000B7B8D">
        <w:rPr>
          <w:rFonts w:asciiTheme="minorHAnsi" w:hAnsiTheme="minorHAnsi"/>
        </w:rPr>
        <w:tab/>
        <w:t>Voluntary Partnership Agreement</w:t>
      </w:r>
    </w:p>
    <w:p w14:paraId="2D1A49AB" w14:textId="2261510A" w:rsidR="006219AB" w:rsidRPr="000B7B8D" w:rsidRDefault="006219AB" w:rsidP="007459DF">
      <w:pPr>
        <w:pStyle w:val="BodyTextSingle-SpacedFlush"/>
        <w:ind w:left="1440" w:hanging="1440"/>
        <w:rPr>
          <w:rFonts w:asciiTheme="minorHAnsi" w:hAnsiTheme="minorHAnsi"/>
        </w:rPr>
      </w:pPr>
      <w:r w:rsidRPr="000B7B8D">
        <w:rPr>
          <w:rFonts w:asciiTheme="minorHAnsi" w:hAnsiTheme="minorHAnsi"/>
        </w:rPr>
        <w:t>WAPPRIITA</w:t>
      </w:r>
      <w:r w:rsidR="007459DF" w:rsidRPr="000B7B8D">
        <w:rPr>
          <w:rFonts w:asciiTheme="minorHAnsi" w:hAnsiTheme="minorHAnsi"/>
        </w:rPr>
        <w:tab/>
        <w:t>Wild Animal and Plant Protection and Regulation of International and</w:t>
      </w:r>
      <w:r w:rsidR="007459DF" w:rsidRPr="000B7B8D">
        <w:rPr>
          <w:rFonts w:asciiTheme="minorHAnsi" w:hAnsiTheme="minorHAnsi"/>
        </w:rPr>
        <w:br/>
        <w:t>Interprovincial Trade Act (Canada)</w:t>
      </w:r>
    </w:p>
    <w:p w14:paraId="55076094" w14:textId="0A6EB6BE" w:rsidR="006219AB" w:rsidRPr="000B7B8D" w:rsidRDefault="006219AB" w:rsidP="00D63BC0">
      <w:pPr>
        <w:pStyle w:val="BodyTextSingle-SpacedFlush"/>
        <w:rPr>
          <w:rFonts w:asciiTheme="minorHAnsi" w:hAnsiTheme="minorHAnsi"/>
        </w:rPr>
      </w:pPr>
      <w:r w:rsidRPr="000B7B8D">
        <w:rPr>
          <w:rFonts w:asciiTheme="minorHAnsi" w:hAnsiTheme="minorHAnsi"/>
        </w:rPr>
        <w:t>WWF</w:t>
      </w:r>
      <w:r w:rsidR="007459DF" w:rsidRPr="000B7B8D">
        <w:rPr>
          <w:rFonts w:asciiTheme="minorHAnsi" w:hAnsiTheme="minorHAnsi"/>
        </w:rPr>
        <w:tab/>
      </w:r>
      <w:r w:rsidR="007459DF" w:rsidRPr="000B7B8D">
        <w:rPr>
          <w:rFonts w:asciiTheme="minorHAnsi" w:hAnsiTheme="minorHAnsi"/>
        </w:rPr>
        <w:tab/>
        <w:t>World-Wide Fund for Nature</w:t>
      </w:r>
    </w:p>
    <w:p w14:paraId="57D4A8DD" w14:textId="54653CC9" w:rsidR="006219AB" w:rsidRPr="000B7B8D" w:rsidRDefault="006219AB" w:rsidP="00D63BC0">
      <w:pPr>
        <w:pStyle w:val="BodyTextSingle-SpacedFlush"/>
        <w:rPr>
          <w:rFonts w:asciiTheme="minorHAnsi" w:hAnsiTheme="minorHAnsi"/>
        </w:rPr>
      </w:pPr>
      <w:r w:rsidRPr="000B7B8D">
        <w:rPr>
          <w:rFonts w:asciiTheme="minorHAnsi" w:hAnsiTheme="minorHAnsi"/>
        </w:rPr>
        <w:t>WRI</w:t>
      </w:r>
      <w:r w:rsidR="007459DF" w:rsidRPr="000B7B8D">
        <w:rPr>
          <w:rFonts w:asciiTheme="minorHAnsi" w:hAnsiTheme="minorHAnsi"/>
        </w:rPr>
        <w:tab/>
      </w:r>
      <w:r w:rsidR="007459DF" w:rsidRPr="000B7B8D">
        <w:rPr>
          <w:rFonts w:asciiTheme="minorHAnsi" w:hAnsiTheme="minorHAnsi"/>
        </w:rPr>
        <w:tab/>
        <w:t>World Resources Institute</w:t>
      </w:r>
    </w:p>
    <w:p w14:paraId="0F154E77" w14:textId="79336A0B" w:rsidR="00D63BC0" w:rsidRPr="000B7B8D" w:rsidRDefault="00D63BC0" w:rsidP="00D63BC0">
      <w:pPr>
        <w:pStyle w:val="BodyTextSingle-SpacedFlush"/>
        <w:rPr>
          <w:rFonts w:asciiTheme="minorHAnsi" w:hAnsiTheme="minorHAnsi"/>
        </w:rPr>
      </w:pPr>
      <w:r w:rsidRPr="000B7B8D">
        <w:rPr>
          <w:rFonts w:asciiTheme="minorHAnsi" w:hAnsiTheme="minorHAnsi"/>
        </w:rPr>
        <w:t>WTO</w:t>
      </w:r>
      <w:r w:rsidR="007459DF" w:rsidRPr="000B7B8D">
        <w:rPr>
          <w:rFonts w:asciiTheme="minorHAnsi" w:hAnsiTheme="minorHAnsi"/>
        </w:rPr>
        <w:tab/>
      </w:r>
      <w:r w:rsidR="007459DF" w:rsidRPr="000B7B8D">
        <w:rPr>
          <w:rFonts w:asciiTheme="minorHAnsi" w:hAnsiTheme="minorHAnsi"/>
        </w:rPr>
        <w:tab/>
        <w:t>World Trade Organization</w:t>
      </w:r>
    </w:p>
    <w:p w14:paraId="2B2FE03F" w14:textId="44FEF4F1" w:rsidR="00B72EC8" w:rsidRPr="000B7B8D" w:rsidRDefault="006D7A7A" w:rsidP="00E42291">
      <w:pPr>
        <w:pStyle w:val="Heading1"/>
        <w:rPr>
          <w:rFonts w:asciiTheme="minorHAnsi" w:hAnsiTheme="minorHAnsi"/>
        </w:rPr>
      </w:pPr>
      <w:r w:rsidRPr="000B7B8D">
        <w:rPr>
          <w:rFonts w:asciiTheme="minorHAnsi" w:hAnsiTheme="minorHAnsi"/>
        </w:rPr>
        <w:t>References</w:t>
      </w:r>
      <w:r w:rsidR="00E42291" w:rsidRPr="000B7B8D">
        <w:rPr>
          <w:rFonts w:asciiTheme="minorHAnsi" w:hAnsiTheme="minorHAnsi"/>
        </w:rPr>
        <w:t xml:space="preserve"> </w:t>
      </w:r>
    </w:p>
    <w:p w14:paraId="5F1F4E90" w14:textId="78F746FF" w:rsidR="00340F6C" w:rsidRPr="000B7B8D" w:rsidRDefault="00AF606C" w:rsidP="00AF606C">
      <w:pPr>
        <w:pStyle w:val="BodyTextHanging"/>
        <w:jc w:val="both"/>
        <w:rPr>
          <w:rFonts w:asciiTheme="minorHAnsi" w:hAnsiTheme="minorHAnsi"/>
          <w:lang w:val="en-GB"/>
        </w:rPr>
      </w:pPr>
      <w:r w:rsidRPr="000B7B8D">
        <w:rPr>
          <w:rFonts w:asciiTheme="minorHAnsi" w:hAnsiTheme="minorHAnsi"/>
          <w:lang w:val="en-GB"/>
        </w:rPr>
        <w:t xml:space="preserve">Abbott KW (2012) The Transnational Regime Complex for Climate Change. </w:t>
      </w:r>
      <w:r w:rsidRPr="000B7B8D">
        <w:rPr>
          <w:rFonts w:asciiTheme="minorHAnsi" w:hAnsiTheme="minorHAnsi"/>
          <w:i/>
          <w:lang w:val="en-GB"/>
        </w:rPr>
        <w:t xml:space="preserve">Environment and Planning C: Government and Policy </w:t>
      </w:r>
      <w:r w:rsidRPr="000B7B8D">
        <w:rPr>
          <w:rFonts w:asciiTheme="minorHAnsi" w:hAnsiTheme="minorHAnsi"/>
          <w:lang w:val="en-GB"/>
        </w:rPr>
        <w:t>30, 571-90.</w:t>
      </w:r>
    </w:p>
    <w:p w14:paraId="416B988D" w14:textId="6C12FAD1" w:rsidR="00AF606C" w:rsidRPr="000B7B8D" w:rsidRDefault="00AF606C" w:rsidP="00AF606C">
      <w:pPr>
        <w:pStyle w:val="BodyTextHanging"/>
        <w:jc w:val="both"/>
        <w:rPr>
          <w:rFonts w:asciiTheme="minorHAnsi" w:hAnsiTheme="minorHAnsi"/>
          <w:lang w:val="en-GB"/>
        </w:rPr>
      </w:pPr>
      <w:r w:rsidRPr="000B7B8D">
        <w:rPr>
          <w:rFonts w:asciiTheme="minorHAnsi" w:hAnsiTheme="minorHAnsi"/>
          <w:lang w:val="en-GB"/>
        </w:rPr>
        <w:t xml:space="preserve">Abbott KW (2014) Strengthening the Transnational Regime Complex for Climate Change. </w:t>
      </w:r>
      <w:r w:rsidRPr="000B7B8D">
        <w:rPr>
          <w:rFonts w:asciiTheme="minorHAnsi" w:hAnsiTheme="minorHAnsi"/>
          <w:i/>
          <w:lang w:val="en-GB"/>
        </w:rPr>
        <w:t xml:space="preserve">Transnational Environmental Law </w:t>
      </w:r>
      <w:r w:rsidRPr="000B7B8D">
        <w:rPr>
          <w:rFonts w:asciiTheme="minorHAnsi" w:hAnsiTheme="minorHAnsi"/>
          <w:lang w:val="en-GB"/>
        </w:rPr>
        <w:t>3: 57-88.</w:t>
      </w:r>
    </w:p>
    <w:p w14:paraId="05EDF636" w14:textId="3ED6B1C1" w:rsidR="00AF606C" w:rsidRPr="000B7B8D" w:rsidRDefault="00AF606C" w:rsidP="00AF606C">
      <w:pPr>
        <w:pStyle w:val="BodyTextHanging"/>
        <w:jc w:val="both"/>
        <w:rPr>
          <w:rFonts w:asciiTheme="minorHAnsi" w:hAnsiTheme="minorHAnsi"/>
          <w:lang w:val="en-GB"/>
        </w:rPr>
      </w:pPr>
      <w:r w:rsidRPr="000B7B8D">
        <w:rPr>
          <w:rFonts w:asciiTheme="minorHAnsi" w:hAnsiTheme="minorHAnsi"/>
          <w:lang w:val="en-GB"/>
        </w:rPr>
        <w:t xml:space="preserve">Abbott KW, Genschel P, Snidal D, Zangl B (eds) (2015). </w:t>
      </w:r>
      <w:r w:rsidRPr="000B7B8D">
        <w:rPr>
          <w:rFonts w:asciiTheme="minorHAnsi" w:hAnsiTheme="minorHAnsi"/>
          <w:i/>
          <w:lang w:val="en-GB"/>
        </w:rPr>
        <w:t xml:space="preserve">International Organizations as Orchestrators. </w:t>
      </w:r>
      <w:r w:rsidRPr="000B7B8D">
        <w:rPr>
          <w:rFonts w:asciiTheme="minorHAnsi" w:hAnsiTheme="minorHAnsi"/>
          <w:lang w:val="en-GB"/>
        </w:rPr>
        <w:t>C</w:t>
      </w:r>
      <w:r w:rsidR="003F6529" w:rsidRPr="000B7B8D">
        <w:rPr>
          <w:rFonts w:asciiTheme="minorHAnsi" w:hAnsiTheme="minorHAnsi"/>
          <w:lang w:val="en-GB"/>
        </w:rPr>
        <w:t xml:space="preserve">ambridge </w:t>
      </w:r>
      <w:r w:rsidRPr="000B7B8D">
        <w:rPr>
          <w:rFonts w:asciiTheme="minorHAnsi" w:hAnsiTheme="minorHAnsi"/>
          <w:lang w:val="en-GB"/>
        </w:rPr>
        <w:t>U</w:t>
      </w:r>
      <w:r w:rsidR="003F6529" w:rsidRPr="000B7B8D">
        <w:rPr>
          <w:rFonts w:asciiTheme="minorHAnsi" w:hAnsiTheme="minorHAnsi"/>
          <w:lang w:val="en-GB"/>
        </w:rPr>
        <w:t xml:space="preserve">niversity </w:t>
      </w:r>
      <w:r w:rsidRPr="000B7B8D">
        <w:rPr>
          <w:rFonts w:asciiTheme="minorHAnsi" w:hAnsiTheme="minorHAnsi"/>
          <w:lang w:val="en-GB"/>
        </w:rPr>
        <w:t>P</w:t>
      </w:r>
      <w:r w:rsidR="003F6529" w:rsidRPr="000B7B8D">
        <w:rPr>
          <w:rFonts w:asciiTheme="minorHAnsi" w:hAnsiTheme="minorHAnsi"/>
          <w:lang w:val="en-GB"/>
        </w:rPr>
        <w:t>ress</w:t>
      </w:r>
      <w:r w:rsidRPr="000B7B8D">
        <w:rPr>
          <w:rFonts w:asciiTheme="minorHAnsi" w:hAnsiTheme="minorHAnsi"/>
          <w:lang w:val="en-GB"/>
        </w:rPr>
        <w:t>, Cambridge.</w:t>
      </w:r>
    </w:p>
    <w:p w14:paraId="1DA353A9" w14:textId="36195C12" w:rsidR="00AF606C" w:rsidRPr="000B7B8D" w:rsidRDefault="00AF606C" w:rsidP="00AF606C">
      <w:pPr>
        <w:pStyle w:val="BodyTextHanging"/>
        <w:jc w:val="both"/>
        <w:rPr>
          <w:rFonts w:asciiTheme="minorHAnsi" w:hAnsiTheme="minorHAnsi"/>
          <w:lang w:val="en-GB"/>
        </w:rPr>
      </w:pPr>
      <w:r w:rsidRPr="000B7B8D">
        <w:rPr>
          <w:rFonts w:asciiTheme="minorHAnsi" w:hAnsiTheme="minorHAnsi"/>
          <w:lang w:val="en-GB"/>
        </w:rPr>
        <w:t xml:space="preserve">Abbott KW, Snidal D (2009b) Strengthening International Regulation through Transnational New Governance: Overcoming the Orchestration Deficit. </w:t>
      </w:r>
      <w:r w:rsidRPr="000B7B8D">
        <w:rPr>
          <w:rFonts w:asciiTheme="minorHAnsi" w:hAnsiTheme="minorHAnsi"/>
          <w:i/>
          <w:lang w:val="en-GB"/>
        </w:rPr>
        <w:t>Vanderbilt Journal of Transnational Law</w:t>
      </w:r>
      <w:r w:rsidRPr="000B7B8D">
        <w:rPr>
          <w:rFonts w:asciiTheme="minorHAnsi" w:hAnsiTheme="minorHAnsi"/>
          <w:lang w:val="en-GB"/>
        </w:rPr>
        <w:t xml:space="preserve"> 42, 503–577.</w:t>
      </w:r>
    </w:p>
    <w:p w14:paraId="28AEA3CE" w14:textId="2CE8B007" w:rsidR="006E3641" w:rsidRPr="000B7B8D" w:rsidRDefault="006E3641" w:rsidP="008A0992">
      <w:pPr>
        <w:pStyle w:val="BodyTextHanging"/>
        <w:jc w:val="both"/>
        <w:rPr>
          <w:rFonts w:asciiTheme="minorHAnsi" w:hAnsiTheme="minorHAnsi"/>
          <w:lang w:val="en-GB"/>
        </w:rPr>
      </w:pPr>
      <w:r w:rsidRPr="000B7B8D">
        <w:rPr>
          <w:rFonts w:asciiTheme="minorHAnsi" w:hAnsiTheme="minorHAnsi"/>
          <w:lang w:val="en-GB"/>
        </w:rPr>
        <w:t>ADAWR (2017)</w:t>
      </w:r>
      <w:r w:rsidR="00086EDF" w:rsidRPr="000B7B8D">
        <w:rPr>
          <w:rFonts w:asciiTheme="minorHAnsi" w:hAnsiTheme="minorHAnsi"/>
          <w:lang w:val="en-GB"/>
        </w:rPr>
        <w:t xml:space="preserve"> </w:t>
      </w:r>
      <w:r w:rsidR="00086EDF" w:rsidRPr="000B7B8D">
        <w:rPr>
          <w:rFonts w:asciiTheme="minorHAnsi" w:hAnsiTheme="minorHAnsi"/>
          <w:i/>
          <w:lang w:val="en-GB"/>
        </w:rPr>
        <w:t>Reforming Australia’s Illegal Logging Regulations: Regulation Impact Statement</w:t>
      </w:r>
      <w:r w:rsidR="00086EDF" w:rsidRPr="000B7B8D">
        <w:rPr>
          <w:rFonts w:asciiTheme="minorHAnsi" w:hAnsiTheme="minorHAnsi"/>
          <w:lang w:val="en-GB"/>
        </w:rPr>
        <w:t xml:space="preserve">, </w:t>
      </w:r>
      <w:hyperlink r:id="rId29" w:history="1">
        <w:r w:rsidR="00086EDF" w:rsidRPr="000B7B8D">
          <w:rPr>
            <w:rStyle w:val="Hyperlink"/>
            <w:rFonts w:asciiTheme="minorHAnsi" w:hAnsiTheme="minorHAnsi"/>
            <w:lang w:val="en-GB"/>
          </w:rPr>
          <w:t>www.agriculture.gov.au/forestry/policies/illegal-logging/consultation-engagement</w:t>
        </w:r>
      </w:hyperlink>
      <w:r w:rsidR="00086EDF" w:rsidRPr="000B7B8D">
        <w:rPr>
          <w:rFonts w:asciiTheme="minorHAnsi" w:hAnsiTheme="minorHAnsi"/>
          <w:lang w:val="en-GB"/>
        </w:rPr>
        <w:t>.</w:t>
      </w:r>
    </w:p>
    <w:p w14:paraId="180F2B01" w14:textId="18317196" w:rsidR="00AA1F9F" w:rsidRPr="000B7B8D" w:rsidRDefault="00AA1F9F" w:rsidP="008A0992">
      <w:pPr>
        <w:pStyle w:val="BodyTextHanging"/>
        <w:jc w:val="both"/>
        <w:rPr>
          <w:rFonts w:asciiTheme="minorHAnsi" w:hAnsiTheme="minorHAnsi"/>
          <w:lang w:val="en-GB"/>
        </w:rPr>
      </w:pPr>
      <w:r w:rsidRPr="000B7B8D">
        <w:rPr>
          <w:rFonts w:asciiTheme="minorHAnsi" w:hAnsiTheme="minorHAnsi"/>
          <w:lang w:val="en-GB"/>
        </w:rPr>
        <w:lastRenderedPageBreak/>
        <w:t>ADAWR (2018</w:t>
      </w:r>
      <w:r w:rsidR="00B23B1A" w:rsidRPr="000B7B8D">
        <w:rPr>
          <w:rFonts w:asciiTheme="minorHAnsi" w:hAnsiTheme="minorHAnsi"/>
          <w:lang w:val="en-GB"/>
        </w:rPr>
        <w:t>a</w:t>
      </w:r>
      <w:r w:rsidRPr="000B7B8D">
        <w:rPr>
          <w:rFonts w:asciiTheme="minorHAnsi" w:hAnsiTheme="minorHAnsi"/>
          <w:lang w:val="en-GB"/>
        </w:rPr>
        <w:t>)</w:t>
      </w:r>
      <w:r w:rsidR="00B31EFD" w:rsidRPr="000B7B8D">
        <w:rPr>
          <w:rFonts w:asciiTheme="minorHAnsi" w:hAnsiTheme="minorHAnsi"/>
          <w:lang w:val="en-GB"/>
        </w:rPr>
        <w:t xml:space="preserve"> </w:t>
      </w:r>
      <w:r w:rsidR="00B31EFD" w:rsidRPr="000B7B8D">
        <w:rPr>
          <w:rFonts w:asciiTheme="minorHAnsi" w:hAnsiTheme="minorHAnsi"/>
          <w:i/>
          <w:lang w:val="en-GB"/>
        </w:rPr>
        <w:t xml:space="preserve">Statutory Review of the Illegal Logging Prohibition Act 2012, </w:t>
      </w:r>
      <w:hyperlink r:id="rId30" w:history="1">
        <w:r w:rsidR="003F6529" w:rsidRPr="000B7B8D">
          <w:rPr>
            <w:rStyle w:val="Hyperlink"/>
            <w:rFonts w:asciiTheme="minorHAnsi" w:hAnsiTheme="minorHAnsi"/>
            <w:lang w:val="en-GB"/>
          </w:rPr>
          <w:t>http://www.agriculture.gov.au/forestry/policies/illegal-logging/review-and-consultation</w:t>
        </w:r>
      </w:hyperlink>
      <w:r w:rsidR="003F6529" w:rsidRPr="000B7B8D">
        <w:rPr>
          <w:rFonts w:asciiTheme="minorHAnsi" w:hAnsiTheme="minorHAnsi"/>
          <w:lang w:val="en-GB"/>
        </w:rPr>
        <w:t>.</w:t>
      </w:r>
    </w:p>
    <w:p w14:paraId="6DF6155F" w14:textId="024599B7" w:rsidR="00B31EFD" w:rsidRPr="000B7B8D" w:rsidRDefault="00B31EFD" w:rsidP="008A0992">
      <w:pPr>
        <w:pStyle w:val="BodyTextHanging"/>
        <w:jc w:val="both"/>
        <w:rPr>
          <w:rFonts w:asciiTheme="minorHAnsi" w:hAnsiTheme="minorHAnsi"/>
          <w:lang w:val="en-GB"/>
        </w:rPr>
      </w:pPr>
      <w:r w:rsidRPr="000B7B8D">
        <w:rPr>
          <w:rFonts w:asciiTheme="minorHAnsi" w:hAnsiTheme="minorHAnsi"/>
          <w:lang w:val="en-GB"/>
        </w:rPr>
        <w:t xml:space="preserve">ADAWR (2018b) </w:t>
      </w:r>
      <w:r w:rsidRPr="000B7B8D">
        <w:rPr>
          <w:rFonts w:asciiTheme="minorHAnsi" w:hAnsiTheme="minorHAnsi"/>
          <w:i/>
          <w:lang w:val="en-GB"/>
        </w:rPr>
        <w:t>Illegal Logging Compliance Plan</w:t>
      </w:r>
      <w:r w:rsidRPr="000B7B8D">
        <w:rPr>
          <w:rFonts w:asciiTheme="minorHAnsi" w:hAnsiTheme="minorHAnsi"/>
          <w:lang w:val="en-GB"/>
        </w:rPr>
        <w:t>,</w:t>
      </w:r>
      <w:r w:rsidR="008163E8" w:rsidRPr="000B7B8D">
        <w:rPr>
          <w:rFonts w:asciiTheme="minorHAnsi" w:hAnsiTheme="minorHAnsi"/>
        </w:rPr>
        <w:t xml:space="preserve"> </w:t>
      </w:r>
      <w:hyperlink r:id="rId31" w:history="1">
        <w:r w:rsidR="008163E8" w:rsidRPr="000B7B8D">
          <w:rPr>
            <w:rStyle w:val="Hyperlink"/>
            <w:rFonts w:asciiTheme="minorHAnsi" w:hAnsiTheme="minorHAnsi"/>
            <w:lang w:val="en-GB"/>
          </w:rPr>
          <w:t>http://www.agriculture.gov.au/forestry/policies/illegal-logging/compliance-and-enforcement</w:t>
        </w:r>
      </w:hyperlink>
      <w:r w:rsidRPr="000B7B8D">
        <w:rPr>
          <w:rFonts w:asciiTheme="minorHAnsi" w:hAnsiTheme="minorHAnsi"/>
          <w:lang w:val="en-GB"/>
        </w:rPr>
        <w:t xml:space="preserve">. </w:t>
      </w:r>
    </w:p>
    <w:p w14:paraId="182570FE" w14:textId="08BFFDC5" w:rsidR="00B23B1A" w:rsidRPr="000B7B8D" w:rsidRDefault="00B23B1A" w:rsidP="008A0992">
      <w:pPr>
        <w:pStyle w:val="BodyTextHanging"/>
        <w:jc w:val="both"/>
        <w:rPr>
          <w:rFonts w:asciiTheme="minorHAnsi" w:hAnsiTheme="minorHAnsi"/>
          <w:lang w:val="en-GB"/>
        </w:rPr>
      </w:pPr>
      <w:r w:rsidRPr="000B7B8D">
        <w:rPr>
          <w:rFonts w:asciiTheme="minorHAnsi" w:hAnsiTheme="minorHAnsi"/>
          <w:lang w:val="en-GB"/>
        </w:rPr>
        <w:t>Ayres</w:t>
      </w:r>
      <w:r w:rsidR="003F6529" w:rsidRPr="000B7B8D">
        <w:rPr>
          <w:rFonts w:asciiTheme="minorHAnsi" w:hAnsiTheme="minorHAnsi"/>
          <w:lang w:val="en-GB"/>
        </w:rPr>
        <w:t xml:space="preserve"> I</w:t>
      </w:r>
      <w:r w:rsidR="00274D68" w:rsidRPr="000B7B8D">
        <w:rPr>
          <w:rFonts w:asciiTheme="minorHAnsi" w:hAnsiTheme="minorHAnsi"/>
          <w:lang w:val="en-GB"/>
        </w:rPr>
        <w:t xml:space="preserve">, </w:t>
      </w:r>
      <w:r w:rsidRPr="000B7B8D">
        <w:rPr>
          <w:rFonts w:asciiTheme="minorHAnsi" w:hAnsiTheme="minorHAnsi"/>
          <w:lang w:val="en-GB"/>
        </w:rPr>
        <w:t xml:space="preserve">Braithwaite </w:t>
      </w:r>
      <w:r w:rsidR="003F6529" w:rsidRPr="000B7B8D">
        <w:rPr>
          <w:rFonts w:asciiTheme="minorHAnsi" w:hAnsiTheme="minorHAnsi"/>
          <w:lang w:val="en-GB"/>
        </w:rPr>
        <w:t xml:space="preserve">J </w:t>
      </w:r>
      <w:r w:rsidRPr="000B7B8D">
        <w:rPr>
          <w:rFonts w:asciiTheme="minorHAnsi" w:hAnsiTheme="minorHAnsi"/>
          <w:lang w:val="en-GB"/>
        </w:rPr>
        <w:t>(1992)</w:t>
      </w:r>
      <w:r w:rsidR="003F6529" w:rsidRPr="000B7B8D">
        <w:rPr>
          <w:rFonts w:asciiTheme="minorHAnsi" w:hAnsiTheme="minorHAnsi"/>
          <w:lang w:val="en-GB"/>
        </w:rPr>
        <w:t xml:space="preserve"> </w:t>
      </w:r>
      <w:r w:rsidR="003F6529" w:rsidRPr="000B7B8D">
        <w:rPr>
          <w:rFonts w:asciiTheme="minorHAnsi" w:hAnsiTheme="minorHAnsi"/>
          <w:i/>
          <w:lang w:val="en-GB"/>
        </w:rPr>
        <w:t>Responsive Regulation: Transcending the Deregulation Debate</w:t>
      </w:r>
      <w:r w:rsidR="003F6529" w:rsidRPr="000B7B8D">
        <w:rPr>
          <w:rFonts w:asciiTheme="minorHAnsi" w:hAnsiTheme="minorHAnsi"/>
          <w:lang w:val="en-GB"/>
        </w:rPr>
        <w:t>, Oxford University Press, New York.</w:t>
      </w:r>
    </w:p>
    <w:p w14:paraId="0E3555D3" w14:textId="3A0303F3" w:rsidR="006E3641" w:rsidRPr="000B7B8D" w:rsidRDefault="006E3641" w:rsidP="003F6529">
      <w:pPr>
        <w:pStyle w:val="BodyTextHanging"/>
        <w:jc w:val="both"/>
        <w:rPr>
          <w:rFonts w:asciiTheme="minorHAnsi" w:hAnsiTheme="minorHAnsi"/>
          <w:lang w:val="en-GB"/>
        </w:rPr>
      </w:pPr>
      <w:r w:rsidRPr="000B7B8D">
        <w:rPr>
          <w:rFonts w:asciiTheme="minorHAnsi" w:hAnsiTheme="minorHAnsi"/>
          <w:lang w:val="en-GB"/>
        </w:rPr>
        <w:t>Bartley</w:t>
      </w:r>
      <w:r w:rsidR="003F6529" w:rsidRPr="000B7B8D">
        <w:rPr>
          <w:rFonts w:asciiTheme="minorHAnsi" w:hAnsiTheme="minorHAnsi"/>
          <w:lang w:val="en-GB"/>
        </w:rPr>
        <w:t xml:space="preserve"> T</w:t>
      </w:r>
      <w:r w:rsidRPr="000B7B8D">
        <w:rPr>
          <w:rFonts w:asciiTheme="minorHAnsi" w:hAnsiTheme="minorHAnsi"/>
          <w:lang w:val="en-GB"/>
        </w:rPr>
        <w:t xml:space="preserve"> (2014)</w:t>
      </w:r>
      <w:r w:rsidR="003F6529" w:rsidRPr="000B7B8D">
        <w:rPr>
          <w:rFonts w:asciiTheme="minorHAnsi" w:hAnsiTheme="minorHAnsi"/>
          <w:lang w:val="en-GB"/>
        </w:rPr>
        <w:t xml:space="preserve"> Transnational Governance and the Re-centered State: Sustainability or Legality? </w:t>
      </w:r>
      <w:r w:rsidR="003F6529" w:rsidRPr="000B7B8D">
        <w:rPr>
          <w:rFonts w:asciiTheme="minorHAnsi" w:hAnsiTheme="minorHAnsi"/>
          <w:i/>
          <w:lang w:val="en-GB"/>
        </w:rPr>
        <w:t>Regulation &amp; Governance</w:t>
      </w:r>
      <w:r w:rsidR="003F6529" w:rsidRPr="000B7B8D">
        <w:rPr>
          <w:rFonts w:asciiTheme="minorHAnsi" w:hAnsiTheme="minorHAnsi"/>
          <w:lang w:val="en-GB"/>
        </w:rPr>
        <w:t xml:space="preserve"> </w:t>
      </w:r>
      <w:r w:rsidR="003F6529" w:rsidRPr="000B7B8D">
        <w:rPr>
          <w:rFonts w:asciiTheme="minorHAnsi" w:hAnsiTheme="minorHAnsi"/>
          <w:b/>
          <w:lang w:val="en-GB"/>
        </w:rPr>
        <w:t>8</w:t>
      </w:r>
      <w:r w:rsidR="003F6529" w:rsidRPr="000B7B8D">
        <w:rPr>
          <w:rFonts w:asciiTheme="minorHAnsi" w:hAnsiTheme="minorHAnsi"/>
          <w:lang w:val="en-GB"/>
        </w:rPr>
        <w:t>, 93–109.</w:t>
      </w:r>
    </w:p>
    <w:p w14:paraId="450F2259" w14:textId="0E3626A1" w:rsidR="006E3641" w:rsidRPr="000B7B8D" w:rsidRDefault="006E3641" w:rsidP="008A0992">
      <w:pPr>
        <w:pStyle w:val="BodyTextHanging"/>
        <w:jc w:val="both"/>
        <w:rPr>
          <w:rFonts w:asciiTheme="minorHAnsi" w:hAnsiTheme="minorHAnsi"/>
          <w:lang w:val="en-GB"/>
        </w:rPr>
      </w:pPr>
      <w:r w:rsidRPr="000B7B8D">
        <w:rPr>
          <w:rFonts w:asciiTheme="minorHAnsi" w:hAnsiTheme="minorHAnsi"/>
          <w:lang w:val="en-GB"/>
        </w:rPr>
        <w:t xml:space="preserve">Bartley </w:t>
      </w:r>
      <w:r w:rsidR="003F6529" w:rsidRPr="000B7B8D">
        <w:rPr>
          <w:rFonts w:asciiTheme="minorHAnsi" w:hAnsiTheme="minorHAnsi"/>
          <w:lang w:val="en-GB"/>
        </w:rPr>
        <w:t xml:space="preserve">T </w:t>
      </w:r>
      <w:r w:rsidRPr="000B7B8D">
        <w:rPr>
          <w:rFonts w:asciiTheme="minorHAnsi" w:hAnsiTheme="minorHAnsi"/>
          <w:lang w:val="en-GB"/>
        </w:rPr>
        <w:t>(2018)</w:t>
      </w:r>
      <w:r w:rsidR="003F6529" w:rsidRPr="000B7B8D">
        <w:rPr>
          <w:rFonts w:asciiTheme="minorHAnsi" w:hAnsiTheme="minorHAnsi"/>
          <w:lang w:val="en-GB"/>
        </w:rPr>
        <w:t xml:space="preserve"> </w:t>
      </w:r>
      <w:r w:rsidR="003F6529" w:rsidRPr="000B7B8D">
        <w:rPr>
          <w:rFonts w:asciiTheme="minorHAnsi" w:hAnsiTheme="minorHAnsi"/>
          <w:i/>
          <w:lang w:val="en-GB"/>
        </w:rPr>
        <w:t>Rules without Rights: Land, Labor, and Private Authority in the Global Economy</w:t>
      </w:r>
      <w:r w:rsidR="00C74E40" w:rsidRPr="000B7B8D">
        <w:rPr>
          <w:rFonts w:asciiTheme="minorHAnsi" w:hAnsiTheme="minorHAnsi"/>
          <w:i/>
          <w:lang w:val="en-GB"/>
        </w:rPr>
        <w:t xml:space="preserve">. </w:t>
      </w:r>
      <w:r w:rsidR="00C74E40" w:rsidRPr="000B7B8D">
        <w:rPr>
          <w:rFonts w:asciiTheme="minorHAnsi" w:hAnsiTheme="minorHAnsi"/>
          <w:lang w:val="en-GB"/>
        </w:rPr>
        <w:t>Oxford University Press, Oxford.</w:t>
      </w:r>
    </w:p>
    <w:p w14:paraId="343679FB" w14:textId="57FD105C" w:rsidR="00DB0A63" w:rsidRPr="000B7B8D" w:rsidRDefault="00DB0A63" w:rsidP="008A0992">
      <w:pPr>
        <w:pStyle w:val="BodyTextHanging"/>
        <w:jc w:val="both"/>
        <w:rPr>
          <w:rFonts w:asciiTheme="minorHAnsi" w:hAnsiTheme="minorHAnsi"/>
          <w:lang w:val="en-GB"/>
        </w:rPr>
      </w:pPr>
      <w:r w:rsidRPr="000B7B8D">
        <w:rPr>
          <w:rFonts w:asciiTheme="minorHAnsi" w:hAnsiTheme="minorHAnsi"/>
          <w:lang w:val="en-GB"/>
        </w:rPr>
        <w:t xml:space="preserve">Barua </w:t>
      </w:r>
      <w:r w:rsidR="00C74E40" w:rsidRPr="000B7B8D">
        <w:rPr>
          <w:rFonts w:asciiTheme="minorHAnsi" w:hAnsiTheme="minorHAnsi"/>
          <w:lang w:val="en-GB"/>
        </w:rPr>
        <w:t>SK, Penttilä J, Malström M</w:t>
      </w:r>
      <w:r w:rsidRPr="000B7B8D">
        <w:rPr>
          <w:rFonts w:asciiTheme="minorHAnsi" w:hAnsiTheme="minorHAnsi"/>
          <w:lang w:val="en-GB"/>
        </w:rPr>
        <w:t xml:space="preserve"> (2016)</w:t>
      </w:r>
      <w:r w:rsidR="00C74E40" w:rsidRPr="000B7B8D">
        <w:rPr>
          <w:rFonts w:asciiTheme="minorHAnsi" w:hAnsiTheme="minorHAnsi"/>
          <w:lang w:val="en-GB"/>
        </w:rPr>
        <w:t xml:space="preserve"> </w:t>
      </w:r>
      <w:r w:rsidR="00C74E40" w:rsidRPr="000B7B8D">
        <w:rPr>
          <w:rFonts w:asciiTheme="minorHAnsi" w:hAnsiTheme="minorHAnsi"/>
          <w:i/>
          <w:lang w:val="en-GB"/>
        </w:rPr>
        <w:t xml:space="preserve">China as a Timber Consumer and Processing Country: An Analysis of China’s Import and Export Statistics with In-Depth Focus on Trade with the EU. </w:t>
      </w:r>
      <w:r w:rsidR="00C74E40" w:rsidRPr="000B7B8D">
        <w:rPr>
          <w:rFonts w:asciiTheme="minorHAnsi" w:hAnsiTheme="minorHAnsi"/>
          <w:lang w:val="en-GB"/>
        </w:rPr>
        <w:t>Report for WWF-UK by Indufor Oy, https://www.researchgate.net/publication/309284462</w:t>
      </w:r>
      <w:r w:rsidR="00E708B6" w:rsidRPr="000B7B8D">
        <w:rPr>
          <w:rFonts w:asciiTheme="minorHAnsi" w:hAnsiTheme="minorHAnsi"/>
          <w:lang w:val="en-GB"/>
        </w:rPr>
        <w:t xml:space="preserve"> </w:t>
      </w:r>
      <w:r w:rsidR="00C74E40" w:rsidRPr="000B7B8D">
        <w:rPr>
          <w:rFonts w:asciiTheme="minorHAnsi" w:hAnsiTheme="minorHAnsi"/>
          <w:lang w:val="en-GB"/>
        </w:rPr>
        <w:t>.</w:t>
      </w:r>
    </w:p>
    <w:p w14:paraId="35FF80BB" w14:textId="67E81DC7" w:rsidR="00AA1F9F" w:rsidRPr="000B7B8D" w:rsidRDefault="00ED3CF1" w:rsidP="00ED3CF1">
      <w:pPr>
        <w:pStyle w:val="BodyTextHanging"/>
        <w:jc w:val="both"/>
        <w:rPr>
          <w:rFonts w:asciiTheme="minorHAnsi" w:hAnsiTheme="minorHAnsi"/>
          <w:lang w:val="en-GB"/>
        </w:rPr>
      </w:pPr>
      <w:r w:rsidRPr="000B7B8D">
        <w:rPr>
          <w:rFonts w:asciiTheme="minorHAnsi" w:hAnsiTheme="minorHAnsi"/>
          <w:lang w:val="en-GB"/>
        </w:rPr>
        <w:t>Birchell J (2013) United States Lacey Act: Implications for</w:t>
      </w:r>
      <w:r w:rsidR="00AF701C" w:rsidRPr="000B7B8D">
        <w:rPr>
          <w:rFonts w:asciiTheme="minorHAnsi" w:hAnsiTheme="minorHAnsi"/>
          <w:lang w:val="en-GB"/>
        </w:rPr>
        <w:t xml:space="preserve"> Supply Chains. Presentation, </w:t>
      </w:r>
      <w:r w:rsidRPr="000B7B8D">
        <w:rPr>
          <w:rFonts w:asciiTheme="minorHAnsi" w:hAnsiTheme="minorHAnsi"/>
          <w:lang w:val="en-GB"/>
        </w:rPr>
        <w:t xml:space="preserve">Chatham House, London, </w:t>
      </w:r>
      <w:r w:rsidR="00AF701C" w:rsidRPr="000B7B8D">
        <w:rPr>
          <w:rFonts w:asciiTheme="minorHAnsi" w:hAnsiTheme="minorHAnsi"/>
          <w:lang w:val="en-GB"/>
        </w:rPr>
        <w:t>18 January, https://www.illegal-logging.info/content/us-lacey-act-implications-supply-chains</w:t>
      </w:r>
      <w:r w:rsidRPr="000B7B8D">
        <w:rPr>
          <w:rFonts w:asciiTheme="minorHAnsi" w:hAnsiTheme="minorHAnsi"/>
          <w:lang w:val="en-GB"/>
        </w:rPr>
        <w:t xml:space="preserve">. </w:t>
      </w:r>
    </w:p>
    <w:p w14:paraId="61E8D28A" w14:textId="01ECC068" w:rsidR="00AA1F9F" w:rsidRPr="000B7B8D" w:rsidRDefault="00ED3CF1" w:rsidP="00ED3CF1">
      <w:pPr>
        <w:pStyle w:val="BodyTextHanging"/>
        <w:jc w:val="both"/>
        <w:rPr>
          <w:rFonts w:asciiTheme="minorHAnsi" w:hAnsiTheme="minorHAnsi"/>
          <w:lang w:val="en-GB"/>
        </w:rPr>
      </w:pPr>
      <w:r w:rsidRPr="000B7B8D">
        <w:rPr>
          <w:rFonts w:asciiTheme="minorHAnsi" w:hAnsiTheme="minorHAnsi"/>
          <w:lang w:val="en-GB"/>
        </w:rPr>
        <w:t>Brack D</w:t>
      </w:r>
      <w:r w:rsidR="00274D68" w:rsidRPr="000B7B8D">
        <w:rPr>
          <w:rFonts w:asciiTheme="minorHAnsi" w:hAnsiTheme="minorHAnsi"/>
          <w:lang w:val="en-GB"/>
        </w:rPr>
        <w:t xml:space="preserve">, </w:t>
      </w:r>
      <w:r w:rsidRPr="000B7B8D">
        <w:rPr>
          <w:rFonts w:asciiTheme="minorHAnsi" w:hAnsiTheme="minorHAnsi"/>
          <w:lang w:val="en-GB"/>
        </w:rPr>
        <w:t xml:space="preserve">Buckrell J (2011) Controlling Illegal Logging: Consumer-Country Measures. </w:t>
      </w:r>
      <w:r w:rsidR="00E708B6" w:rsidRPr="000B7B8D">
        <w:rPr>
          <w:rFonts w:asciiTheme="minorHAnsi" w:hAnsiTheme="minorHAnsi"/>
          <w:i/>
          <w:lang w:val="en-GB"/>
        </w:rPr>
        <w:t xml:space="preserve">Chatham House </w:t>
      </w:r>
      <w:r w:rsidRPr="000B7B8D">
        <w:rPr>
          <w:rFonts w:asciiTheme="minorHAnsi" w:hAnsiTheme="minorHAnsi"/>
          <w:i/>
          <w:lang w:val="en-GB"/>
        </w:rPr>
        <w:t xml:space="preserve">Illegal Logging Briefing Paper </w:t>
      </w:r>
      <w:r w:rsidR="00E708B6" w:rsidRPr="000B7B8D">
        <w:rPr>
          <w:rFonts w:asciiTheme="minorHAnsi" w:hAnsiTheme="minorHAnsi"/>
          <w:lang w:val="en-GB"/>
        </w:rPr>
        <w:t>2011/01</w:t>
      </w:r>
      <w:r w:rsidR="00AF701C" w:rsidRPr="000B7B8D">
        <w:rPr>
          <w:rFonts w:asciiTheme="minorHAnsi" w:hAnsiTheme="minorHAnsi"/>
          <w:lang w:val="en-GB"/>
        </w:rPr>
        <w:t>, https://www.chathamhouse.org/publications/papers/view/109642</w:t>
      </w:r>
      <w:r w:rsidR="00E708B6" w:rsidRPr="000B7B8D">
        <w:rPr>
          <w:rFonts w:asciiTheme="minorHAnsi" w:hAnsiTheme="minorHAnsi"/>
          <w:lang w:val="en-GB"/>
        </w:rPr>
        <w:t>.</w:t>
      </w:r>
      <w:r w:rsidRPr="000B7B8D">
        <w:rPr>
          <w:rFonts w:asciiTheme="minorHAnsi" w:hAnsiTheme="minorHAnsi"/>
          <w:lang w:val="en-GB"/>
        </w:rPr>
        <w:t xml:space="preserve"> </w:t>
      </w:r>
    </w:p>
    <w:p w14:paraId="4F85915F" w14:textId="7940CF34" w:rsidR="002534FE" w:rsidRPr="000B7B8D" w:rsidRDefault="002534FE" w:rsidP="008A0992">
      <w:pPr>
        <w:pStyle w:val="BodyTextHanging"/>
        <w:jc w:val="both"/>
        <w:rPr>
          <w:rFonts w:asciiTheme="minorHAnsi" w:hAnsiTheme="minorHAnsi"/>
          <w:lang w:val="en-GB"/>
        </w:rPr>
      </w:pPr>
      <w:r w:rsidRPr="000B7B8D">
        <w:rPr>
          <w:rFonts w:asciiTheme="minorHAnsi" w:hAnsiTheme="minorHAnsi"/>
          <w:lang w:val="en-GB"/>
        </w:rPr>
        <w:t xml:space="preserve">Brack </w:t>
      </w:r>
      <w:r w:rsidR="00ED3CF1" w:rsidRPr="000B7B8D">
        <w:rPr>
          <w:rFonts w:asciiTheme="minorHAnsi" w:hAnsiTheme="minorHAnsi"/>
          <w:lang w:val="en-GB"/>
        </w:rPr>
        <w:t xml:space="preserve">D </w:t>
      </w:r>
      <w:r w:rsidRPr="000B7B8D">
        <w:rPr>
          <w:rFonts w:asciiTheme="minorHAnsi" w:hAnsiTheme="minorHAnsi"/>
          <w:lang w:val="en-GB"/>
        </w:rPr>
        <w:t>(2014)</w:t>
      </w:r>
      <w:r w:rsidR="0054564A" w:rsidRPr="000B7B8D">
        <w:rPr>
          <w:rFonts w:asciiTheme="minorHAnsi" w:hAnsiTheme="minorHAnsi"/>
          <w:lang w:val="en-GB"/>
        </w:rPr>
        <w:t xml:space="preserve"> </w:t>
      </w:r>
      <w:r w:rsidR="0054564A" w:rsidRPr="000B7B8D">
        <w:rPr>
          <w:rFonts w:asciiTheme="minorHAnsi" w:hAnsiTheme="minorHAnsi"/>
          <w:i/>
          <w:lang w:val="en-GB"/>
        </w:rPr>
        <w:t>Chinese Overseas Investment in Forestry and Industries with High Impact on Forests: Official Guidelines and Credit Policies for Chinese Enterprises Operating and Investing Abroad</w:t>
      </w:r>
      <w:r w:rsidR="0054564A" w:rsidRPr="000B7B8D">
        <w:rPr>
          <w:rFonts w:asciiTheme="minorHAnsi" w:hAnsiTheme="minorHAnsi"/>
          <w:lang w:val="en-GB"/>
        </w:rPr>
        <w:t>. Forest Trends</w:t>
      </w:r>
      <w:r w:rsidR="00AF701C" w:rsidRPr="000B7B8D">
        <w:rPr>
          <w:rFonts w:asciiTheme="minorHAnsi" w:hAnsiTheme="minorHAnsi"/>
          <w:lang w:val="en-GB"/>
        </w:rPr>
        <w:t>,</w:t>
      </w:r>
      <w:r w:rsidR="00AF701C" w:rsidRPr="000B7B8D">
        <w:rPr>
          <w:rFonts w:asciiTheme="minorHAnsi" w:hAnsiTheme="minorHAnsi"/>
        </w:rPr>
        <w:t xml:space="preserve"> </w:t>
      </w:r>
      <w:r w:rsidR="00AF701C" w:rsidRPr="000B7B8D">
        <w:rPr>
          <w:rFonts w:asciiTheme="minorHAnsi" w:hAnsiTheme="minorHAnsi"/>
          <w:lang w:val="en-GB"/>
        </w:rPr>
        <w:t>https://www.forest-trends.org/publications/chinese-overseas-investment-in-forestry-and-industries-with-high-impact-on-forests/</w:t>
      </w:r>
      <w:r w:rsidR="0054564A" w:rsidRPr="000B7B8D">
        <w:rPr>
          <w:rFonts w:asciiTheme="minorHAnsi" w:hAnsiTheme="minorHAnsi"/>
          <w:lang w:val="en-GB"/>
        </w:rPr>
        <w:t>.</w:t>
      </w:r>
    </w:p>
    <w:p w14:paraId="04EF079A" w14:textId="18A62FB8" w:rsidR="006E3641" w:rsidRPr="000B7B8D" w:rsidRDefault="00274D68" w:rsidP="009F39F7">
      <w:pPr>
        <w:pStyle w:val="BodyTextHanging"/>
        <w:jc w:val="both"/>
        <w:rPr>
          <w:rFonts w:asciiTheme="minorHAnsi" w:hAnsiTheme="minorHAnsi"/>
          <w:lang w:val="en-GB"/>
        </w:rPr>
      </w:pPr>
      <w:r w:rsidRPr="000B7B8D">
        <w:rPr>
          <w:rFonts w:asciiTheme="minorHAnsi" w:hAnsiTheme="minorHAnsi"/>
          <w:lang w:val="en-GB"/>
        </w:rPr>
        <w:t xml:space="preserve">Cashore B, </w:t>
      </w:r>
      <w:r w:rsidR="009F39F7" w:rsidRPr="000B7B8D">
        <w:rPr>
          <w:rFonts w:asciiTheme="minorHAnsi" w:hAnsiTheme="minorHAnsi"/>
          <w:lang w:val="en-GB"/>
        </w:rPr>
        <w:t xml:space="preserve">Stone M (2014) Does California Need Delaware? Explaining Indonesian, Chinese, and United States Support for Legality Compliance of Internationally Traded Products. </w:t>
      </w:r>
      <w:r w:rsidR="009F39F7" w:rsidRPr="000B7B8D">
        <w:rPr>
          <w:rFonts w:asciiTheme="minorHAnsi" w:hAnsiTheme="minorHAnsi"/>
          <w:i/>
          <w:lang w:val="en-GB"/>
        </w:rPr>
        <w:t>Regulation and Governance</w:t>
      </w:r>
      <w:r w:rsidR="009F39F7" w:rsidRPr="000B7B8D">
        <w:rPr>
          <w:rFonts w:asciiTheme="minorHAnsi" w:hAnsiTheme="minorHAnsi"/>
          <w:lang w:val="en-GB"/>
        </w:rPr>
        <w:t xml:space="preserve"> </w:t>
      </w:r>
      <w:r w:rsidR="009F39F7" w:rsidRPr="000B7B8D">
        <w:rPr>
          <w:rFonts w:asciiTheme="minorHAnsi" w:hAnsiTheme="minorHAnsi"/>
          <w:b/>
          <w:lang w:val="en-GB"/>
        </w:rPr>
        <w:t>8</w:t>
      </w:r>
      <w:r w:rsidR="009F39F7" w:rsidRPr="000B7B8D">
        <w:rPr>
          <w:rFonts w:asciiTheme="minorHAnsi" w:hAnsiTheme="minorHAnsi"/>
          <w:lang w:val="en-GB"/>
        </w:rPr>
        <w:t>: 49–73.</w:t>
      </w:r>
    </w:p>
    <w:p w14:paraId="324C9A73" w14:textId="41951454" w:rsidR="002534FE" w:rsidRPr="000B7B8D" w:rsidRDefault="00127EA6" w:rsidP="008A0992">
      <w:pPr>
        <w:pStyle w:val="BodyTextHanging"/>
        <w:jc w:val="both"/>
        <w:rPr>
          <w:rFonts w:asciiTheme="minorHAnsi" w:hAnsiTheme="minorHAnsi"/>
          <w:lang w:val="en-GB"/>
        </w:rPr>
      </w:pPr>
      <w:r w:rsidRPr="000B7B8D">
        <w:rPr>
          <w:rFonts w:asciiTheme="minorHAnsi" w:hAnsiTheme="minorHAnsi"/>
          <w:lang w:val="en-GB"/>
        </w:rPr>
        <w:t>Chen J</w:t>
      </w:r>
      <w:r w:rsidR="0013715D" w:rsidRPr="000B7B8D">
        <w:rPr>
          <w:rFonts w:asciiTheme="minorHAnsi" w:hAnsiTheme="minorHAnsi"/>
          <w:lang w:val="en-GB"/>
        </w:rPr>
        <w:t xml:space="preserve"> </w:t>
      </w:r>
      <w:r w:rsidR="002534FE" w:rsidRPr="000B7B8D">
        <w:rPr>
          <w:rFonts w:asciiTheme="minorHAnsi" w:hAnsiTheme="minorHAnsi"/>
          <w:lang w:val="en-GB"/>
        </w:rPr>
        <w:t>(2016)</w:t>
      </w:r>
      <w:r w:rsidR="0013715D" w:rsidRPr="000B7B8D">
        <w:rPr>
          <w:rFonts w:asciiTheme="minorHAnsi" w:hAnsiTheme="minorHAnsi"/>
          <w:lang w:val="en-GB"/>
        </w:rPr>
        <w:t xml:space="preserve"> China Timber Legality Verification Scheme (CTVLS). Presentation to Chatham House </w:t>
      </w:r>
      <w:r w:rsidR="00ED76FE" w:rsidRPr="000B7B8D">
        <w:rPr>
          <w:rFonts w:asciiTheme="minorHAnsi" w:hAnsiTheme="minorHAnsi"/>
          <w:lang w:val="en-GB"/>
        </w:rPr>
        <w:t>Illegal Logging Update and Stakeholder Consultation Meeting</w:t>
      </w:r>
      <w:r w:rsidR="0013715D" w:rsidRPr="000B7B8D">
        <w:rPr>
          <w:rFonts w:asciiTheme="minorHAnsi" w:hAnsiTheme="minorHAnsi"/>
          <w:lang w:val="en-GB"/>
        </w:rPr>
        <w:t>, London</w:t>
      </w:r>
      <w:r w:rsidR="00A41A45" w:rsidRPr="000B7B8D">
        <w:rPr>
          <w:rFonts w:asciiTheme="minorHAnsi" w:hAnsiTheme="minorHAnsi"/>
          <w:lang w:val="en-GB"/>
        </w:rPr>
        <w:t>,</w:t>
      </w:r>
      <w:r w:rsidR="0013715D" w:rsidRPr="000B7B8D">
        <w:rPr>
          <w:rFonts w:asciiTheme="minorHAnsi" w:hAnsiTheme="minorHAnsi"/>
          <w:lang w:val="en-GB"/>
        </w:rPr>
        <w:t xml:space="preserve"> 16 June, </w:t>
      </w:r>
      <w:hyperlink r:id="rId32" w:history="1">
        <w:r w:rsidR="00ED76FE" w:rsidRPr="000B7B8D">
          <w:rPr>
            <w:rStyle w:val="Hyperlink"/>
            <w:rFonts w:asciiTheme="minorHAnsi" w:hAnsiTheme="minorHAnsi"/>
            <w:lang w:val="en-GB"/>
          </w:rPr>
          <w:t>https://www.illegal-logging.info/content/26th-illegal-logging-update-and-stakeholder-consultation-meeting</w:t>
        </w:r>
      </w:hyperlink>
      <w:r w:rsidR="00ED76FE" w:rsidRPr="000B7B8D">
        <w:rPr>
          <w:rFonts w:asciiTheme="minorHAnsi" w:hAnsiTheme="minorHAnsi"/>
          <w:lang w:val="en-GB"/>
        </w:rPr>
        <w:t xml:space="preserve"> </w:t>
      </w:r>
    </w:p>
    <w:p w14:paraId="3AC8E742" w14:textId="50099FAA" w:rsidR="00B23B1A" w:rsidRPr="000B7B8D" w:rsidRDefault="00B23B1A" w:rsidP="008A0992">
      <w:pPr>
        <w:pStyle w:val="BodyTextHanging"/>
        <w:jc w:val="both"/>
        <w:rPr>
          <w:rFonts w:asciiTheme="minorHAnsi" w:hAnsiTheme="minorHAnsi"/>
          <w:lang w:val="en-GB"/>
        </w:rPr>
      </w:pPr>
      <w:r w:rsidRPr="000B7B8D">
        <w:rPr>
          <w:rFonts w:asciiTheme="minorHAnsi" w:hAnsiTheme="minorHAnsi"/>
          <w:lang w:val="en-GB"/>
        </w:rPr>
        <w:lastRenderedPageBreak/>
        <w:t>Client Earth (2017)</w:t>
      </w:r>
      <w:r w:rsidR="00ED64F8" w:rsidRPr="000B7B8D">
        <w:rPr>
          <w:rFonts w:asciiTheme="minorHAnsi" w:hAnsiTheme="minorHAnsi"/>
          <w:lang w:val="en-GB"/>
        </w:rPr>
        <w:t xml:space="preserve"> </w:t>
      </w:r>
      <w:r w:rsidR="00ED64F8" w:rsidRPr="000B7B8D">
        <w:rPr>
          <w:rFonts w:asciiTheme="minorHAnsi" w:hAnsiTheme="minorHAnsi"/>
          <w:i/>
          <w:lang w:val="en-GB"/>
        </w:rPr>
        <w:t>Comparison of Illegal Logging Laws in the European Union, the United States, Australia and Japan</w:t>
      </w:r>
      <w:r w:rsidR="00ED76FE" w:rsidRPr="000B7B8D">
        <w:rPr>
          <w:rFonts w:asciiTheme="minorHAnsi" w:hAnsiTheme="minorHAnsi"/>
          <w:i/>
          <w:lang w:val="en-GB"/>
        </w:rPr>
        <w:t>,</w:t>
      </w:r>
      <w:r w:rsidR="00ED76FE" w:rsidRPr="000B7B8D">
        <w:rPr>
          <w:rFonts w:asciiTheme="minorHAnsi" w:hAnsiTheme="minorHAnsi"/>
        </w:rPr>
        <w:t xml:space="preserve"> </w:t>
      </w:r>
      <w:r w:rsidR="00ED76FE" w:rsidRPr="000B7B8D">
        <w:rPr>
          <w:rFonts w:asciiTheme="minorHAnsi" w:hAnsiTheme="minorHAnsi"/>
          <w:lang w:val="en-GB"/>
        </w:rPr>
        <w:t>https://www.clientearth.org/comparing-illegal-logging-laws-eu-usa-australia-2/</w:t>
      </w:r>
      <w:r w:rsidR="00ED64F8" w:rsidRPr="000B7B8D">
        <w:rPr>
          <w:rFonts w:asciiTheme="minorHAnsi" w:hAnsiTheme="minorHAnsi"/>
          <w:lang w:val="en-GB"/>
        </w:rPr>
        <w:t>.</w:t>
      </w:r>
    </w:p>
    <w:p w14:paraId="54530AA7" w14:textId="0A794B55" w:rsidR="00AA1F9F" w:rsidRPr="000B7B8D" w:rsidRDefault="00AA1F9F" w:rsidP="008A0992">
      <w:pPr>
        <w:pStyle w:val="BodyTextHanging"/>
        <w:jc w:val="both"/>
        <w:rPr>
          <w:rFonts w:asciiTheme="minorHAnsi" w:hAnsiTheme="minorHAnsi"/>
          <w:lang w:val="en-GB"/>
        </w:rPr>
      </w:pPr>
      <w:r w:rsidRPr="000B7B8D">
        <w:rPr>
          <w:rFonts w:asciiTheme="minorHAnsi" w:hAnsiTheme="minorHAnsi"/>
          <w:lang w:val="en-GB"/>
        </w:rPr>
        <w:t>Client Earth (2018)</w:t>
      </w:r>
      <w:r w:rsidR="00ED64F8" w:rsidRPr="000B7B8D">
        <w:rPr>
          <w:rFonts w:asciiTheme="minorHAnsi" w:hAnsiTheme="minorHAnsi"/>
          <w:lang w:val="en-GB"/>
        </w:rPr>
        <w:t xml:space="preserve"> </w:t>
      </w:r>
      <w:r w:rsidR="00ED64F8" w:rsidRPr="000B7B8D">
        <w:rPr>
          <w:rFonts w:asciiTheme="minorHAnsi" w:hAnsiTheme="minorHAnsi"/>
          <w:i/>
          <w:lang w:val="en-GB"/>
        </w:rPr>
        <w:t>National EUTR Penalties: Are They Sufficiently Effective, Proportionate and Dissuasive?</w:t>
      </w:r>
      <w:r w:rsidR="00E708B6" w:rsidRPr="000B7B8D">
        <w:rPr>
          <w:rFonts w:asciiTheme="minorHAnsi" w:hAnsiTheme="minorHAnsi"/>
          <w:lang w:val="en-GB"/>
        </w:rPr>
        <w:t xml:space="preserve"> </w:t>
      </w:r>
      <w:r w:rsidR="00ED64F8" w:rsidRPr="000B7B8D">
        <w:rPr>
          <w:rFonts w:asciiTheme="minorHAnsi" w:hAnsiTheme="minorHAnsi"/>
          <w:lang w:val="en-GB"/>
        </w:rPr>
        <w:t xml:space="preserve"> </w:t>
      </w:r>
      <w:hyperlink r:id="rId33" w:history="1">
        <w:r w:rsidR="00527607" w:rsidRPr="000B7B8D">
          <w:rPr>
            <w:rStyle w:val="Hyperlink"/>
            <w:rFonts w:asciiTheme="minorHAnsi" w:hAnsiTheme="minorHAnsi"/>
            <w:lang w:val="en-GB"/>
          </w:rPr>
          <w:t>https://europa.eu/capacity4dev/file/71432/download?token=q6xP0IlC</w:t>
        </w:r>
      </w:hyperlink>
      <w:r w:rsidR="00527607" w:rsidRPr="000B7B8D">
        <w:rPr>
          <w:rFonts w:asciiTheme="minorHAnsi" w:hAnsiTheme="minorHAnsi"/>
          <w:lang w:val="en-GB"/>
        </w:rPr>
        <w:t xml:space="preserve"> </w:t>
      </w:r>
      <w:r w:rsidR="00ED64F8" w:rsidRPr="000B7B8D">
        <w:rPr>
          <w:rFonts w:asciiTheme="minorHAnsi" w:hAnsiTheme="minorHAnsi"/>
          <w:lang w:val="en-GB"/>
        </w:rPr>
        <w:t>.</w:t>
      </w:r>
    </w:p>
    <w:p w14:paraId="200EB805" w14:textId="77777777" w:rsidR="004C72CA" w:rsidRPr="000B7B8D" w:rsidRDefault="00B23B1A" w:rsidP="000E56A9">
      <w:pPr>
        <w:pStyle w:val="BodyTextHanging"/>
        <w:jc w:val="both"/>
        <w:rPr>
          <w:rFonts w:asciiTheme="minorHAnsi" w:hAnsiTheme="minorHAnsi"/>
          <w:lang w:val="en-GB"/>
        </w:rPr>
      </w:pPr>
      <w:r w:rsidRPr="000B7B8D">
        <w:rPr>
          <w:rFonts w:asciiTheme="minorHAnsi" w:hAnsiTheme="minorHAnsi"/>
          <w:lang w:val="en-GB"/>
        </w:rPr>
        <w:t xml:space="preserve">Colbourn </w:t>
      </w:r>
      <w:r w:rsidR="00DE2DD3" w:rsidRPr="000B7B8D">
        <w:rPr>
          <w:rFonts w:asciiTheme="minorHAnsi" w:hAnsiTheme="minorHAnsi"/>
          <w:lang w:val="en-GB"/>
        </w:rPr>
        <w:t xml:space="preserve">E </w:t>
      </w:r>
      <w:r w:rsidRPr="000B7B8D">
        <w:rPr>
          <w:rFonts w:asciiTheme="minorHAnsi" w:hAnsiTheme="minorHAnsi"/>
          <w:lang w:val="en-GB"/>
        </w:rPr>
        <w:t>(2018)</w:t>
      </w:r>
      <w:r w:rsidR="00DE2DD3" w:rsidRPr="000B7B8D">
        <w:rPr>
          <w:rFonts w:asciiTheme="minorHAnsi" w:hAnsiTheme="minorHAnsi"/>
          <w:lang w:val="en-GB"/>
        </w:rPr>
        <w:t xml:space="preserve"> The Lacey Act: Lessons Learned from a Decade of Enforcement. Presentation to conference on ‘</w:t>
      </w:r>
      <w:r w:rsidR="005230BE" w:rsidRPr="000B7B8D">
        <w:rPr>
          <w:rFonts w:asciiTheme="minorHAnsi" w:hAnsiTheme="minorHAnsi"/>
          <w:lang w:val="en-GB"/>
        </w:rPr>
        <w:t>Timber Trade and the Conservation of Forests – Five Years EUTR’</w:t>
      </w:r>
      <w:r w:rsidR="00DC6933" w:rsidRPr="000B7B8D">
        <w:rPr>
          <w:rFonts w:asciiTheme="minorHAnsi" w:hAnsiTheme="minorHAnsi"/>
          <w:lang w:val="en-GB"/>
        </w:rPr>
        <w:t xml:space="preserve">, Thünen Institute, Hamburg, 8-9 October, </w:t>
      </w:r>
      <w:r w:rsidR="004C72CA" w:rsidRPr="000B7B8D">
        <w:rPr>
          <w:rStyle w:val="HTMLCite"/>
          <w:rFonts w:asciiTheme="minorHAnsi" w:hAnsiTheme="minorHAnsi"/>
          <w:i w:val="0"/>
          <w:color w:val="0000FF"/>
          <w:u w:val="single"/>
        </w:rPr>
        <w:fldChar w:fldCharType="begin"/>
      </w:r>
      <w:r w:rsidR="004C72CA" w:rsidRPr="000B7B8D">
        <w:rPr>
          <w:rStyle w:val="HTMLCite"/>
          <w:rFonts w:asciiTheme="minorHAnsi" w:hAnsiTheme="minorHAnsi"/>
          <w:i w:val="0"/>
          <w:color w:val="0000FF"/>
          <w:u w:val="single"/>
        </w:rPr>
        <w:instrText xml:space="preserve"> HYPERLINK "https://www.thuenen.de/media/ti/Infrastruktur/.../09_08_03_Colbourn_USDJ.pdf.</w:instrText>
      </w:r>
    </w:p>
    <w:p w14:paraId="6FB6563B" w14:textId="77777777" w:rsidR="004C72CA" w:rsidRPr="000B7B8D" w:rsidRDefault="004C72CA" w:rsidP="000E56A9">
      <w:pPr>
        <w:pStyle w:val="BodyTextHanging"/>
        <w:jc w:val="both"/>
        <w:rPr>
          <w:rStyle w:val="Hyperlink"/>
          <w:rFonts w:asciiTheme="minorHAnsi" w:hAnsiTheme="minorHAnsi"/>
          <w:lang w:val="en-GB"/>
        </w:rPr>
      </w:pPr>
      <w:r w:rsidRPr="000B7B8D">
        <w:rPr>
          <w:rStyle w:val="HTMLCite"/>
          <w:rFonts w:asciiTheme="minorHAnsi" w:hAnsiTheme="minorHAnsi"/>
          <w:i w:val="0"/>
          <w:color w:val="0000FF"/>
          <w:u w:val="single"/>
        </w:rPr>
        <w:instrText xml:space="preserve">" </w:instrText>
      </w:r>
      <w:r w:rsidRPr="000B7B8D">
        <w:rPr>
          <w:rStyle w:val="HTMLCite"/>
          <w:rFonts w:asciiTheme="minorHAnsi" w:hAnsiTheme="minorHAnsi"/>
          <w:i w:val="0"/>
          <w:color w:val="0000FF"/>
          <w:u w:val="single"/>
        </w:rPr>
        <w:fldChar w:fldCharType="separate"/>
      </w:r>
      <w:r w:rsidRPr="000B7B8D">
        <w:rPr>
          <w:rStyle w:val="Hyperlink"/>
          <w:rFonts w:asciiTheme="minorHAnsi" w:hAnsiTheme="minorHAnsi"/>
        </w:rPr>
        <w:t>https://www.thuenen.de/media/ti/Infrastruktur/.../09_08_03_Colbourn_USDJ.pdf.</w:t>
      </w:r>
    </w:p>
    <w:p w14:paraId="01E52D94" w14:textId="4116FB09" w:rsidR="003F6529" w:rsidRPr="000B7B8D" w:rsidRDefault="004C72CA" w:rsidP="000E56A9">
      <w:pPr>
        <w:pStyle w:val="BodyTextHanging"/>
        <w:jc w:val="both"/>
        <w:rPr>
          <w:rFonts w:asciiTheme="minorHAnsi" w:hAnsiTheme="minorHAnsi"/>
          <w:lang w:val="en-GB"/>
        </w:rPr>
      </w:pPr>
      <w:r w:rsidRPr="000B7B8D">
        <w:rPr>
          <w:rStyle w:val="HTMLCite"/>
          <w:rFonts w:asciiTheme="minorHAnsi" w:hAnsiTheme="minorHAnsi"/>
          <w:i w:val="0"/>
          <w:color w:val="0000FF"/>
          <w:u w:val="single"/>
        </w:rPr>
        <w:fldChar w:fldCharType="end"/>
      </w:r>
      <w:r w:rsidR="003F6529" w:rsidRPr="000B7B8D">
        <w:rPr>
          <w:rFonts w:asciiTheme="minorHAnsi" w:hAnsiTheme="minorHAnsi"/>
          <w:lang w:val="en-GB"/>
        </w:rPr>
        <w:t xml:space="preserve">Commonwealth of Australia (2018) </w:t>
      </w:r>
      <w:r w:rsidR="003F6529" w:rsidRPr="000B7B8D">
        <w:rPr>
          <w:rFonts w:asciiTheme="minorHAnsi" w:hAnsiTheme="minorHAnsi"/>
          <w:i/>
          <w:lang w:val="en-GB"/>
        </w:rPr>
        <w:t xml:space="preserve">Illegal Logging Prohibition Regulation 2012, compilation No. 6, </w:t>
      </w:r>
      <w:r w:rsidR="003F6529" w:rsidRPr="000B7B8D">
        <w:rPr>
          <w:rFonts w:asciiTheme="minorHAnsi" w:hAnsiTheme="minorHAnsi"/>
          <w:lang w:val="en-GB"/>
        </w:rPr>
        <w:t>5 December.</w:t>
      </w:r>
    </w:p>
    <w:p w14:paraId="74128E6A" w14:textId="4599E91F" w:rsidR="006E3641" w:rsidRPr="000B7B8D" w:rsidRDefault="006E3641" w:rsidP="008A0992">
      <w:pPr>
        <w:pStyle w:val="BodyTextHanging"/>
        <w:jc w:val="both"/>
        <w:rPr>
          <w:rFonts w:asciiTheme="minorHAnsi" w:hAnsiTheme="minorHAnsi"/>
          <w:lang w:val="en-GB"/>
        </w:rPr>
      </w:pPr>
      <w:r w:rsidRPr="000B7B8D">
        <w:rPr>
          <w:rFonts w:asciiTheme="minorHAnsi" w:hAnsiTheme="minorHAnsi"/>
          <w:lang w:val="en-GB"/>
        </w:rPr>
        <w:t xml:space="preserve">Conniff </w:t>
      </w:r>
      <w:r w:rsidR="00DC6933" w:rsidRPr="000B7B8D">
        <w:rPr>
          <w:rFonts w:asciiTheme="minorHAnsi" w:hAnsiTheme="minorHAnsi"/>
          <w:lang w:val="en-GB"/>
        </w:rPr>
        <w:t xml:space="preserve">R </w:t>
      </w:r>
      <w:r w:rsidRPr="000B7B8D">
        <w:rPr>
          <w:rFonts w:asciiTheme="minorHAnsi" w:hAnsiTheme="minorHAnsi"/>
          <w:lang w:val="en-GB"/>
        </w:rPr>
        <w:t>(2018)</w:t>
      </w:r>
      <w:r w:rsidR="00DC6933" w:rsidRPr="000B7B8D">
        <w:rPr>
          <w:rFonts w:asciiTheme="minorHAnsi" w:hAnsiTheme="minorHAnsi"/>
          <w:lang w:val="en-GB"/>
        </w:rPr>
        <w:t xml:space="preserve"> Greenwashed Timber: How Sustainable Forest Certification Has Failed, </w:t>
      </w:r>
      <w:r w:rsidR="00DC6933" w:rsidRPr="000B7B8D">
        <w:rPr>
          <w:rFonts w:asciiTheme="minorHAnsi" w:hAnsiTheme="minorHAnsi"/>
          <w:i/>
          <w:lang w:val="en-GB"/>
        </w:rPr>
        <w:t>Yale Environment 360</w:t>
      </w:r>
      <w:r w:rsidR="004C72CA" w:rsidRPr="000B7B8D">
        <w:rPr>
          <w:rFonts w:asciiTheme="minorHAnsi" w:hAnsiTheme="minorHAnsi"/>
          <w:lang w:val="en-GB"/>
        </w:rPr>
        <w:t>, 20 February, https://e360.yale.edu/features/greenwashed-timber-how-sustainable-forest-certification-has-failed</w:t>
      </w:r>
      <w:r w:rsidR="00DC6933" w:rsidRPr="000B7B8D">
        <w:rPr>
          <w:rFonts w:asciiTheme="minorHAnsi" w:hAnsiTheme="minorHAnsi"/>
          <w:lang w:val="en-GB"/>
        </w:rPr>
        <w:t>.</w:t>
      </w:r>
    </w:p>
    <w:p w14:paraId="2A142631" w14:textId="77777777" w:rsidR="004C72CA" w:rsidRPr="000B7B8D" w:rsidRDefault="006219AB" w:rsidP="004C72CA">
      <w:pPr>
        <w:spacing w:after="0" w:line="240" w:lineRule="auto"/>
        <w:ind w:firstLine="0"/>
        <w:rPr>
          <w:rStyle w:val="Hyperlink"/>
          <w:rFonts w:asciiTheme="minorHAnsi" w:hAnsiTheme="minorHAnsi"/>
        </w:rPr>
      </w:pPr>
      <w:r w:rsidRPr="000B7B8D">
        <w:rPr>
          <w:rFonts w:asciiTheme="minorHAnsi" w:hAnsiTheme="minorHAnsi"/>
          <w:lang w:val="en-GB"/>
        </w:rPr>
        <w:t xml:space="preserve">Cupit </w:t>
      </w:r>
      <w:r w:rsidR="00274D68" w:rsidRPr="000B7B8D">
        <w:rPr>
          <w:rFonts w:asciiTheme="minorHAnsi" w:hAnsiTheme="minorHAnsi"/>
          <w:lang w:val="en-GB"/>
        </w:rPr>
        <w:t>O</w:t>
      </w:r>
      <w:r w:rsidR="00B91118" w:rsidRPr="000B7B8D">
        <w:rPr>
          <w:rFonts w:asciiTheme="minorHAnsi" w:hAnsiTheme="minorHAnsi"/>
          <w:lang w:val="en-GB"/>
        </w:rPr>
        <w:t xml:space="preserve"> </w:t>
      </w:r>
      <w:r w:rsidRPr="000B7B8D">
        <w:rPr>
          <w:rFonts w:asciiTheme="minorHAnsi" w:hAnsiTheme="minorHAnsi"/>
          <w:lang w:val="en-GB"/>
        </w:rPr>
        <w:t>(2018)</w:t>
      </w:r>
      <w:r w:rsidR="00B91118" w:rsidRPr="000B7B8D">
        <w:rPr>
          <w:rFonts w:asciiTheme="minorHAnsi" w:hAnsiTheme="minorHAnsi"/>
          <w:lang w:val="en-GB"/>
        </w:rPr>
        <w:t xml:space="preserve"> EUTR Compliance through the Lens of a Monitoring Organization. Presentation to EUTR/FLEGT Expert Group meeting, Brussels, 19 April, </w:t>
      </w:r>
      <w:r w:rsidR="004C72CA" w:rsidRPr="000B7B8D">
        <w:rPr>
          <w:rFonts w:asciiTheme="minorHAnsi" w:hAnsiTheme="minorHAnsi"/>
        </w:rPr>
        <w:fldChar w:fldCharType="begin"/>
      </w:r>
      <w:r w:rsidR="004C72CA" w:rsidRPr="000B7B8D">
        <w:rPr>
          <w:rFonts w:asciiTheme="minorHAnsi" w:hAnsiTheme="minorHAnsi"/>
        </w:rPr>
        <w:instrText xml:space="preserve"> HYPERLINK "https://www.google.com/url?sa=t&amp;rct=j&amp;q=&amp;esrc=s&amp;source=web&amp;cd=1&amp;ved=2ahUKEwiuhIPSy_rhAhXDa1AKHYbkBFQQFjAAegQIABAC&amp;url=http%3A%2F%2Fec.europa.eu%2Ftransparency%2Fregexpert%2Findex.cfm%3Fdo%3DgroupDetail.groupMeetingDoc%26docid%3D13208&amp;usg=AOvVaw2UIoZ-DhJsOCQ7ssDLus3c" </w:instrText>
      </w:r>
      <w:r w:rsidR="004C72CA" w:rsidRPr="000B7B8D">
        <w:rPr>
          <w:rFonts w:asciiTheme="minorHAnsi" w:hAnsiTheme="minorHAnsi"/>
        </w:rPr>
      </w:r>
      <w:r w:rsidR="004C72CA" w:rsidRPr="000B7B8D">
        <w:rPr>
          <w:rFonts w:asciiTheme="minorHAnsi" w:hAnsiTheme="minorHAnsi"/>
        </w:rPr>
        <w:fldChar w:fldCharType="separate"/>
      </w:r>
    </w:p>
    <w:p w14:paraId="6209F2FA" w14:textId="77777777" w:rsidR="004C72CA" w:rsidRPr="000B7B8D" w:rsidRDefault="004C72CA" w:rsidP="004C72CA">
      <w:pPr>
        <w:rPr>
          <w:rFonts w:asciiTheme="minorHAnsi" w:hAnsiTheme="minorHAnsi"/>
          <w:i/>
        </w:rPr>
      </w:pPr>
      <w:r w:rsidRPr="000B7B8D">
        <w:rPr>
          <w:rStyle w:val="HTMLCite"/>
          <w:rFonts w:asciiTheme="minorHAnsi" w:hAnsiTheme="minorHAnsi"/>
          <w:i w:val="0"/>
          <w:color w:val="0000FF"/>
          <w:u w:val="single"/>
        </w:rPr>
        <w:t>ec.europa.eu/transparency/regexpert/index.cfm?do=groupDetail...docid=13208</w:t>
      </w:r>
    </w:p>
    <w:p w14:paraId="39C9D8EE" w14:textId="56363191" w:rsidR="008A0992" w:rsidRPr="000B7B8D" w:rsidRDefault="004C72CA" w:rsidP="008A0992">
      <w:pPr>
        <w:pStyle w:val="BodyTextHanging"/>
        <w:jc w:val="both"/>
        <w:rPr>
          <w:rFonts w:asciiTheme="minorHAnsi" w:hAnsiTheme="minorHAnsi"/>
          <w:lang w:val="en-GB"/>
        </w:rPr>
      </w:pPr>
      <w:r w:rsidRPr="000B7B8D">
        <w:rPr>
          <w:rFonts w:asciiTheme="minorHAnsi" w:hAnsiTheme="minorHAnsi"/>
        </w:rPr>
        <w:fldChar w:fldCharType="end"/>
      </w:r>
      <w:r w:rsidR="008A0992" w:rsidRPr="000B7B8D">
        <w:rPr>
          <w:rFonts w:asciiTheme="minorHAnsi" w:hAnsiTheme="minorHAnsi"/>
          <w:lang w:val="en-GB"/>
        </w:rPr>
        <w:t xml:space="preserve">de Búrca G, Keohane RO, Sabel CF (2013) </w:t>
      </w:r>
      <w:r w:rsidR="009E0E4E" w:rsidRPr="000B7B8D">
        <w:rPr>
          <w:rFonts w:asciiTheme="minorHAnsi" w:hAnsiTheme="minorHAnsi"/>
          <w:lang w:val="en-GB"/>
        </w:rPr>
        <w:t xml:space="preserve">New Modes of Pluralist Global Governance. </w:t>
      </w:r>
      <w:r w:rsidR="009E0E4E" w:rsidRPr="000B7B8D">
        <w:rPr>
          <w:rFonts w:asciiTheme="minorHAnsi" w:hAnsiTheme="minorHAnsi"/>
          <w:i/>
          <w:lang w:val="en-GB"/>
        </w:rPr>
        <w:t xml:space="preserve">New York University Journal of International Law and Politics </w:t>
      </w:r>
      <w:r w:rsidR="009E0E4E" w:rsidRPr="000B7B8D">
        <w:rPr>
          <w:rFonts w:asciiTheme="minorHAnsi" w:hAnsiTheme="minorHAnsi"/>
          <w:lang w:val="en-GB"/>
        </w:rPr>
        <w:t>45, 723-86.</w:t>
      </w:r>
    </w:p>
    <w:p w14:paraId="1EF758F2" w14:textId="41093BA0" w:rsidR="008A0992" w:rsidRPr="000B7B8D" w:rsidRDefault="008A0992" w:rsidP="008A0992">
      <w:pPr>
        <w:pStyle w:val="BodyTextHanging"/>
        <w:jc w:val="both"/>
        <w:rPr>
          <w:rFonts w:asciiTheme="minorHAnsi" w:hAnsiTheme="minorHAnsi"/>
          <w:lang w:val="en-GB"/>
        </w:rPr>
      </w:pPr>
      <w:r w:rsidRPr="000B7B8D">
        <w:rPr>
          <w:rFonts w:asciiTheme="minorHAnsi" w:hAnsiTheme="minorHAnsi"/>
          <w:lang w:val="en-GB"/>
        </w:rPr>
        <w:t xml:space="preserve">de Búrca G, Keohane RO, Sabel CF (2014) Global Experimentalist Governance. </w:t>
      </w:r>
      <w:r w:rsidRPr="000B7B8D">
        <w:rPr>
          <w:rFonts w:asciiTheme="minorHAnsi" w:hAnsiTheme="minorHAnsi"/>
          <w:i/>
          <w:lang w:val="en-GB"/>
        </w:rPr>
        <w:t>British Journal of Political Science</w:t>
      </w:r>
      <w:r w:rsidRPr="000B7B8D">
        <w:rPr>
          <w:rFonts w:asciiTheme="minorHAnsi" w:hAnsiTheme="minorHAnsi"/>
          <w:lang w:val="en-GB"/>
        </w:rPr>
        <w:t xml:space="preserve"> 44, 477–486.</w:t>
      </w:r>
    </w:p>
    <w:p w14:paraId="576079FB" w14:textId="3A02FA69" w:rsidR="00B23B1A" w:rsidRPr="000B7B8D" w:rsidRDefault="00B23B1A" w:rsidP="00175E60">
      <w:pPr>
        <w:pStyle w:val="BodyTextHanging"/>
        <w:jc w:val="both"/>
        <w:rPr>
          <w:rFonts w:asciiTheme="minorHAnsi" w:hAnsiTheme="minorHAnsi"/>
          <w:lang w:val="en-GB" w:eastAsia="en-GB"/>
        </w:rPr>
      </w:pPr>
      <w:r w:rsidRPr="000B7B8D">
        <w:rPr>
          <w:rFonts w:asciiTheme="minorHAnsi" w:hAnsiTheme="minorHAnsi"/>
          <w:lang w:val="en-GB"/>
        </w:rPr>
        <w:t>Duggan</w:t>
      </w:r>
      <w:r w:rsidR="00DC6933" w:rsidRPr="000B7B8D">
        <w:rPr>
          <w:rFonts w:asciiTheme="minorHAnsi" w:hAnsiTheme="minorHAnsi"/>
          <w:lang w:val="en-GB"/>
        </w:rPr>
        <w:t xml:space="preserve"> </w:t>
      </w:r>
      <w:r w:rsidR="00510753" w:rsidRPr="000B7B8D">
        <w:rPr>
          <w:rFonts w:asciiTheme="minorHAnsi" w:hAnsiTheme="minorHAnsi"/>
          <w:lang w:val="en-GB"/>
        </w:rPr>
        <w:t>P</w:t>
      </w:r>
      <w:r w:rsidRPr="000B7B8D">
        <w:rPr>
          <w:rFonts w:asciiTheme="minorHAnsi" w:hAnsiTheme="minorHAnsi"/>
          <w:lang w:val="en-GB"/>
        </w:rPr>
        <w:t xml:space="preserve"> (2016)</w:t>
      </w:r>
      <w:r w:rsidR="00510753" w:rsidRPr="000B7B8D">
        <w:rPr>
          <w:rFonts w:asciiTheme="minorHAnsi" w:hAnsiTheme="minorHAnsi"/>
          <w:lang w:val="en-GB"/>
        </w:rPr>
        <w:t xml:space="preserve"> U.S. v. Lumber Liquidators, Inc. Presentation to Chatham House Illegal Logging Stakeholders Update Forum, </w:t>
      </w:r>
      <w:r w:rsidR="00E708B6" w:rsidRPr="000B7B8D">
        <w:rPr>
          <w:rFonts w:asciiTheme="minorHAnsi" w:hAnsiTheme="minorHAnsi"/>
          <w:lang w:val="en-GB"/>
        </w:rPr>
        <w:t xml:space="preserve">London, </w:t>
      </w:r>
      <w:r w:rsidR="00510753" w:rsidRPr="000B7B8D">
        <w:rPr>
          <w:rFonts w:asciiTheme="minorHAnsi" w:hAnsiTheme="minorHAnsi"/>
          <w:lang w:val="en-GB"/>
        </w:rPr>
        <w:t>16 June</w:t>
      </w:r>
      <w:r w:rsidR="00510753" w:rsidRPr="000B7B8D">
        <w:rPr>
          <w:rFonts w:asciiTheme="minorHAnsi" w:hAnsiTheme="minorHAnsi"/>
          <w:i/>
          <w:lang w:val="en-GB"/>
        </w:rPr>
        <w:t xml:space="preserve">, </w:t>
      </w:r>
      <w:hyperlink r:id="rId34" w:history="1">
        <w:r w:rsidR="00175E60" w:rsidRPr="000B7B8D">
          <w:rPr>
            <w:rStyle w:val="HTMLCite"/>
            <w:rFonts w:asciiTheme="minorHAnsi" w:hAnsiTheme="minorHAnsi"/>
            <w:i w:val="0"/>
            <w:color w:val="0000FF"/>
            <w:u w:val="single"/>
          </w:rPr>
          <w:t>https://www.illegal-logging.info/.../Day%201_Session%202_Patrick%20Duggan.pdf</w:t>
        </w:r>
      </w:hyperlink>
      <w:r w:rsidR="00510753" w:rsidRPr="000B7B8D">
        <w:rPr>
          <w:rFonts w:asciiTheme="minorHAnsi" w:hAnsiTheme="minorHAnsi"/>
          <w:lang w:val="en-GB"/>
        </w:rPr>
        <w:t>.</w:t>
      </w:r>
    </w:p>
    <w:p w14:paraId="511CE0AC" w14:textId="521AFCB3" w:rsidR="00B23B1A" w:rsidRPr="000B7B8D" w:rsidRDefault="00B23B1A" w:rsidP="008A0992">
      <w:pPr>
        <w:pStyle w:val="BodyTextHanging"/>
        <w:jc w:val="both"/>
        <w:rPr>
          <w:rFonts w:asciiTheme="minorHAnsi" w:hAnsiTheme="minorHAnsi"/>
          <w:lang w:val="en-GB"/>
        </w:rPr>
      </w:pPr>
      <w:r w:rsidRPr="000B7B8D">
        <w:rPr>
          <w:rFonts w:asciiTheme="minorHAnsi" w:hAnsiTheme="minorHAnsi"/>
          <w:lang w:val="en-GB"/>
        </w:rPr>
        <w:t xml:space="preserve">EIA </w:t>
      </w:r>
      <w:r w:rsidR="00510753" w:rsidRPr="000B7B8D">
        <w:rPr>
          <w:rFonts w:asciiTheme="minorHAnsi" w:hAnsiTheme="minorHAnsi"/>
          <w:lang w:val="en-GB"/>
        </w:rPr>
        <w:t xml:space="preserve">Forests </w:t>
      </w:r>
      <w:r w:rsidRPr="000B7B8D">
        <w:rPr>
          <w:rFonts w:asciiTheme="minorHAnsi" w:hAnsiTheme="minorHAnsi"/>
          <w:lang w:val="en-GB"/>
        </w:rPr>
        <w:t>(2018)</w:t>
      </w:r>
      <w:r w:rsidR="00510753" w:rsidRPr="000B7B8D">
        <w:rPr>
          <w:rFonts w:asciiTheme="minorHAnsi" w:hAnsiTheme="minorHAnsi"/>
          <w:lang w:val="en-GB"/>
        </w:rPr>
        <w:t xml:space="preserve"> </w:t>
      </w:r>
      <w:r w:rsidR="00510753" w:rsidRPr="000B7B8D">
        <w:rPr>
          <w:rFonts w:asciiTheme="minorHAnsi" w:hAnsiTheme="minorHAnsi"/>
          <w:i/>
          <w:lang w:val="en-GB"/>
        </w:rPr>
        <w:t>A Tale of Two Laws: Using Existing EU and US Laws to Strengthen Action on Illegal Timber Trade</w:t>
      </w:r>
      <w:r w:rsidR="00175E60" w:rsidRPr="000B7B8D">
        <w:rPr>
          <w:rFonts w:asciiTheme="minorHAnsi" w:hAnsiTheme="minorHAnsi"/>
          <w:i/>
          <w:lang w:val="en-GB"/>
        </w:rPr>
        <w:t>,</w:t>
      </w:r>
      <w:r w:rsidR="00175E60" w:rsidRPr="000B7B8D">
        <w:rPr>
          <w:rFonts w:asciiTheme="minorHAnsi" w:hAnsiTheme="minorHAnsi"/>
        </w:rPr>
        <w:t xml:space="preserve"> </w:t>
      </w:r>
      <w:r w:rsidR="00175E60" w:rsidRPr="000B7B8D">
        <w:rPr>
          <w:rFonts w:asciiTheme="minorHAnsi" w:hAnsiTheme="minorHAnsi"/>
          <w:lang w:val="en-GB"/>
        </w:rPr>
        <w:t>https://eia-international.org/report/tale-two-laws/</w:t>
      </w:r>
      <w:r w:rsidR="00510753" w:rsidRPr="000B7B8D">
        <w:rPr>
          <w:rFonts w:asciiTheme="minorHAnsi" w:hAnsiTheme="minorHAnsi"/>
          <w:lang w:val="en-GB"/>
        </w:rPr>
        <w:t>.</w:t>
      </w:r>
    </w:p>
    <w:p w14:paraId="463A65E1" w14:textId="63EB981E" w:rsidR="00E031EE" w:rsidRPr="000B7B8D" w:rsidRDefault="00E031EE" w:rsidP="000B7B8D">
      <w:pPr>
        <w:pStyle w:val="BodyTextHanging"/>
        <w:jc w:val="both"/>
        <w:rPr>
          <w:rFonts w:asciiTheme="minorHAnsi" w:hAnsiTheme="minorHAnsi"/>
          <w:lang w:val="en-GB" w:eastAsia="en-GB"/>
        </w:rPr>
      </w:pPr>
      <w:r w:rsidRPr="000B7B8D">
        <w:rPr>
          <w:rFonts w:asciiTheme="minorHAnsi" w:hAnsiTheme="minorHAnsi"/>
          <w:lang w:val="en-GB"/>
        </w:rPr>
        <w:t xml:space="preserve">EU-FAO </w:t>
      </w:r>
      <w:r w:rsidR="00FC361B" w:rsidRPr="000B7B8D">
        <w:rPr>
          <w:rFonts w:asciiTheme="minorHAnsi" w:hAnsiTheme="minorHAnsi"/>
          <w:lang w:val="en-GB"/>
        </w:rPr>
        <w:t xml:space="preserve">FLEGT Programme </w:t>
      </w:r>
      <w:r w:rsidRPr="000B7B8D">
        <w:rPr>
          <w:rFonts w:asciiTheme="minorHAnsi" w:hAnsiTheme="minorHAnsi"/>
          <w:lang w:val="en-GB"/>
        </w:rPr>
        <w:t xml:space="preserve">(2016) </w:t>
      </w:r>
      <w:r w:rsidR="00FC361B" w:rsidRPr="000B7B8D">
        <w:rPr>
          <w:rFonts w:asciiTheme="minorHAnsi" w:hAnsiTheme="minorHAnsi"/>
          <w:i/>
          <w:lang w:val="en-GB"/>
        </w:rPr>
        <w:t>Annual Report 2016,</w:t>
      </w:r>
      <w:r w:rsidR="000B7B8D" w:rsidRPr="000B7B8D">
        <w:rPr>
          <w:rFonts w:asciiTheme="minorHAnsi" w:hAnsiTheme="minorHAnsi"/>
        </w:rPr>
        <w:t xml:space="preserve"> </w:t>
      </w:r>
      <w:hyperlink r:id="rId35" w:history="1">
        <w:r w:rsidR="000B7B8D" w:rsidRPr="000B7B8D">
          <w:rPr>
            <w:rFonts w:asciiTheme="minorHAnsi" w:hAnsiTheme="minorHAnsi"/>
            <w:iCs/>
            <w:color w:val="0000FF"/>
            <w:u w:val="single"/>
            <w:lang w:val="en-GB" w:eastAsia="en-GB"/>
          </w:rPr>
          <w:t>www.fao.org/3/a-i6805e.pdf</w:t>
        </w:r>
      </w:hyperlink>
      <w:r w:rsidR="00FC361B" w:rsidRPr="000B7B8D">
        <w:rPr>
          <w:rFonts w:asciiTheme="minorHAnsi" w:hAnsiTheme="minorHAnsi"/>
          <w:i/>
          <w:lang w:val="en-GB"/>
        </w:rPr>
        <w:t>.</w:t>
      </w:r>
    </w:p>
    <w:p w14:paraId="46E4234B" w14:textId="3CC2A352" w:rsidR="00412E97" w:rsidRPr="000B7B8D" w:rsidRDefault="00412E97" w:rsidP="008C4E73">
      <w:pPr>
        <w:pStyle w:val="BodyTextHanging"/>
        <w:jc w:val="both"/>
        <w:rPr>
          <w:rFonts w:asciiTheme="minorHAnsi" w:hAnsiTheme="minorHAnsi"/>
          <w:lang w:val="en-GB"/>
        </w:rPr>
      </w:pPr>
      <w:r w:rsidRPr="000B7B8D">
        <w:rPr>
          <w:rFonts w:asciiTheme="minorHAnsi" w:hAnsiTheme="minorHAnsi"/>
          <w:lang w:val="en-GB"/>
        </w:rPr>
        <w:t>EU FLEGT Facility (2010)</w:t>
      </w:r>
      <w:r w:rsidR="00BD6D89" w:rsidRPr="000B7B8D">
        <w:rPr>
          <w:rFonts w:asciiTheme="minorHAnsi" w:hAnsiTheme="minorHAnsi"/>
          <w:lang w:val="en-GB"/>
        </w:rPr>
        <w:t xml:space="preserve"> </w:t>
      </w:r>
      <w:r w:rsidR="008C4E73" w:rsidRPr="000B7B8D">
        <w:rPr>
          <w:rFonts w:asciiTheme="minorHAnsi" w:hAnsiTheme="minorHAnsi"/>
          <w:i/>
          <w:lang w:val="en-GB"/>
        </w:rPr>
        <w:t>Current Guidance in the Development of Legality Definitions in FLEGT Voluntary Partnership Agreements</w:t>
      </w:r>
      <w:r w:rsidR="008C4E73" w:rsidRPr="000B7B8D">
        <w:rPr>
          <w:rFonts w:asciiTheme="minorHAnsi" w:hAnsiTheme="minorHAnsi"/>
          <w:lang w:val="en-GB"/>
        </w:rPr>
        <w:t xml:space="preserve">. </w:t>
      </w:r>
      <w:hyperlink r:id="rId36" w:history="1">
        <w:r w:rsidR="008C4E73" w:rsidRPr="000B7B8D">
          <w:rPr>
            <w:rStyle w:val="Hyperlink"/>
            <w:rFonts w:asciiTheme="minorHAnsi" w:hAnsiTheme="minorHAnsi"/>
            <w:lang w:val="en-GB"/>
          </w:rPr>
          <w:t>http://forestindustries.eu/content/current-guidancedevelopment-legality-definitions-flegt-voluntary-partnership-agreements</w:t>
        </w:r>
      </w:hyperlink>
      <w:r w:rsidR="008C4E73" w:rsidRPr="000B7B8D">
        <w:rPr>
          <w:rFonts w:asciiTheme="minorHAnsi" w:hAnsiTheme="minorHAnsi"/>
          <w:lang w:val="en-GB"/>
        </w:rPr>
        <w:t>.</w:t>
      </w:r>
    </w:p>
    <w:p w14:paraId="175B00AB" w14:textId="43FF62B9" w:rsidR="00AA1F9F" w:rsidRPr="000B7B8D" w:rsidRDefault="00E708B6" w:rsidP="008A0992">
      <w:pPr>
        <w:pStyle w:val="BodyTextHanging"/>
        <w:jc w:val="both"/>
        <w:rPr>
          <w:rFonts w:asciiTheme="minorHAnsi" w:hAnsiTheme="minorHAnsi"/>
          <w:lang w:val="en-GB"/>
        </w:rPr>
      </w:pPr>
      <w:r w:rsidRPr="000B7B8D">
        <w:rPr>
          <w:rFonts w:asciiTheme="minorHAnsi" w:hAnsiTheme="minorHAnsi"/>
          <w:lang w:val="en-GB"/>
        </w:rPr>
        <w:t>EU FLEGT Facility (2017a</w:t>
      </w:r>
      <w:r w:rsidR="00AA1F9F" w:rsidRPr="000B7B8D">
        <w:rPr>
          <w:rFonts w:asciiTheme="minorHAnsi" w:hAnsiTheme="minorHAnsi"/>
          <w:lang w:val="en-GB"/>
        </w:rPr>
        <w:t>)</w:t>
      </w:r>
      <w:r w:rsidRPr="000B7B8D">
        <w:rPr>
          <w:rFonts w:asciiTheme="minorHAnsi" w:hAnsiTheme="minorHAnsi"/>
          <w:lang w:val="en-GB"/>
        </w:rPr>
        <w:t xml:space="preserve"> </w:t>
      </w:r>
      <w:r w:rsidRPr="000B7B8D">
        <w:rPr>
          <w:rFonts w:asciiTheme="minorHAnsi" w:hAnsiTheme="minorHAnsi"/>
          <w:i/>
          <w:lang w:val="en-GB"/>
        </w:rPr>
        <w:t>Annual Report: H</w:t>
      </w:r>
      <w:r w:rsidR="0014169C" w:rsidRPr="000B7B8D">
        <w:rPr>
          <w:rFonts w:asciiTheme="minorHAnsi" w:hAnsiTheme="minorHAnsi"/>
          <w:i/>
          <w:lang w:val="en-GB"/>
        </w:rPr>
        <w:t>ighlights and Insights from 2017</w:t>
      </w:r>
      <w:r w:rsidRPr="000B7B8D">
        <w:rPr>
          <w:rFonts w:asciiTheme="minorHAnsi" w:hAnsiTheme="minorHAnsi"/>
          <w:lang w:val="en-GB"/>
        </w:rPr>
        <w:t xml:space="preserve">. </w:t>
      </w:r>
      <w:hyperlink r:id="rId37" w:history="1">
        <w:r w:rsidRPr="000B7B8D">
          <w:rPr>
            <w:rStyle w:val="Hyperlink"/>
            <w:rFonts w:asciiTheme="minorHAnsi" w:hAnsiTheme="minorHAnsi"/>
            <w:lang w:val="en-GB"/>
          </w:rPr>
          <w:t>http://www.euflegt.efi.int/es/publications/eu-flegt-facility-highlights-and-insights-from-2017</w:t>
        </w:r>
      </w:hyperlink>
      <w:r w:rsidRPr="000B7B8D">
        <w:rPr>
          <w:rFonts w:asciiTheme="minorHAnsi" w:hAnsiTheme="minorHAnsi"/>
          <w:lang w:val="en-GB"/>
        </w:rPr>
        <w:t>.</w:t>
      </w:r>
    </w:p>
    <w:p w14:paraId="1C558850" w14:textId="77777777" w:rsidR="00EA0CA4" w:rsidRPr="000B7B8D" w:rsidRDefault="00EA0CA4" w:rsidP="00EA0CA4">
      <w:pPr>
        <w:pStyle w:val="BodyTextHanging"/>
        <w:jc w:val="both"/>
        <w:rPr>
          <w:rFonts w:asciiTheme="minorHAnsi" w:hAnsiTheme="minorHAnsi"/>
          <w:lang w:val="en-GB"/>
        </w:rPr>
      </w:pPr>
      <w:r w:rsidRPr="000B7B8D">
        <w:rPr>
          <w:rFonts w:asciiTheme="minorHAnsi" w:hAnsiTheme="minorHAnsi"/>
          <w:lang w:val="en-GB"/>
        </w:rPr>
        <w:lastRenderedPageBreak/>
        <w:t xml:space="preserve">EU FLEGT Facility (2017b) </w:t>
      </w:r>
      <w:r w:rsidRPr="000B7B8D">
        <w:rPr>
          <w:rFonts w:asciiTheme="minorHAnsi" w:hAnsiTheme="minorHAnsi"/>
          <w:i/>
          <w:lang w:val="en-GB"/>
        </w:rPr>
        <w:t>Introduction to China’s Timber Legality Verification System</w:t>
      </w:r>
      <w:r w:rsidRPr="000B7B8D">
        <w:rPr>
          <w:rFonts w:asciiTheme="minorHAnsi" w:hAnsiTheme="minorHAnsi"/>
          <w:lang w:val="en-GB"/>
        </w:rPr>
        <w:t xml:space="preserve">. </w:t>
      </w:r>
      <w:hyperlink r:id="rId38" w:history="1">
        <w:r w:rsidRPr="000B7B8D">
          <w:rPr>
            <w:rStyle w:val="Hyperlink"/>
            <w:rFonts w:asciiTheme="minorHAnsi" w:hAnsiTheme="minorHAnsi"/>
            <w:lang w:val="en-GB"/>
          </w:rPr>
          <w:t>http://www.euflegt.efi.int/publications/introduction-to-china-s-timber-legality-verification-system</w:t>
        </w:r>
      </w:hyperlink>
      <w:r w:rsidRPr="000B7B8D">
        <w:rPr>
          <w:rFonts w:asciiTheme="minorHAnsi" w:hAnsiTheme="minorHAnsi"/>
          <w:lang w:val="en-GB"/>
        </w:rPr>
        <w:t>.</w:t>
      </w:r>
    </w:p>
    <w:p w14:paraId="7AD1B085" w14:textId="64379EE0" w:rsidR="00EA0CA4" w:rsidRPr="000B7B8D" w:rsidRDefault="00EA0CA4" w:rsidP="008A0992">
      <w:pPr>
        <w:pStyle w:val="BodyTextHanging"/>
        <w:jc w:val="both"/>
        <w:rPr>
          <w:rFonts w:asciiTheme="minorHAnsi" w:hAnsiTheme="minorHAnsi"/>
          <w:lang w:val="en-GB"/>
        </w:rPr>
      </w:pPr>
      <w:r w:rsidRPr="000B7B8D">
        <w:rPr>
          <w:rFonts w:asciiTheme="minorHAnsi" w:hAnsiTheme="minorHAnsi"/>
          <w:lang w:val="en-GB"/>
        </w:rPr>
        <w:t xml:space="preserve">EU FLEGT Facility (2018a) </w:t>
      </w:r>
      <w:r w:rsidRPr="000B7B8D">
        <w:rPr>
          <w:rFonts w:asciiTheme="minorHAnsi" w:hAnsiTheme="minorHAnsi"/>
          <w:i/>
          <w:lang w:val="en-GB"/>
        </w:rPr>
        <w:t>A Comparison of the Japanese Clean Wood Act and the EU Timber Regulation</w:t>
      </w:r>
      <w:r w:rsidRPr="000B7B8D">
        <w:rPr>
          <w:rFonts w:asciiTheme="minorHAnsi" w:hAnsiTheme="minorHAnsi"/>
          <w:lang w:val="en-GB"/>
        </w:rPr>
        <w:t>, URL.</w:t>
      </w:r>
    </w:p>
    <w:p w14:paraId="14AAEBEA" w14:textId="52AD4D6C" w:rsidR="00EA0CA4" w:rsidRPr="000B7B8D" w:rsidRDefault="00EA0CA4" w:rsidP="00EA0CA4">
      <w:pPr>
        <w:pStyle w:val="BodyTextHanging"/>
        <w:jc w:val="both"/>
        <w:rPr>
          <w:rFonts w:asciiTheme="minorHAnsi" w:hAnsiTheme="minorHAnsi"/>
          <w:lang w:val="en-GB"/>
        </w:rPr>
      </w:pPr>
      <w:r w:rsidRPr="000B7B8D">
        <w:rPr>
          <w:rFonts w:asciiTheme="minorHAnsi" w:hAnsiTheme="minorHAnsi"/>
          <w:lang w:val="en-GB"/>
        </w:rPr>
        <w:t xml:space="preserve">EU FLEGT Facility (2018b) </w:t>
      </w:r>
      <w:r w:rsidRPr="000B7B8D">
        <w:rPr>
          <w:rFonts w:asciiTheme="minorHAnsi" w:hAnsiTheme="minorHAnsi"/>
          <w:i/>
          <w:lang w:val="en-GB"/>
        </w:rPr>
        <w:t>Feasibility Analysis of the Incorporation of Timber Legality Requirements into Chinese Laws or Regulations to Promote Trade in Legal Forest Products</w:t>
      </w:r>
      <w:r w:rsidRPr="000B7B8D">
        <w:rPr>
          <w:rFonts w:asciiTheme="minorHAnsi" w:hAnsiTheme="minorHAnsi"/>
          <w:lang w:val="en-GB"/>
        </w:rPr>
        <w:t xml:space="preserve">. </w:t>
      </w:r>
      <w:hyperlink r:id="rId39" w:history="1">
        <w:r w:rsidRPr="000B7B8D">
          <w:rPr>
            <w:rStyle w:val="Hyperlink"/>
            <w:rFonts w:asciiTheme="minorHAnsi" w:hAnsiTheme="minorHAnsi"/>
            <w:lang w:val="en-GB"/>
          </w:rPr>
          <w:t>http://www.euflegt.efi.int/es/publications/feasibility-analysis-of-the-incorporation-of-timber-legality-requirements-0</w:t>
        </w:r>
      </w:hyperlink>
      <w:r w:rsidRPr="000B7B8D">
        <w:rPr>
          <w:rFonts w:asciiTheme="minorHAnsi" w:hAnsiTheme="minorHAnsi"/>
          <w:lang w:val="en-GB"/>
        </w:rPr>
        <w:t>.</w:t>
      </w:r>
    </w:p>
    <w:p w14:paraId="6B6CF86D" w14:textId="63D75B5F" w:rsidR="00412E97" w:rsidRPr="000B7B8D" w:rsidRDefault="00412E97" w:rsidP="005D60E1">
      <w:pPr>
        <w:pStyle w:val="BodyTextHanging"/>
        <w:jc w:val="both"/>
        <w:rPr>
          <w:rFonts w:asciiTheme="minorHAnsi" w:hAnsiTheme="minorHAnsi"/>
          <w:lang w:val="en-GB"/>
        </w:rPr>
      </w:pPr>
      <w:r w:rsidRPr="000B7B8D">
        <w:rPr>
          <w:rFonts w:asciiTheme="minorHAnsi" w:hAnsiTheme="minorHAnsi"/>
          <w:lang w:val="en-GB"/>
        </w:rPr>
        <w:t>European Commission (2003)</w:t>
      </w:r>
      <w:r w:rsidR="005D60E1" w:rsidRPr="000B7B8D">
        <w:rPr>
          <w:rFonts w:asciiTheme="minorHAnsi" w:hAnsiTheme="minorHAnsi"/>
          <w:lang w:val="en-GB"/>
        </w:rPr>
        <w:t xml:space="preserve"> </w:t>
      </w:r>
      <w:r w:rsidR="00CB4BA2" w:rsidRPr="000B7B8D">
        <w:rPr>
          <w:rFonts w:asciiTheme="minorHAnsi" w:hAnsiTheme="minorHAnsi"/>
          <w:i/>
          <w:lang w:val="en-GB"/>
        </w:rPr>
        <w:t>Forest Law Enforcement</w:t>
      </w:r>
      <w:r w:rsidR="005D60E1" w:rsidRPr="000B7B8D">
        <w:rPr>
          <w:rFonts w:asciiTheme="minorHAnsi" w:hAnsiTheme="minorHAnsi"/>
          <w:i/>
          <w:lang w:val="en-GB"/>
        </w:rPr>
        <w:t xml:space="preserve"> Governance and Trade (FLEGT): Proposal for an EU Action Plan</w:t>
      </w:r>
      <w:r w:rsidR="005D60E1" w:rsidRPr="000B7B8D">
        <w:rPr>
          <w:rFonts w:asciiTheme="minorHAnsi" w:hAnsiTheme="minorHAnsi"/>
          <w:lang w:val="en-GB"/>
        </w:rPr>
        <w:t>, COM (2003) 251 final, Brussels, 21 May.</w:t>
      </w:r>
    </w:p>
    <w:p w14:paraId="5DD0C64B" w14:textId="46F8CCBE" w:rsidR="00206764" w:rsidRPr="000B7B8D" w:rsidRDefault="00206764" w:rsidP="008A0992">
      <w:pPr>
        <w:pStyle w:val="BodyTextHanging"/>
        <w:jc w:val="both"/>
        <w:rPr>
          <w:rFonts w:asciiTheme="minorHAnsi" w:hAnsiTheme="minorHAnsi"/>
          <w:lang w:val="en-GB"/>
        </w:rPr>
      </w:pPr>
      <w:r w:rsidRPr="000B7B8D">
        <w:rPr>
          <w:rFonts w:asciiTheme="minorHAnsi" w:hAnsiTheme="minorHAnsi"/>
          <w:lang w:val="en-GB"/>
        </w:rPr>
        <w:t>European Commission (2012)</w:t>
      </w:r>
      <w:r w:rsidR="00B00331" w:rsidRPr="000B7B8D">
        <w:rPr>
          <w:rFonts w:asciiTheme="minorHAnsi" w:hAnsiTheme="minorHAnsi"/>
          <w:lang w:val="en-GB"/>
        </w:rPr>
        <w:t xml:space="preserve"> Commission Implementing Regulation (EU) No 667/2012 on the Detailed Rules Concerning the Due Diligence System and the Frequency and Nature of the Checks on Monitoring Organisations as Provided for in Regulation (EU) No 995/2010 of the European Parliament and the Council Laying Down the Obligations of Operators Who Place Timber and Timber Products on the Market. </w:t>
      </w:r>
      <w:r w:rsidR="00B00331" w:rsidRPr="000B7B8D">
        <w:rPr>
          <w:rFonts w:asciiTheme="minorHAnsi" w:hAnsiTheme="minorHAnsi"/>
          <w:i/>
          <w:lang w:val="en-GB"/>
        </w:rPr>
        <w:t>Official Journal of the EU</w:t>
      </w:r>
      <w:r w:rsidR="00B00331" w:rsidRPr="000B7B8D">
        <w:rPr>
          <w:rFonts w:asciiTheme="minorHAnsi" w:hAnsiTheme="minorHAnsi"/>
          <w:lang w:val="en-GB"/>
        </w:rPr>
        <w:t xml:space="preserve"> L. 177/16, 7 July.</w:t>
      </w:r>
      <w:r w:rsidR="00E26A70" w:rsidRPr="000B7B8D">
        <w:rPr>
          <w:rFonts w:asciiTheme="minorHAnsi" w:hAnsiTheme="minorHAnsi"/>
          <w:lang w:val="en-GB"/>
        </w:rPr>
        <w:t xml:space="preserve"> </w:t>
      </w:r>
      <w:r w:rsidR="00B00331" w:rsidRPr="000B7B8D">
        <w:rPr>
          <w:rFonts w:asciiTheme="minorHAnsi" w:hAnsiTheme="minorHAnsi"/>
          <w:lang w:val="en-GB"/>
        </w:rPr>
        <w:t xml:space="preserve"> </w:t>
      </w:r>
    </w:p>
    <w:p w14:paraId="7DBC2FC5" w14:textId="47CC444F" w:rsidR="00412E97" w:rsidRPr="000B7B8D" w:rsidRDefault="00412E97" w:rsidP="008A0992">
      <w:pPr>
        <w:pStyle w:val="BodyTextHanging"/>
        <w:jc w:val="both"/>
        <w:rPr>
          <w:rFonts w:asciiTheme="minorHAnsi" w:hAnsiTheme="minorHAnsi"/>
          <w:lang w:val="en-GB"/>
        </w:rPr>
      </w:pPr>
      <w:r w:rsidRPr="000B7B8D">
        <w:rPr>
          <w:rFonts w:asciiTheme="minorHAnsi" w:hAnsiTheme="minorHAnsi"/>
          <w:lang w:val="en-GB"/>
        </w:rPr>
        <w:t>European Commission (2016a)</w:t>
      </w:r>
      <w:r w:rsidR="00CB4BA2" w:rsidRPr="000B7B8D">
        <w:rPr>
          <w:rFonts w:asciiTheme="minorHAnsi" w:hAnsiTheme="minorHAnsi"/>
          <w:lang w:val="en-GB"/>
        </w:rPr>
        <w:t xml:space="preserve"> </w:t>
      </w:r>
      <w:r w:rsidR="00CB4BA2" w:rsidRPr="000B7B8D">
        <w:rPr>
          <w:rFonts w:asciiTheme="minorHAnsi" w:hAnsiTheme="minorHAnsi"/>
          <w:i/>
          <w:lang w:val="en-GB"/>
        </w:rPr>
        <w:t>Evaluation of the EU Action Plan for Forest Law Enforcement Governance and Trade (FLEGT).</w:t>
      </w:r>
      <w:r w:rsidR="00CB4BA2" w:rsidRPr="000B7B8D">
        <w:rPr>
          <w:rFonts w:asciiTheme="minorHAnsi" w:hAnsiTheme="minorHAnsi"/>
          <w:lang w:val="en-GB"/>
        </w:rPr>
        <w:t xml:space="preserve"> SWD(2016) 276, Brussels, 2 August.</w:t>
      </w:r>
    </w:p>
    <w:p w14:paraId="0FCBF21F" w14:textId="6C8FE4AB" w:rsidR="000B7B8D" w:rsidRDefault="005A12F2" w:rsidP="000B7B8D">
      <w:pPr>
        <w:pStyle w:val="BodyTextHanging"/>
        <w:jc w:val="both"/>
        <w:rPr>
          <w:rFonts w:asciiTheme="minorHAnsi" w:hAnsiTheme="minorHAnsi"/>
          <w:lang w:val="en-GB"/>
        </w:rPr>
      </w:pPr>
      <w:r w:rsidRPr="000B7B8D">
        <w:rPr>
          <w:rFonts w:asciiTheme="minorHAnsi" w:hAnsiTheme="minorHAnsi"/>
          <w:lang w:val="en-GB"/>
        </w:rPr>
        <w:t>European Commission (2016b)</w:t>
      </w:r>
      <w:r w:rsidR="00DE6206" w:rsidRPr="000B7B8D">
        <w:rPr>
          <w:rFonts w:asciiTheme="minorHAnsi" w:hAnsiTheme="minorHAnsi"/>
          <w:lang w:val="en-GB"/>
        </w:rPr>
        <w:t xml:space="preserve"> </w:t>
      </w:r>
      <w:r w:rsidR="00DE6206" w:rsidRPr="000B7B8D">
        <w:rPr>
          <w:rFonts w:asciiTheme="minorHAnsi" w:hAnsiTheme="minorHAnsi"/>
          <w:i/>
          <w:lang w:val="en-GB"/>
        </w:rPr>
        <w:t>Trade Sustainability Impact Assessment of the Free Trade Agreement between the European Union and Japan</w:t>
      </w:r>
      <w:r w:rsidR="00A70A00" w:rsidRPr="000B7B8D">
        <w:rPr>
          <w:rFonts w:asciiTheme="minorHAnsi" w:hAnsiTheme="minorHAnsi"/>
          <w:i/>
          <w:lang w:val="en-GB"/>
        </w:rPr>
        <w:t xml:space="preserve">. </w:t>
      </w:r>
      <w:r w:rsidR="00A70A00" w:rsidRPr="000B7B8D">
        <w:rPr>
          <w:rFonts w:asciiTheme="minorHAnsi" w:hAnsiTheme="minorHAnsi"/>
          <w:lang w:val="en-GB"/>
        </w:rPr>
        <w:t xml:space="preserve">Publications Office of the EU, Luxembourg, </w:t>
      </w:r>
      <w:hyperlink r:id="rId40" w:history="1">
        <w:r w:rsidR="000B7B8D" w:rsidRPr="00E57AD5">
          <w:rPr>
            <w:rStyle w:val="Hyperlink"/>
            <w:rFonts w:asciiTheme="minorHAnsi" w:hAnsiTheme="minorHAnsi"/>
            <w:lang w:val="en-GB"/>
          </w:rPr>
          <w:t>https://ec.europa.eu/chafea/agri/content/trade-sustainability-impact-assessment-free-trade-agreement-between-european-union-and-japan</w:t>
        </w:r>
      </w:hyperlink>
      <w:r w:rsidR="000B7B8D">
        <w:rPr>
          <w:rFonts w:asciiTheme="minorHAnsi" w:hAnsiTheme="minorHAnsi"/>
          <w:lang w:val="en-GB"/>
        </w:rPr>
        <w:t>.</w:t>
      </w:r>
    </w:p>
    <w:p w14:paraId="7CD17255" w14:textId="7B1F0A0C" w:rsidR="005A12F2" w:rsidRPr="000B7B8D" w:rsidRDefault="005A12F2" w:rsidP="008A0992">
      <w:pPr>
        <w:pStyle w:val="BodyTextHanging"/>
        <w:jc w:val="both"/>
        <w:rPr>
          <w:rFonts w:asciiTheme="minorHAnsi" w:hAnsiTheme="minorHAnsi"/>
        </w:rPr>
      </w:pPr>
      <w:r w:rsidRPr="000B7B8D">
        <w:rPr>
          <w:rFonts w:asciiTheme="minorHAnsi" w:hAnsiTheme="minorHAnsi"/>
          <w:lang w:val="en-GB"/>
        </w:rPr>
        <w:t>European Commission (2016c)</w:t>
      </w:r>
      <w:r w:rsidR="004970C8" w:rsidRPr="000B7B8D">
        <w:rPr>
          <w:rFonts w:asciiTheme="minorHAnsi" w:hAnsiTheme="minorHAnsi"/>
          <w:lang w:val="en-GB"/>
        </w:rPr>
        <w:t xml:space="preserve"> </w:t>
      </w:r>
      <w:r w:rsidR="004970C8" w:rsidRPr="000B7B8D">
        <w:rPr>
          <w:rFonts w:asciiTheme="minorHAnsi" w:hAnsiTheme="minorHAnsi"/>
          <w:i/>
        </w:rPr>
        <w:t>Guidance Document for the EU Timber Regulation</w:t>
      </w:r>
      <w:r w:rsidR="004970C8" w:rsidRPr="000B7B8D">
        <w:rPr>
          <w:rFonts w:asciiTheme="minorHAnsi" w:hAnsiTheme="minorHAnsi"/>
        </w:rPr>
        <w:t>. C(2016) 755 final, Brussels, 12 February.</w:t>
      </w:r>
    </w:p>
    <w:p w14:paraId="0681D32D" w14:textId="42C7B9DF" w:rsidR="00AF0FCF" w:rsidRPr="000B7B8D" w:rsidRDefault="00AF0FCF" w:rsidP="008A0992">
      <w:pPr>
        <w:pStyle w:val="BodyTextHanging"/>
        <w:jc w:val="both"/>
        <w:rPr>
          <w:rFonts w:asciiTheme="minorHAnsi" w:hAnsiTheme="minorHAnsi"/>
          <w:lang w:val="en-GB"/>
        </w:rPr>
      </w:pPr>
      <w:r w:rsidRPr="000B7B8D">
        <w:rPr>
          <w:rFonts w:asciiTheme="minorHAnsi" w:hAnsiTheme="minorHAnsi"/>
        </w:rPr>
        <w:t xml:space="preserve">European Commission (2016d) </w:t>
      </w:r>
      <w:r w:rsidR="00013AAC" w:rsidRPr="000B7B8D">
        <w:rPr>
          <w:rFonts w:asciiTheme="minorHAnsi" w:hAnsiTheme="minorHAnsi"/>
          <w:i/>
          <w:iCs/>
          <w:lang w:val="en-GB"/>
        </w:rPr>
        <w:t>Evaluation of Regulation (EU) No 995/2010 of European Parliament and of the Council of 20 October 2010 laying down the obligations of operators who place timber and timber products on the market (the EU Timber Regulation)</w:t>
      </w:r>
      <w:r w:rsidR="00013AAC" w:rsidRPr="000B7B8D">
        <w:rPr>
          <w:rFonts w:asciiTheme="minorHAnsi" w:hAnsiTheme="minorHAnsi"/>
          <w:lang w:val="en-GB"/>
        </w:rPr>
        <w:t>. SWD(2016) 34 final, Brussels, 18 February.</w:t>
      </w:r>
    </w:p>
    <w:p w14:paraId="19FD2A00" w14:textId="54FD36D3" w:rsidR="00013AAC" w:rsidRPr="000B7B8D" w:rsidRDefault="00013AAC" w:rsidP="00013AAC">
      <w:pPr>
        <w:pStyle w:val="BodyTextHanging"/>
        <w:jc w:val="both"/>
        <w:rPr>
          <w:rFonts w:asciiTheme="minorHAnsi" w:hAnsiTheme="minorHAnsi"/>
          <w:lang w:val="en-GB"/>
        </w:rPr>
      </w:pPr>
      <w:r w:rsidRPr="000B7B8D">
        <w:rPr>
          <w:rFonts w:asciiTheme="minorHAnsi" w:hAnsiTheme="minorHAnsi"/>
          <w:lang w:val="en-GB"/>
        </w:rPr>
        <w:t>European Commission (2018a)</w:t>
      </w:r>
      <w:r w:rsidR="006B09D7" w:rsidRPr="000B7B8D">
        <w:rPr>
          <w:rFonts w:asciiTheme="minorHAnsi" w:hAnsiTheme="minorHAnsi"/>
          <w:lang w:val="en-GB"/>
        </w:rPr>
        <w:t xml:space="preserve"> </w:t>
      </w:r>
      <w:r w:rsidR="006B09D7" w:rsidRPr="000B7B8D">
        <w:rPr>
          <w:rFonts w:asciiTheme="minorHAnsi" w:hAnsiTheme="minorHAnsi"/>
          <w:i/>
          <w:lang w:val="en-GB"/>
        </w:rPr>
        <w:t>Guidance Document on Steps to Be Taken by EU Member States in the Case of Doubts as to the Legality of Timber from CITES-listed Species Imported into the EU</w:t>
      </w:r>
      <w:r w:rsidR="000B7B8D">
        <w:rPr>
          <w:rFonts w:asciiTheme="minorHAnsi" w:hAnsiTheme="minorHAnsi"/>
          <w:lang w:val="en-GB"/>
        </w:rPr>
        <w:t>, 2018/C 376/01. 18 October,</w:t>
      </w:r>
      <w:r w:rsidR="006B09D7" w:rsidRPr="000B7B8D">
        <w:rPr>
          <w:rFonts w:asciiTheme="minorHAnsi" w:hAnsiTheme="minorHAnsi"/>
          <w:lang w:val="en-GB"/>
        </w:rPr>
        <w:t xml:space="preserve"> </w:t>
      </w:r>
      <w:hyperlink r:id="rId41" w:history="1">
        <w:r w:rsidR="000B7B8D" w:rsidRPr="00E57AD5">
          <w:rPr>
            <w:rStyle w:val="Hyperlink"/>
            <w:rFonts w:asciiTheme="minorHAnsi" w:hAnsiTheme="minorHAnsi"/>
            <w:lang w:val="en-GB"/>
          </w:rPr>
          <w:t>https://eur-lex.europa.eu/legal-content/EN/TXT/?uri=CELEX:52018XC1018(01)</w:t>
        </w:r>
      </w:hyperlink>
      <w:r w:rsidR="000B7B8D">
        <w:rPr>
          <w:rFonts w:asciiTheme="minorHAnsi" w:hAnsiTheme="minorHAnsi"/>
          <w:lang w:val="en-GB"/>
        </w:rPr>
        <w:t xml:space="preserve">.  </w:t>
      </w:r>
    </w:p>
    <w:p w14:paraId="5CDE05FD" w14:textId="69367EAD" w:rsidR="00FC1006" w:rsidRPr="000B7B8D" w:rsidRDefault="00013AAC" w:rsidP="008A0992">
      <w:pPr>
        <w:pStyle w:val="BodyTextHanging"/>
        <w:jc w:val="both"/>
        <w:rPr>
          <w:rFonts w:asciiTheme="minorHAnsi" w:hAnsiTheme="minorHAnsi"/>
          <w:lang w:val="en-GB"/>
        </w:rPr>
      </w:pPr>
      <w:r w:rsidRPr="000B7B8D">
        <w:rPr>
          <w:rFonts w:asciiTheme="minorHAnsi" w:hAnsiTheme="minorHAnsi"/>
          <w:lang w:val="en-GB"/>
        </w:rPr>
        <w:t>European Commission (2018b</w:t>
      </w:r>
      <w:r w:rsidR="00FC1006" w:rsidRPr="000B7B8D">
        <w:rPr>
          <w:rFonts w:asciiTheme="minorHAnsi" w:hAnsiTheme="minorHAnsi"/>
          <w:lang w:val="en-GB"/>
        </w:rPr>
        <w:t xml:space="preserve">) </w:t>
      </w:r>
      <w:r w:rsidR="00FC1006" w:rsidRPr="000B7B8D">
        <w:rPr>
          <w:rFonts w:asciiTheme="minorHAnsi" w:hAnsiTheme="minorHAnsi"/>
          <w:i/>
          <w:lang w:val="en-GB"/>
        </w:rPr>
        <w:t>EU Timber Regulation Biennial Report for the Period March 2015-February 2017</w:t>
      </w:r>
      <w:r w:rsidR="00FC1006" w:rsidRPr="000B7B8D">
        <w:rPr>
          <w:rFonts w:asciiTheme="minorHAnsi" w:hAnsiTheme="minorHAnsi"/>
          <w:lang w:val="en-GB"/>
        </w:rPr>
        <w:t>. COM(2018) 668 final, Brussels, 5 October.</w:t>
      </w:r>
    </w:p>
    <w:p w14:paraId="0EA8C7EE" w14:textId="0BD68846" w:rsidR="00412E97" w:rsidRPr="000B7B8D" w:rsidRDefault="00412E97" w:rsidP="008A0992">
      <w:pPr>
        <w:pStyle w:val="BodyTextHanging"/>
        <w:jc w:val="both"/>
        <w:rPr>
          <w:rFonts w:asciiTheme="minorHAnsi" w:hAnsiTheme="minorHAnsi"/>
          <w:lang w:val="en-GB"/>
        </w:rPr>
      </w:pPr>
      <w:r w:rsidRPr="000B7B8D">
        <w:rPr>
          <w:rFonts w:asciiTheme="minorHAnsi" w:hAnsiTheme="minorHAnsi"/>
          <w:lang w:val="en-GB"/>
        </w:rPr>
        <w:lastRenderedPageBreak/>
        <w:t>European Commission FLEGT Ad Hoc Expert Group (2018)</w:t>
      </w:r>
      <w:r w:rsidR="00782467" w:rsidRPr="000B7B8D">
        <w:rPr>
          <w:rFonts w:asciiTheme="minorHAnsi" w:hAnsiTheme="minorHAnsi"/>
          <w:lang w:val="en-GB"/>
        </w:rPr>
        <w:t xml:space="preserve"> </w:t>
      </w:r>
      <w:r w:rsidR="00782467" w:rsidRPr="000B7B8D">
        <w:rPr>
          <w:rFonts w:asciiTheme="minorHAnsi" w:hAnsiTheme="minorHAnsi"/>
          <w:i/>
          <w:lang w:val="en-GB"/>
        </w:rPr>
        <w:t>Work Plan 2018-2022 for the Implementation of the Forest Law Enforcement, Governance and Trade Action Plan</w:t>
      </w:r>
      <w:r w:rsidR="00F36475">
        <w:rPr>
          <w:rFonts w:asciiTheme="minorHAnsi" w:hAnsiTheme="minorHAnsi"/>
          <w:lang w:val="en-GB"/>
        </w:rPr>
        <w:t>,</w:t>
      </w:r>
      <w:r w:rsidR="00782467" w:rsidRPr="000B7B8D">
        <w:rPr>
          <w:rFonts w:asciiTheme="minorHAnsi" w:hAnsiTheme="minorHAnsi"/>
          <w:lang w:val="en-GB"/>
        </w:rPr>
        <w:t xml:space="preserve"> </w:t>
      </w:r>
      <w:hyperlink r:id="rId42" w:history="1">
        <w:r w:rsidR="00D56022" w:rsidRPr="00E57AD5">
          <w:rPr>
            <w:rStyle w:val="Hyperlink"/>
            <w:rFonts w:asciiTheme="minorHAnsi" w:hAnsiTheme="minorHAnsi"/>
            <w:lang w:val="en-GB"/>
          </w:rPr>
          <w:t>http://ec.europa.eu/transparency/regexpert/index.cfm?do=groupDetail.groupMeetingDoc&amp;docid=19708</w:t>
        </w:r>
      </w:hyperlink>
      <w:r w:rsidR="00782467" w:rsidRPr="000B7B8D">
        <w:rPr>
          <w:rFonts w:asciiTheme="minorHAnsi" w:hAnsiTheme="minorHAnsi"/>
          <w:lang w:val="en-GB"/>
        </w:rPr>
        <w:t>.</w:t>
      </w:r>
    </w:p>
    <w:p w14:paraId="323063E6" w14:textId="18000BA6" w:rsidR="00412E97" w:rsidRPr="000B7B8D" w:rsidRDefault="00782467" w:rsidP="00782467">
      <w:pPr>
        <w:pStyle w:val="BodyTextHanging"/>
        <w:jc w:val="both"/>
        <w:rPr>
          <w:rFonts w:asciiTheme="minorHAnsi" w:hAnsiTheme="minorHAnsi"/>
          <w:lang w:val="en-GB"/>
        </w:rPr>
      </w:pPr>
      <w:r w:rsidRPr="000B7B8D">
        <w:rPr>
          <w:rFonts w:asciiTheme="minorHAnsi" w:hAnsiTheme="minorHAnsi"/>
          <w:lang w:val="en-GB"/>
        </w:rPr>
        <w:t xml:space="preserve">European Court of Auditors (2015) </w:t>
      </w:r>
      <w:r w:rsidRPr="000B7B8D">
        <w:rPr>
          <w:rFonts w:asciiTheme="minorHAnsi" w:hAnsiTheme="minorHAnsi"/>
          <w:i/>
          <w:lang w:val="en-GB"/>
        </w:rPr>
        <w:t>Special Report No 13/2015: EU Support to Timber-producing Countries under the FLEGT Action Plan</w:t>
      </w:r>
      <w:r w:rsidRPr="000B7B8D">
        <w:rPr>
          <w:rFonts w:asciiTheme="minorHAnsi" w:hAnsiTheme="minorHAnsi"/>
          <w:lang w:val="en-GB"/>
        </w:rPr>
        <w:t xml:space="preserve">. </w:t>
      </w:r>
      <w:hyperlink r:id="rId43" w:history="1">
        <w:r w:rsidR="00D56022" w:rsidRPr="00E57AD5">
          <w:rPr>
            <w:rStyle w:val="Hyperlink"/>
            <w:rFonts w:asciiTheme="minorHAnsi" w:hAnsiTheme="minorHAnsi"/>
            <w:lang w:val="en-GB"/>
          </w:rPr>
          <w:t>http://www.eca.europa.eu/en/Pages/DocItem.aspx?did=33292</w:t>
        </w:r>
      </w:hyperlink>
      <w:r w:rsidR="00D56022">
        <w:rPr>
          <w:rFonts w:asciiTheme="minorHAnsi" w:hAnsiTheme="minorHAnsi"/>
          <w:lang w:val="en-GB"/>
        </w:rPr>
        <w:t>.</w:t>
      </w:r>
    </w:p>
    <w:p w14:paraId="619A2F1B" w14:textId="54CBAC7B" w:rsidR="005A12F2" w:rsidRPr="000B7B8D" w:rsidRDefault="005A12F2" w:rsidP="008A0992">
      <w:pPr>
        <w:pStyle w:val="BodyTextHanging"/>
        <w:jc w:val="both"/>
        <w:rPr>
          <w:rFonts w:asciiTheme="minorHAnsi" w:hAnsiTheme="minorHAnsi"/>
          <w:lang w:val="en-GB"/>
        </w:rPr>
      </w:pPr>
      <w:r w:rsidRPr="000B7B8D">
        <w:rPr>
          <w:rFonts w:asciiTheme="minorHAnsi" w:hAnsiTheme="minorHAnsi"/>
          <w:lang w:val="en-GB"/>
        </w:rPr>
        <w:t>EUTR/FLEGT Expert Group</w:t>
      </w:r>
      <w:r w:rsidR="001D5B12" w:rsidRPr="000B7B8D">
        <w:rPr>
          <w:rFonts w:asciiTheme="minorHAnsi" w:hAnsiTheme="minorHAnsi"/>
          <w:lang w:val="en-GB"/>
        </w:rPr>
        <w:t xml:space="preserve"> </w:t>
      </w:r>
      <w:r w:rsidR="00206764" w:rsidRPr="000B7B8D">
        <w:rPr>
          <w:rFonts w:asciiTheme="minorHAnsi" w:hAnsiTheme="minorHAnsi"/>
          <w:lang w:val="en-GB"/>
        </w:rPr>
        <w:t xml:space="preserve">(2017) </w:t>
      </w:r>
      <w:r w:rsidR="00206764" w:rsidRPr="000B7B8D">
        <w:rPr>
          <w:rFonts w:asciiTheme="minorHAnsi" w:hAnsiTheme="minorHAnsi"/>
          <w:i/>
          <w:lang w:val="en-GB"/>
        </w:rPr>
        <w:t xml:space="preserve">Guidance Document - </w:t>
      </w:r>
      <w:r w:rsidRPr="000B7B8D">
        <w:rPr>
          <w:rFonts w:asciiTheme="minorHAnsi" w:hAnsiTheme="minorHAnsi"/>
          <w:i/>
          <w:lang w:val="en-GB"/>
        </w:rPr>
        <w:t>Substantiated Concerns</w:t>
      </w:r>
      <w:r w:rsidR="00206764" w:rsidRPr="000B7B8D">
        <w:rPr>
          <w:rFonts w:asciiTheme="minorHAnsi" w:hAnsiTheme="minorHAnsi"/>
          <w:lang w:val="en-GB"/>
        </w:rPr>
        <w:t xml:space="preserve">. </w:t>
      </w:r>
      <w:hyperlink r:id="rId44" w:history="1">
        <w:r w:rsidR="00D56022" w:rsidRPr="00E57AD5">
          <w:rPr>
            <w:rStyle w:val="Hyperlink"/>
            <w:rFonts w:asciiTheme="minorHAnsi" w:hAnsiTheme="minorHAnsi"/>
            <w:lang w:val="en-GB"/>
          </w:rPr>
          <w:t>http://ec.europa.eu/transparency/regexpert/index.cfm?do=groupDetail.groupMeetingDoc&amp;docid=8851</w:t>
        </w:r>
      </w:hyperlink>
      <w:r w:rsidR="00206764" w:rsidRPr="000B7B8D">
        <w:rPr>
          <w:rFonts w:asciiTheme="minorHAnsi" w:hAnsiTheme="minorHAnsi"/>
          <w:lang w:val="en-GB"/>
        </w:rPr>
        <w:t>.</w:t>
      </w:r>
    </w:p>
    <w:p w14:paraId="4C0AD1B9" w14:textId="4DE7316E" w:rsidR="005A12F2" w:rsidRPr="000B7B8D" w:rsidRDefault="005A12F2" w:rsidP="008A0992">
      <w:pPr>
        <w:pStyle w:val="BodyTextHanging"/>
        <w:jc w:val="both"/>
        <w:rPr>
          <w:rFonts w:asciiTheme="minorHAnsi" w:hAnsiTheme="minorHAnsi"/>
          <w:lang w:val="en-GB"/>
        </w:rPr>
      </w:pPr>
      <w:r w:rsidRPr="000B7B8D">
        <w:rPr>
          <w:rFonts w:asciiTheme="minorHAnsi" w:hAnsiTheme="minorHAnsi"/>
          <w:lang w:val="en-GB"/>
        </w:rPr>
        <w:t>EUTR/FLEGT Expert Group (2018)</w:t>
      </w:r>
      <w:r w:rsidR="00E26A70" w:rsidRPr="000B7B8D">
        <w:rPr>
          <w:rFonts w:asciiTheme="minorHAnsi" w:hAnsiTheme="minorHAnsi"/>
          <w:lang w:val="en-GB"/>
        </w:rPr>
        <w:t xml:space="preserve"> </w:t>
      </w:r>
      <w:r w:rsidR="00E26A70" w:rsidRPr="000B7B8D">
        <w:rPr>
          <w:rFonts w:asciiTheme="minorHAnsi" w:hAnsiTheme="minorHAnsi"/>
          <w:i/>
        </w:rPr>
        <w:t>The Role of Third-Party Verification Schemes in Risk Assessment and Risk Mitigation</w:t>
      </w:r>
      <w:r w:rsidR="00E26A70" w:rsidRPr="000B7B8D">
        <w:rPr>
          <w:rFonts w:asciiTheme="minorHAnsi" w:hAnsiTheme="minorHAnsi"/>
        </w:rPr>
        <w:t>. draft guidance document,</w:t>
      </w:r>
      <w:r w:rsidR="00D56022">
        <w:rPr>
          <w:rFonts w:asciiTheme="minorHAnsi" w:hAnsiTheme="minorHAnsi"/>
        </w:rPr>
        <w:t xml:space="preserve"> </w:t>
      </w:r>
      <w:hyperlink r:id="rId45" w:history="1">
        <w:r w:rsidR="00D56022" w:rsidRPr="00E57AD5">
          <w:rPr>
            <w:rStyle w:val="Hyperlink"/>
            <w:rFonts w:asciiTheme="minorHAnsi" w:hAnsiTheme="minorHAnsi"/>
          </w:rPr>
          <w:t>http://ec.europa.eu/transparency/regexpert/index.cfm?do=groupDetail.groupMeetingDoc&amp;docid=13316</w:t>
        </w:r>
      </w:hyperlink>
      <w:r w:rsidR="00D56022">
        <w:rPr>
          <w:rFonts w:asciiTheme="minorHAnsi" w:hAnsiTheme="minorHAnsi"/>
        </w:rPr>
        <w:t xml:space="preserve"> </w:t>
      </w:r>
      <w:r w:rsidR="00E26A70" w:rsidRPr="000B7B8D">
        <w:rPr>
          <w:rFonts w:asciiTheme="minorHAnsi" w:hAnsiTheme="minorHAnsi"/>
        </w:rPr>
        <w:t>.</w:t>
      </w:r>
    </w:p>
    <w:p w14:paraId="361C9845" w14:textId="7EA6D6E1" w:rsidR="004970C8" w:rsidRPr="003A270A" w:rsidRDefault="004970C8" w:rsidP="004970C8">
      <w:pPr>
        <w:pStyle w:val="BodyTextHanging"/>
        <w:jc w:val="both"/>
        <w:rPr>
          <w:rFonts w:asciiTheme="minorHAnsi" w:hAnsiTheme="minorHAnsi"/>
          <w:lang w:val="en-GB"/>
        </w:rPr>
      </w:pPr>
      <w:r w:rsidRPr="000B7B8D">
        <w:rPr>
          <w:rFonts w:asciiTheme="minorHAnsi" w:hAnsiTheme="minorHAnsi"/>
          <w:lang w:val="en-GB"/>
        </w:rPr>
        <w:t xml:space="preserve">FAO-UNECE (2017) </w:t>
      </w:r>
      <w:r w:rsidRPr="000B7B8D">
        <w:rPr>
          <w:rFonts w:asciiTheme="minorHAnsi" w:hAnsiTheme="minorHAnsi"/>
          <w:i/>
          <w:lang w:val="en-GB"/>
        </w:rPr>
        <w:t>Forest Products Annual Market Review 2016-2017</w:t>
      </w:r>
      <w:r w:rsidR="003A270A">
        <w:rPr>
          <w:rFonts w:asciiTheme="minorHAnsi" w:hAnsiTheme="minorHAnsi"/>
          <w:i/>
          <w:lang w:val="en-GB"/>
        </w:rPr>
        <w:t xml:space="preserve">, </w:t>
      </w:r>
      <w:r w:rsidR="003A270A" w:rsidRPr="003A270A">
        <w:rPr>
          <w:rFonts w:asciiTheme="minorHAnsi" w:hAnsiTheme="minorHAnsi"/>
          <w:lang w:val="en-GB"/>
        </w:rPr>
        <w:t>https://www.unece.org/forests/fpamr2017.html.</w:t>
      </w:r>
    </w:p>
    <w:p w14:paraId="020A5009" w14:textId="220B6C62" w:rsidR="004970C8" w:rsidRPr="000B7B8D" w:rsidRDefault="004970C8" w:rsidP="004970C8">
      <w:pPr>
        <w:pStyle w:val="BodyTextHanging"/>
        <w:jc w:val="both"/>
        <w:rPr>
          <w:rFonts w:asciiTheme="minorHAnsi" w:hAnsiTheme="minorHAnsi"/>
          <w:lang w:val="en-GB"/>
        </w:rPr>
      </w:pPr>
      <w:r w:rsidRPr="000B7B8D">
        <w:rPr>
          <w:rFonts w:asciiTheme="minorHAnsi" w:hAnsiTheme="minorHAnsi"/>
          <w:lang w:val="en-GB"/>
        </w:rPr>
        <w:t xml:space="preserve">FAO-UNECE (2018) </w:t>
      </w:r>
      <w:r w:rsidRPr="000B7B8D">
        <w:rPr>
          <w:rFonts w:asciiTheme="minorHAnsi" w:hAnsiTheme="minorHAnsi"/>
          <w:i/>
          <w:lang w:val="en-GB"/>
        </w:rPr>
        <w:t>Forest Products</w:t>
      </w:r>
      <w:r w:rsidR="003A270A">
        <w:rPr>
          <w:rFonts w:asciiTheme="minorHAnsi" w:hAnsiTheme="minorHAnsi"/>
          <w:i/>
          <w:lang w:val="en-GB"/>
        </w:rPr>
        <w:t xml:space="preserve"> Annual Market Review 2017-2018,</w:t>
      </w:r>
      <w:r w:rsidRPr="000B7B8D">
        <w:rPr>
          <w:rFonts w:asciiTheme="minorHAnsi" w:hAnsiTheme="minorHAnsi"/>
          <w:i/>
          <w:lang w:val="en-GB"/>
        </w:rPr>
        <w:t xml:space="preserve"> </w:t>
      </w:r>
      <w:r w:rsidR="003A270A" w:rsidRPr="003A270A">
        <w:rPr>
          <w:rFonts w:asciiTheme="minorHAnsi" w:hAnsiTheme="minorHAnsi"/>
          <w:lang w:val="en-GB"/>
        </w:rPr>
        <w:t>https://www.unece.org/forests/fpamr2018.html</w:t>
      </w:r>
      <w:r w:rsidR="003A270A">
        <w:rPr>
          <w:rFonts w:asciiTheme="minorHAnsi" w:hAnsiTheme="minorHAnsi"/>
          <w:lang w:val="en-GB"/>
        </w:rPr>
        <w:t>.</w:t>
      </w:r>
    </w:p>
    <w:p w14:paraId="765CCC98" w14:textId="27A79808" w:rsidR="00EA0CA4" w:rsidRPr="000B7B8D" w:rsidRDefault="00EA0CA4" w:rsidP="00EA0CA4">
      <w:pPr>
        <w:pStyle w:val="BodyTextHanging"/>
        <w:jc w:val="both"/>
        <w:rPr>
          <w:rFonts w:asciiTheme="minorHAnsi" w:hAnsiTheme="minorHAnsi"/>
          <w:lang w:val="en-GB"/>
        </w:rPr>
      </w:pPr>
      <w:r w:rsidRPr="000B7B8D">
        <w:rPr>
          <w:rFonts w:asciiTheme="minorHAnsi" w:hAnsiTheme="minorHAnsi"/>
          <w:lang w:val="en-GB"/>
        </w:rPr>
        <w:t xml:space="preserve">Fern (2016) </w:t>
      </w:r>
      <w:r w:rsidRPr="000B7B8D">
        <w:rPr>
          <w:rFonts w:asciiTheme="minorHAnsi" w:hAnsiTheme="minorHAnsi"/>
          <w:i/>
          <w:lang w:val="en-GB"/>
        </w:rPr>
        <w:t xml:space="preserve">Japan’s New Law Fails to Meet G7 Commitment to Halt Trade in Illegal Timber: Government Must Ensure Robust Regulations and Broad Industry Participation. </w:t>
      </w:r>
      <w:r w:rsidRPr="000B7B8D">
        <w:rPr>
          <w:rFonts w:asciiTheme="minorHAnsi" w:hAnsiTheme="minorHAnsi"/>
          <w:lang w:val="en-GB"/>
        </w:rPr>
        <w:t xml:space="preserve">25 May, </w:t>
      </w:r>
      <w:r w:rsidR="003A270A" w:rsidRPr="003A270A">
        <w:rPr>
          <w:rFonts w:asciiTheme="minorHAnsi" w:hAnsiTheme="minorHAnsi"/>
          <w:lang w:val="en-GB"/>
        </w:rPr>
        <w:t>https://www.fern.org/news-resources/japans-new-law-fails-to-meet-g7-commitment-to-halt-the-trade-in-illegal-timber-379/</w:t>
      </w:r>
      <w:r w:rsidRPr="000B7B8D">
        <w:rPr>
          <w:rFonts w:asciiTheme="minorHAnsi" w:hAnsiTheme="minorHAnsi"/>
          <w:lang w:val="en-GB"/>
        </w:rPr>
        <w:t>.</w:t>
      </w:r>
    </w:p>
    <w:p w14:paraId="7B8A48D9" w14:textId="60291163" w:rsidR="00412E97" w:rsidRPr="000B7B8D" w:rsidRDefault="00412E97" w:rsidP="008A0992">
      <w:pPr>
        <w:pStyle w:val="BodyTextHanging"/>
        <w:jc w:val="both"/>
        <w:rPr>
          <w:rFonts w:asciiTheme="minorHAnsi" w:hAnsiTheme="minorHAnsi"/>
          <w:lang w:val="en-GB"/>
        </w:rPr>
      </w:pPr>
      <w:r w:rsidRPr="000B7B8D">
        <w:rPr>
          <w:rFonts w:asciiTheme="minorHAnsi" w:hAnsiTheme="minorHAnsi"/>
          <w:lang w:val="en-GB"/>
        </w:rPr>
        <w:t>Fern (2018</w:t>
      </w:r>
      <w:r w:rsidR="0061173B" w:rsidRPr="000B7B8D">
        <w:rPr>
          <w:rFonts w:asciiTheme="minorHAnsi" w:hAnsiTheme="minorHAnsi"/>
          <w:lang w:val="en-GB"/>
        </w:rPr>
        <w:t>a</w:t>
      </w:r>
      <w:r w:rsidRPr="000B7B8D">
        <w:rPr>
          <w:rFonts w:asciiTheme="minorHAnsi" w:hAnsiTheme="minorHAnsi"/>
          <w:lang w:val="en-GB"/>
        </w:rPr>
        <w:t>)</w:t>
      </w:r>
      <w:r w:rsidR="0061173B" w:rsidRPr="000B7B8D">
        <w:rPr>
          <w:rFonts w:asciiTheme="minorHAnsi" w:hAnsiTheme="minorHAnsi"/>
          <w:lang w:val="en-GB"/>
        </w:rPr>
        <w:t xml:space="preserve"> </w:t>
      </w:r>
      <w:r w:rsidR="0061173B" w:rsidRPr="000B7B8D">
        <w:rPr>
          <w:rFonts w:asciiTheme="minorHAnsi" w:hAnsiTheme="minorHAnsi"/>
          <w:i/>
          <w:lang w:val="en-GB"/>
        </w:rPr>
        <w:t>Fern Annual Report January-December 2017</w:t>
      </w:r>
      <w:r w:rsidR="003A270A">
        <w:rPr>
          <w:rFonts w:asciiTheme="minorHAnsi" w:hAnsiTheme="minorHAnsi"/>
          <w:lang w:val="en-GB"/>
        </w:rPr>
        <w:t>,</w:t>
      </w:r>
      <w:r w:rsidR="0061173B" w:rsidRPr="000B7B8D">
        <w:rPr>
          <w:rFonts w:asciiTheme="minorHAnsi" w:hAnsiTheme="minorHAnsi"/>
          <w:lang w:val="en-GB"/>
        </w:rPr>
        <w:t xml:space="preserve"> </w:t>
      </w:r>
      <w:r w:rsidR="003A270A" w:rsidRPr="003A270A">
        <w:rPr>
          <w:rFonts w:asciiTheme="minorHAnsi" w:hAnsiTheme="minorHAnsi"/>
          <w:lang w:val="en-GB"/>
        </w:rPr>
        <w:t>https://www.fern.org/news-resources/annual-report-2017-77/</w:t>
      </w:r>
      <w:r w:rsidR="0061173B" w:rsidRPr="000B7B8D">
        <w:rPr>
          <w:rFonts w:asciiTheme="minorHAnsi" w:hAnsiTheme="minorHAnsi"/>
          <w:lang w:val="en-GB"/>
        </w:rPr>
        <w:t>.</w:t>
      </w:r>
    </w:p>
    <w:p w14:paraId="7133C3A7" w14:textId="03E87DC6" w:rsidR="00AA1F9F" w:rsidRPr="000B7B8D" w:rsidRDefault="00AA1F9F" w:rsidP="008A0992">
      <w:pPr>
        <w:pStyle w:val="BodyTextHanging"/>
        <w:jc w:val="both"/>
        <w:rPr>
          <w:rFonts w:asciiTheme="minorHAnsi" w:hAnsiTheme="minorHAnsi"/>
          <w:lang w:val="en-GB"/>
        </w:rPr>
      </w:pPr>
      <w:r w:rsidRPr="000B7B8D">
        <w:rPr>
          <w:rFonts w:asciiTheme="minorHAnsi" w:hAnsiTheme="minorHAnsi"/>
          <w:lang w:val="en-GB"/>
        </w:rPr>
        <w:t>Fern (2018b)</w:t>
      </w:r>
      <w:r w:rsidR="00681308" w:rsidRPr="000B7B8D">
        <w:rPr>
          <w:rFonts w:asciiTheme="minorHAnsi" w:hAnsiTheme="minorHAnsi"/>
          <w:lang w:val="en-GB"/>
        </w:rPr>
        <w:t xml:space="preserve"> </w:t>
      </w:r>
      <w:r w:rsidR="00681308" w:rsidRPr="000B7B8D">
        <w:rPr>
          <w:rFonts w:asciiTheme="minorHAnsi" w:hAnsiTheme="minorHAnsi"/>
          <w:i/>
          <w:lang w:val="en-GB"/>
        </w:rPr>
        <w:t>FLEGT VPA Update, December 2018</w:t>
      </w:r>
      <w:r w:rsidR="00C90E5E">
        <w:rPr>
          <w:rFonts w:asciiTheme="minorHAnsi" w:hAnsiTheme="minorHAnsi"/>
          <w:lang w:val="en-GB"/>
        </w:rPr>
        <w:t>,</w:t>
      </w:r>
      <w:r w:rsidR="00681308" w:rsidRPr="000B7B8D">
        <w:rPr>
          <w:rFonts w:asciiTheme="minorHAnsi" w:hAnsiTheme="minorHAnsi"/>
          <w:lang w:val="en-GB"/>
        </w:rPr>
        <w:t xml:space="preserve"> </w:t>
      </w:r>
      <w:hyperlink r:id="rId46" w:history="1">
        <w:r w:rsidR="00C90E5E" w:rsidRPr="00E57AD5">
          <w:rPr>
            <w:rStyle w:val="Hyperlink"/>
            <w:rFonts w:asciiTheme="minorHAnsi" w:hAnsiTheme="minorHAnsi"/>
            <w:lang w:val="en-GB"/>
          </w:rPr>
          <w:t>https://loggingoff.info/library/trade-agreements-and-transparency-under-construction-vpa-update-december-2018</w:t>
        </w:r>
      </w:hyperlink>
      <w:r w:rsidR="00C90E5E">
        <w:rPr>
          <w:rFonts w:asciiTheme="minorHAnsi" w:hAnsiTheme="minorHAnsi"/>
          <w:lang w:val="en-GB"/>
        </w:rPr>
        <w:t xml:space="preserve"> </w:t>
      </w:r>
      <w:r w:rsidR="00681308" w:rsidRPr="000B7B8D">
        <w:rPr>
          <w:rFonts w:asciiTheme="minorHAnsi" w:hAnsiTheme="minorHAnsi"/>
          <w:lang w:val="en-GB"/>
        </w:rPr>
        <w:t>.</w:t>
      </w:r>
    </w:p>
    <w:p w14:paraId="1FF1B38D" w14:textId="7B843F39" w:rsidR="00A70A00" w:rsidRPr="00C90E5E" w:rsidRDefault="00A70A00" w:rsidP="008A0992">
      <w:pPr>
        <w:pStyle w:val="BodyTextHanging"/>
        <w:jc w:val="both"/>
        <w:rPr>
          <w:rFonts w:asciiTheme="minorHAnsi" w:hAnsiTheme="minorHAnsi"/>
          <w:lang w:val="en-GB"/>
        </w:rPr>
      </w:pPr>
      <w:r w:rsidRPr="000B7B8D">
        <w:rPr>
          <w:rFonts w:asciiTheme="minorHAnsi" w:hAnsiTheme="minorHAnsi"/>
          <w:lang w:val="en-GB"/>
        </w:rPr>
        <w:t xml:space="preserve">Fern (2018c) </w:t>
      </w:r>
      <w:r w:rsidRPr="000B7B8D">
        <w:rPr>
          <w:rFonts w:asciiTheme="minorHAnsi" w:hAnsiTheme="minorHAnsi"/>
          <w:i/>
          <w:lang w:val="en-GB"/>
        </w:rPr>
        <w:t xml:space="preserve">The EU-Japan Free Trade Deal: A Threat to the Fight against Illegal Timber? </w:t>
      </w:r>
      <w:r w:rsidR="00C90E5E" w:rsidRPr="00C90E5E">
        <w:rPr>
          <w:rFonts w:asciiTheme="minorHAnsi" w:hAnsiTheme="minorHAnsi"/>
          <w:lang w:val="en-GB"/>
        </w:rPr>
        <w:t>https://www.fern.org/news-resources/the-eu-japan-free-trade-deal-a-threat-to-the-fight-against-illegal-timber-53/</w:t>
      </w:r>
      <w:r w:rsidRPr="00C90E5E">
        <w:rPr>
          <w:rFonts w:asciiTheme="minorHAnsi" w:hAnsiTheme="minorHAnsi"/>
          <w:lang w:val="en-GB"/>
        </w:rPr>
        <w:t>.</w:t>
      </w:r>
    </w:p>
    <w:p w14:paraId="7DD6CF3E" w14:textId="27853932" w:rsidR="00AA1F9F" w:rsidRPr="000B7B8D" w:rsidRDefault="00AA1F9F" w:rsidP="008A0992">
      <w:pPr>
        <w:pStyle w:val="BodyTextHanging"/>
        <w:jc w:val="both"/>
        <w:rPr>
          <w:rFonts w:asciiTheme="minorHAnsi" w:hAnsiTheme="minorHAnsi"/>
          <w:lang w:val="en-GB"/>
        </w:rPr>
      </w:pPr>
      <w:r w:rsidRPr="000B7B8D">
        <w:rPr>
          <w:rFonts w:asciiTheme="minorHAnsi" w:hAnsiTheme="minorHAnsi"/>
          <w:lang w:val="en-GB"/>
        </w:rPr>
        <w:t xml:space="preserve">Finnemore </w:t>
      </w:r>
      <w:r w:rsidR="00BF11F5" w:rsidRPr="000B7B8D">
        <w:rPr>
          <w:rFonts w:asciiTheme="minorHAnsi" w:hAnsiTheme="minorHAnsi"/>
          <w:lang w:val="en-GB"/>
        </w:rPr>
        <w:t xml:space="preserve">M, </w:t>
      </w:r>
      <w:r w:rsidRPr="000B7B8D">
        <w:rPr>
          <w:rFonts w:asciiTheme="minorHAnsi" w:hAnsiTheme="minorHAnsi"/>
          <w:lang w:val="en-GB"/>
        </w:rPr>
        <w:t xml:space="preserve">Sikkink </w:t>
      </w:r>
      <w:r w:rsidR="004970C8" w:rsidRPr="000B7B8D">
        <w:rPr>
          <w:rFonts w:asciiTheme="minorHAnsi" w:hAnsiTheme="minorHAnsi"/>
          <w:lang w:val="en-GB"/>
        </w:rPr>
        <w:t xml:space="preserve">K </w:t>
      </w:r>
      <w:r w:rsidRPr="000B7B8D">
        <w:rPr>
          <w:rFonts w:asciiTheme="minorHAnsi" w:hAnsiTheme="minorHAnsi"/>
          <w:lang w:val="en-GB"/>
        </w:rPr>
        <w:t>(1998)</w:t>
      </w:r>
      <w:r w:rsidR="004970C8" w:rsidRPr="000B7B8D">
        <w:rPr>
          <w:rFonts w:asciiTheme="minorHAnsi" w:hAnsiTheme="minorHAnsi"/>
          <w:lang w:val="en-GB"/>
        </w:rPr>
        <w:t xml:space="preserve"> International Norm Dynamics and Political Change. </w:t>
      </w:r>
      <w:r w:rsidR="004970C8" w:rsidRPr="000B7B8D">
        <w:rPr>
          <w:rFonts w:asciiTheme="minorHAnsi" w:hAnsiTheme="minorHAnsi"/>
          <w:i/>
          <w:lang w:val="en-GB"/>
        </w:rPr>
        <w:t>International Organization</w:t>
      </w:r>
      <w:r w:rsidR="004970C8" w:rsidRPr="000B7B8D">
        <w:rPr>
          <w:rFonts w:asciiTheme="minorHAnsi" w:hAnsiTheme="minorHAnsi"/>
          <w:lang w:val="en-GB"/>
        </w:rPr>
        <w:t xml:space="preserve"> </w:t>
      </w:r>
      <w:r w:rsidR="004970C8" w:rsidRPr="000B7B8D">
        <w:rPr>
          <w:rFonts w:asciiTheme="minorHAnsi" w:hAnsiTheme="minorHAnsi"/>
          <w:b/>
          <w:lang w:val="en-GB"/>
        </w:rPr>
        <w:t>52</w:t>
      </w:r>
      <w:r w:rsidR="004970C8" w:rsidRPr="000B7B8D">
        <w:rPr>
          <w:rFonts w:asciiTheme="minorHAnsi" w:hAnsiTheme="minorHAnsi"/>
          <w:lang w:val="en-GB"/>
        </w:rPr>
        <w:t>: 887-917.</w:t>
      </w:r>
    </w:p>
    <w:p w14:paraId="023596ED" w14:textId="3DAFCFA3" w:rsidR="006E3641" w:rsidRPr="000B7B8D" w:rsidRDefault="006E3641" w:rsidP="008A0992">
      <w:pPr>
        <w:pStyle w:val="BodyTextHanging"/>
        <w:jc w:val="both"/>
        <w:rPr>
          <w:rFonts w:asciiTheme="minorHAnsi" w:hAnsiTheme="minorHAnsi"/>
          <w:lang w:val="en-GB"/>
        </w:rPr>
      </w:pPr>
      <w:r w:rsidRPr="000B7B8D">
        <w:rPr>
          <w:rFonts w:asciiTheme="minorHAnsi" w:hAnsiTheme="minorHAnsi"/>
          <w:lang w:val="en-GB"/>
        </w:rPr>
        <w:lastRenderedPageBreak/>
        <w:t>Forest Trend</w:t>
      </w:r>
      <w:r w:rsidR="007344A0" w:rsidRPr="000B7B8D">
        <w:rPr>
          <w:rFonts w:asciiTheme="minorHAnsi" w:hAnsiTheme="minorHAnsi"/>
          <w:lang w:val="en-GB"/>
        </w:rPr>
        <w:t>s</w:t>
      </w:r>
      <w:r w:rsidRPr="000B7B8D">
        <w:rPr>
          <w:rFonts w:asciiTheme="minorHAnsi" w:hAnsiTheme="minorHAnsi"/>
          <w:lang w:val="en-GB"/>
        </w:rPr>
        <w:t xml:space="preserve"> (2016)</w:t>
      </w:r>
      <w:r w:rsidR="00C33CE4" w:rsidRPr="000B7B8D">
        <w:rPr>
          <w:rFonts w:asciiTheme="minorHAnsi" w:hAnsiTheme="minorHAnsi"/>
          <w:lang w:val="en-GB"/>
        </w:rPr>
        <w:t xml:space="preserve"> </w:t>
      </w:r>
      <w:r w:rsidR="00C4264E" w:rsidRPr="000B7B8D">
        <w:rPr>
          <w:rFonts w:asciiTheme="minorHAnsi" w:hAnsiTheme="minorHAnsi"/>
          <w:lang w:val="en-GB"/>
        </w:rPr>
        <w:t xml:space="preserve">Letter to Australian Department of Agriculture and Water Resources, 22 December, </w:t>
      </w:r>
      <w:hyperlink r:id="rId47" w:history="1">
        <w:r w:rsidR="00A83547" w:rsidRPr="00E57AD5">
          <w:rPr>
            <w:rStyle w:val="Hyperlink"/>
            <w:rFonts w:asciiTheme="minorHAnsi" w:hAnsiTheme="minorHAnsi"/>
            <w:lang w:val="en-GB"/>
          </w:rPr>
          <w:t>https://www.google.com/url?sa=t&amp;rct=j&amp;q=&amp;esrc=s&amp;source=web&amp;cd=12&amp;cad=rja&amp;uact=8&amp;ved=2ahUKEwiC1MHC1_rhAhVEZlAKHVrkD5wQFjALegQIBBAC&amp;url=http%3A%2F%2Fwww.agriculture.gov.au%2FSiteCollectionDocuments%2Fforestry%2Fris-submissions%2Fforest-trends.pdf&amp;usg=AOvVaw28THC479VD8-NDFMbmCPUW</w:t>
        </w:r>
      </w:hyperlink>
      <w:r w:rsidR="00A83547">
        <w:rPr>
          <w:rFonts w:asciiTheme="minorHAnsi" w:hAnsiTheme="minorHAnsi"/>
          <w:lang w:val="en-GB"/>
        </w:rPr>
        <w:t xml:space="preserve"> </w:t>
      </w:r>
      <w:r w:rsidR="00C4264E" w:rsidRPr="000B7B8D">
        <w:rPr>
          <w:rFonts w:asciiTheme="minorHAnsi" w:hAnsiTheme="minorHAnsi"/>
          <w:lang w:val="en-GB"/>
        </w:rPr>
        <w:t>.</w:t>
      </w:r>
    </w:p>
    <w:p w14:paraId="1F22BA68" w14:textId="61A8874D" w:rsidR="006E3641" w:rsidRPr="000B7B8D" w:rsidRDefault="006E3641" w:rsidP="008A0992">
      <w:pPr>
        <w:pStyle w:val="BodyTextHanging"/>
        <w:jc w:val="both"/>
        <w:rPr>
          <w:rFonts w:asciiTheme="minorHAnsi" w:hAnsiTheme="minorHAnsi"/>
          <w:lang w:val="en-GB"/>
        </w:rPr>
      </w:pPr>
      <w:r w:rsidRPr="000B7B8D">
        <w:rPr>
          <w:rFonts w:asciiTheme="minorHAnsi" w:hAnsiTheme="minorHAnsi"/>
          <w:lang w:val="en-GB"/>
        </w:rPr>
        <w:t>FSC (2018)</w:t>
      </w:r>
      <w:r w:rsidR="00D138D4" w:rsidRPr="000B7B8D">
        <w:rPr>
          <w:rFonts w:asciiTheme="minorHAnsi" w:hAnsiTheme="minorHAnsi"/>
          <w:lang w:val="en-GB"/>
        </w:rPr>
        <w:t xml:space="preserve"> </w:t>
      </w:r>
      <w:r w:rsidR="00D138D4" w:rsidRPr="000B7B8D">
        <w:rPr>
          <w:rFonts w:asciiTheme="minorHAnsi" w:hAnsiTheme="minorHAnsi"/>
          <w:i/>
          <w:lang w:val="en-GB"/>
        </w:rPr>
        <w:t>FSC Facts &amp; Figures</w:t>
      </w:r>
      <w:r w:rsidR="00D138D4" w:rsidRPr="000B7B8D">
        <w:rPr>
          <w:rFonts w:asciiTheme="minorHAnsi" w:hAnsiTheme="minorHAnsi"/>
          <w:lang w:val="en-GB"/>
        </w:rPr>
        <w:t xml:space="preserve">, 1 June, </w:t>
      </w:r>
      <w:r w:rsidR="004D7886" w:rsidRPr="004D7886">
        <w:rPr>
          <w:rFonts w:asciiTheme="minorHAnsi" w:hAnsiTheme="minorHAnsi"/>
          <w:lang w:val="en-GB"/>
        </w:rPr>
        <w:t>https://ic.fsc.org/file-download.facts-figures-june-2018.a-7470.pdf</w:t>
      </w:r>
      <w:r w:rsidR="00D138D4" w:rsidRPr="000B7B8D">
        <w:rPr>
          <w:rFonts w:asciiTheme="minorHAnsi" w:hAnsiTheme="minorHAnsi"/>
          <w:lang w:val="en-GB"/>
        </w:rPr>
        <w:t>.</w:t>
      </w:r>
    </w:p>
    <w:p w14:paraId="0168659F" w14:textId="52350C98" w:rsidR="006E3641" w:rsidRPr="000B7B8D" w:rsidRDefault="006E3641" w:rsidP="008A0992">
      <w:pPr>
        <w:pStyle w:val="BodyTextHanging"/>
        <w:jc w:val="both"/>
        <w:rPr>
          <w:rFonts w:asciiTheme="minorHAnsi" w:hAnsiTheme="minorHAnsi"/>
          <w:lang w:val="en-GB"/>
        </w:rPr>
      </w:pPr>
      <w:r w:rsidRPr="000B7B8D">
        <w:rPr>
          <w:rFonts w:asciiTheme="minorHAnsi" w:hAnsiTheme="minorHAnsi"/>
          <w:lang w:val="en-GB"/>
        </w:rPr>
        <w:t>FSC (2019)</w:t>
      </w:r>
      <w:r w:rsidR="00D138D4" w:rsidRPr="000B7B8D">
        <w:rPr>
          <w:rFonts w:asciiTheme="minorHAnsi" w:hAnsiTheme="minorHAnsi"/>
          <w:lang w:val="en-GB"/>
        </w:rPr>
        <w:t xml:space="preserve"> </w:t>
      </w:r>
      <w:r w:rsidR="00D138D4" w:rsidRPr="000B7B8D">
        <w:rPr>
          <w:rFonts w:asciiTheme="minorHAnsi" w:hAnsiTheme="minorHAnsi"/>
          <w:i/>
          <w:lang w:val="en-GB"/>
        </w:rPr>
        <w:t xml:space="preserve">FSC Facts &amp; Figures, </w:t>
      </w:r>
      <w:r w:rsidR="00D138D4" w:rsidRPr="000B7B8D">
        <w:rPr>
          <w:rFonts w:asciiTheme="minorHAnsi" w:hAnsiTheme="minorHAnsi"/>
          <w:lang w:val="en-GB"/>
        </w:rPr>
        <w:t xml:space="preserve">1 March, </w:t>
      </w:r>
      <w:r w:rsidR="004D7886" w:rsidRPr="004D7886">
        <w:rPr>
          <w:rFonts w:asciiTheme="minorHAnsi" w:hAnsiTheme="minorHAnsi"/>
          <w:lang w:val="en-GB"/>
        </w:rPr>
        <w:t>https://ic.fsc.org/file-download.facts-figures-march-2019.a-8240.pdf</w:t>
      </w:r>
      <w:r w:rsidR="00D138D4" w:rsidRPr="000B7B8D">
        <w:rPr>
          <w:rFonts w:asciiTheme="minorHAnsi" w:hAnsiTheme="minorHAnsi"/>
          <w:lang w:val="en-GB"/>
        </w:rPr>
        <w:t>.</w:t>
      </w:r>
    </w:p>
    <w:p w14:paraId="596BDF52" w14:textId="7D6C13E3" w:rsidR="002534FE" w:rsidRPr="000B7B8D" w:rsidRDefault="00B23B1A" w:rsidP="008A0992">
      <w:pPr>
        <w:pStyle w:val="BodyTextHanging"/>
        <w:jc w:val="both"/>
        <w:rPr>
          <w:rFonts w:asciiTheme="minorHAnsi" w:hAnsiTheme="minorHAnsi"/>
          <w:lang w:val="en-GB"/>
        </w:rPr>
      </w:pPr>
      <w:r w:rsidRPr="000B7B8D">
        <w:rPr>
          <w:rFonts w:asciiTheme="minorHAnsi" w:hAnsiTheme="minorHAnsi"/>
          <w:lang w:val="en-GB"/>
        </w:rPr>
        <w:t xml:space="preserve">Gardner </w:t>
      </w:r>
      <w:r w:rsidR="00D138D4" w:rsidRPr="000B7B8D">
        <w:rPr>
          <w:rFonts w:asciiTheme="minorHAnsi" w:hAnsiTheme="minorHAnsi"/>
          <w:lang w:val="en-GB"/>
        </w:rPr>
        <w:t xml:space="preserve">S. </w:t>
      </w:r>
      <w:r w:rsidRPr="000B7B8D">
        <w:rPr>
          <w:rFonts w:asciiTheme="minorHAnsi" w:hAnsiTheme="minorHAnsi"/>
          <w:lang w:val="en-GB"/>
        </w:rPr>
        <w:t xml:space="preserve">(2018) </w:t>
      </w:r>
      <w:r w:rsidR="00D138D4" w:rsidRPr="000B7B8D">
        <w:rPr>
          <w:rFonts w:asciiTheme="minorHAnsi" w:hAnsiTheme="minorHAnsi"/>
          <w:lang w:val="en-GB"/>
        </w:rPr>
        <w:t>Supporting Lacey Act Compliance.  Presentation to to conference on ‘Timber Trade and the Conservation of Forests – Five Years EUTR’, Thünen Institute, Hamburg, 8-9 October,</w:t>
      </w:r>
      <w:r w:rsidR="003215F8">
        <w:rPr>
          <w:rFonts w:asciiTheme="minorHAnsi" w:hAnsiTheme="minorHAnsi"/>
          <w:lang w:val="en-GB"/>
        </w:rPr>
        <w:t xml:space="preserve"> </w:t>
      </w:r>
      <w:r w:rsidR="003215F8" w:rsidRPr="003215F8">
        <w:rPr>
          <w:rFonts w:asciiTheme="minorHAnsi" w:hAnsiTheme="minorHAnsi"/>
          <w:lang w:val="en-GB"/>
        </w:rPr>
        <w:t>https://www.thuenen.de/media/ti/Infrastruktur/Thuenen-Kompetenzzentrum_Holzherkuenfte/fuenf_Jahre_EUTR/Vortragsfolien/09_08_02_Gardner_USDA.pdf</w:t>
      </w:r>
      <w:r w:rsidR="00D138D4" w:rsidRPr="000B7B8D">
        <w:rPr>
          <w:rFonts w:asciiTheme="minorHAnsi" w:hAnsiTheme="minorHAnsi"/>
          <w:lang w:val="en-GB"/>
        </w:rPr>
        <w:t>.</w:t>
      </w:r>
    </w:p>
    <w:p w14:paraId="1FF79E9F" w14:textId="228F3746" w:rsidR="00412E97" w:rsidRPr="000B7B8D" w:rsidRDefault="00412E97" w:rsidP="008A0992">
      <w:pPr>
        <w:pStyle w:val="BodyTextHanging"/>
        <w:jc w:val="both"/>
        <w:rPr>
          <w:rFonts w:asciiTheme="minorHAnsi" w:hAnsiTheme="minorHAnsi"/>
          <w:lang w:val="en-GB"/>
        </w:rPr>
      </w:pPr>
      <w:r w:rsidRPr="000B7B8D">
        <w:rPr>
          <w:rFonts w:asciiTheme="minorHAnsi" w:hAnsiTheme="minorHAnsi"/>
          <w:lang w:val="en-GB"/>
        </w:rPr>
        <w:t>Ghana-EU (2018)</w:t>
      </w:r>
      <w:r w:rsidR="00D138D4" w:rsidRPr="000B7B8D">
        <w:rPr>
          <w:rFonts w:asciiTheme="minorHAnsi" w:hAnsiTheme="minorHAnsi"/>
          <w:lang w:val="en-GB"/>
        </w:rPr>
        <w:t xml:space="preserve"> </w:t>
      </w:r>
      <w:r w:rsidR="00B1785C" w:rsidRPr="000B7B8D">
        <w:rPr>
          <w:rFonts w:asciiTheme="minorHAnsi" w:hAnsiTheme="minorHAnsi"/>
          <w:i/>
          <w:lang w:val="en-GB"/>
        </w:rPr>
        <w:t>Aide Memoire Technical Session of the Joint Monitoring and Review Mechanism</w:t>
      </w:r>
      <w:r w:rsidR="00B1785C" w:rsidRPr="000B7B8D">
        <w:rPr>
          <w:rFonts w:asciiTheme="minorHAnsi" w:hAnsiTheme="minorHAnsi"/>
          <w:lang w:val="en-GB"/>
        </w:rPr>
        <w:t xml:space="preserve">, 17 July, </w:t>
      </w:r>
      <w:hyperlink r:id="rId48" w:history="1">
        <w:r w:rsidR="00714C35" w:rsidRPr="00E57AD5">
          <w:rPr>
            <w:rStyle w:val="Hyperlink"/>
            <w:rFonts w:asciiTheme="minorHAnsi" w:hAnsiTheme="minorHAnsi"/>
            <w:lang w:val="en-GB"/>
          </w:rPr>
          <w:t>http://www.euflegt.efi.int/documents/10180/438736/JMRM+Aide+Memoire+Technical+session+17+July+2018.pdf/1844a726-4356-1159-314b-de149938d9c9</w:t>
        </w:r>
      </w:hyperlink>
      <w:r w:rsidR="00714C35">
        <w:rPr>
          <w:rFonts w:asciiTheme="minorHAnsi" w:hAnsiTheme="minorHAnsi"/>
          <w:lang w:val="en-GB"/>
        </w:rPr>
        <w:t xml:space="preserve"> </w:t>
      </w:r>
      <w:r w:rsidR="00B1785C" w:rsidRPr="000B7B8D">
        <w:rPr>
          <w:rFonts w:asciiTheme="minorHAnsi" w:hAnsiTheme="minorHAnsi"/>
          <w:lang w:val="en-GB"/>
        </w:rPr>
        <w:t>.</w:t>
      </w:r>
    </w:p>
    <w:p w14:paraId="6C73F620" w14:textId="398D5471" w:rsidR="002534FE" w:rsidRPr="000B7B8D" w:rsidRDefault="002534FE" w:rsidP="008A0992">
      <w:pPr>
        <w:pStyle w:val="BodyTextHanging"/>
        <w:jc w:val="both"/>
        <w:rPr>
          <w:rFonts w:asciiTheme="minorHAnsi" w:hAnsiTheme="minorHAnsi"/>
          <w:lang w:val="en-GB"/>
        </w:rPr>
      </w:pPr>
      <w:r w:rsidRPr="000B7B8D">
        <w:rPr>
          <w:rFonts w:asciiTheme="minorHAnsi" w:hAnsiTheme="minorHAnsi"/>
          <w:lang w:val="en-GB"/>
        </w:rPr>
        <w:t>Global Witness (2017)</w:t>
      </w:r>
      <w:r w:rsidR="006764AD" w:rsidRPr="000B7B8D">
        <w:rPr>
          <w:rFonts w:asciiTheme="minorHAnsi" w:hAnsiTheme="minorHAnsi"/>
          <w:lang w:val="en-GB"/>
        </w:rPr>
        <w:t xml:space="preserve"> </w:t>
      </w:r>
      <w:r w:rsidR="006764AD" w:rsidRPr="000B7B8D">
        <w:rPr>
          <w:rFonts w:asciiTheme="minorHAnsi" w:hAnsiTheme="minorHAnsi"/>
          <w:i/>
          <w:lang w:val="en-GB"/>
        </w:rPr>
        <w:t xml:space="preserve">Stained Trade: How US Imports of Exotic Flooring from China Risk Driving the Theft of Indigenous Land and Deforestation in Papua New Guinea, </w:t>
      </w:r>
      <w:r w:rsidR="00714C35" w:rsidRPr="00714C35">
        <w:rPr>
          <w:rFonts w:asciiTheme="minorHAnsi" w:hAnsiTheme="minorHAnsi"/>
          <w:lang w:val="en-GB"/>
        </w:rPr>
        <w:t>https://www.globalwitness.org/en/campaigns/forests/stained-trade/</w:t>
      </w:r>
      <w:r w:rsidR="006764AD" w:rsidRPr="000B7B8D">
        <w:rPr>
          <w:rFonts w:asciiTheme="minorHAnsi" w:hAnsiTheme="minorHAnsi"/>
          <w:lang w:val="en-GB"/>
        </w:rPr>
        <w:t>.</w:t>
      </w:r>
    </w:p>
    <w:p w14:paraId="37B62CC0" w14:textId="1B172A52" w:rsidR="002534FE" w:rsidRPr="000B7B8D" w:rsidRDefault="002534FE" w:rsidP="008A0992">
      <w:pPr>
        <w:pStyle w:val="BodyTextHanging"/>
        <w:jc w:val="both"/>
        <w:rPr>
          <w:rFonts w:asciiTheme="minorHAnsi" w:hAnsiTheme="minorHAnsi"/>
          <w:lang w:val="en-GB"/>
        </w:rPr>
      </w:pPr>
      <w:r w:rsidRPr="000B7B8D">
        <w:rPr>
          <w:rFonts w:asciiTheme="minorHAnsi" w:hAnsiTheme="minorHAnsi"/>
          <w:lang w:val="en-GB"/>
        </w:rPr>
        <w:t>Global Witness (2018</w:t>
      </w:r>
      <w:r w:rsidR="004A0220" w:rsidRPr="000B7B8D">
        <w:rPr>
          <w:rFonts w:asciiTheme="minorHAnsi" w:hAnsiTheme="minorHAnsi"/>
          <w:lang w:val="en-GB"/>
        </w:rPr>
        <w:t>a</w:t>
      </w:r>
      <w:r w:rsidRPr="000B7B8D">
        <w:rPr>
          <w:rFonts w:asciiTheme="minorHAnsi" w:hAnsiTheme="minorHAnsi"/>
          <w:lang w:val="en-GB"/>
        </w:rPr>
        <w:t>)</w:t>
      </w:r>
      <w:r w:rsidR="006764AD" w:rsidRPr="000B7B8D">
        <w:rPr>
          <w:rFonts w:asciiTheme="minorHAnsi" w:hAnsiTheme="minorHAnsi"/>
          <w:lang w:val="en-GB"/>
        </w:rPr>
        <w:t xml:space="preserve"> </w:t>
      </w:r>
      <w:r w:rsidR="006764AD" w:rsidRPr="000B7B8D">
        <w:rPr>
          <w:rFonts w:asciiTheme="minorHAnsi" w:hAnsiTheme="minorHAnsi"/>
          <w:i/>
          <w:lang w:val="en-GB"/>
        </w:rPr>
        <w:t>A Major Liability</w:t>
      </w:r>
      <w:r w:rsidR="006764AD" w:rsidRPr="000B7B8D">
        <w:rPr>
          <w:rFonts w:asciiTheme="minorHAnsi" w:hAnsiTheme="minorHAnsi"/>
          <w:lang w:val="en-GB"/>
        </w:rPr>
        <w:t xml:space="preserve">: Illegal Logging in Papua New Guinea Threatens China’s Timber Sector and Global Reputation, </w:t>
      </w:r>
      <w:r w:rsidR="00714C35" w:rsidRPr="00714C35">
        <w:rPr>
          <w:rFonts w:asciiTheme="minorHAnsi" w:hAnsiTheme="minorHAnsi"/>
          <w:lang w:val="en-GB"/>
        </w:rPr>
        <w:t>https://www.globalwitness.org/en/campaigns/forests/major-liability-illegal-logging-papua-new-guinea-threatens-chinas-timber-sector-and-global-reputation/</w:t>
      </w:r>
      <w:r w:rsidR="006764AD" w:rsidRPr="000B7B8D">
        <w:rPr>
          <w:rFonts w:asciiTheme="minorHAnsi" w:hAnsiTheme="minorHAnsi"/>
          <w:lang w:val="en-GB"/>
        </w:rPr>
        <w:t>.</w:t>
      </w:r>
    </w:p>
    <w:p w14:paraId="0D9A5472" w14:textId="64FD8CAF" w:rsidR="004A0220" w:rsidRPr="000B7B8D" w:rsidRDefault="004A0220" w:rsidP="008A0992">
      <w:pPr>
        <w:pStyle w:val="BodyTextHanging"/>
        <w:jc w:val="both"/>
        <w:rPr>
          <w:rFonts w:asciiTheme="minorHAnsi" w:hAnsiTheme="minorHAnsi"/>
          <w:lang w:val="en-GB"/>
        </w:rPr>
      </w:pPr>
      <w:r w:rsidRPr="000B7B8D">
        <w:rPr>
          <w:rFonts w:asciiTheme="minorHAnsi" w:hAnsiTheme="minorHAnsi"/>
          <w:lang w:val="en-GB"/>
        </w:rPr>
        <w:t xml:space="preserve">Global Witness (2018b) </w:t>
      </w:r>
      <w:r w:rsidRPr="000B7B8D">
        <w:rPr>
          <w:rFonts w:asciiTheme="minorHAnsi" w:hAnsiTheme="minorHAnsi"/>
          <w:i/>
          <w:lang w:val="en-GB"/>
        </w:rPr>
        <w:t xml:space="preserve">Paradise Lost: How China Can Help the Solomon Islands Protect Its Forests, </w:t>
      </w:r>
      <w:r w:rsidR="00714C35" w:rsidRPr="00714C35">
        <w:rPr>
          <w:rFonts w:asciiTheme="minorHAnsi" w:hAnsiTheme="minorHAnsi"/>
          <w:lang w:val="en-GB"/>
        </w:rPr>
        <w:t>https://www.globalwitness.org/en/campaigns/forests/paradise-lost/</w:t>
      </w:r>
      <w:r w:rsidRPr="000B7B8D">
        <w:rPr>
          <w:rFonts w:asciiTheme="minorHAnsi" w:hAnsiTheme="minorHAnsi"/>
          <w:lang w:val="en-GB"/>
        </w:rPr>
        <w:t>.</w:t>
      </w:r>
    </w:p>
    <w:p w14:paraId="6DE210EB" w14:textId="49441A12" w:rsidR="00B23B1A" w:rsidRPr="000B7B8D" w:rsidRDefault="00B23B1A" w:rsidP="008A0992">
      <w:pPr>
        <w:pStyle w:val="BodyTextHanging"/>
        <w:jc w:val="both"/>
        <w:rPr>
          <w:rFonts w:asciiTheme="minorHAnsi" w:hAnsiTheme="minorHAnsi"/>
          <w:lang w:val="en-GB"/>
        </w:rPr>
      </w:pPr>
      <w:r w:rsidRPr="000B7B8D">
        <w:rPr>
          <w:rFonts w:asciiTheme="minorHAnsi" w:hAnsiTheme="minorHAnsi"/>
          <w:lang w:val="en-GB"/>
        </w:rPr>
        <w:t>Government of Canada (2017)</w:t>
      </w:r>
      <w:r w:rsidR="004A0220" w:rsidRPr="000B7B8D">
        <w:rPr>
          <w:rFonts w:asciiTheme="minorHAnsi" w:hAnsiTheme="minorHAnsi"/>
          <w:lang w:val="en-GB"/>
        </w:rPr>
        <w:t xml:space="preserve"> 5 Ways Canada Prevents Illegal Logging, </w:t>
      </w:r>
      <w:hyperlink r:id="rId49" w:history="1">
        <w:r w:rsidR="004A0220" w:rsidRPr="000B7B8D">
          <w:rPr>
            <w:rStyle w:val="Hyperlink"/>
            <w:rFonts w:asciiTheme="minorHAnsi" w:hAnsiTheme="minorHAnsi"/>
            <w:lang w:val="en-GB"/>
          </w:rPr>
          <w:t>http://www.nrcan.gc.ca/forests/canada/laws/17479</w:t>
        </w:r>
      </w:hyperlink>
      <w:r w:rsidR="004A0220" w:rsidRPr="000B7B8D">
        <w:rPr>
          <w:rFonts w:asciiTheme="minorHAnsi" w:hAnsiTheme="minorHAnsi"/>
          <w:lang w:val="en-GB"/>
        </w:rPr>
        <w:t>.</w:t>
      </w:r>
    </w:p>
    <w:p w14:paraId="484212BD" w14:textId="0DBEB3D8" w:rsidR="00AA1F9F" w:rsidRPr="000B7B8D" w:rsidRDefault="00BF11F5" w:rsidP="008A0992">
      <w:pPr>
        <w:pStyle w:val="BodyTextHanging"/>
        <w:jc w:val="both"/>
        <w:rPr>
          <w:rFonts w:asciiTheme="minorHAnsi" w:hAnsiTheme="minorHAnsi"/>
          <w:lang w:val="en-GB"/>
        </w:rPr>
      </w:pPr>
      <w:r w:rsidRPr="000B7B8D">
        <w:rPr>
          <w:rFonts w:asciiTheme="minorHAnsi" w:hAnsiTheme="minorHAnsi"/>
          <w:lang w:val="en-GB"/>
        </w:rPr>
        <w:t>Hoare</w:t>
      </w:r>
      <w:r w:rsidR="00AA1F9F" w:rsidRPr="000B7B8D">
        <w:rPr>
          <w:rFonts w:asciiTheme="minorHAnsi" w:hAnsiTheme="minorHAnsi"/>
          <w:lang w:val="en-GB"/>
        </w:rPr>
        <w:t xml:space="preserve"> A</w:t>
      </w:r>
      <w:r w:rsidRPr="000B7B8D">
        <w:rPr>
          <w:rFonts w:asciiTheme="minorHAnsi" w:hAnsiTheme="minorHAnsi"/>
          <w:lang w:val="en-GB"/>
        </w:rPr>
        <w:t>.</w:t>
      </w:r>
      <w:r w:rsidR="00AA1F9F" w:rsidRPr="000B7B8D">
        <w:rPr>
          <w:rFonts w:asciiTheme="minorHAnsi" w:hAnsiTheme="minorHAnsi"/>
          <w:lang w:val="en-GB"/>
        </w:rPr>
        <w:t xml:space="preserve"> (2015)</w:t>
      </w:r>
      <w:r w:rsidRPr="000B7B8D">
        <w:rPr>
          <w:rFonts w:asciiTheme="minorHAnsi" w:hAnsiTheme="minorHAnsi"/>
          <w:lang w:val="en-GB"/>
        </w:rPr>
        <w:t xml:space="preserve"> </w:t>
      </w:r>
      <w:r w:rsidRPr="000B7B8D">
        <w:rPr>
          <w:rFonts w:asciiTheme="minorHAnsi" w:hAnsiTheme="minorHAnsi"/>
          <w:i/>
          <w:lang w:val="en-GB"/>
        </w:rPr>
        <w:t xml:space="preserve">Tackling Illegal Logging and the Related Trade: What Progress and Where Next? </w:t>
      </w:r>
      <w:r w:rsidRPr="000B7B8D">
        <w:rPr>
          <w:rFonts w:asciiTheme="minorHAnsi" w:hAnsiTheme="minorHAnsi"/>
          <w:lang w:val="en-GB"/>
        </w:rPr>
        <w:t xml:space="preserve">Chatham House, </w:t>
      </w:r>
      <w:r w:rsidR="00714C35" w:rsidRPr="00714C35">
        <w:rPr>
          <w:rFonts w:asciiTheme="minorHAnsi" w:hAnsiTheme="minorHAnsi"/>
          <w:lang w:val="en-GB"/>
        </w:rPr>
        <w:t>https://www.chathamhouse.org/publication/tackling-illegal-logging-and-related-trade-what-progress-and-where-next</w:t>
      </w:r>
      <w:r w:rsidRPr="000B7B8D">
        <w:rPr>
          <w:rFonts w:asciiTheme="minorHAnsi" w:hAnsiTheme="minorHAnsi"/>
          <w:lang w:val="en-GB"/>
        </w:rPr>
        <w:t>.</w:t>
      </w:r>
    </w:p>
    <w:p w14:paraId="576593D0" w14:textId="55337FD8" w:rsidR="006E3641" w:rsidRPr="000B7B8D" w:rsidRDefault="006E3641" w:rsidP="008A0992">
      <w:pPr>
        <w:pStyle w:val="BodyTextHanging"/>
        <w:jc w:val="both"/>
        <w:rPr>
          <w:rFonts w:asciiTheme="minorHAnsi" w:hAnsiTheme="minorHAnsi"/>
          <w:lang w:val="en-GB"/>
        </w:rPr>
      </w:pPr>
      <w:r w:rsidRPr="000B7B8D">
        <w:rPr>
          <w:rFonts w:asciiTheme="minorHAnsi" w:hAnsiTheme="minorHAnsi"/>
          <w:lang w:val="en-GB"/>
        </w:rPr>
        <w:lastRenderedPageBreak/>
        <w:t xml:space="preserve">Hoekman </w:t>
      </w:r>
      <w:r w:rsidR="00274D68" w:rsidRPr="000B7B8D">
        <w:rPr>
          <w:rFonts w:asciiTheme="minorHAnsi" w:hAnsiTheme="minorHAnsi"/>
          <w:lang w:val="en-GB"/>
        </w:rPr>
        <w:t>B,</w:t>
      </w:r>
      <w:r w:rsidR="00BF11F5" w:rsidRPr="000B7B8D">
        <w:rPr>
          <w:rFonts w:asciiTheme="minorHAnsi" w:hAnsiTheme="minorHAnsi"/>
          <w:lang w:val="en-GB"/>
        </w:rPr>
        <w:t xml:space="preserve"> </w:t>
      </w:r>
      <w:r w:rsidRPr="000B7B8D">
        <w:rPr>
          <w:rFonts w:asciiTheme="minorHAnsi" w:hAnsiTheme="minorHAnsi"/>
          <w:lang w:val="en-GB"/>
        </w:rPr>
        <w:t xml:space="preserve">Sabel </w:t>
      </w:r>
      <w:r w:rsidR="00274D68" w:rsidRPr="000B7B8D">
        <w:rPr>
          <w:rFonts w:asciiTheme="minorHAnsi" w:hAnsiTheme="minorHAnsi"/>
          <w:lang w:val="en-GB"/>
        </w:rPr>
        <w:t>CF</w:t>
      </w:r>
      <w:r w:rsidR="00BF11F5" w:rsidRPr="000B7B8D">
        <w:rPr>
          <w:rFonts w:asciiTheme="minorHAnsi" w:hAnsiTheme="minorHAnsi"/>
          <w:lang w:val="en-GB"/>
        </w:rPr>
        <w:t xml:space="preserve"> </w:t>
      </w:r>
      <w:r w:rsidRPr="000B7B8D">
        <w:rPr>
          <w:rFonts w:asciiTheme="minorHAnsi" w:hAnsiTheme="minorHAnsi"/>
          <w:lang w:val="en-GB"/>
        </w:rPr>
        <w:t>(2019)</w:t>
      </w:r>
      <w:r w:rsidR="00BF11F5" w:rsidRPr="000B7B8D">
        <w:rPr>
          <w:rFonts w:asciiTheme="minorHAnsi" w:hAnsiTheme="minorHAnsi"/>
          <w:lang w:val="en-GB"/>
        </w:rPr>
        <w:t xml:space="preserve"> Open Plurilateral Agreements, International Regulatory Cooperation and the WTO. </w:t>
      </w:r>
      <w:r w:rsidR="00BF11F5" w:rsidRPr="000B7B8D">
        <w:rPr>
          <w:rFonts w:asciiTheme="minorHAnsi" w:hAnsiTheme="minorHAnsi"/>
          <w:i/>
          <w:lang w:val="en-GB"/>
        </w:rPr>
        <w:t>EUI Working Papers</w:t>
      </w:r>
      <w:r w:rsidR="00BF11F5" w:rsidRPr="000B7B8D">
        <w:rPr>
          <w:rFonts w:asciiTheme="minorHAnsi" w:hAnsiTheme="minorHAnsi"/>
          <w:lang w:val="en-GB"/>
        </w:rPr>
        <w:t xml:space="preserve"> RSCAS 2019/10, Robert Schuman Centre for Advanced Studies, European University Institute, </w:t>
      </w:r>
      <w:r w:rsidR="0072757E" w:rsidRPr="0072757E">
        <w:rPr>
          <w:rFonts w:asciiTheme="minorHAnsi" w:hAnsiTheme="minorHAnsi"/>
          <w:lang w:val="en-GB"/>
        </w:rPr>
        <w:t>http://cadmus.eui.eu/handle/1814/60905</w:t>
      </w:r>
      <w:r w:rsidR="00BF11F5" w:rsidRPr="000B7B8D">
        <w:rPr>
          <w:rFonts w:asciiTheme="minorHAnsi" w:hAnsiTheme="minorHAnsi"/>
          <w:lang w:val="en-GB"/>
        </w:rPr>
        <w:t>.</w:t>
      </w:r>
    </w:p>
    <w:p w14:paraId="2B04BC9A" w14:textId="121BEFEB" w:rsidR="00AF606C" w:rsidRPr="000B7B8D" w:rsidRDefault="00AF606C" w:rsidP="008A0992">
      <w:pPr>
        <w:pStyle w:val="BodyTextHanging"/>
        <w:jc w:val="both"/>
        <w:rPr>
          <w:rFonts w:asciiTheme="minorHAnsi" w:hAnsiTheme="minorHAnsi"/>
          <w:lang w:val="en-GB"/>
        </w:rPr>
      </w:pPr>
      <w:r w:rsidRPr="000B7B8D">
        <w:rPr>
          <w:rFonts w:asciiTheme="minorHAnsi" w:hAnsiTheme="minorHAnsi"/>
          <w:lang w:val="en-GB"/>
        </w:rPr>
        <w:t xml:space="preserve">Hoffmann MJ (2011) </w:t>
      </w:r>
      <w:r w:rsidRPr="000B7B8D">
        <w:rPr>
          <w:rFonts w:asciiTheme="minorHAnsi" w:hAnsiTheme="minorHAnsi"/>
          <w:i/>
          <w:lang w:val="en-GB"/>
        </w:rPr>
        <w:t xml:space="preserve">Climate Governance at the Crossroads: Experimenting with a Global Response after Kyoto. </w:t>
      </w:r>
      <w:r w:rsidRPr="000B7B8D">
        <w:rPr>
          <w:rFonts w:asciiTheme="minorHAnsi" w:hAnsiTheme="minorHAnsi"/>
          <w:lang w:val="en-GB"/>
        </w:rPr>
        <w:t>OUP, Oxford.</w:t>
      </w:r>
    </w:p>
    <w:p w14:paraId="5E132C0B" w14:textId="281D2358" w:rsidR="0087183A" w:rsidRPr="000B7B8D" w:rsidRDefault="0087183A" w:rsidP="00AF606C">
      <w:pPr>
        <w:pStyle w:val="BodyTextHanging"/>
        <w:jc w:val="both"/>
        <w:rPr>
          <w:rFonts w:asciiTheme="minorHAnsi" w:hAnsiTheme="minorHAnsi"/>
          <w:lang w:val="en-GB"/>
        </w:rPr>
      </w:pPr>
      <w:r w:rsidRPr="000B7B8D">
        <w:rPr>
          <w:rFonts w:asciiTheme="minorHAnsi" w:hAnsiTheme="minorHAnsi"/>
          <w:lang w:val="en-GB"/>
        </w:rPr>
        <w:t xml:space="preserve">Humphreys D (2006) </w:t>
      </w:r>
      <w:r w:rsidRPr="000B7B8D">
        <w:rPr>
          <w:rFonts w:asciiTheme="minorHAnsi" w:hAnsiTheme="minorHAnsi"/>
          <w:i/>
          <w:lang w:val="en-GB"/>
        </w:rPr>
        <w:t>Logjam: Deforestation and the Crisis of Global Governance</w:t>
      </w:r>
      <w:r w:rsidRPr="000B7B8D">
        <w:rPr>
          <w:rFonts w:asciiTheme="minorHAnsi" w:hAnsiTheme="minorHAnsi"/>
          <w:lang w:val="en-GB"/>
        </w:rPr>
        <w:t>. Earthscan, London.</w:t>
      </w:r>
    </w:p>
    <w:p w14:paraId="79A5CE66" w14:textId="1253B158" w:rsidR="0087183A" w:rsidRPr="000B7B8D" w:rsidRDefault="0087183A" w:rsidP="00AF606C">
      <w:pPr>
        <w:pStyle w:val="BodyTextHanging"/>
        <w:jc w:val="both"/>
        <w:rPr>
          <w:rFonts w:asciiTheme="minorHAnsi" w:hAnsiTheme="minorHAnsi"/>
          <w:lang w:val="en-GB"/>
        </w:rPr>
      </w:pPr>
      <w:r w:rsidRPr="000B7B8D">
        <w:rPr>
          <w:rFonts w:asciiTheme="minorHAnsi" w:hAnsiTheme="minorHAnsi"/>
          <w:lang w:val="en-GB"/>
        </w:rPr>
        <w:t xml:space="preserve">Humphreys D (2015) Negotiating the Future under the Shadow of the Past: The Eleventh Session of the United Nations Forum on Forests and the 2015 Renewal of the International Arrangement on Forests. </w:t>
      </w:r>
      <w:r w:rsidRPr="000B7B8D">
        <w:rPr>
          <w:rFonts w:asciiTheme="minorHAnsi" w:hAnsiTheme="minorHAnsi"/>
          <w:i/>
          <w:lang w:val="en-GB"/>
        </w:rPr>
        <w:t xml:space="preserve">International Forestry Review </w:t>
      </w:r>
      <w:r w:rsidRPr="000B7B8D">
        <w:rPr>
          <w:rFonts w:asciiTheme="minorHAnsi" w:hAnsiTheme="minorHAnsi"/>
          <w:lang w:val="en-GB"/>
        </w:rPr>
        <w:t>17, 385-99.</w:t>
      </w:r>
    </w:p>
    <w:p w14:paraId="1A00282B" w14:textId="15B97212" w:rsidR="006E3641" w:rsidRPr="0072757E" w:rsidRDefault="006E3641" w:rsidP="0072757E">
      <w:pPr>
        <w:pStyle w:val="BodyTextHanging"/>
        <w:jc w:val="both"/>
        <w:rPr>
          <w:rFonts w:asciiTheme="minorHAnsi" w:hAnsiTheme="minorHAnsi"/>
          <w:lang w:val="en-GB"/>
        </w:rPr>
      </w:pPr>
      <w:r w:rsidRPr="000B7B8D">
        <w:rPr>
          <w:rFonts w:asciiTheme="minorHAnsi" w:hAnsiTheme="minorHAnsi"/>
          <w:lang w:val="en-GB"/>
        </w:rPr>
        <w:t>IKEA (2018)</w:t>
      </w:r>
      <w:r w:rsidR="00BF11F5" w:rsidRPr="000B7B8D">
        <w:rPr>
          <w:rFonts w:asciiTheme="minorHAnsi" w:hAnsiTheme="minorHAnsi"/>
          <w:lang w:val="en-GB"/>
        </w:rPr>
        <w:t xml:space="preserve"> </w:t>
      </w:r>
      <w:r w:rsidR="00DD76FF" w:rsidRPr="000B7B8D">
        <w:rPr>
          <w:rFonts w:asciiTheme="minorHAnsi" w:hAnsiTheme="minorHAnsi"/>
          <w:lang w:val="en-GB"/>
        </w:rPr>
        <w:t xml:space="preserve">EU Timber Regulation: From an Operator’s Perspective. Presentation to EUTR/FLEGT Expert Group meeting, </w:t>
      </w:r>
      <w:r w:rsidR="00D7582D" w:rsidRPr="000B7B8D">
        <w:rPr>
          <w:rFonts w:asciiTheme="minorHAnsi" w:hAnsiTheme="minorHAnsi"/>
          <w:lang w:val="en-GB"/>
        </w:rPr>
        <w:t xml:space="preserve">7 December, </w:t>
      </w:r>
      <w:hyperlink r:id="rId50" w:history="1">
        <w:r w:rsidR="0072757E" w:rsidRPr="0072757E">
          <w:rPr>
            <w:rFonts w:asciiTheme="minorHAnsi" w:hAnsiTheme="minorHAnsi"/>
            <w:iCs/>
            <w:lang w:val="en-GB"/>
          </w:rPr>
          <w:t>ec.europa.eu/transparency/regexpert/index.cfm?do=groupDetail...docid=25128</w:t>
        </w:r>
      </w:hyperlink>
      <w:r w:rsidR="00D7582D" w:rsidRPr="0072757E">
        <w:rPr>
          <w:rFonts w:asciiTheme="minorHAnsi" w:hAnsiTheme="minorHAnsi"/>
          <w:lang w:val="en-GB"/>
        </w:rPr>
        <w:t>.</w:t>
      </w:r>
    </w:p>
    <w:p w14:paraId="12B60AF3" w14:textId="71F2703F" w:rsidR="002307A8" w:rsidRPr="000B7B8D" w:rsidRDefault="00BD0C18" w:rsidP="002307A8">
      <w:pPr>
        <w:pStyle w:val="BodyTextHanging"/>
        <w:jc w:val="both"/>
        <w:rPr>
          <w:rFonts w:asciiTheme="minorHAnsi" w:hAnsiTheme="minorHAnsi"/>
          <w:lang w:val="en-GB"/>
        </w:rPr>
      </w:pPr>
      <w:r w:rsidRPr="000B7B8D">
        <w:rPr>
          <w:rFonts w:asciiTheme="minorHAnsi" w:hAnsiTheme="minorHAnsi"/>
          <w:lang w:val="en-GB"/>
        </w:rPr>
        <w:t>ISEAL Alliance (2019)</w:t>
      </w:r>
      <w:r w:rsidR="002307A8" w:rsidRPr="000B7B8D">
        <w:rPr>
          <w:rFonts w:asciiTheme="minorHAnsi" w:hAnsiTheme="minorHAnsi"/>
          <w:lang w:val="en-GB"/>
        </w:rPr>
        <w:t xml:space="preserve"> </w:t>
      </w:r>
      <w:r w:rsidR="002307A8" w:rsidRPr="000B7B8D">
        <w:rPr>
          <w:rFonts w:asciiTheme="minorHAnsi" w:hAnsiTheme="minorHAnsi"/>
          <w:i/>
          <w:lang w:val="en-GB"/>
        </w:rPr>
        <w:t>Sustainability Benchmarking Good Practice Guide</w:t>
      </w:r>
      <w:r w:rsidR="002307A8" w:rsidRPr="000B7B8D">
        <w:rPr>
          <w:rFonts w:asciiTheme="minorHAnsi" w:hAnsiTheme="minorHAnsi"/>
          <w:lang w:val="en-GB"/>
        </w:rPr>
        <w:t>. Draft v.02 for consulation, 1 March,</w:t>
      </w:r>
      <w:r w:rsidRPr="000B7B8D">
        <w:rPr>
          <w:rFonts w:asciiTheme="minorHAnsi" w:hAnsiTheme="minorHAnsi"/>
          <w:lang w:val="en-GB"/>
        </w:rPr>
        <w:t xml:space="preserve"> </w:t>
      </w:r>
      <w:hyperlink r:id="rId51" w:history="1">
        <w:r w:rsidR="002307A8" w:rsidRPr="000B7B8D">
          <w:rPr>
            <w:rStyle w:val="Hyperlink"/>
            <w:rFonts w:asciiTheme="minorHAnsi" w:hAnsiTheme="minorHAnsi"/>
            <w:lang w:val="en-GB"/>
          </w:rPr>
          <w:t>https://www.isealalliance.org/sustainability-news/consultation-open-iseal-developing-guide-good-benchmarking-sustainability</w:t>
        </w:r>
      </w:hyperlink>
      <w:r w:rsidR="002307A8" w:rsidRPr="000B7B8D">
        <w:rPr>
          <w:rFonts w:asciiTheme="minorHAnsi" w:hAnsiTheme="minorHAnsi"/>
          <w:lang w:val="en-GB"/>
        </w:rPr>
        <w:t>.</w:t>
      </w:r>
    </w:p>
    <w:p w14:paraId="439CA6BB" w14:textId="4D9E63BC" w:rsidR="00412E97" w:rsidRPr="000B7B8D" w:rsidRDefault="00681308" w:rsidP="00681308">
      <w:pPr>
        <w:pStyle w:val="BodyTextHanging"/>
        <w:jc w:val="both"/>
        <w:rPr>
          <w:rFonts w:asciiTheme="minorHAnsi" w:hAnsiTheme="minorHAnsi"/>
          <w:lang w:val="en-GB"/>
        </w:rPr>
      </w:pPr>
      <w:r w:rsidRPr="000B7B8D">
        <w:rPr>
          <w:rFonts w:asciiTheme="minorHAnsi" w:hAnsiTheme="minorHAnsi"/>
          <w:lang w:val="en-GB"/>
        </w:rPr>
        <w:t>Jeffree M (2017) F</w:t>
      </w:r>
      <w:r w:rsidR="0030664A">
        <w:rPr>
          <w:rFonts w:asciiTheme="minorHAnsi" w:hAnsiTheme="minorHAnsi"/>
          <w:lang w:val="en-GB"/>
        </w:rPr>
        <w:t>LEGT Boosts Civil Society Self-H</w:t>
      </w:r>
      <w:r w:rsidRPr="000B7B8D">
        <w:rPr>
          <w:rFonts w:asciiTheme="minorHAnsi" w:hAnsiTheme="minorHAnsi"/>
          <w:lang w:val="en-GB"/>
        </w:rPr>
        <w:t xml:space="preserve">elp. </w:t>
      </w:r>
      <w:r w:rsidRPr="0072757E">
        <w:rPr>
          <w:rFonts w:asciiTheme="minorHAnsi" w:hAnsiTheme="minorHAnsi"/>
          <w:i/>
          <w:lang w:val="en-GB"/>
        </w:rPr>
        <w:t xml:space="preserve">European </w:t>
      </w:r>
      <w:r w:rsidR="0030664A">
        <w:rPr>
          <w:rFonts w:asciiTheme="minorHAnsi" w:hAnsiTheme="minorHAnsi"/>
          <w:i/>
          <w:lang w:val="en-GB"/>
        </w:rPr>
        <w:t>Timber Trade Federation News</w:t>
      </w:r>
      <w:r w:rsidRPr="000B7B8D">
        <w:rPr>
          <w:rFonts w:asciiTheme="minorHAnsi" w:hAnsiTheme="minorHAnsi"/>
          <w:lang w:val="en-GB"/>
        </w:rPr>
        <w:t xml:space="preserve">, </w:t>
      </w:r>
      <w:r w:rsidR="0030664A">
        <w:rPr>
          <w:rFonts w:asciiTheme="minorHAnsi" w:hAnsiTheme="minorHAnsi"/>
          <w:lang w:val="en-GB"/>
        </w:rPr>
        <w:t>28 March</w:t>
      </w:r>
      <w:r w:rsidRPr="000B7B8D">
        <w:rPr>
          <w:rFonts w:asciiTheme="minorHAnsi" w:hAnsiTheme="minorHAnsi"/>
          <w:lang w:val="en-GB"/>
        </w:rPr>
        <w:t xml:space="preserve">, </w:t>
      </w:r>
      <w:r w:rsidR="0030664A" w:rsidRPr="0030664A">
        <w:rPr>
          <w:rFonts w:asciiTheme="minorHAnsi" w:hAnsiTheme="minorHAnsi"/>
          <w:lang w:val="en-GB"/>
        </w:rPr>
        <w:t>http://www.flegt.org/news/content/viewItem/flegt-boosts-civil-society-self-help/28-03-2017/87</w:t>
      </w:r>
      <w:r w:rsidRPr="000B7B8D">
        <w:rPr>
          <w:rFonts w:asciiTheme="minorHAnsi" w:hAnsiTheme="minorHAnsi"/>
          <w:lang w:val="en-GB"/>
        </w:rPr>
        <w:t>.</w:t>
      </w:r>
    </w:p>
    <w:p w14:paraId="408F7F2E" w14:textId="5EFA457F" w:rsidR="00B23B1A" w:rsidRPr="000B7B8D" w:rsidRDefault="0076268C" w:rsidP="00AF606C">
      <w:pPr>
        <w:pStyle w:val="BodyTextHanging"/>
        <w:jc w:val="both"/>
        <w:rPr>
          <w:rFonts w:asciiTheme="minorHAnsi" w:hAnsiTheme="minorHAnsi"/>
          <w:lang w:val="en-GB"/>
        </w:rPr>
      </w:pPr>
      <w:r w:rsidRPr="000B7B8D">
        <w:rPr>
          <w:rFonts w:asciiTheme="minorHAnsi" w:hAnsiTheme="minorHAnsi"/>
          <w:lang w:val="en-GB"/>
        </w:rPr>
        <w:t>Johnson A, Gehl, D</w:t>
      </w:r>
      <w:r w:rsidR="00B23B1A" w:rsidRPr="000B7B8D">
        <w:rPr>
          <w:rFonts w:asciiTheme="minorHAnsi" w:hAnsiTheme="minorHAnsi"/>
          <w:lang w:val="en-GB"/>
        </w:rPr>
        <w:t xml:space="preserve"> (2019)</w:t>
      </w:r>
      <w:r w:rsidR="00F37E0A" w:rsidRPr="000B7B8D">
        <w:rPr>
          <w:rFonts w:asciiTheme="minorHAnsi" w:hAnsiTheme="minorHAnsi"/>
          <w:lang w:val="en-GB"/>
        </w:rPr>
        <w:t xml:space="preserve"> </w:t>
      </w:r>
      <w:r w:rsidRPr="000B7B8D">
        <w:rPr>
          <w:rFonts w:asciiTheme="minorHAnsi" w:hAnsiTheme="minorHAnsi"/>
          <w:i/>
          <w:lang w:val="en-GB"/>
        </w:rPr>
        <w:t>The 2008 “Illegal Logging Amendments”: A Ten-Year Review of the Lacey Act’s Impact on Law, Policy and the Environment</w:t>
      </w:r>
      <w:r w:rsidRPr="000B7B8D">
        <w:rPr>
          <w:rFonts w:asciiTheme="minorHAnsi" w:hAnsiTheme="minorHAnsi"/>
          <w:lang w:val="en-GB"/>
        </w:rPr>
        <w:t xml:space="preserve">, </w:t>
      </w:r>
      <w:hyperlink r:id="rId52" w:history="1">
        <w:r w:rsidR="00274D68" w:rsidRPr="000B7B8D">
          <w:rPr>
            <w:rStyle w:val="Hyperlink"/>
            <w:rFonts w:asciiTheme="minorHAnsi" w:hAnsiTheme="minorHAnsi"/>
            <w:lang w:val="en-GB"/>
          </w:rPr>
          <w:t>https://www.americanbar.org/groups/environment_energy_resources/publications/natural_resources_environment/2018-19/winter/the-2008-illegal-logging-amendments-tenyear-review-the-lacey-acts-impact-law-policy-and-environment/</w:t>
        </w:r>
      </w:hyperlink>
      <w:r w:rsidR="00274D68" w:rsidRPr="000B7B8D">
        <w:rPr>
          <w:rFonts w:asciiTheme="minorHAnsi" w:hAnsiTheme="minorHAnsi"/>
          <w:lang w:val="en-GB"/>
        </w:rPr>
        <w:t>.</w:t>
      </w:r>
    </w:p>
    <w:p w14:paraId="2F2D04CF" w14:textId="65272D61" w:rsidR="00AF606C" w:rsidRPr="000B7B8D" w:rsidRDefault="00AF606C" w:rsidP="00AF606C">
      <w:pPr>
        <w:pStyle w:val="BodyTextHanging"/>
        <w:jc w:val="both"/>
        <w:rPr>
          <w:rFonts w:asciiTheme="minorHAnsi" w:hAnsiTheme="minorHAnsi"/>
          <w:lang w:val="en-GB"/>
        </w:rPr>
      </w:pPr>
      <w:r w:rsidRPr="000B7B8D">
        <w:rPr>
          <w:rFonts w:asciiTheme="minorHAnsi" w:hAnsiTheme="minorHAnsi"/>
          <w:lang w:val="en-GB"/>
        </w:rPr>
        <w:t xml:space="preserve">Jordan A, Huitema D, van Asselt H, Forster J (eds) (2018). </w:t>
      </w:r>
      <w:r w:rsidRPr="000B7B8D">
        <w:rPr>
          <w:rFonts w:asciiTheme="minorHAnsi" w:hAnsiTheme="minorHAnsi"/>
          <w:i/>
          <w:lang w:val="en-GB"/>
        </w:rPr>
        <w:t xml:space="preserve">Governing Climate Change: Polycentricity in Action? </w:t>
      </w:r>
      <w:r w:rsidRPr="000B7B8D">
        <w:rPr>
          <w:rFonts w:asciiTheme="minorHAnsi" w:hAnsiTheme="minorHAnsi"/>
          <w:lang w:val="en-GB"/>
        </w:rPr>
        <w:t>CUP, Cambridge.</w:t>
      </w:r>
    </w:p>
    <w:p w14:paraId="597AD0FD" w14:textId="183FDAC0" w:rsidR="0087183A" w:rsidRPr="000B7B8D" w:rsidRDefault="0087183A" w:rsidP="00AF606C">
      <w:pPr>
        <w:pStyle w:val="BodyTextHanging"/>
        <w:jc w:val="both"/>
        <w:rPr>
          <w:rFonts w:asciiTheme="minorHAnsi" w:hAnsiTheme="minorHAnsi"/>
          <w:lang w:val="en-GB"/>
        </w:rPr>
      </w:pPr>
      <w:r w:rsidRPr="000B7B8D">
        <w:rPr>
          <w:rFonts w:asciiTheme="minorHAnsi" w:hAnsiTheme="minorHAnsi"/>
          <w:lang w:val="en-GB"/>
        </w:rPr>
        <w:t xml:space="preserve">Keohane RO, Victor DG (2011) The Regime Complex for Climate Change. </w:t>
      </w:r>
      <w:r w:rsidRPr="000B7B8D">
        <w:rPr>
          <w:rFonts w:asciiTheme="minorHAnsi" w:hAnsiTheme="minorHAnsi"/>
          <w:i/>
          <w:lang w:val="en-GB"/>
        </w:rPr>
        <w:t>Perspectives on Politics</w:t>
      </w:r>
      <w:r w:rsidRPr="000B7B8D">
        <w:rPr>
          <w:rFonts w:asciiTheme="minorHAnsi" w:hAnsiTheme="minorHAnsi"/>
          <w:lang w:val="en-GB"/>
        </w:rPr>
        <w:t xml:space="preserve"> 9, 7-21.</w:t>
      </w:r>
    </w:p>
    <w:p w14:paraId="12BA7AA8" w14:textId="7963E641" w:rsidR="00AA1F9F" w:rsidRPr="000B7B8D" w:rsidRDefault="00AA1F9F" w:rsidP="005A12F2">
      <w:pPr>
        <w:pStyle w:val="BodyTextHanging"/>
        <w:jc w:val="both"/>
        <w:rPr>
          <w:rFonts w:asciiTheme="minorHAnsi" w:hAnsiTheme="minorHAnsi"/>
          <w:lang w:val="en-GB"/>
        </w:rPr>
      </w:pPr>
      <w:r w:rsidRPr="000B7B8D">
        <w:rPr>
          <w:rFonts w:asciiTheme="minorHAnsi" w:hAnsiTheme="minorHAnsi"/>
          <w:lang w:val="en-GB"/>
        </w:rPr>
        <w:t xml:space="preserve">Lee </w:t>
      </w:r>
      <w:r w:rsidR="00E71EC4" w:rsidRPr="000B7B8D">
        <w:rPr>
          <w:rFonts w:asciiTheme="minorHAnsi" w:hAnsiTheme="minorHAnsi"/>
          <w:lang w:val="en-GB"/>
        </w:rPr>
        <w:t xml:space="preserve">S </w:t>
      </w:r>
      <w:r w:rsidRPr="000B7B8D">
        <w:rPr>
          <w:rFonts w:asciiTheme="minorHAnsi" w:hAnsiTheme="minorHAnsi"/>
          <w:lang w:val="en-GB"/>
        </w:rPr>
        <w:t>(2018)</w:t>
      </w:r>
      <w:r w:rsidR="00E71EC4" w:rsidRPr="000B7B8D">
        <w:rPr>
          <w:rFonts w:asciiTheme="minorHAnsi" w:hAnsiTheme="minorHAnsi"/>
          <w:lang w:val="en-GB"/>
        </w:rPr>
        <w:t xml:space="preserve"> Korea’s New Legislation against Illegal Logging and Associated Trade. Presentation to Chatham House Global Forum for Forest Governance, London, 9 November, </w:t>
      </w:r>
      <w:r w:rsidR="00044974" w:rsidRPr="00044974">
        <w:rPr>
          <w:rFonts w:asciiTheme="minorHAnsi" w:hAnsiTheme="minorHAnsi"/>
          <w:lang w:val="en-GB"/>
        </w:rPr>
        <w:t>https://www.illegal-logging.info/sites/files/chlogging/GFFG_Day2Session1_SunmiLeeFORWEB.pdf</w:t>
      </w:r>
      <w:r w:rsidR="00E71EC4" w:rsidRPr="000B7B8D">
        <w:rPr>
          <w:rFonts w:asciiTheme="minorHAnsi" w:hAnsiTheme="minorHAnsi"/>
          <w:lang w:val="en-GB"/>
        </w:rPr>
        <w:t>.</w:t>
      </w:r>
    </w:p>
    <w:p w14:paraId="79F18422" w14:textId="172F3070" w:rsidR="00AA1F9F" w:rsidRPr="000B7B8D" w:rsidRDefault="00AA1F9F" w:rsidP="009F43B5">
      <w:pPr>
        <w:pStyle w:val="BodyTextHanging"/>
        <w:jc w:val="both"/>
        <w:rPr>
          <w:rFonts w:asciiTheme="minorHAnsi" w:hAnsiTheme="minorHAnsi"/>
          <w:lang w:val="en-GB"/>
        </w:rPr>
      </w:pPr>
      <w:r w:rsidRPr="000B7B8D">
        <w:rPr>
          <w:rFonts w:asciiTheme="minorHAnsi" w:hAnsiTheme="minorHAnsi"/>
          <w:lang w:val="en-GB"/>
        </w:rPr>
        <w:lastRenderedPageBreak/>
        <w:t>Leipold</w:t>
      </w:r>
      <w:r w:rsidR="009F43B5" w:rsidRPr="000B7B8D">
        <w:rPr>
          <w:rFonts w:asciiTheme="minorHAnsi" w:hAnsiTheme="minorHAnsi"/>
          <w:lang w:val="en-GB"/>
        </w:rPr>
        <w:t xml:space="preserve"> S, Sotirov M, Frei T, Winkel G</w:t>
      </w:r>
      <w:r w:rsidRPr="000B7B8D">
        <w:rPr>
          <w:rFonts w:asciiTheme="minorHAnsi" w:hAnsiTheme="minorHAnsi"/>
          <w:lang w:val="en-GB"/>
        </w:rPr>
        <w:t xml:space="preserve"> (2016)</w:t>
      </w:r>
      <w:r w:rsidR="009F43B5" w:rsidRPr="000B7B8D">
        <w:rPr>
          <w:rFonts w:asciiTheme="minorHAnsi" w:hAnsiTheme="minorHAnsi"/>
          <w:lang w:val="en-GB"/>
        </w:rPr>
        <w:t xml:space="preserve"> Protecting “First World” Markets and “Third World” Nature: The Politics of Illegal Logging in Australia, the European Union and the United States. Global Environmental Change 39: 294-304.</w:t>
      </w:r>
    </w:p>
    <w:p w14:paraId="61C0AC64" w14:textId="227DB3DF" w:rsidR="00B23B1A" w:rsidRPr="000B7B8D" w:rsidRDefault="009F43B5" w:rsidP="009F43B5">
      <w:pPr>
        <w:pStyle w:val="BodyTextHanging"/>
        <w:jc w:val="both"/>
        <w:rPr>
          <w:rFonts w:asciiTheme="minorHAnsi" w:hAnsiTheme="minorHAnsi"/>
          <w:lang w:val="en-GB"/>
        </w:rPr>
      </w:pPr>
      <w:r w:rsidRPr="000B7B8D">
        <w:rPr>
          <w:rFonts w:asciiTheme="minorHAnsi" w:hAnsiTheme="minorHAnsi"/>
          <w:lang w:val="en-GB"/>
        </w:rPr>
        <w:t xml:space="preserve">Leipold, S </w:t>
      </w:r>
      <w:r w:rsidR="00B23B1A" w:rsidRPr="000B7B8D">
        <w:rPr>
          <w:rFonts w:asciiTheme="minorHAnsi" w:hAnsiTheme="minorHAnsi"/>
          <w:lang w:val="en-GB"/>
        </w:rPr>
        <w:t xml:space="preserve">Winkel </w:t>
      </w:r>
      <w:r w:rsidRPr="000B7B8D">
        <w:rPr>
          <w:rFonts w:asciiTheme="minorHAnsi" w:hAnsiTheme="minorHAnsi"/>
          <w:lang w:val="en-GB"/>
        </w:rPr>
        <w:t xml:space="preserve">G </w:t>
      </w:r>
      <w:r w:rsidR="00B23B1A" w:rsidRPr="000B7B8D">
        <w:rPr>
          <w:rFonts w:asciiTheme="minorHAnsi" w:hAnsiTheme="minorHAnsi"/>
          <w:lang w:val="en-GB"/>
        </w:rPr>
        <w:t>(2016)</w:t>
      </w:r>
      <w:r w:rsidRPr="000B7B8D">
        <w:rPr>
          <w:rFonts w:asciiTheme="minorHAnsi" w:hAnsiTheme="minorHAnsi"/>
          <w:lang w:val="en-GB"/>
        </w:rPr>
        <w:t xml:space="preserve"> Divide and Conquer: Discursive Agency and the Politics of Illegal Logging in the United States. </w:t>
      </w:r>
      <w:r w:rsidRPr="000B7B8D">
        <w:rPr>
          <w:rFonts w:asciiTheme="minorHAnsi" w:hAnsiTheme="minorHAnsi"/>
          <w:i/>
          <w:lang w:val="en-GB"/>
        </w:rPr>
        <w:t xml:space="preserve">Global Environmental Change </w:t>
      </w:r>
      <w:r w:rsidRPr="000B7B8D">
        <w:rPr>
          <w:rFonts w:asciiTheme="minorHAnsi" w:hAnsiTheme="minorHAnsi"/>
          <w:b/>
          <w:lang w:val="en-GB"/>
        </w:rPr>
        <w:t>36</w:t>
      </w:r>
      <w:r w:rsidRPr="000B7B8D">
        <w:rPr>
          <w:rFonts w:asciiTheme="minorHAnsi" w:hAnsiTheme="minorHAnsi"/>
          <w:lang w:val="en-GB"/>
        </w:rPr>
        <w:t>: 35-45.</w:t>
      </w:r>
    </w:p>
    <w:p w14:paraId="03466B87" w14:textId="7942A5C4" w:rsidR="005A12F2" w:rsidRPr="000B7B8D" w:rsidRDefault="005A12F2" w:rsidP="005A12F2">
      <w:pPr>
        <w:pStyle w:val="BodyTextHanging"/>
        <w:jc w:val="both"/>
        <w:rPr>
          <w:rFonts w:asciiTheme="minorHAnsi" w:hAnsiTheme="minorHAnsi"/>
          <w:lang w:val="en-GB"/>
        </w:rPr>
      </w:pPr>
      <w:r w:rsidRPr="000B7B8D">
        <w:rPr>
          <w:rFonts w:asciiTheme="minorHAnsi" w:hAnsiTheme="minorHAnsi"/>
          <w:lang w:val="en-GB"/>
        </w:rPr>
        <w:t>Liberia-EU (2018)</w:t>
      </w:r>
      <w:r w:rsidR="0014169C" w:rsidRPr="000B7B8D">
        <w:rPr>
          <w:rFonts w:asciiTheme="minorHAnsi" w:hAnsiTheme="minorHAnsi"/>
          <w:lang w:val="en-GB"/>
        </w:rPr>
        <w:t xml:space="preserve"> </w:t>
      </w:r>
      <w:r w:rsidR="0014169C" w:rsidRPr="000B7B8D">
        <w:rPr>
          <w:rFonts w:asciiTheme="minorHAnsi" w:hAnsiTheme="minorHAnsi"/>
          <w:i/>
          <w:lang w:val="en-GB"/>
        </w:rPr>
        <w:t>Aide Memoire Sixth Meeting of the Joint Implementation Committee</w:t>
      </w:r>
      <w:r w:rsidR="0014169C" w:rsidRPr="000B7B8D">
        <w:rPr>
          <w:rFonts w:asciiTheme="minorHAnsi" w:hAnsiTheme="minorHAnsi"/>
          <w:lang w:val="en-GB"/>
        </w:rPr>
        <w:t>, Monrovia, June 13-14.</w:t>
      </w:r>
    </w:p>
    <w:p w14:paraId="01E30010" w14:textId="247B3646" w:rsidR="00AA1F9F" w:rsidRPr="00044974" w:rsidRDefault="00AA1F9F" w:rsidP="00044974">
      <w:pPr>
        <w:pStyle w:val="BodyTextHanging"/>
        <w:jc w:val="both"/>
        <w:rPr>
          <w:rFonts w:asciiTheme="minorHAnsi" w:hAnsiTheme="minorHAnsi"/>
          <w:lang w:val="en-GB"/>
        </w:rPr>
      </w:pPr>
      <w:r w:rsidRPr="000B7B8D">
        <w:rPr>
          <w:rFonts w:asciiTheme="minorHAnsi" w:hAnsiTheme="minorHAnsi"/>
          <w:lang w:val="en-GB"/>
        </w:rPr>
        <w:t xml:space="preserve">Masuda </w:t>
      </w:r>
      <w:r w:rsidR="006415DE" w:rsidRPr="000B7B8D">
        <w:rPr>
          <w:rFonts w:asciiTheme="minorHAnsi" w:hAnsiTheme="minorHAnsi"/>
          <w:lang w:val="en-GB"/>
        </w:rPr>
        <w:t xml:space="preserve">S </w:t>
      </w:r>
      <w:r w:rsidRPr="000B7B8D">
        <w:rPr>
          <w:rFonts w:asciiTheme="minorHAnsi" w:hAnsiTheme="minorHAnsi"/>
          <w:lang w:val="en-GB"/>
        </w:rPr>
        <w:t>(2017)</w:t>
      </w:r>
      <w:r w:rsidR="006415DE" w:rsidRPr="000B7B8D">
        <w:rPr>
          <w:rFonts w:asciiTheme="minorHAnsi" w:hAnsiTheme="minorHAnsi"/>
          <w:lang w:val="en-GB"/>
        </w:rPr>
        <w:t xml:space="preserve"> Nordic Baltic Cooperation &amp; Customs Data. Presentation to TREE meeting, </w:t>
      </w:r>
      <w:r w:rsidR="006415DE" w:rsidRPr="00044974">
        <w:rPr>
          <w:rFonts w:asciiTheme="minorHAnsi" w:hAnsiTheme="minorHAnsi"/>
          <w:lang w:val="en-GB"/>
        </w:rPr>
        <w:t>Valencia, 25 Octobe</w:t>
      </w:r>
      <w:r w:rsidR="00044974">
        <w:rPr>
          <w:rFonts w:asciiTheme="minorHAnsi" w:hAnsiTheme="minorHAnsi"/>
          <w:lang w:val="en-GB"/>
        </w:rPr>
        <w:t xml:space="preserve">r, </w:t>
      </w:r>
      <w:hyperlink r:id="rId53" w:history="1">
        <w:r w:rsidR="00044974" w:rsidRPr="00E57AD5">
          <w:rPr>
            <w:rStyle w:val="Hyperlink"/>
            <w:rFonts w:asciiTheme="minorHAnsi" w:hAnsiTheme="minorHAnsi"/>
            <w:lang w:val="en-GB"/>
          </w:rPr>
          <w:t>https://www.forest-trends.or/wp-content/uploads/2018/01/doc_5698.pdf</w:t>
        </w:r>
      </w:hyperlink>
      <w:r w:rsidR="00044974">
        <w:rPr>
          <w:rFonts w:asciiTheme="minorHAnsi" w:hAnsiTheme="minorHAnsi"/>
          <w:lang w:val="en-GB"/>
        </w:rPr>
        <w:t xml:space="preserve">. </w:t>
      </w:r>
    </w:p>
    <w:p w14:paraId="05FA1C26" w14:textId="3FB5EFB5" w:rsidR="00AA1F9F" w:rsidRPr="000B7B8D" w:rsidRDefault="00AA1F9F" w:rsidP="00AF606C">
      <w:pPr>
        <w:pStyle w:val="BodyTextHanging"/>
        <w:jc w:val="both"/>
        <w:rPr>
          <w:rFonts w:asciiTheme="minorHAnsi" w:hAnsiTheme="minorHAnsi"/>
          <w:lang w:val="en-GB"/>
        </w:rPr>
      </w:pPr>
      <w:r w:rsidRPr="000B7B8D">
        <w:rPr>
          <w:rFonts w:asciiTheme="minorHAnsi" w:hAnsiTheme="minorHAnsi"/>
          <w:lang w:val="en-GB"/>
        </w:rPr>
        <w:t xml:space="preserve">McMaugh </w:t>
      </w:r>
      <w:r w:rsidR="00421877" w:rsidRPr="000B7B8D">
        <w:rPr>
          <w:rFonts w:asciiTheme="minorHAnsi" w:hAnsiTheme="minorHAnsi"/>
          <w:lang w:val="en-GB"/>
        </w:rPr>
        <w:t xml:space="preserve">T </w:t>
      </w:r>
      <w:r w:rsidRPr="000B7B8D">
        <w:rPr>
          <w:rFonts w:asciiTheme="minorHAnsi" w:hAnsiTheme="minorHAnsi"/>
          <w:lang w:val="en-GB"/>
        </w:rPr>
        <w:t>(2016)</w:t>
      </w:r>
      <w:r w:rsidR="006415DE" w:rsidRPr="000B7B8D">
        <w:rPr>
          <w:rFonts w:asciiTheme="minorHAnsi" w:hAnsiTheme="minorHAnsi"/>
          <w:lang w:val="en-GB"/>
        </w:rPr>
        <w:t xml:space="preserve"> </w:t>
      </w:r>
      <w:r w:rsidR="00421877" w:rsidRPr="000B7B8D">
        <w:rPr>
          <w:rFonts w:asciiTheme="minorHAnsi" w:hAnsiTheme="minorHAnsi"/>
          <w:lang w:val="en-GB"/>
        </w:rPr>
        <w:t>Australian Government’s Illegal Logging Laws. Pr</w:t>
      </w:r>
      <w:r w:rsidR="00841446" w:rsidRPr="000B7B8D">
        <w:rPr>
          <w:rFonts w:asciiTheme="minorHAnsi" w:hAnsiTheme="minorHAnsi"/>
          <w:lang w:val="en-GB"/>
        </w:rPr>
        <w:t>esentation to TREE meeting, Pragu</w:t>
      </w:r>
      <w:r w:rsidR="00421877" w:rsidRPr="000B7B8D">
        <w:rPr>
          <w:rFonts w:asciiTheme="minorHAnsi" w:hAnsiTheme="minorHAnsi"/>
          <w:lang w:val="en-GB"/>
        </w:rPr>
        <w:t xml:space="preserve">e, </w:t>
      </w:r>
      <w:r w:rsidR="00841446" w:rsidRPr="000B7B8D">
        <w:rPr>
          <w:rFonts w:asciiTheme="minorHAnsi" w:hAnsiTheme="minorHAnsi"/>
          <w:lang w:val="en-GB"/>
        </w:rPr>
        <w:t>5-8 April,</w:t>
      </w:r>
      <w:r w:rsidR="000306D8" w:rsidRPr="000306D8">
        <w:t xml:space="preserve"> </w:t>
      </w:r>
      <w:r w:rsidR="000306D8" w:rsidRPr="000306D8">
        <w:rPr>
          <w:rFonts w:asciiTheme="minorHAnsi" w:hAnsiTheme="minorHAnsi"/>
          <w:lang w:val="en-GB"/>
        </w:rPr>
        <w:t>https://www.forest-trends.org/wp-content/uploads/imported/2c.%20for%20UPLOAD%20Teresa%20PRESENTATION%20-%20AUS-%20TREE%20prague.pdf</w:t>
      </w:r>
      <w:r w:rsidR="00841446" w:rsidRPr="000B7B8D">
        <w:rPr>
          <w:rFonts w:asciiTheme="minorHAnsi" w:hAnsiTheme="minorHAnsi"/>
          <w:lang w:val="en-GB"/>
        </w:rPr>
        <w:t>.</w:t>
      </w:r>
    </w:p>
    <w:p w14:paraId="77C20C84" w14:textId="7F7E7DFB" w:rsidR="00AA1F9F" w:rsidRPr="000B7B8D" w:rsidRDefault="00AA1F9F" w:rsidP="00AF606C">
      <w:pPr>
        <w:pStyle w:val="BodyTextHanging"/>
        <w:jc w:val="both"/>
        <w:rPr>
          <w:rFonts w:asciiTheme="minorHAnsi" w:hAnsiTheme="minorHAnsi"/>
          <w:lang w:val="en-GB"/>
        </w:rPr>
      </w:pPr>
      <w:r w:rsidRPr="000B7B8D">
        <w:rPr>
          <w:rFonts w:asciiTheme="minorHAnsi" w:hAnsiTheme="minorHAnsi"/>
          <w:lang w:val="en-GB"/>
        </w:rPr>
        <w:t xml:space="preserve">Momii </w:t>
      </w:r>
      <w:r w:rsidR="00841446" w:rsidRPr="000B7B8D">
        <w:rPr>
          <w:rFonts w:asciiTheme="minorHAnsi" w:hAnsiTheme="minorHAnsi"/>
          <w:lang w:val="en-GB"/>
        </w:rPr>
        <w:t xml:space="preserve">M </w:t>
      </w:r>
      <w:r w:rsidRPr="000B7B8D">
        <w:rPr>
          <w:rFonts w:asciiTheme="minorHAnsi" w:hAnsiTheme="minorHAnsi"/>
          <w:lang w:val="en-GB"/>
        </w:rPr>
        <w:t>(2014)</w:t>
      </w:r>
      <w:r w:rsidR="00841446" w:rsidRPr="000B7B8D">
        <w:rPr>
          <w:rFonts w:asciiTheme="minorHAnsi" w:hAnsiTheme="minorHAnsi"/>
          <w:lang w:val="en-GB"/>
        </w:rPr>
        <w:t xml:space="preserve"> </w:t>
      </w:r>
      <w:r w:rsidR="00841446" w:rsidRPr="000B7B8D">
        <w:rPr>
          <w:rFonts w:asciiTheme="minorHAnsi" w:hAnsiTheme="minorHAnsi"/>
          <w:i/>
          <w:lang w:val="en-GB"/>
        </w:rPr>
        <w:t>Trade in Illegal Timber: The Response in Japan</w:t>
      </w:r>
      <w:r w:rsidR="00841446" w:rsidRPr="000B7B8D">
        <w:rPr>
          <w:rFonts w:asciiTheme="minorHAnsi" w:hAnsiTheme="minorHAnsi"/>
          <w:lang w:val="en-GB"/>
        </w:rPr>
        <w:t xml:space="preserve">. Chatham House, </w:t>
      </w:r>
      <w:r w:rsidR="000306D8" w:rsidRPr="000306D8">
        <w:rPr>
          <w:rFonts w:asciiTheme="minorHAnsi" w:hAnsiTheme="minorHAnsi"/>
          <w:lang w:val="en-GB"/>
        </w:rPr>
        <w:t>https://www.chathamhouse.org/publication/trade-illegal-timber-response-japan</w:t>
      </w:r>
      <w:r w:rsidR="00841446" w:rsidRPr="000B7B8D">
        <w:rPr>
          <w:rFonts w:asciiTheme="minorHAnsi" w:hAnsiTheme="minorHAnsi"/>
          <w:lang w:val="en-GB"/>
        </w:rPr>
        <w:t>.</w:t>
      </w:r>
    </w:p>
    <w:p w14:paraId="6640BACD" w14:textId="7660B7EE" w:rsidR="00AA1F9F" w:rsidRPr="000B7B8D" w:rsidRDefault="00AA1F9F" w:rsidP="00AF606C">
      <w:pPr>
        <w:pStyle w:val="BodyTextHanging"/>
        <w:jc w:val="both"/>
        <w:rPr>
          <w:rFonts w:asciiTheme="minorHAnsi" w:hAnsiTheme="minorHAnsi"/>
          <w:lang w:val="en-GB"/>
        </w:rPr>
      </w:pPr>
      <w:r w:rsidRPr="000B7B8D">
        <w:rPr>
          <w:rFonts w:asciiTheme="minorHAnsi" w:hAnsiTheme="minorHAnsi"/>
          <w:lang w:val="en-GB"/>
        </w:rPr>
        <w:t xml:space="preserve">Momii </w:t>
      </w:r>
      <w:r w:rsidR="00841446" w:rsidRPr="000B7B8D">
        <w:rPr>
          <w:rFonts w:asciiTheme="minorHAnsi" w:hAnsiTheme="minorHAnsi"/>
          <w:lang w:val="en-GB"/>
        </w:rPr>
        <w:t xml:space="preserve">M </w:t>
      </w:r>
      <w:r w:rsidRPr="000B7B8D">
        <w:rPr>
          <w:rFonts w:asciiTheme="minorHAnsi" w:hAnsiTheme="minorHAnsi"/>
          <w:lang w:val="en-GB"/>
        </w:rPr>
        <w:t>(2016)</w:t>
      </w:r>
      <w:r w:rsidR="00841446" w:rsidRPr="000B7B8D">
        <w:rPr>
          <w:rFonts w:asciiTheme="minorHAnsi" w:hAnsiTheme="minorHAnsi"/>
          <w:lang w:val="en-GB"/>
        </w:rPr>
        <w:t xml:space="preserve"> Recent Developments on Timber Legality Regulations in Japan – An Overview. Presentation to Chatham House </w:t>
      </w:r>
      <w:r w:rsidR="00ED76FE" w:rsidRPr="000B7B8D">
        <w:rPr>
          <w:rFonts w:asciiTheme="minorHAnsi" w:hAnsiTheme="minorHAnsi"/>
          <w:lang w:val="en-GB"/>
        </w:rPr>
        <w:t>Illegal Logging Update and Stakeholder Consultation Meeting</w:t>
      </w:r>
      <w:r w:rsidR="00841446" w:rsidRPr="000B7B8D">
        <w:rPr>
          <w:rFonts w:asciiTheme="minorHAnsi" w:hAnsiTheme="minorHAnsi"/>
          <w:lang w:val="en-GB"/>
        </w:rPr>
        <w:t xml:space="preserve">, London, 16 June, </w:t>
      </w:r>
      <w:r w:rsidR="005156FF" w:rsidRPr="005156FF">
        <w:rPr>
          <w:rFonts w:asciiTheme="minorHAnsi" w:hAnsiTheme="minorHAnsi"/>
          <w:lang w:val="en-GB"/>
        </w:rPr>
        <w:t>https://www.illegal-logging.info/sites/files/chlogging/Day%201_Session%201_Mari%20Momii.pdf</w:t>
      </w:r>
      <w:r w:rsidR="00841446" w:rsidRPr="000B7B8D">
        <w:rPr>
          <w:rFonts w:asciiTheme="minorHAnsi" w:hAnsiTheme="minorHAnsi"/>
          <w:lang w:val="en-GB"/>
        </w:rPr>
        <w:t>.</w:t>
      </w:r>
    </w:p>
    <w:p w14:paraId="0EA63E5D" w14:textId="5B0A1058" w:rsidR="002534FE" w:rsidRPr="000B7B8D" w:rsidRDefault="00CE0E54" w:rsidP="00AF606C">
      <w:pPr>
        <w:pStyle w:val="BodyTextHanging"/>
        <w:jc w:val="both"/>
        <w:rPr>
          <w:rFonts w:asciiTheme="minorHAnsi" w:hAnsiTheme="minorHAnsi"/>
          <w:lang w:val="en-GB"/>
        </w:rPr>
      </w:pPr>
      <w:r w:rsidRPr="000B7B8D">
        <w:rPr>
          <w:rFonts w:asciiTheme="minorHAnsi" w:hAnsiTheme="minorHAnsi"/>
          <w:lang w:val="en-GB"/>
        </w:rPr>
        <w:t>Nathan I, Chen J, Hansen CP, Xu B, Li Y</w:t>
      </w:r>
      <w:r w:rsidR="002534FE" w:rsidRPr="000B7B8D">
        <w:rPr>
          <w:rFonts w:asciiTheme="minorHAnsi" w:hAnsiTheme="minorHAnsi"/>
          <w:lang w:val="en-GB"/>
        </w:rPr>
        <w:t xml:space="preserve"> (2018)</w:t>
      </w:r>
      <w:r w:rsidRPr="000B7B8D">
        <w:rPr>
          <w:rFonts w:asciiTheme="minorHAnsi" w:hAnsiTheme="minorHAnsi"/>
          <w:lang w:val="en-GB"/>
        </w:rPr>
        <w:t xml:space="preserve"> Facing the Complexities of the Global Timber Trade Regime: How Do Chinese Wood Enterprises Respond to International Legality Verification Requirements, and What are the Implications for Regime Effectiveness? </w:t>
      </w:r>
      <w:r w:rsidRPr="000B7B8D">
        <w:rPr>
          <w:rFonts w:asciiTheme="minorHAnsi" w:hAnsiTheme="minorHAnsi"/>
          <w:i/>
          <w:lang w:val="en-GB"/>
        </w:rPr>
        <w:t xml:space="preserve">Forest Policy and Economics </w:t>
      </w:r>
      <w:r w:rsidRPr="000B7B8D">
        <w:rPr>
          <w:rFonts w:asciiTheme="minorHAnsi" w:hAnsiTheme="minorHAnsi"/>
          <w:lang w:val="en-GB"/>
        </w:rPr>
        <w:t>92: 169-80.</w:t>
      </w:r>
    </w:p>
    <w:p w14:paraId="5420ABF5" w14:textId="4181A90D" w:rsidR="00EF3FDE" w:rsidRPr="000B7B8D" w:rsidRDefault="00EF3FDE" w:rsidP="00AF606C">
      <w:pPr>
        <w:pStyle w:val="BodyTextHanging"/>
        <w:jc w:val="both"/>
        <w:rPr>
          <w:rFonts w:asciiTheme="minorHAnsi" w:hAnsiTheme="minorHAnsi"/>
          <w:lang w:val="en-GB"/>
        </w:rPr>
      </w:pPr>
      <w:r w:rsidRPr="000B7B8D">
        <w:rPr>
          <w:rFonts w:asciiTheme="minorHAnsi" w:hAnsiTheme="minorHAnsi"/>
          <w:lang w:val="en-GB"/>
        </w:rPr>
        <w:t>Ostrom</w:t>
      </w:r>
      <w:r w:rsidR="00A31A5C" w:rsidRPr="000B7B8D">
        <w:rPr>
          <w:rFonts w:asciiTheme="minorHAnsi" w:hAnsiTheme="minorHAnsi"/>
          <w:lang w:val="en-GB"/>
        </w:rPr>
        <w:t xml:space="preserve"> E</w:t>
      </w:r>
      <w:r w:rsidRPr="000B7B8D">
        <w:rPr>
          <w:rFonts w:asciiTheme="minorHAnsi" w:hAnsiTheme="minorHAnsi"/>
          <w:lang w:val="en-GB"/>
        </w:rPr>
        <w:t xml:space="preserve"> (2010) </w:t>
      </w:r>
      <w:r w:rsidR="00A31A5C" w:rsidRPr="000B7B8D">
        <w:rPr>
          <w:rFonts w:asciiTheme="minorHAnsi" w:hAnsiTheme="minorHAnsi"/>
          <w:lang w:val="en-GB"/>
        </w:rPr>
        <w:t xml:space="preserve">Beyond Markets and States: Polycentric Governance of Complex Economic Systems. </w:t>
      </w:r>
      <w:r w:rsidR="00A31A5C" w:rsidRPr="000B7B8D">
        <w:rPr>
          <w:rFonts w:asciiTheme="minorHAnsi" w:hAnsiTheme="minorHAnsi"/>
          <w:i/>
          <w:lang w:val="en-GB"/>
        </w:rPr>
        <w:t xml:space="preserve">American Economic Review </w:t>
      </w:r>
      <w:r w:rsidR="00A31A5C" w:rsidRPr="000B7B8D">
        <w:rPr>
          <w:rFonts w:asciiTheme="minorHAnsi" w:hAnsiTheme="minorHAnsi"/>
          <w:b/>
          <w:lang w:val="en-GB"/>
        </w:rPr>
        <w:t xml:space="preserve">100: </w:t>
      </w:r>
      <w:r w:rsidR="00A31A5C" w:rsidRPr="000B7B8D">
        <w:rPr>
          <w:rFonts w:asciiTheme="minorHAnsi" w:hAnsiTheme="minorHAnsi"/>
          <w:lang w:val="en-GB"/>
        </w:rPr>
        <w:t>641-72.</w:t>
      </w:r>
    </w:p>
    <w:p w14:paraId="7D42C477" w14:textId="0365E555" w:rsidR="0087183A" w:rsidRPr="000B7B8D" w:rsidRDefault="0087183A" w:rsidP="00AF606C">
      <w:pPr>
        <w:pStyle w:val="BodyTextHanging"/>
        <w:jc w:val="both"/>
        <w:rPr>
          <w:rFonts w:asciiTheme="minorHAnsi" w:hAnsiTheme="minorHAnsi"/>
          <w:lang w:val="en-GB"/>
        </w:rPr>
      </w:pPr>
      <w:r w:rsidRPr="000B7B8D">
        <w:rPr>
          <w:rFonts w:asciiTheme="minorHAnsi" w:hAnsiTheme="minorHAnsi"/>
          <w:lang w:val="en-GB"/>
        </w:rPr>
        <w:t xml:space="preserve">Overdevest C, Zeitlin J (2014) Assembling an Experimentalist Regime: Transnational Governance Interactions in the Forest Sector. </w:t>
      </w:r>
      <w:r w:rsidRPr="000B7B8D">
        <w:rPr>
          <w:rFonts w:asciiTheme="minorHAnsi" w:hAnsiTheme="minorHAnsi"/>
          <w:i/>
          <w:lang w:val="en-GB"/>
        </w:rPr>
        <w:t>Regulation &amp; Governance</w:t>
      </w:r>
      <w:r w:rsidRPr="000B7B8D">
        <w:rPr>
          <w:rFonts w:asciiTheme="minorHAnsi" w:hAnsiTheme="minorHAnsi"/>
          <w:lang w:val="en-GB"/>
        </w:rPr>
        <w:t xml:space="preserve"> 8, 22–48.</w:t>
      </w:r>
    </w:p>
    <w:p w14:paraId="1F060787" w14:textId="03DB3BCE" w:rsidR="00523396" w:rsidRPr="000B7B8D" w:rsidRDefault="0087183A" w:rsidP="00AF606C">
      <w:pPr>
        <w:pStyle w:val="BodyTextHanging"/>
        <w:jc w:val="both"/>
        <w:rPr>
          <w:rFonts w:asciiTheme="minorHAnsi" w:hAnsiTheme="minorHAnsi"/>
          <w:lang w:val="en-GB"/>
        </w:rPr>
      </w:pPr>
      <w:r w:rsidRPr="000B7B8D">
        <w:rPr>
          <w:rFonts w:asciiTheme="minorHAnsi" w:hAnsiTheme="minorHAnsi"/>
          <w:lang w:val="en-GB"/>
        </w:rPr>
        <w:t xml:space="preserve">Overdevest C, Zeitlin J (2015) Forest Law Enforcement Governance and Trade (FLEGT): Transnational Dynamics of an EU Experimentalist Regime. In: Zeitlin J (ed) </w:t>
      </w:r>
      <w:r w:rsidRPr="000B7B8D">
        <w:rPr>
          <w:rFonts w:asciiTheme="minorHAnsi" w:hAnsiTheme="minorHAnsi"/>
          <w:i/>
          <w:lang w:val="en-GB"/>
        </w:rPr>
        <w:t>Extending Experimentalist Governance? The European Union and Transnational</w:t>
      </w:r>
      <w:r w:rsidRPr="000B7B8D">
        <w:rPr>
          <w:rFonts w:asciiTheme="minorHAnsi" w:hAnsiTheme="minorHAnsi"/>
          <w:i/>
        </w:rPr>
        <w:t xml:space="preserve"> </w:t>
      </w:r>
      <w:r w:rsidRPr="000B7B8D">
        <w:rPr>
          <w:rFonts w:asciiTheme="minorHAnsi" w:hAnsiTheme="minorHAnsi"/>
          <w:i/>
          <w:lang w:val="en-GB"/>
        </w:rPr>
        <w:t>Regulation</w:t>
      </w:r>
      <w:r w:rsidRPr="000B7B8D">
        <w:rPr>
          <w:rFonts w:asciiTheme="minorHAnsi" w:hAnsiTheme="minorHAnsi"/>
          <w:lang w:val="en-GB"/>
        </w:rPr>
        <w:t>, pp. 137–165. OUP, Oxford.</w:t>
      </w:r>
    </w:p>
    <w:p w14:paraId="76E5F959" w14:textId="51DED66B" w:rsidR="005818B3" w:rsidRPr="000B7B8D" w:rsidRDefault="005818B3" w:rsidP="00AF606C">
      <w:pPr>
        <w:pStyle w:val="BodyTextHanging"/>
        <w:jc w:val="both"/>
        <w:rPr>
          <w:rFonts w:asciiTheme="minorHAnsi" w:hAnsiTheme="minorHAnsi"/>
          <w:lang w:val="en-GB"/>
        </w:rPr>
      </w:pPr>
      <w:r w:rsidRPr="000B7B8D">
        <w:rPr>
          <w:rFonts w:asciiTheme="minorHAnsi" w:hAnsiTheme="minorHAnsi"/>
          <w:lang w:val="en-GB"/>
        </w:rPr>
        <w:lastRenderedPageBreak/>
        <w:t xml:space="preserve">Overdevest C, Zeitlin J (2018) Experimentalism in Transnational Forest Governance: Implementing European Union Forest Law Enforcement, Governance and Trade (FLEGT) Voluntary Partnership Agreements in Indonesia and Ghana. </w:t>
      </w:r>
      <w:r w:rsidRPr="000B7B8D">
        <w:rPr>
          <w:rFonts w:asciiTheme="minorHAnsi" w:hAnsiTheme="minorHAnsi"/>
          <w:i/>
          <w:lang w:val="en-GB"/>
        </w:rPr>
        <w:t xml:space="preserve">Regulation &amp; Governance </w:t>
      </w:r>
      <w:r w:rsidRPr="000B7B8D">
        <w:rPr>
          <w:rFonts w:asciiTheme="minorHAnsi" w:hAnsiTheme="minorHAnsi"/>
          <w:lang w:val="en-GB"/>
        </w:rPr>
        <w:t>12, 64-87.</w:t>
      </w:r>
    </w:p>
    <w:p w14:paraId="49F76040" w14:textId="77777777" w:rsidR="009F39F7" w:rsidRPr="000B7B8D" w:rsidRDefault="009F39F7" w:rsidP="009F39F7">
      <w:pPr>
        <w:pStyle w:val="BodyTextHanging"/>
        <w:jc w:val="both"/>
        <w:rPr>
          <w:rFonts w:asciiTheme="minorHAnsi" w:hAnsiTheme="minorHAnsi"/>
          <w:lang w:val="en-GB"/>
        </w:rPr>
      </w:pPr>
      <w:r w:rsidRPr="000B7B8D">
        <w:rPr>
          <w:rFonts w:asciiTheme="minorHAnsi" w:hAnsiTheme="minorHAnsi"/>
          <w:lang w:val="en-GB"/>
        </w:rPr>
        <w:t>Parker J (2018) BVRio Responsible Timber Exchange. Presentation to VPA Lesson-Sharing Conference, Accra, Ghana, 26-27 November.</w:t>
      </w:r>
    </w:p>
    <w:p w14:paraId="4CA07996" w14:textId="4B08CEBB" w:rsidR="006E3641" w:rsidRPr="000B7B8D" w:rsidRDefault="006E3641" w:rsidP="008A0992">
      <w:pPr>
        <w:pStyle w:val="BodyTextHanging"/>
        <w:jc w:val="both"/>
        <w:rPr>
          <w:rFonts w:asciiTheme="minorHAnsi" w:hAnsiTheme="minorHAnsi"/>
          <w:lang w:val="en-GB"/>
        </w:rPr>
      </w:pPr>
      <w:r w:rsidRPr="000B7B8D">
        <w:rPr>
          <w:rFonts w:asciiTheme="minorHAnsi" w:hAnsiTheme="minorHAnsi"/>
          <w:lang w:val="en-GB"/>
        </w:rPr>
        <w:t>PEFC (2015a)</w:t>
      </w:r>
      <w:r w:rsidR="00BE242B" w:rsidRPr="000B7B8D">
        <w:rPr>
          <w:rFonts w:asciiTheme="minorHAnsi" w:hAnsiTheme="minorHAnsi"/>
          <w:lang w:val="en-GB"/>
        </w:rPr>
        <w:t xml:space="preserve"> </w:t>
      </w:r>
      <w:r w:rsidR="00BE242B" w:rsidRPr="000B7B8D">
        <w:rPr>
          <w:rFonts w:asciiTheme="minorHAnsi" w:hAnsiTheme="minorHAnsi"/>
          <w:i/>
          <w:lang w:val="en-GB"/>
        </w:rPr>
        <w:t>PEFC Contribution to the Review of the EU Timber Regulation</w:t>
      </w:r>
      <w:r w:rsidR="00BE242B" w:rsidRPr="000B7B8D">
        <w:rPr>
          <w:rFonts w:asciiTheme="minorHAnsi" w:hAnsiTheme="minorHAnsi"/>
          <w:lang w:val="en-GB"/>
        </w:rPr>
        <w:t xml:space="preserve">, </w:t>
      </w:r>
      <w:r w:rsidR="00285733" w:rsidRPr="00285733">
        <w:rPr>
          <w:rFonts w:asciiTheme="minorHAnsi" w:hAnsiTheme="minorHAnsi"/>
          <w:lang w:val="en-GB"/>
        </w:rPr>
        <w:t>http://ec.europa.eu/transparency/regexpert/index.cfm?do=groupDetail.groupDetailDoc&amp;id=24441&amp;no=7</w:t>
      </w:r>
      <w:r w:rsidR="00285733">
        <w:rPr>
          <w:rFonts w:asciiTheme="minorHAnsi" w:hAnsiTheme="minorHAnsi"/>
          <w:lang w:val="en-GB"/>
        </w:rPr>
        <w:t>.</w:t>
      </w:r>
      <w:r w:rsidR="00255F73">
        <w:rPr>
          <w:rFonts w:asciiTheme="minorHAnsi" w:hAnsiTheme="minorHAnsi"/>
          <w:lang w:val="en-GB"/>
        </w:rPr>
        <w:t xml:space="preserve"> </w:t>
      </w:r>
    </w:p>
    <w:p w14:paraId="2FB4F418" w14:textId="721DFB55" w:rsidR="006E3641" w:rsidRPr="000B7B8D" w:rsidRDefault="006E3641" w:rsidP="008A0992">
      <w:pPr>
        <w:pStyle w:val="BodyTextHanging"/>
        <w:jc w:val="both"/>
        <w:rPr>
          <w:rFonts w:asciiTheme="minorHAnsi" w:hAnsiTheme="minorHAnsi"/>
          <w:lang w:val="en-GB"/>
        </w:rPr>
      </w:pPr>
      <w:r w:rsidRPr="000B7B8D">
        <w:rPr>
          <w:rFonts w:asciiTheme="minorHAnsi" w:hAnsiTheme="minorHAnsi"/>
          <w:lang w:val="en-GB"/>
        </w:rPr>
        <w:t>PEFC (2015b)</w:t>
      </w:r>
      <w:r w:rsidR="00BE242B" w:rsidRPr="000B7B8D">
        <w:rPr>
          <w:rFonts w:asciiTheme="minorHAnsi" w:hAnsiTheme="minorHAnsi"/>
          <w:lang w:val="en-GB"/>
        </w:rPr>
        <w:t xml:space="preserve"> </w:t>
      </w:r>
      <w:r w:rsidR="00BE242B" w:rsidRPr="000B7B8D">
        <w:rPr>
          <w:rFonts w:asciiTheme="minorHAnsi" w:hAnsiTheme="minorHAnsi"/>
          <w:i/>
          <w:lang w:val="en-GB"/>
        </w:rPr>
        <w:t xml:space="preserve">PEFC Global Statistics: SFM &amp; CoC Certification, </w:t>
      </w:r>
      <w:r w:rsidR="00BE242B" w:rsidRPr="000B7B8D">
        <w:rPr>
          <w:rFonts w:asciiTheme="minorHAnsi" w:hAnsiTheme="minorHAnsi"/>
          <w:lang w:val="en-GB"/>
        </w:rPr>
        <w:t xml:space="preserve">December, </w:t>
      </w:r>
      <w:r w:rsidR="00BB346A" w:rsidRPr="00BB346A">
        <w:rPr>
          <w:rFonts w:asciiTheme="minorHAnsi" w:hAnsiTheme="minorHAnsi"/>
          <w:lang w:val="en-GB"/>
        </w:rPr>
        <w:t>https://label.pefc.org/images/documents/PEFC_Global_Certificates_-_December_2015.pdf</w:t>
      </w:r>
      <w:r w:rsidR="00BE242B" w:rsidRPr="000B7B8D">
        <w:rPr>
          <w:rFonts w:asciiTheme="minorHAnsi" w:hAnsiTheme="minorHAnsi"/>
          <w:lang w:val="en-GB"/>
        </w:rPr>
        <w:t>.</w:t>
      </w:r>
    </w:p>
    <w:p w14:paraId="1881F763" w14:textId="09298EE7" w:rsidR="00BE242B" w:rsidRPr="000B7B8D" w:rsidRDefault="00BE242B" w:rsidP="008A0992">
      <w:pPr>
        <w:pStyle w:val="BodyTextHanging"/>
        <w:jc w:val="both"/>
        <w:rPr>
          <w:rFonts w:asciiTheme="minorHAnsi" w:hAnsiTheme="minorHAnsi"/>
          <w:lang w:val="en-GB"/>
        </w:rPr>
      </w:pPr>
      <w:r w:rsidRPr="000B7B8D">
        <w:rPr>
          <w:rFonts w:asciiTheme="minorHAnsi" w:hAnsiTheme="minorHAnsi"/>
          <w:lang w:val="en-GB"/>
        </w:rPr>
        <w:t xml:space="preserve">PEFC (2018) </w:t>
      </w:r>
      <w:r w:rsidRPr="000B7B8D">
        <w:rPr>
          <w:rFonts w:asciiTheme="minorHAnsi" w:hAnsiTheme="minorHAnsi"/>
          <w:i/>
          <w:lang w:val="en-GB"/>
        </w:rPr>
        <w:t xml:space="preserve">PEFC Global Statistics: SFM &amp; CoC Certification, </w:t>
      </w:r>
      <w:r w:rsidRPr="000B7B8D">
        <w:rPr>
          <w:rFonts w:asciiTheme="minorHAnsi" w:hAnsiTheme="minorHAnsi"/>
          <w:lang w:val="en-GB"/>
        </w:rPr>
        <w:t xml:space="preserve">December, </w:t>
      </w:r>
      <w:r w:rsidR="00BB346A" w:rsidRPr="00BB346A">
        <w:rPr>
          <w:rFonts w:asciiTheme="minorHAnsi" w:hAnsiTheme="minorHAnsi"/>
          <w:lang w:val="en-GB"/>
        </w:rPr>
        <w:t>https://label.pefc.org/images/documents/PEFC_Global_Certificates_-_Dec_2018.pdf</w:t>
      </w:r>
      <w:r w:rsidRPr="000B7B8D">
        <w:rPr>
          <w:rFonts w:asciiTheme="minorHAnsi" w:hAnsiTheme="minorHAnsi"/>
          <w:lang w:val="en-GB"/>
        </w:rPr>
        <w:t>.</w:t>
      </w:r>
    </w:p>
    <w:p w14:paraId="0AB9C7E6" w14:textId="7532A0A9" w:rsidR="00412E97" w:rsidRPr="000B7B8D" w:rsidRDefault="00412E97" w:rsidP="008A0992">
      <w:pPr>
        <w:pStyle w:val="BodyTextHanging"/>
        <w:jc w:val="both"/>
        <w:rPr>
          <w:rFonts w:asciiTheme="minorHAnsi" w:hAnsiTheme="minorHAnsi"/>
          <w:lang w:val="en-GB"/>
        </w:rPr>
      </w:pPr>
      <w:r w:rsidRPr="000B7B8D">
        <w:rPr>
          <w:rFonts w:asciiTheme="minorHAnsi" w:hAnsiTheme="minorHAnsi"/>
          <w:lang w:val="en-GB"/>
        </w:rPr>
        <w:t xml:space="preserve">Perez </w:t>
      </w:r>
      <w:r w:rsidR="00BE242B" w:rsidRPr="000B7B8D">
        <w:rPr>
          <w:rFonts w:asciiTheme="minorHAnsi" w:hAnsiTheme="minorHAnsi"/>
          <w:lang w:val="en-GB"/>
        </w:rPr>
        <w:t xml:space="preserve">L </w:t>
      </w:r>
      <w:r w:rsidRPr="000B7B8D">
        <w:rPr>
          <w:rFonts w:asciiTheme="minorHAnsi" w:hAnsiTheme="minorHAnsi"/>
          <w:lang w:val="en-GB"/>
        </w:rPr>
        <w:t>(2017)</w:t>
      </w:r>
      <w:r w:rsidR="00BE242B" w:rsidRPr="000B7B8D">
        <w:rPr>
          <w:rFonts w:asciiTheme="minorHAnsi" w:hAnsiTheme="minorHAnsi"/>
          <w:lang w:val="en-GB"/>
        </w:rPr>
        <w:t xml:space="preserve"> </w:t>
      </w:r>
      <w:r w:rsidR="004B22B9" w:rsidRPr="000B7B8D">
        <w:rPr>
          <w:rFonts w:asciiTheme="minorHAnsi" w:hAnsiTheme="minorHAnsi"/>
          <w:lang w:val="en-GB"/>
        </w:rPr>
        <w:t xml:space="preserve">EU FLEGT VPAs Update. Presentation to </w:t>
      </w:r>
      <w:r w:rsidR="00ED76FE" w:rsidRPr="000B7B8D">
        <w:rPr>
          <w:rFonts w:asciiTheme="minorHAnsi" w:hAnsiTheme="minorHAnsi"/>
          <w:lang w:val="en-GB"/>
        </w:rPr>
        <w:t>Illegal Logging Update and Stakeholder Consultation Meeting</w:t>
      </w:r>
      <w:r w:rsidR="004B22B9" w:rsidRPr="000B7B8D">
        <w:rPr>
          <w:rFonts w:asciiTheme="minorHAnsi" w:hAnsiTheme="minorHAnsi"/>
          <w:lang w:val="en-GB"/>
        </w:rPr>
        <w:t>,</w:t>
      </w:r>
      <w:r w:rsidR="00923590">
        <w:rPr>
          <w:rFonts w:asciiTheme="minorHAnsi" w:hAnsiTheme="minorHAnsi"/>
          <w:lang w:val="en-GB"/>
        </w:rPr>
        <w:t xml:space="preserve"> Chatham House, 19</w:t>
      </w:r>
      <w:r w:rsidR="004B22B9" w:rsidRPr="000B7B8D">
        <w:rPr>
          <w:rFonts w:asciiTheme="minorHAnsi" w:hAnsiTheme="minorHAnsi"/>
          <w:lang w:val="en-GB"/>
        </w:rPr>
        <w:t xml:space="preserve"> June, </w:t>
      </w:r>
      <w:hyperlink r:id="rId54" w:history="1">
        <w:r w:rsidR="00923590" w:rsidRPr="00E57AD5">
          <w:rPr>
            <w:rStyle w:val="Hyperlink"/>
            <w:rFonts w:asciiTheme="minorHAnsi" w:hAnsiTheme="minorHAnsi"/>
            <w:lang w:val="en-GB"/>
          </w:rPr>
          <w:t>https://www.illegal-logging.info/sites/files/chlogging/Day1Session1LucaPerez.pdf</w:t>
        </w:r>
      </w:hyperlink>
      <w:r w:rsidR="00923590">
        <w:rPr>
          <w:rFonts w:asciiTheme="minorHAnsi" w:hAnsiTheme="minorHAnsi"/>
          <w:lang w:val="en-GB"/>
        </w:rPr>
        <w:t xml:space="preserve"> </w:t>
      </w:r>
      <w:r w:rsidR="004B22B9" w:rsidRPr="000B7B8D">
        <w:rPr>
          <w:rFonts w:asciiTheme="minorHAnsi" w:hAnsiTheme="minorHAnsi"/>
          <w:lang w:val="en-GB"/>
        </w:rPr>
        <w:t>.</w:t>
      </w:r>
    </w:p>
    <w:p w14:paraId="4C4BFCE2" w14:textId="77777777" w:rsidR="005156FF" w:rsidRPr="000B7B8D" w:rsidRDefault="005156FF" w:rsidP="005156FF">
      <w:pPr>
        <w:pStyle w:val="BodyTextHanging"/>
        <w:jc w:val="both"/>
        <w:rPr>
          <w:rFonts w:asciiTheme="minorHAnsi" w:hAnsiTheme="minorHAnsi"/>
          <w:lang w:val="en-GB"/>
        </w:rPr>
      </w:pPr>
      <w:r w:rsidRPr="000B7B8D">
        <w:rPr>
          <w:rFonts w:asciiTheme="minorHAnsi" w:hAnsiTheme="minorHAnsi"/>
          <w:lang w:val="en-GB"/>
        </w:rPr>
        <w:t xml:space="preserve">Perez O (2011) Private Environmental Governance as Ensemble Regulation: A Critical Exploration of Sustainability Indexes and the New Ensemble Politics. </w:t>
      </w:r>
      <w:r w:rsidRPr="000B7B8D">
        <w:rPr>
          <w:rFonts w:asciiTheme="minorHAnsi" w:hAnsiTheme="minorHAnsi"/>
          <w:i/>
          <w:lang w:val="en-GB"/>
        </w:rPr>
        <w:t>Theoretical Enquiries in Law</w:t>
      </w:r>
      <w:r w:rsidRPr="000B7B8D">
        <w:rPr>
          <w:rFonts w:asciiTheme="minorHAnsi" w:hAnsiTheme="minorHAnsi"/>
          <w:lang w:val="en-GB"/>
        </w:rPr>
        <w:t xml:space="preserve"> </w:t>
      </w:r>
      <w:r w:rsidRPr="000B7B8D">
        <w:rPr>
          <w:rFonts w:asciiTheme="minorHAnsi" w:hAnsiTheme="minorHAnsi"/>
          <w:b/>
          <w:lang w:val="en-GB"/>
        </w:rPr>
        <w:t xml:space="preserve">12: </w:t>
      </w:r>
      <w:r w:rsidRPr="000B7B8D">
        <w:rPr>
          <w:rFonts w:asciiTheme="minorHAnsi" w:hAnsiTheme="minorHAnsi"/>
          <w:lang w:val="en-GB"/>
        </w:rPr>
        <w:t>543-79.</w:t>
      </w:r>
    </w:p>
    <w:p w14:paraId="4C2DCF86" w14:textId="10681846" w:rsidR="00132D00" w:rsidRDefault="006E3641" w:rsidP="004B22B9">
      <w:pPr>
        <w:pStyle w:val="BodyTextHanging"/>
        <w:jc w:val="both"/>
        <w:rPr>
          <w:rFonts w:asciiTheme="minorHAnsi" w:hAnsiTheme="minorHAnsi"/>
          <w:lang w:val="en-GB"/>
        </w:rPr>
      </w:pPr>
      <w:r w:rsidRPr="000B7B8D">
        <w:rPr>
          <w:rFonts w:asciiTheme="minorHAnsi" w:hAnsiTheme="minorHAnsi"/>
          <w:lang w:val="en-GB"/>
        </w:rPr>
        <w:t>Proforest (2012)</w:t>
      </w:r>
      <w:r w:rsidR="004B22B9" w:rsidRPr="000B7B8D">
        <w:rPr>
          <w:rFonts w:asciiTheme="minorHAnsi" w:hAnsiTheme="minorHAnsi"/>
          <w:lang w:val="en-GB"/>
        </w:rPr>
        <w:t xml:space="preserve"> </w:t>
      </w:r>
      <w:r w:rsidR="004B22B9" w:rsidRPr="000B7B8D">
        <w:rPr>
          <w:rFonts w:asciiTheme="minorHAnsi" w:hAnsiTheme="minorHAnsi"/>
          <w:i/>
          <w:lang w:val="en-GB"/>
        </w:rPr>
        <w:t>Assessment of Certification and Legality Verification Schemes: For the European Timber Trade Federation (ETTF)</w:t>
      </w:r>
      <w:r w:rsidR="004B22B9" w:rsidRPr="000B7B8D">
        <w:rPr>
          <w:rFonts w:asciiTheme="minorHAnsi" w:hAnsiTheme="minorHAnsi"/>
          <w:lang w:val="en-GB"/>
        </w:rPr>
        <w:t xml:space="preserve">, </w:t>
      </w:r>
      <w:hyperlink r:id="rId55" w:history="1">
        <w:r w:rsidR="00132D00" w:rsidRPr="00E57AD5">
          <w:rPr>
            <w:rStyle w:val="Hyperlink"/>
            <w:rFonts w:asciiTheme="minorHAnsi" w:hAnsiTheme="minorHAnsi"/>
            <w:lang w:val="en-GB"/>
          </w:rPr>
          <w:t>https://www.google.com/url?sa=t&amp;rct=j&amp;q=&amp;esrc=s&amp;source=web&amp;cd=1&amp;ved=2ahUKEwiqr8ql3vrhAhWMJVAKHbdcDiEQFjAAegQIABAC&amp;url=https%3A%2F%2Fwww.proforest.net%2Fproforest%2Fen%2Ffiles%2Fassessment-of-certification-and-legality-verification-schemes-2013-full-report.pdf&amp;usg=AOvVaw2CnCbm_qICcrIMsLr00FAi</w:t>
        </w:r>
      </w:hyperlink>
    </w:p>
    <w:p w14:paraId="02D076E5" w14:textId="5F95266C" w:rsidR="005A12F2" w:rsidRPr="000B7B8D" w:rsidRDefault="005A12F2" w:rsidP="008A0992">
      <w:pPr>
        <w:pStyle w:val="BodyTextHanging"/>
        <w:jc w:val="both"/>
        <w:rPr>
          <w:rFonts w:asciiTheme="minorHAnsi" w:hAnsiTheme="minorHAnsi"/>
          <w:lang w:val="en-GB"/>
        </w:rPr>
      </w:pPr>
      <w:r w:rsidRPr="000B7B8D">
        <w:rPr>
          <w:rFonts w:asciiTheme="minorHAnsi" w:hAnsiTheme="minorHAnsi"/>
          <w:lang w:val="en-GB"/>
        </w:rPr>
        <w:t xml:space="preserve">Republic of Congo-EU </w:t>
      </w:r>
      <w:r w:rsidR="006E3641" w:rsidRPr="000B7B8D">
        <w:rPr>
          <w:rFonts w:asciiTheme="minorHAnsi" w:hAnsiTheme="minorHAnsi"/>
          <w:lang w:val="en-GB"/>
        </w:rPr>
        <w:t>(</w:t>
      </w:r>
      <w:r w:rsidRPr="000B7B8D">
        <w:rPr>
          <w:rFonts w:asciiTheme="minorHAnsi" w:hAnsiTheme="minorHAnsi"/>
          <w:lang w:val="en-GB"/>
        </w:rPr>
        <w:t>2018</w:t>
      </w:r>
      <w:r w:rsidR="006E3641" w:rsidRPr="000B7B8D">
        <w:rPr>
          <w:rFonts w:asciiTheme="minorHAnsi" w:hAnsiTheme="minorHAnsi"/>
          <w:lang w:val="en-GB"/>
        </w:rPr>
        <w:t>)</w:t>
      </w:r>
      <w:r w:rsidR="0014169C" w:rsidRPr="000B7B8D">
        <w:rPr>
          <w:rFonts w:asciiTheme="minorHAnsi" w:hAnsiTheme="minorHAnsi"/>
          <w:lang w:val="en-GB"/>
        </w:rPr>
        <w:t xml:space="preserve"> </w:t>
      </w:r>
      <w:r w:rsidR="004B22B9" w:rsidRPr="000B7B8D">
        <w:rPr>
          <w:rFonts w:asciiTheme="minorHAnsi" w:hAnsiTheme="minorHAnsi"/>
          <w:i/>
          <w:lang w:val="en-GB"/>
        </w:rPr>
        <w:t>Aide-Mémoire du H</w:t>
      </w:r>
      <w:r w:rsidR="0014169C" w:rsidRPr="000B7B8D">
        <w:rPr>
          <w:rFonts w:asciiTheme="minorHAnsi" w:hAnsiTheme="minorHAnsi"/>
          <w:i/>
          <w:lang w:val="en-GB"/>
        </w:rPr>
        <w:t>uitième Comité Conjoint de Mise en Oeuvre (CCM) de l’Accord de Partenariat Volontaire (APV-FLEGT) entre la République du Congo et l’Union Européenne</w:t>
      </w:r>
      <w:r w:rsidR="0020529C" w:rsidRPr="000B7B8D">
        <w:rPr>
          <w:rFonts w:asciiTheme="minorHAnsi" w:hAnsiTheme="minorHAnsi"/>
          <w:lang w:val="en-GB"/>
        </w:rPr>
        <w:t xml:space="preserve">, Brazzaville, 7-8 June, </w:t>
      </w:r>
      <w:hyperlink r:id="rId56" w:history="1">
        <w:r w:rsidR="00AF2649" w:rsidRPr="00E57AD5">
          <w:rPr>
            <w:rStyle w:val="Hyperlink"/>
            <w:rFonts w:asciiTheme="minorHAnsi" w:hAnsiTheme="minorHAnsi"/>
            <w:lang w:val="en-GB"/>
          </w:rPr>
          <w:t>http://www.euflegt.efi.int/documents/10180/438736/Aide-me%CC%81moire+CCM8.pdf/4150e22c-0b71-86c1-d334-4ad5a7e47c45</w:t>
        </w:r>
      </w:hyperlink>
      <w:r w:rsidR="00AF2649">
        <w:rPr>
          <w:rFonts w:asciiTheme="minorHAnsi" w:hAnsiTheme="minorHAnsi"/>
          <w:lang w:val="en-GB"/>
        </w:rPr>
        <w:t xml:space="preserve"> </w:t>
      </w:r>
      <w:r w:rsidR="0020529C" w:rsidRPr="000B7B8D">
        <w:rPr>
          <w:rFonts w:asciiTheme="minorHAnsi" w:hAnsiTheme="minorHAnsi"/>
          <w:lang w:val="en-GB"/>
        </w:rPr>
        <w:t>.</w:t>
      </w:r>
    </w:p>
    <w:p w14:paraId="33585DA8" w14:textId="2E04763C" w:rsidR="00DB0A63" w:rsidRPr="000B7B8D" w:rsidRDefault="00DB0A63" w:rsidP="008A0992">
      <w:pPr>
        <w:pStyle w:val="BodyTextHanging"/>
        <w:jc w:val="both"/>
        <w:rPr>
          <w:rFonts w:asciiTheme="minorHAnsi" w:hAnsiTheme="minorHAnsi"/>
          <w:lang w:val="en-GB"/>
        </w:rPr>
      </w:pPr>
      <w:r w:rsidRPr="000B7B8D">
        <w:rPr>
          <w:rFonts w:asciiTheme="minorHAnsi" w:hAnsiTheme="minorHAnsi"/>
          <w:lang w:val="en-GB"/>
        </w:rPr>
        <w:t>Richer</w:t>
      </w:r>
      <w:r w:rsidR="00311909" w:rsidRPr="000B7B8D">
        <w:rPr>
          <w:rFonts w:asciiTheme="minorHAnsi" w:hAnsiTheme="minorHAnsi"/>
          <w:lang w:val="en-GB"/>
        </w:rPr>
        <w:t xml:space="preserve"> E.</w:t>
      </w:r>
      <w:r w:rsidRPr="000B7B8D">
        <w:rPr>
          <w:rFonts w:asciiTheme="minorHAnsi" w:hAnsiTheme="minorHAnsi"/>
          <w:lang w:val="en-GB"/>
        </w:rPr>
        <w:t xml:space="preserve"> </w:t>
      </w:r>
      <w:r w:rsidR="002534FE" w:rsidRPr="000B7B8D">
        <w:rPr>
          <w:rFonts w:asciiTheme="minorHAnsi" w:hAnsiTheme="minorHAnsi"/>
          <w:lang w:val="en-GB"/>
        </w:rPr>
        <w:t>(2015)</w:t>
      </w:r>
      <w:r w:rsidR="00311909" w:rsidRPr="000B7B8D">
        <w:rPr>
          <w:rFonts w:asciiTheme="minorHAnsi" w:hAnsiTheme="minorHAnsi"/>
          <w:lang w:val="en-GB"/>
        </w:rPr>
        <w:t xml:space="preserve"> Overview of China’s Timber Imports &amp; Exports. Presentation to TREE workshop, Barcelona, 14 April</w:t>
      </w:r>
      <w:r w:rsidR="00AF2649">
        <w:rPr>
          <w:rFonts w:asciiTheme="minorHAnsi" w:hAnsiTheme="minorHAnsi"/>
          <w:lang w:val="en-GB"/>
        </w:rPr>
        <w:t xml:space="preserve">, </w:t>
      </w:r>
      <w:r w:rsidR="00AF2649" w:rsidRPr="00AF2649">
        <w:rPr>
          <w:rFonts w:asciiTheme="minorHAnsi" w:hAnsiTheme="minorHAnsi"/>
          <w:lang w:val="en-GB"/>
        </w:rPr>
        <w:t>https://www.forest-trends.org/publications/overview-of-chinas-timber-imports-and-exports/</w:t>
      </w:r>
      <w:r w:rsidR="00311909" w:rsidRPr="000B7B8D">
        <w:rPr>
          <w:rFonts w:asciiTheme="minorHAnsi" w:hAnsiTheme="minorHAnsi"/>
          <w:lang w:val="en-GB"/>
        </w:rPr>
        <w:t>.</w:t>
      </w:r>
    </w:p>
    <w:p w14:paraId="0B5D944F" w14:textId="41BF7B3D" w:rsidR="006E3641" w:rsidRPr="000B7B8D" w:rsidRDefault="00416AEA" w:rsidP="008A0992">
      <w:pPr>
        <w:pStyle w:val="BodyTextHanging"/>
        <w:jc w:val="both"/>
        <w:rPr>
          <w:rFonts w:asciiTheme="minorHAnsi" w:hAnsiTheme="minorHAnsi"/>
          <w:lang w:val="en-GB"/>
        </w:rPr>
      </w:pPr>
      <w:r w:rsidRPr="000B7B8D">
        <w:rPr>
          <w:rFonts w:asciiTheme="minorHAnsi" w:hAnsiTheme="minorHAnsi"/>
          <w:lang w:val="en-GB"/>
        </w:rPr>
        <w:lastRenderedPageBreak/>
        <w:t xml:space="preserve">Ruslandi, Klassen A, Romero C, Putz FE </w:t>
      </w:r>
      <w:r w:rsidR="006E3641" w:rsidRPr="000B7B8D">
        <w:rPr>
          <w:rFonts w:asciiTheme="minorHAnsi" w:hAnsiTheme="minorHAnsi"/>
          <w:lang w:val="en-GB"/>
        </w:rPr>
        <w:t>(2014)</w:t>
      </w:r>
      <w:r w:rsidR="004B22B9" w:rsidRPr="000B7B8D">
        <w:rPr>
          <w:rFonts w:asciiTheme="minorHAnsi" w:hAnsiTheme="minorHAnsi"/>
          <w:lang w:val="en-GB"/>
        </w:rPr>
        <w:t xml:space="preserve"> </w:t>
      </w:r>
      <w:r w:rsidRPr="000B7B8D">
        <w:rPr>
          <w:rFonts w:asciiTheme="minorHAnsi" w:hAnsiTheme="minorHAnsi"/>
          <w:lang w:val="en-GB"/>
        </w:rPr>
        <w:t xml:space="preserve">Forest Stewardship Council Certification of Natural Forest Management in Indonesia. In </w:t>
      </w:r>
      <w:r w:rsidR="00F355B0" w:rsidRPr="000B7B8D">
        <w:rPr>
          <w:rFonts w:asciiTheme="minorHAnsi" w:hAnsiTheme="minorHAnsi"/>
          <w:i/>
          <w:lang w:val="en-GB"/>
        </w:rPr>
        <w:t>Forests under Pressure – Local Responses to Global Issues</w:t>
      </w:r>
      <w:r w:rsidR="00F355B0" w:rsidRPr="000B7B8D">
        <w:rPr>
          <w:rFonts w:asciiTheme="minorHAnsi" w:hAnsiTheme="minorHAnsi"/>
          <w:lang w:val="en-GB"/>
        </w:rPr>
        <w:t>, IUFRO, 255-73, https://www.iufro.org/science/special/wfse/forests-pressure-local-responses/.</w:t>
      </w:r>
    </w:p>
    <w:p w14:paraId="3942D4A6" w14:textId="4FC80602" w:rsidR="005818B3" w:rsidRPr="000B7B8D" w:rsidRDefault="005818B3" w:rsidP="008A0992">
      <w:pPr>
        <w:pStyle w:val="BodyTextHanging"/>
        <w:jc w:val="both"/>
        <w:rPr>
          <w:rFonts w:asciiTheme="minorHAnsi" w:hAnsiTheme="minorHAnsi"/>
          <w:lang w:val="en-GB"/>
        </w:rPr>
      </w:pPr>
      <w:r w:rsidRPr="000B7B8D">
        <w:rPr>
          <w:rFonts w:asciiTheme="minorHAnsi" w:hAnsiTheme="minorHAnsi"/>
          <w:lang w:val="en-GB"/>
        </w:rPr>
        <w:t xml:space="preserve">Sabel CF, Victor DG (2017) Governing Global Problems under Uncertainty: Making Bottom-Up Climate Policy Work. </w:t>
      </w:r>
      <w:r w:rsidRPr="000B7B8D">
        <w:rPr>
          <w:rFonts w:asciiTheme="minorHAnsi" w:hAnsiTheme="minorHAnsi"/>
          <w:i/>
          <w:lang w:val="en-GB"/>
        </w:rPr>
        <w:t xml:space="preserve">Climatic Change </w:t>
      </w:r>
      <w:r w:rsidRPr="000B7B8D">
        <w:rPr>
          <w:rFonts w:asciiTheme="minorHAnsi" w:hAnsiTheme="minorHAnsi"/>
          <w:lang w:val="en-GB"/>
        </w:rPr>
        <w:t>144, 15-27.</w:t>
      </w:r>
    </w:p>
    <w:p w14:paraId="219D569D" w14:textId="31E744E1" w:rsidR="008A0992" w:rsidRPr="000B7B8D" w:rsidRDefault="008A0992" w:rsidP="008A0992">
      <w:pPr>
        <w:pStyle w:val="BodyTextHanging"/>
        <w:jc w:val="both"/>
        <w:rPr>
          <w:rFonts w:asciiTheme="minorHAnsi" w:hAnsiTheme="minorHAnsi"/>
          <w:lang w:val="en-GB"/>
        </w:rPr>
      </w:pPr>
      <w:r w:rsidRPr="000B7B8D">
        <w:rPr>
          <w:rFonts w:asciiTheme="minorHAnsi" w:hAnsiTheme="minorHAnsi"/>
          <w:lang w:val="en-GB"/>
        </w:rPr>
        <w:t>Sabel CF, Zeitlin J (2008) Learning from Difference: The New Architecture of Experimentalist Governance</w:t>
      </w:r>
      <w:r w:rsidR="00CC51AA" w:rsidRPr="000B7B8D">
        <w:rPr>
          <w:rFonts w:asciiTheme="minorHAnsi" w:hAnsiTheme="minorHAnsi"/>
          <w:lang w:val="en-GB"/>
        </w:rPr>
        <w:t xml:space="preserve"> </w:t>
      </w:r>
      <w:r w:rsidRPr="000B7B8D">
        <w:rPr>
          <w:rFonts w:asciiTheme="minorHAnsi" w:hAnsiTheme="minorHAnsi"/>
          <w:lang w:val="en-GB"/>
        </w:rPr>
        <w:t xml:space="preserve">in the EU. </w:t>
      </w:r>
      <w:r w:rsidRPr="000B7B8D">
        <w:rPr>
          <w:rFonts w:asciiTheme="minorHAnsi" w:hAnsiTheme="minorHAnsi"/>
          <w:i/>
          <w:lang w:val="en-GB"/>
        </w:rPr>
        <w:t>European Law Journal</w:t>
      </w:r>
      <w:r w:rsidRPr="000B7B8D">
        <w:rPr>
          <w:rFonts w:asciiTheme="minorHAnsi" w:hAnsiTheme="minorHAnsi"/>
          <w:lang w:val="en-GB"/>
        </w:rPr>
        <w:t xml:space="preserve"> 14, 271–327.</w:t>
      </w:r>
    </w:p>
    <w:p w14:paraId="4AF2B730" w14:textId="2C10992E" w:rsidR="00AF606C" w:rsidRPr="000B7B8D" w:rsidRDefault="00AF606C" w:rsidP="008A0992">
      <w:pPr>
        <w:pStyle w:val="BodyTextHanging"/>
        <w:jc w:val="both"/>
        <w:rPr>
          <w:rFonts w:asciiTheme="minorHAnsi" w:hAnsiTheme="minorHAnsi"/>
          <w:lang w:val="en-GB"/>
        </w:rPr>
      </w:pPr>
      <w:r w:rsidRPr="000B7B8D">
        <w:rPr>
          <w:rFonts w:asciiTheme="minorHAnsi" w:hAnsiTheme="minorHAnsi"/>
          <w:lang w:val="en-GB"/>
        </w:rPr>
        <w:t xml:space="preserve">Sabel CF, Zeitlin J (2012) Experimentalist Governance. In: Levi-Faur D (ed) </w:t>
      </w:r>
      <w:r w:rsidRPr="000B7B8D">
        <w:rPr>
          <w:rFonts w:asciiTheme="minorHAnsi" w:hAnsiTheme="minorHAnsi"/>
          <w:i/>
          <w:lang w:val="en-GB"/>
        </w:rPr>
        <w:t>The Oxford Handbook of Governance</w:t>
      </w:r>
      <w:r w:rsidRPr="000B7B8D">
        <w:rPr>
          <w:rFonts w:asciiTheme="minorHAnsi" w:hAnsiTheme="minorHAnsi"/>
          <w:lang w:val="en-GB"/>
        </w:rPr>
        <w:t xml:space="preserve">, pp. 169–183. </w:t>
      </w:r>
      <w:r w:rsidR="008A0992" w:rsidRPr="000B7B8D">
        <w:rPr>
          <w:rFonts w:asciiTheme="minorHAnsi" w:hAnsiTheme="minorHAnsi"/>
          <w:lang w:val="en-GB"/>
        </w:rPr>
        <w:t>OUP</w:t>
      </w:r>
      <w:r w:rsidRPr="000B7B8D">
        <w:rPr>
          <w:rFonts w:asciiTheme="minorHAnsi" w:hAnsiTheme="minorHAnsi"/>
          <w:lang w:val="en-GB"/>
        </w:rPr>
        <w:t>, Oxford.</w:t>
      </w:r>
    </w:p>
    <w:p w14:paraId="09D4FB00" w14:textId="443965FC" w:rsidR="00AA1F9F" w:rsidRPr="000B7B8D" w:rsidRDefault="00647D0C" w:rsidP="00647D0C">
      <w:pPr>
        <w:pStyle w:val="BodyTextHanging"/>
        <w:jc w:val="both"/>
        <w:rPr>
          <w:rFonts w:asciiTheme="minorHAnsi" w:hAnsiTheme="minorHAnsi"/>
          <w:lang w:val="en-GB"/>
        </w:rPr>
      </w:pPr>
      <w:r w:rsidRPr="000B7B8D">
        <w:rPr>
          <w:rFonts w:asciiTheme="minorHAnsi" w:hAnsiTheme="minorHAnsi"/>
          <w:lang w:val="en-GB"/>
        </w:rPr>
        <w:t xml:space="preserve">Saunders J (2013) </w:t>
      </w:r>
      <w:r w:rsidRPr="000B7B8D">
        <w:rPr>
          <w:rFonts w:asciiTheme="minorHAnsi" w:hAnsiTheme="minorHAnsi"/>
          <w:i/>
          <w:lang w:val="en-GB"/>
        </w:rPr>
        <w:t>EUTR Survey Paper</w:t>
      </w:r>
      <w:r w:rsidRPr="000B7B8D">
        <w:rPr>
          <w:rFonts w:asciiTheme="minorHAnsi" w:hAnsiTheme="minorHAnsi"/>
          <w:lang w:val="en-GB"/>
        </w:rPr>
        <w:t xml:space="preserve">, Chatham House, </w:t>
      </w:r>
      <w:hyperlink r:id="rId57" w:history="1">
        <w:r w:rsidRPr="000B7B8D">
          <w:rPr>
            <w:rStyle w:val="Hyperlink"/>
            <w:rFonts w:asciiTheme="minorHAnsi" w:hAnsiTheme="minorHAnsi"/>
            <w:lang w:val="en-GB"/>
          </w:rPr>
          <w:t>http://illegallogging.info/uploads/EUTRSurveyPaperJadeSaunders.pdf</w:t>
        </w:r>
      </w:hyperlink>
      <w:r w:rsidRPr="000B7B8D">
        <w:rPr>
          <w:rFonts w:asciiTheme="minorHAnsi" w:hAnsiTheme="minorHAnsi"/>
          <w:lang w:val="en-GB"/>
        </w:rPr>
        <w:t>.</w:t>
      </w:r>
    </w:p>
    <w:p w14:paraId="60C10721" w14:textId="05B04035" w:rsidR="006E3641" w:rsidRPr="000B7B8D" w:rsidRDefault="006E3641" w:rsidP="005818B3">
      <w:pPr>
        <w:pStyle w:val="BodyTextHanging"/>
        <w:jc w:val="both"/>
        <w:rPr>
          <w:rFonts w:asciiTheme="minorHAnsi" w:hAnsiTheme="minorHAnsi"/>
          <w:lang w:val="en-GB"/>
        </w:rPr>
      </w:pPr>
      <w:r w:rsidRPr="000B7B8D">
        <w:rPr>
          <w:rFonts w:asciiTheme="minorHAnsi" w:hAnsiTheme="minorHAnsi"/>
          <w:lang w:val="en-GB"/>
        </w:rPr>
        <w:t xml:space="preserve">Saunders </w:t>
      </w:r>
      <w:r w:rsidR="00647D0C" w:rsidRPr="000B7B8D">
        <w:rPr>
          <w:rFonts w:asciiTheme="minorHAnsi" w:hAnsiTheme="minorHAnsi"/>
          <w:lang w:val="en-GB"/>
        </w:rPr>
        <w:t xml:space="preserve">J </w:t>
      </w:r>
      <w:r w:rsidRPr="000B7B8D">
        <w:rPr>
          <w:rFonts w:asciiTheme="minorHAnsi" w:hAnsiTheme="minorHAnsi"/>
          <w:lang w:val="en-GB"/>
        </w:rPr>
        <w:t>(2014)</w:t>
      </w:r>
      <w:r w:rsidR="00647D0C" w:rsidRPr="000B7B8D">
        <w:rPr>
          <w:rFonts w:asciiTheme="minorHAnsi" w:hAnsiTheme="minorHAnsi"/>
          <w:lang w:val="en-GB"/>
        </w:rPr>
        <w:t xml:space="preserve"> </w:t>
      </w:r>
      <w:r w:rsidR="00647D0C" w:rsidRPr="000B7B8D">
        <w:rPr>
          <w:rFonts w:asciiTheme="minorHAnsi" w:hAnsiTheme="minorHAnsi"/>
          <w:i/>
          <w:lang w:val="en-GB"/>
        </w:rPr>
        <w:t>Certified Products and EUTR Compliance in the Furniture Sector</w:t>
      </w:r>
      <w:r w:rsidR="00647D0C" w:rsidRPr="000B7B8D">
        <w:rPr>
          <w:rFonts w:asciiTheme="minorHAnsi" w:hAnsiTheme="minorHAnsi"/>
          <w:lang w:val="en-GB"/>
        </w:rPr>
        <w:t xml:space="preserve">, Chatham House, </w:t>
      </w:r>
      <w:r w:rsidR="00AF2649" w:rsidRPr="00AF2649">
        <w:rPr>
          <w:rFonts w:asciiTheme="minorHAnsi" w:hAnsiTheme="minorHAnsi"/>
          <w:lang w:val="en-GB"/>
        </w:rPr>
        <w:t>https://www.chathamhouse.org/publications/papers/view/199154</w:t>
      </w:r>
      <w:r w:rsidR="00647D0C" w:rsidRPr="000B7B8D">
        <w:rPr>
          <w:rFonts w:asciiTheme="minorHAnsi" w:hAnsiTheme="minorHAnsi"/>
          <w:lang w:val="en-GB"/>
        </w:rPr>
        <w:t>.</w:t>
      </w:r>
    </w:p>
    <w:p w14:paraId="75AE5624" w14:textId="697F305B" w:rsidR="006152A9" w:rsidRPr="000B7B8D" w:rsidRDefault="006152A9" w:rsidP="005818B3">
      <w:pPr>
        <w:pStyle w:val="BodyTextHanging"/>
        <w:jc w:val="both"/>
        <w:rPr>
          <w:rFonts w:asciiTheme="minorHAnsi" w:hAnsiTheme="minorHAnsi"/>
          <w:lang w:val="en-GB"/>
        </w:rPr>
      </w:pPr>
      <w:r w:rsidRPr="000B7B8D">
        <w:rPr>
          <w:rFonts w:asciiTheme="minorHAnsi" w:hAnsiTheme="minorHAnsi"/>
          <w:lang w:val="en-GB"/>
        </w:rPr>
        <w:t xml:space="preserve">Saunders J, Norman M (2019) </w:t>
      </w:r>
      <w:r w:rsidRPr="000B7B8D">
        <w:rPr>
          <w:rFonts w:asciiTheme="minorHAnsi" w:hAnsiTheme="minorHAnsi"/>
          <w:i/>
          <w:lang w:val="en-GB"/>
        </w:rPr>
        <w:t>Regulating the Trade in Illegal Timber: Republic of Korea Update, State of Play October 2018</w:t>
      </w:r>
      <w:r w:rsidRPr="000B7B8D">
        <w:rPr>
          <w:rFonts w:asciiTheme="minorHAnsi" w:hAnsiTheme="minorHAnsi"/>
          <w:lang w:val="en-GB"/>
        </w:rPr>
        <w:t xml:space="preserve">, Forest Trends, </w:t>
      </w:r>
      <w:hyperlink r:id="rId58" w:history="1">
        <w:r w:rsidR="004D79AD" w:rsidRPr="000B7B8D">
          <w:rPr>
            <w:rStyle w:val="Hyperlink"/>
            <w:rFonts w:asciiTheme="minorHAnsi" w:hAnsiTheme="minorHAnsi"/>
            <w:lang w:val="en-GB"/>
          </w:rPr>
          <w:t>https://www.forest-trends.org/publications/regulating-the-trade-in-illegal-timber-republic-of-korea-update/</w:t>
        </w:r>
      </w:hyperlink>
      <w:r w:rsidR="004D79AD" w:rsidRPr="000B7B8D">
        <w:rPr>
          <w:rFonts w:asciiTheme="minorHAnsi" w:hAnsiTheme="minorHAnsi"/>
          <w:lang w:val="en-GB"/>
        </w:rPr>
        <w:t>.</w:t>
      </w:r>
    </w:p>
    <w:p w14:paraId="2D090887" w14:textId="3C2B945F" w:rsidR="00B23B1A" w:rsidRPr="000B7B8D" w:rsidRDefault="00B23B1A" w:rsidP="005818B3">
      <w:pPr>
        <w:pStyle w:val="BodyTextHanging"/>
        <w:jc w:val="both"/>
        <w:rPr>
          <w:rFonts w:asciiTheme="minorHAnsi" w:hAnsiTheme="minorHAnsi"/>
          <w:b/>
          <w:lang w:val="en-GB"/>
        </w:rPr>
      </w:pPr>
      <w:r w:rsidRPr="000B7B8D">
        <w:rPr>
          <w:rFonts w:asciiTheme="minorHAnsi" w:hAnsiTheme="minorHAnsi"/>
          <w:lang w:val="en-GB"/>
        </w:rPr>
        <w:t xml:space="preserve">Sotirov </w:t>
      </w:r>
      <w:r w:rsidR="00647D0C" w:rsidRPr="000B7B8D">
        <w:rPr>
          <w:rFonts w:asciiTheme="minorHAnsi" w:hAnsiTheme="minorHAnsi"/>
          <w:lang w:val="en-GB"/>
        </w:rPr>
        <w:t>M</w:t>
      </w:r>
      <w:r w:rsidR="005258AB" w:rsidRPr="000B7B8D">
        <w:rPr>
          <w:rFonts w:asciiTheme="minorHAnsi" w:hAnsiTheme="minorHAnsi"/>
          <w:lang w:val="en-GB"/>
        </w:rPr>
        <w:t>, Stelter M, Winkel G</w:t>
      </w:r>
      <w:r w:rsidR="00647D0C" w:rsidRPr="000B7B8D">
        <w:rPr>
          <w:rFonts w:asciiTheme="minorHAnsi" w:hAnsiTheme="minorHAnsi"/>
          <w:lang w:val="en-GB"/>
        </w:rPr>
        <w:t xml:space="preserve"> </w:t>
      </w:r>
      <w:r w:rsidRPr="000B7B8D">
        <w:rPr>
          <w:rFonts w:asciiTheme="minorHAnsi" w:hAnsiTheme="minorHAnsi"/>
          <w:lang w:val="en-GB"/>
        </w:rPr>
        <w:t>(2017)</w:t>
      </w:r>
      <w:r w:rsidR="005258AB" w:rsidRPr="000B7B8D">
        <w:rPr>
          <w:rFonts w:asciiTheme="minorHAnsi" w:hAnsiTheme="minorHAnsi"/>
          <w:lang w:val="en-GB"/>
        </w:rPr>
        <w:t xml:space="preserve"> The Emergence of the European Union Timber Regulation: How Baptists, Bootleggers, Devil Shifting and Moral Legitimacy Drive Change in the Environmental Governance of Global Timber Trade. </w:t>
      </w:r>
      <w:r w:rsidR="005258AB" w:rsidRPr="000B7B8D">
        <w:rPr>
          <w:rFonts w:asciiTheme="minorHAnsi" w:hAnsiTheme="minorHAnsi"/>
          <w:i/>
          <w:lang w:val="en-GB"/>
        </w:rPr>
        <w:t>Forest Policy and Economics</w:t>
      </w:r>
      <w:r w:rsidR="005258AB" w:rsidRPr="000B7B8D">
        <w:rPr>
          <w:rFonts w:asciiTheme="minorHAnsi" w:hAnsiTheme="minorHAnsi"/>
          <w:lang w:val="en-GB"/>
        </w:rPr>
        <w:t xml:space="preserve"> </w:t>
      </w:r>
      <w:r w:rsidR="005258AB" w:rsidRPr="000B7B8D">
        <w:rPr>
          <w:rFonts w:asciiTheme="minorHAnsi" w:hAnsiTheme="minorHAnsi"/>
          <w:b/>
          <w:lang w:val="en-GB"/>
        </w:rPr>
        <w:t>81</w:t>
      </w:r>
      <w:r w:rsidR="005258AB" w:rsidRPr="000B7B8D">
        <w:rPr>
          <w:rFonts w:asciiTheme="minorHAnsi" w:hAnsiTheme="minorHAnsi"/>
          <w:lang w:val="en-GB"/>
        </w:rPr>
        <w:t>: 69-81.</w:t>
      </w:r>
    </w:p>
    <w:p w14:paraId="3166B0C2" w14:textId="189938E7" w:rsidR="002534FE" w:rsidRPr="000B7B8D" w:rsidRDefault="002534FE" w:rsidP="005818B3">
      <w:pPr>
        <w:pStyle w:val="BodyTextHanging"/>
        <w:jc w:val="both"/>
        <w:rPr>
          <w:rFonts w:asciiTheme="minorHAnsi" w:hAnsiTheme="minorHAnsi"/>
          <w:lang w:val="en-GB"/>
        </w:rPr>
      </w:pPr>
      <w:r w:rsidRPr="000B7B8D">
        <w:rPr>
          <w:rFonts w:asciiTheme="minorHAnsi" w:hAnsiTheme="minorHAnsi"/>
          <w:lang w:val="en-GB"/>
        </w:rPr>
        <w:t xml:space="preserve">Speechly </w:t>
      </w:r>
      <w:r w:rsidR="00CE0E54" w:rsidRPr="000B7B8D">
        <w:rPr>
          <w:rFonts w:asciiTheme="minorHAnsi" w:hAnsiTheme="minorHAnsi"/>
          <w:lang w:val="en-GB"/>
        </w:rPr>
        <w:t xml:space="preserve">H </w:t>
      </w:r>
      <w:r w:rsidRPr="000B7B8D">
        <w:rPr>
          <w:rFonts w:asciiTheme="minorHAnsi" w:hAnsiTheme="minorHAnsi"/>
          <w:lang w:val="en-GB"/>
        </w:rPr>
        <w:t>(2016)</w:t>
      </w:r>
      <w:r w:rsidR="00CE0E54" w:rsidRPr="000B7B8D">
        <w:rPr>
          <w:rFonts w:asciiTheme="minorHAnsi" w:hAnsiTheme="minorHAnsi"/>
          <w:lang w:val="en-GB"/>
        </w:rPr>
        <w:t xml:space="preserve"> </w:t>
      </w:r>
      <w:r w:rsidR="00CE0E54" w:rsidRPr="000B7B8D">
        <w:rPr>
          <w:rFonts w:asciiTheme="minorHAnsi" w:hAnsiTheme="minorHAnsi"/>
          <w:i/>
          <w:lang w:val="en-GB"/>
        </w:rPr>
        <w:t>Scoping Study on EU-China Relationships in the Forestry Sector</w:t>
      </w:r>
      <w:r w:rsidR="00CE0E54" w:rsidRPr="000B7B8D">
        <w:rPr>
          <w:rFonts w:asciiTheme="minorHAnsi" w:hAnsiTheme="minorHAnsi"/>
          <w:lang w:val="en-GB"/>
        </w:rPr>
        <w:t xml:space="preserve">. Fern, </w:t>
      </w:r>
      <w:r w:rsidR="00AF2649" w:rsidRPr="00AF2649">
        <w:rPr>
          <w:rFonts w:asciiTheme="minorHAnsi" w:hAnsiTheme="minorHAnsi"/>
          <w:lang w:val="en-GB"/>
        </w:rPr>
        <w:t>https://www.fern.org/news-resources/scoping-study-on-eu-china-relationships-in-the-forestry-sector-380/</w:t>
      </w:r>
      <w:r w:rsidR="00CE0E54" w:rsidRPr="000B7B8D">
        <w:rPr>
          <w:rFonts w:asciiTheme="minorHAnsi" w:hAnsiTheme="minorHAnsi"/>
          <w:lang w:val="en-GB"/>
        </w:rPr>
        <w:t>.</w:t>
      </w:r>
    </w:p>
    <w:p w14:paraId="249A0328" w14:textId="137D14CF" w:rsidR="00412E97" w:rsidRPr="000B7B8D" w:rsidRDefault="00412E97" w:rsidP="005258AB">
      <w:pPr>
        <w:pStyle w:val="BodyTextHanging"/>
        <w:jc w:val="both"/>
        <w:rPr>
          <w:rFonts w:asciiTheme="minorHAnsi" w:hAnsiTheme="minorHAnsi"/>
          <w:lang w:val="en-GB"/>
        </w:rPr>
      </w:pPr>
      <w:r w:rsidRPr="000B7B8D">
        <w:rPr>
          <w:rFonts w:asciiTheme="minorHAnsi" w:hAnsiTheme="minorHAnsi"/>
          <w:lang w:val="en-GB"/>
        </w:rPr>
        <w:t>TEREA/S-FOR-S/TOPPERSPECTIVE (2016)</w:t>
      </w:r>
      <w:r w:rsidR="005258AB" w:rsidRPr="000B7B8D">
        <w:rPr>
          <w:rFonts w:asciiTheme="minorHAnsi" w:hAnsiTheme="minorHAnsi"/>
          <w:lang w:val="en-GB"/>
        </w:rPr>
        <w:t xml:space="preserve"> </w:t>
      </w:r>
      <w:r w:rsidR="005258AB" w:rsidRPr="000B7B8D">
        <w:rPr>
          <w:rFonts w:asciiTheme="minorHAnsi" w:hAnsiTheme="minorHAnsi"/>
          <w:i/>
          <w:lang w:val="en-GB"/>
        </w:rPr>
        <w:t>Evaluation of the EU FLEGT Action Plan 2004–2014, Final Report</w:t>
      </w:r>
      <w:r w:rsidR="005258AB" w:rsidRPr="000B7B8D">
        <w:rPr>
          <w:rFonts w:asciiTheme="minorHAnsi" w:hAnsiTheme="minorHAnsi"/>
          <w:lang w:val="en-GB"/>
        </w:rPr>
        <w:t xml:space="preserve">, </w:t>
      </w:r>
      <w:hyperlink r:id="rId59" w:history="1">
        <w:r w:rsidR="005258AB" w:rsidRPr="000B7B8D">
          <w:rPr>
            <w:rStyle w:val="Hyperlink"/>
            <w:rFonts w:asciiTheme="minorHAnsi" w:hAnsiTheme="minorHAnsi"/>
            <w:lang w:val="en-GB"/>
          </w:rPr>
          <w:t>https://ec.europa.eu/europeaid/evaluation-eu-flegtaction-plan-forest-law-enforcement-governance-and-trade-2004-2014_en</w:t>
        </w:r>
      </w:hyperlink>
      <w:r w:rsidR="005258AB" w:rsidRPr="000B7B8D">
        <w:rPr>
          <w:rFonts w:asciiTheme="minorHAnsi" w:hAnsiTheme="minorHAnsi"/>
          <w:lang w:val="en-GB"/>
        </w:rPr>
        <w:t>.</w:t>
      </w:r>
    </w:p>
    <w:p w14:paraId="6D32C2CD" w14:textId="46A4E34D" w:rsidR="005258AB" w:rsidRPr="000B7B8D" w:rsidRDefault="005258AB" w:rsidP="005818B3">
      <w:pPr>
        <w:pStyle w:val="BodyTextHanging"/>
        <w:jc w:val="both"/>
        <w:rPr>
          <w:rFonts w:asciiTheme="minorHAnsi" w:hAnsiTheme="minorHAnsi"/>
          <w:lang w:val="en-GB"/>
        </w:rPr>
      </w:pPr>
      <w:r w:rsidRPr="000B7B8D">
        <w:rPr>
          <w:rFonts w:asciiTheme="minorHAnsi" w:hAnsiTheme="minorHAnsi"/>
          <w:lang w:val="en-GB"/>
        </w:rPr>
        <w:t xml:space="preserve">UNEP-WCMC (2017) </w:t>
      </w:r>
      <w:r w:rsidRPr="000B7B8D">
        <w:rPr>
          <w:rFonts w:asciiTheme="minorHAnsi" w:hAnsiTheme="minorHAnsi"/>
          <w:i/>
          <w:lang w:val="en-GB"/>
        </w:rPr>
        <w:t>Overview of Competent Authority EU Timber Regulation Checks, March-May 2017</w:t>
      </w:r>
      <w:r w:rsidRPr="000B7B8D">
        <w:rPr>
          <w:rFonts w:asciiTheme="minorHAnsi" w:hAnsiTheme="minorHAnsi"/>
          <w:lang w:val="en-GB"/>
        </w:rPr>
        <w:t xml:space="preserve">, </w:t>
      </w:r>
      <w:r w:rsidR="00AF2649" w:rsidRPr="00AF2649">
        <w:rPr>
          <w:rFonts w:asciiTheme="minorHAnsi" w:hAnsiTheme="minorHAnsi"/>
          <w:lang w:val="en-GB"/>
        </w:rPr>
        <w:t>http://ec.europa.eu/environment/forests/pdf/Overview_of_CA_checks_March_May_2017_FINAL.pdf</w:t>
      </w:r>
      <w:r w:rsidRPr="000B7B8D">
        <w:rPr>
          <w:rFonts w:asciiTheme="minorHAnsi" w:hAnsiTheme="minorHAnsi"/>
          <w:lang w:val="en-GB"/>
        </w:rPr>
        <w:t>.</w:t>
      </w:r>
    </w:p>
    <w:p w14:paraId="2FC69018" w14:textId="718D2AE5" w:rsidR="00C72295" w:rsidRPr="000B7B8D" w:rsidRDefault="00C72295" w:rsidP="005818B3">
      <w:pPr>
        <w:pStyle w:val="BodyTextHanging"/>
        <w:jc w:val="both"/>
        <w:rPr>
          <w:rFonts w:asciiTheme="minorHAnsi" w:hAnsiTheme="minorHAnsi"/>
          <w:lang w:val="en-GB"/>
        </w:rPr>
      </w:pPr>
      <w:r w:rsidRPr="000B7B8D">
        <w:rPr>
          <w:rFonts w:asciiTheme="minorHAnsi" w:hAnsiTheme="minorHAnsi"/>
          <w:lang w:val="en-GB"/>
        </w:rPr>
        <w:t>UNEP-WCMC (2018a)</w:t>
      </w:r>
      <w:r w:rsidR="005258AB" w:rsidRPr="000B7B8D">
        <w:rPr>
          <w:rFonts w:asciiTheme="minorHAnsi" w:hAnsiTheme="minorHAnsi"/>
          <w:lang w:val="en-GB"/>
        </w:rPr>
        <w:t xml:space="preserve"> </w:t>
      </w:r>
      <w:r w:rsidR="005258AB" w:rsidRPr="000B7B8D">
        <w:rPr>
          <w:rFonts w:asciiTheme="minorHAnsi" w:hAnsiTheme="minorHAnsi"/>
          <w:i/>
          <w:lang w:val="en-GB"/>
        </w:rPr>
        <w:t>Overview of Competent Authority EU Timber Regulation Checks, June-November 2017</w:t>
      </w:r>
      <w:r w:rsidR="005258AB" w:rsidRPr="000B7B8D">
        <w:rPr>
          <w:rFonts w:asciiTheme="minorHAnsi" w:hAnsiTheme="minorHAnsi"/>
          <w:lang w:val="en-GB"/>
        </w:rPr>
        <w:t xml:space="preserve">, </w:t>
      </w:r>
      <w:r w:rsidR="00AF2649" w:rsidRPr="00AF2649">
        <w:rPr>
          <w:rFonts w:asciiTheme="minorHAnsi" w:hAnsiTheme="minorHAnsi"/>
          <w:lang w:val="en-GB"/>
        </w:rPr>
        <w:t>http://www.wcmc.io/Overview_CA_checks_June-November_2017</w:t>
      </w:r>
      <w:r w:rsidR="005258AB" w:rsidRPr="000B7B8D">
        <w:rPr>
          <w:rFonts w:asciiTheme="minorHAnsi" w:hAnsiTheme="minorHAnsi"/>
          <w:lang w:val="en-GB"/>
        </w:rPr>
        <w:t>.</w:t>
      </w:r>
    </w:p>
    <w:p w14:paraId="6F92AA21" w14:textId="3E1BC7AE" w:rsidR="00C72295" w:rsidRPr="000B7B8D" w:rsidRDefault="00C72295" w:rsidP="005818B3">
      <w:pPr>
        <w:pStyle w:val="BodyTextHanging"/>
        <w:jc w:val="both"/>
        <w:rPr>
          <w:rFonts w:asciiTheme="minorHAnsi" w:hAnsiTheme="minorHAnsi"/>
          <w:lang w:val="en-GB"/>
        </w:rPr>
      </w:pPr>
      <w:r w:rsidRPr="000B7B8D">
        <w:rPr>
          <w:rFonts w:asciiTheme="minorHAnsi" w:hAnsiTheme="minorHAnsi"/>
          <w:lang w:val="en-GB"/>
        </w:rPr>
        <w:lastRenderedPageBreak/>
        <w:t>UNEP-WCMC (2018b)</w:t>
      </w:r>
      <w:r w:rsidR="005258AB" w:rsidRPr="000B7B8D">
        <w:rPr>
          <w:rFonts w:asciiTheme="minorHAnsi" w:hAnsiTheme="minorHAnsi"/>
          <w:lang w:val="en-GB"/>
        </w:rPr>
        <w:t xml:space="preserve"> </w:t>
      </w:r>
      <w:r w:rsidR="005258AB" w:rsidRPr="000B7B8D">
        <w:rPr>
          <w:rFonts w:asciiTheme="minorHAnsi" w:hAnsiTheme="minorHAnsi"/>
          <w:i/>
          <w:lang w:val="en-GB"/>
        </w:rPr>
        <w:t>Overview of Competent Authority EU Timber Regulation Checks, December 2017-June 2018</w:t>
      </w:r>
      <w:r w:rsidR="005258AB" w:rsidRPr="000B7B8D">
        <w:rPr>
          <w:rFonts w:asciiTheme="minorHAnsi" w:hAnsiTheme="minorHAnsi"/>
          <w:lang w:val="en-GB"/>
        </w:rPr>
        <w:t xml:space="preserve">, </w:t>
      </w:r>
      <w:r w:rsidR="00AF2649" w:rsidRPr="00AF2649">
        <w:rPr>
          <w:rFonts w:asciiTheme="minorHAnsi" w:hAnsiTheme="minorHAnsi"/>
          <w:lang w:val="en-GB"/>
        </w:rPr>
        <w:t>http://www.wcmc.io/Overview_CA_checks_December_2017-June_2018</w:t>
      </w:r>
      <w:r w:rsidR="005258AB" w:rsidRPr="000B7B8D">
        <w:rPr>
          <w:rFonts w:asciiTheme="minorHAnsi" w:hAnsiTheme="minorHAnsi"/>
          <w:lang w:val="en-GB"/>
        </w:rPr>
        <w:t>.</w:t>
      </w:r>
    </w:p>
    <w:p w14:paraId="3E1C0ED7" w14:textId="4B0339B4" w:rsidR="0014475F" w:rsidRPr="000B7B8D" w:rsidRDefault="0014475F" w:rsidP="005818B3">
      <w:pPr>
        <w:pStyle w:val="BodyTextHanging"/>
        <w:jc w:val="both"/>
        <w:rPr>
          <w:rFonts w:asciiTheme="minorHAnsi" w:hAnsiTheme="minorHAnsi"/>
          <w:lang w:val="en-GB"/>
        </w:rPr>
      </w:pPr>
      <w:r w:rsidRPr="000B7B8D">
        <w:rPr>
          <w:rFonts w:asciiTheme="minorHAnsi" w:hAnsiTheme="minorHAnsi"/>
          <w:lang w:val="en-GB"/>
        </w:rPr>
        <w:t>UN Economic and Social Council (2017)</w:t>
      </w:r>
      <w:r w:rsidR="005258AB" w:rsidRPr="000B7B8D">
        <w:rPr>
          <w:rFonts w:asciiTheme="minorHAnsi" w:hAnsiTheme="minorHAnsi"/>
          <w:lang w:val="en-GB"/>
        </w:rPr>
        <w:t xml:space="preserve"> </w:t>
      </w:r>
      <w:r w:rsidR="005258AB" w:rsidRPr="000B7B8D">
        <w:rPr>
          <w:rFonts w:asciiTheme="minorHAnsi" w:hAnsiTheme="minorHAnsi"/>
          <w:i/>
          <w:lang w:val="en-GB"/>
        </w:rPr>
        <w:t>Resolution Adopted</w:t>
      </w:r>
      <w:r w:rsidR="00372073" w:rsidRPr="000B7B8D">
        <w:rPr>
          <w:rFonts w:asciiTheme="minorHAnsi" w:hAnsiTheme="minorHAnsi"/>
          <w:i/>
          <w:lang w:val="en-GB"/>
        </w:rPr>
        <w:t xml:space="preserve"> by the Economic and Social Council on 20 April 2017: United Nations Strategic Plan for Forests 2017-2030 and Quadrennial Programme of Work of the United Nations Forum on Forests for the Period 2017-2020</w:t>
      </w:r>
      <w:r w:rsidR="00372073" w:rsidRPr="000B7B8D">
        <w:rPr>
          <w:rFonts w:asciiTheme="minorHAnsi" w:hAnsiTheme="minorHAnsi"/>
          <w:lang w:val="en-GB"/>
        </w:rPr>
        <w:t xml:space="preserve">, E/RES/2017/4, </w:t>
      </w:r>
      <w:r w:rsidR="00AF2649" w:rsidRPr="00AF2649">
        <w:rPr>
          <w:rFonts w:asciiTheme="minorHAnsi" w:hAnsiTheme="minorHAnsi"/>
          <w:lang w:val="en-GB"/>
        </w:rPr>
        <w:t>http://daccess-ods.un.org/access.nsf/Get?OpenAgent&amp;DS=E/RES/2017/4&amp;Lang=E</w:t>
      </w:r>
      <w:r w:rsidR="00372073" w:rsidRPr="000B7B8D">
        <w:rPr>
          <w:rFonts w:asciiTheme="minorHAnsi" w:hAnsiTheme="minorHAnsi"/>
          <w:lang w:val="en-GB"/>
        </w:rPr>
        <w:t>.</w:t>
      </w:r>
    </w:p>
    <w:p w14:paraId="420E16AD" w14:textId="51E8E203" w:rsidR="00656995" w:rsidRPr="000B7B8D" w:rsidRDefault="00656995" w:rsidP="00656995">
      <w:pPr>
        <w:pStyle w:val="BodyTextHanging"/>
        <w:jc w:val="both"/>
        <w:rPr>
          <w:rFonts w:asciiTheme="minorHAnsi" w:hAnsiTheme="minorHAnsi"/>
          <w:lang w:val="en-GB"/>
        </w:rPr>
      </w:pPr>
      <w:r w:rsidRPr="000B7B8D">
        <w:rPr>
          <w:rFonts w:asciiTheme="minorHAnsi" w:hAnsiTheme="minorHAnsi"/>
          <w:lang w:val="en-GB"/>
        </w:rPr>
        <w:t xml:space="preserve">Vallee M (2017) The Open Timber Portal: Incentivizing Legal Timber Trade by Improving Access to Information. Presentation to TREE meeting,  Valencia, Spain, 23-25 October, </w:t>
      </w:r>
      <w:r w:rsidR="00A17EA1" w:rsidRPr="00A17EA1">
        <w:rPr>
          <w:rFonts w:asciiTheme="minorHAnsi" w:hAnsiTheme="minorHAnsi"/>
          <w:lang w:val="en-GB"/>
        </w:rPr>
        <w:t>https://www.forest-trends.org/wp-content/uploads/2018/01/doc_5694.pdf</w:t>
      </w:r>
      <w:r w:rsidRPr="000B7B8D">
        <w:rPr>
          <w:rFonts w:asciiTheme="minorHAnsi" w:hAnsiTheme="minorHAnsi"/>
          <w:lang w:val="en-GB"/>
        </w:rPr>
        <w:t>.</w:t>
      </w:r>
    </w:p>
    <w:p w14:paraId="5642CB86" w14:textId="5A10977D" w:rsidR="006E3641" w:rsidRPr="000B7B8D" w:rsidRDefault="006E3641" w:rsidP="005818B3">
      <w:pPr>
        <w:pStyle w:val="BodyTextHanging"/>
        <w:jc w:val="both"/>
        <w:rPr>
          <w:rFonts w:asciiTheme="minorHAnsi" w:hAnsiTheme="minorHAnsi"/>
          <w:lang w:val="en-GB"/>
        </w:rPr>
      </w:pPr>
      <w:r w:rsidRPr="000B7B8D">
        <w:rPr>
          <w:rFonts w:asciiTheme="minorHAnsi" w:hAnsiTheme="minorHAnsi"/>
          <w:lang w:val="en-GB"/>
        </w:rPr>
        <w:t xml:space="preserve">Van Brusselen </w:t>
      </w:r>
      <w:r w:rsidR="00137871" w:rsidRPr="000B7B8D">
        <w:rPr>
          <w:rFonts w:asciiTheme="minorHAnsi" w:hAnsiTheme="minorHAnsi"/>
          <w:lang w:val="en-GB"/>
        </w:rPr>
        <w:t>J, Schmitz N, Schifferdecker G</w:t>
      </w:r>
      <w:r w:rsidRPr="000B7B8D">
        <w:rPr>
          <w:rFonts w:asciiTheme="minorHAnsi" w:hAnsiTheme="minorHAnsi"/>
          <w:lang w:val="en-GB"/>
        </w:rPr>
        <w:t xml:space="preserve"> (2018)</w:t>
      </w:r>
      <w:r w:rsidR="00137871" w:rsidRPr="000B7B8D">
        <w:rPr>
          <w:rFonts w:asciiTheme="minorHAnsi" w:hAnsiTheme="minorHAnsi"/>
          <w:lang w:val="en-GB"/>
        </w:rPr>
        <w:t xml:space="preserve"> GTTN: Global Timber Tracking Network. Presentation to to conference on ‘Timber Trade and the Conservation of Forests – Five Years EUTR’, Thünen Institute, Hamburg, 8-9 October, </w:t>
      </w:r>
      <w:r w:rsidR="000D325A" w:rsidRPr="000D325A">
        <w:rPr>
          <w:rFonts w:asciiTheme="minorHAnsi" w:hAnsiTheme="minorHAnsi"/>
          <w:lang w:val="en-GB"/>
        </w:rPr>
        <w:t>https://www.thuenen.de/media/ti/Infrastruktur/Thuenen-Kompetenzzentrum_Holzherkuenfte/fuenf_Jahre_EUTR/Vortragsfolien/09_10_van_Brusselen_GTTN.pdf</w:t>
      </w:r>
      <w:r w:rsidR="00137871" w:rsidRPr="000B7B8D">
        <w:rPr>
          <w:rFonts w:asciiTheme="minorHAnsi" w:hAnsiTheme="minorHAnsi"/>
          <w:lang w:val="en-GB"/>
        </w:rPr>
        <w:t>.</w:t>
      </w:r>
    </w:p>
    <w:p w14:paraId="330A766D" w14:textId="78326B68" w:rsidR="00AA1F9F" w:rsidRPr="000B7B8D" w:rsidRDefault="005A12F2" w:rsidP="005818B3">
      <w:pPr>
        <w:pStyle w:val="BodyTextHanging"/>
        <w:jc w:val="both"/>
        <w:rPr>
          <w:rFonts w:asciiTheme="minorHAnsi" w:hAnsiTheme="minorHAnsi"/>
          <w:lang w:val="en-GB"/>
        </w:rPr>
      </w:pPr>
      <w:r w:rsidRPr="000B7B8D">
        <w:rPr>
          <w:rFonts w:asciiTheme="minorHAnsi" w:hAnsiTheme="minorHAnsi"/>
          <w:lang w:val="en-GB"/>
        </w:rPr>
        <w:t xml:space="preserve">Vietnam-EU </w:t>
      </w:r>
      <w:r w:rsidR="00AA1F9F" w:rsidRPr="000B7B8D">
        <w:rPr>
          <w:rFonts w:asciiTheme="minorHAnsi" w:hAnsiTheme="minorHAnsi"/>
          <w:lang w:val="en-GB"/>
        </w:rPr>
        <w:t>(2017)</w:t>
      </w:r>
      <w:r w:rsidR="0020529C" w:rsidRPr="000B7B8D">
        <w:rPr>
          <w:rFonts w:asciiTheme="minorHAnsi" w:hAnsiTheme="minorHAnsi"/>
          <w:lang w:val="en-GB"/>
        </w:rPr>
        <w:t xml:space="preserve"> </w:t>
      </w:r>
      <w:r w:rsidR="0020529C" w:rsidRPr="000B7B8D">
        <w:rPr>
          <w:rFonts w:asciiTheme="minorHAnsi" w:hAnsiTheme="minorHAnsi"/>
          <w:i/>
          <w:lang w:val="en-GB"/>
        </w:rPr>
        <w:t>Vietnam-European Union Voluntary Partnership Agreement of Forest Law Enforcement, Governance and Trade (VPA-FLEGT) Joint Implementation Framework (JIF)</w:t>
      </w:r>
      <w:r w:rsidR="0020529C" w:rsidRPr="000B7B8D">
        <w:rPr>
          <w:rFonts w:asciiTheme="minorHAnsi" w:hAnsiTheme="minorHAnsi"/>
          <w:lang w:val="en-GB"/>
        </w:rPr>
        <w:t xml:space="preserve">, version 4, December, </w:t>
      </w:r>
      <w:r w:rsidR="00924FDD" w:rsidRPr="00924FDD">
        <w:rPr>
          <w:rFonts w:asciiTheme="minorHAnsi" w:hAnsiTheme="minorHAnsi"/>
          <w:lang w:val="en-GB"/>
        </w:rPr>
        <w:t>http://www.euflegt.efi.int/documents/10180/399868/Vietnam-EU+VPA_Joint+Implementation+Framework_December+2017_English.pdf/c8289e4e-d857-31f9-067c-bf4329df83ad</w:t>
      </w:r>
      <w:r w:rsidR="0020529C" w:rsidRPr="000B7B8D">
        <w:rPr>
          <w:rFonts w:asciiTheme="minorHAnsi" w:hAnsiTheme="minorHAnsi"/>
          <w:lang w:val="en-GB"/>
        </w:rPr>
        <w:t>.</w:t>
      </w:r>
    </w:p>
    <w:p w14:paraId="76973A51" w14:textId="5BEB3424" w:rsidR="00DB0A63" w:rsidRPr="000B7B8D" w:rsidRDefault="00DB0A63" w:rsidP="005818B3">
      <w:pPr>
        <w:pStyle w:val="BodyTextHanging"/>
        <w:jc w:val="both"/>
        <w:rPr>
          <w:rFonts w:asciiTheme="minorHAnsi" w:hAnsiTheme="minorHAnsi"/>
          <w:lang w:val="en-GB"/>
        </w:rPr>
      </w:pPr>
      <w:r w:rsidRPr="000B7B8D">
        <w:rPr>
          <w:rFonts w:asciiTheme="minorHAnsi" w:hAnsiTheme="minorHAnsi"/>
          <w:lang w:val="en-GB"/>
        </w:rPr>
        <w:t xml:space="preserve">Wellesley </w:t>
      </w:r>
      <w:r w:rsidR="00CE0E54" w:rsidRPr="000B7B8D">
        <w:rPr>
          <w:rFonts w:asciiTheme="minorHAnsi" w:hAnsiTheme="minorHAnsi"/>
          <w:lang w:val="en-GB"/>
        </w:rPr>
        <w:t xml:space="preserve">L </w:t>
      </w:r>
      <w:r w:rsidRPr="000B7B8D">
        <w:rPr>
          <w:rFonts w:asciiTheme="minorHAnsi" w:hAnsiTheme="minorHAnsi"/>
          <w:lang w:val="en-GB"/>
        </w:rPr>
        <w:t>(2014)</w:t>
      </w:r>
      <w:r w:rsidR="00CE0E54" w:rsidRPr="000B7B8D">
        <w:rPr>
          <w:rFonts w:asciiTheme="minorHAnsi" w:hAnsiTheme="minorHAnsi"/>
          <w:lang w:val="en-GB"/>
        </w:rPr>
        <w:t xml:space="preserve"> </w:t>
      </w:r>
      <w:r w:rsidR="00CE0E54" w:rsidRPr="000B7B8D">
        <w:rPr>
          <w:rFonts w:asciiTheme="minorHAnsi" w:hAnsiTheme="minorHAnsi"/>
          <w:i/>
          <w:lang w:val="en-GB"/>
        </w:rPr>
        <w:t>Trade in Illegal Timber: The Response in China</w:t>
      </w:r>
      <w:r w:rsidR="00CE0E54" w:rsidRPr="000B7B8D">
        <w:rPr>
          <w:rFonts w:asciiTheme="minorHAnsi" w:hAnsiTheme="minorHAnsi"/>
          <w:lang w:val="en-GB"/>
        </w:rPr>
        <w:t>. Research Paper, Cha</w:t>
      </w:r>
      <w:r w:rsidR="00851035" w:rsidRPr="000B7B8D">
        <w:rPr>
          <w:rFonts w:asciiTheme="minorHAnsi" w:hAnsiTheme="minorHAnsi"/>
          <w:lang w:val="en-GB"/>
        </w:rPr>
        <w:t>tham House</w:t>
      </w:r>
      <w:r w:rsidR="00CE0E54" w:rsidRPr="000B7B8D">
        <w:rPr>
          <w:rFonts w:asciiTheme="minorHAnsi" w:hAnsiTheme="minorHAnsi"/>
          <w:lang w:val="en-GB"/>
        </w:rPr>
        <w:t>,</w:t>
      </w:r>
      <w:r w:rsidR="00924FDD" w:rsidRPr="00924FDD">
        <w:t xml:space="preserve"> </w:t>
      </w:r>
      <w:r w:rsidR="00924FDD" w:rsidRPr="00924FDD">
        <w:rPr>
          <w:rFonts w:asciiTheme="minorHAnsi" w:hAnsiTheme="minorHAnsi"/>
          <w:lang w:val="en-GB"/>
        </w:rPr>
        <w:t>https://www.chathamhouse.org/publication/trade-illegal-timber-response-china</w:t>
      </w:r>
      <w:r w:rsidR="00924FDD">
        <w:rPr>
          <w:rFonts w:asciiTheme="minorHAnsi" w:hAnsiTheme="minorHAnsi"/>
          <w:lang w:val="en-GB"/>
        </w:rPr>
        <w:t>.</w:t>
      </w:r>
    </w:p>
    <w:p w14:paraId="0CC7AD47" w14:textId="73B09F22" w:rsidR="00B23B1A" w:rsidRPr="000B7B8D" w:rsidRDefault="00B23B1A" w:rsidP="005818B3">
      <w:pPr>
        <w:pStyle w:val="BodyTextHanging"/>
        <w:jc w:val="both"/>
        <w:rPr>
          <w:rFonts w:asciiTheme="minorHAnsi" w:hAnsiTheme="minorHAnsi"/>
          <w:lang w:val="en-GB"/>
        </w:rPr>
      </w:pPr>
      <w:r w:rsidRPr="000B7B8D">
        <w:rPr>
          <w:rFonts w:asciiTheme="minorHAnsi" w:hAnsiTheme="minorHAnsi"/>
          <w:lang w:val="en-GB"/>
        </w:rPr>
        <w:t xml:space="preserve">Williamson </w:t>
      </w:r>
      <w:r w:rsidR="006415DE" w:rsidRPr="000B7B8D">
        <w:rPr>
          <w:rFonts w:asciiTheme="minorHAnsi" w:hAnsiTheme="minorHAnsi"/>
          <w:lang w:val="en-GB"/>
        </w:rPr>
        <w:t xml:space="preserve">M </w:t>
      </w:r>
      <w:r w:rsidRPr="000B7B8D">
        <w:rPr>
          <w:rFonts w:asciiTheme="minorHAnsi" w:hAnsiTheme="minorHAnsi"/>
          <w:lang w:val="en-GB"/>
        </w:rPr>
        <w:t>(2016)</w:t>
      </w:r>
      <w:r w:rsidR="006415DE" w:rsidRPr="000B7B8D">
        <w:rPr>
          <w:rFonts w:asciiTheme="minorHAnsi" w:hAnsiTheme="minorHAnsi"/>
          <w:lang w:val="en-GB"/>
        </w:rPr>
        <w:t xml:space="preserve"> Canada’s Efforts to Combat Illegal Logging and Its Trade. Presentation to</w:t>
      </w:r>
      <w:r w:rsidR="00AF618E" w:rsidRPr="000B7B8D">
        <w:rPr>
          <w:rFonts w:asciiTheme="minorHAnsi" w:hAnsiTheme="minorHAnsi"/>
          <w:lang w:val="en-GB"/>
        </w:rPr>
        <w:t xml:space="preserve"> China-Canada Roundtable on Illegal Logging</w:t>
      </w:r>
      <w:r w:rsidR="006415DE" w:rsidRPr="000B7B8D">
        <w:rPr>
          <w:rFonts w:asciiTheme="minorHAnsi" w:hAnsiTheme="minorHAnsi"/>
          <w:lang w:val="en-GB"/>
        </w:rPr>
        <w:t xml:space="preserve">, </w:t>
      </w:r>
      <w:r w:rsidR="00AF618E" w:rsidRPr="000B7B8D">
        <w:rPr>
          <w:rFonts w:asciiTheme="minorHAnsi" w:hAnsiTheme="minorHAnsi"/>
          <w:lang w:val="en-GB"/>
        </w:rPr>
        <w:t xml:space="preserve">Beijing, </w:t>
      </w:r>
      <w:r w:rsidR="00421877" w:rsidRPr="000B7B8D">
        <w:rPr>
          <w:rFonts w:asciiTheme="minorHAnsi" w:hAnsiTheme="minorHAnsi"/>
          <w:lang w:val="en-GB"/>
        </w:rPr>
        <w:t>2 December</w:t>
      </w:r>
      <w:r w:rsidR="006415DE" w:rsidRPr="000B7B8D">
        <w:rPr>
          <w:rFonts w:asciiTheme="minorHAnsi" w:hAnsiTheme="minorHAnsi"/>
          <w:lang w:val="en-GB"/>
        </w:rPr>
        <w:t>.</w:t>
      </w:r>
    </w:p>
    <w:p w14:paraId="1E208938" w14:textId="7493B702" w:rsidR="00AA1F9F" w:rsidRPr="000B7B8D" w:rsidRDefault="006E3641" w:rsidP="005818B3">
      <w:pPr>
        <w:pStyle w:val="BodyTextHanging"/>
        <w:jc w:val="both"/>
        <w:rPr>
          <w:rFonts w:asciiTheme="minorHAnsi" w:hAnsiTheme="minorHAnsi"/>
          <w:lang w:val="en-GB"/>
        </w:rPr>
      </w:pPr>
      <w:r w:rsidRPr="000B7B8D">
        <w:rPr>
          <w:rFonts w:asciiTheme="minorHAnsi" w:hAnsiTheme="minorHAnsi"/>
          <w:lang w:val="en-GB"/>
        </w:rPr>
        <w:t>WRI</w:t>
      </w:r>
      <w:r w:rsidR="00AA1F9F" w:rsidRPr="000B7B8D">
        <w:rPr>
          <w:rFonts w:asciiTheme="minorHAnsi" w:hAnsiTheme="minorHAnsi"/>
          <w:lang w:val="en-GB"/>
        </w:rPr>
        <w:t xml:space="preserve"> (2018)</w:t>
      </w:r>
      <w:r w:rsidR="001D088B" w:rsidRPr="000B7B8D">
        <w:rPr>
          <w:rFonts w:asciiTheme="minorHAnsi" w:hAnsiTheme="minorHAnsi"/>
          <w:lang w:val="en-GB"/>
        </w:rPr>
        <w:t xml:space="preserve"> With US Out of TPP, So Are Measures to Curb Illegal Logging, 14 March, </w:t>
      </w:r>
      <w:hyperlink r:id="rId60" w:history="1">
        <w:r w:rsidR="001D088B" w:rsidRPr="000B7B8D">
          <w:rPr>
            <w:rStyle w:val="Hyperlink"/>
            <w:rFonts w:asciiTheme="minorHAnsi" w:hAnsiTheme="minorHAnsi"/>
            <w:lang w:val="en-GB"/>
          </w:rPr>
          <w:t>https://www.wri.org/blog/2018/03/us-out-tpp-so-are-measures-curb-illegal-logging</w:t>
        </w:r>
      </w:hyperlink>
      <w:r w:rsidR="001D088B" w:rsidRPr="000B7B8D">
        <w:rPr>
          <w:rFonts w:asciiTheme="minorHAnsi" w:hAnsiTheme="minorHAnsi"/>
          <w:lang w:val="en-GB"/>
        </w:rPr>
        <w:t>.</w:t>
      </w:r>
    </w:p>
    <w:p w14:paraId="479B60B4" w14:textId="613CE24A" w:rsidR="005818B3" w:rsidRPr="000B7B8D" w:rsidRDefault="005818B3" w:rsidP="005818B3">
      <w:pPr>
        <w:pStyle w:val="BodyTextHanging"/>
        <w:jc w:val="both"/>
        <w:rPr>
          <w:rFonts w:asciiTheme="minorHAnsi" w:hAnsiTheme="minorHAnsi"/>
          <w:lang w:val="en-GB"/>
        </w:rPr>
      </w:pPr>
      <w:r w:rsidRPr="000B7B8D">
        <w:rPr>
          <w:rFonts w:asciiTheme="minorHAnsi" w:hAnsiTheme="minorHAnsi"/>
          <w:lang w:val="en-GB"/>
        </w:rPr>
        <w:t xml:space="preserve">Zeitlin J (ed) (2015) </w:t>
      </w:r>
      <w:r w:rsidRPr="000B7B8D">
        <w:rPr>
          <w:rFonts w:asciiTheme="minorHAnsi" w:hAnsiTheme="minorHAnsi"/>
          <w:i/>
          <w:lang w:val="en-GB"/>
        </w:rPr>
        <w:t>Extending Experimentalist Governance? The European Union and Transnational Regulation</w:t>
      </w:r>
      <w:r w:rsidRPr="000B7B8D">
        <w:rPr>
          <w:rFonts w:asciiTheme="minorHAnsi" w:hAnsiTheme="minorHAnsi"/>
          <w:lang w:val="en-GB"/>
        </w:rPr>
        <w:t>. OUP, Oxford.</w:t>
      </w:r>
    </w:p>
    <w:p w14:paraId="1093719C" w14:textId="7F568079" w:rsidR="005A12F2" w:rsidRPr="000B7B8D" w:rsidRDefault="005A12F2" w:rsidP="005818B3">
      <w:pPr>
        <w:pStyle w:val="BodyTextHanging"/>
        <w:jc w:val="both"/>
        <w:rPr>
          <w:rFonts w:asciiTheme="minorHAnsi" w:hAnsiTheme="minorHAnsi"/>
          <w:b/>
          <w:lang w:val="en-GB"/>
        </w:rPr>
      </w:pPr>
      <w:r w:rsidRPr="000B7B8D">
        <w:rPr>
          <w:rFonts w:asciiTheme="minorHAnsi" w:hAnsiTheme="minorHAnsi"/>
          <w:b/>
          <w:lang w:val="en-GB"/>
        </w:rPr>
        <w:t>Minutes and Newsletters</w:t>
      </w:r>
    </w:p>
    <w:p w14:paraId="0A830342" w14:textId="01F246FD" w:rsidR="00AA1F9F" w:rsidRPr="000B7B8D" w:rsidRDefault="00AA1F9F" w:rsidP="005818B3">
      <w:pPr>
        <w:pStyle w:val="BodyTextHanging"/>
        <w:jc w:val="both"/>
        <w:rPr>
          <w:rFonts w:asciiTheme="minorHAnsi" w:hAnsiTheme="minorHAnsi"/>
          <w:lang w:val="en-GB"/>
        </w:rPr>
      </w:pPr>
      <w:r w:rsidRPr="000B7B8D">
        <w:rPr>
          <w:rFonts w:asciiTheme="minorHAnsi" w:hAnsiTheme="minorHAnsi"/>
          <w:lang w:val="en-GB"/>
        </w:rPr>
        <w:t xml:space="preserve">Client Earth </w:t>
      </w:r>
      <w:r w:rsidRPr="000B7B8D">
        <w:rPr>
          <w:rFonts w:asciiTheme="minorHAnsi" w:hAnsiTheme="minorHAnsi"/>
          <w:i/>
          <w:lang w:val="en-GB"/>
        </w:rPr>
        <w:t>EUTR News</w:t>
      </w:r>
      <w:r w:rsidR="006219AB" w:rsidRPr="000B7B8D">
        <w:rPr>
          <w:rFonts w:asciiTheme="minorHAnsi" w:hAnsiTheme="minorHAnsi"/>
          <w:lang w:val="en-GB"/>
        </w:rPr>
        <w:t xml:space="preserve">, </w:t>
      </w:r>
      <w:hyperlink r:id="rId61" w:history="1">
        <w:r w:rsidR="006219AB" w:rsidRPr="000B7B8D">
          <w:rPr>
            <w:rStyle w:val="Hyperlink"/>
            <w:rFonts w:asciiTheme="minorHAnsi" w:hAnsiTheme="minorHAnsi"/>
          </w:rPr>
          <w:t>https://www.clientearth.org/eutr/</w:t>
        </w:r>
      </w:hyperlink>
      <w:r w:rsidR="006219AB" w:rsidRPr="000B7B8D">
        <w:rPr>
          <w:rFonts w:asciiTheme="minorHAnsi" w:hAnsiTheme="minorHAnsi"/>
          <w:i/>
        </w:rPr>
        <w:t>.</w:t>
      </w:r>
    </w:p>
    <w:p w14:paraId="62228897" w14:textId="79B0C802" w:rsidR="005A12F2" w:rsidRPr="000B7B8D" w:rsidRDefault="005A12F2" w:rsidP="005818B3">
      <w:pPr>
        <w:pStyle w:val="BodyTextHanging"/>
        <w:jc w:val="both"/>
        <w:rPr>
          <w:rFonts w:asciiTheme="minorHAnsi" w:hAnsiTheme="minorHAnsi"/>
          <w:lang w:val="en-GB"/>
        </w:rPr>
      </w:pPr>
      <w:r w:rsidRPr="000B7B8D">
        <w:rPr>
          <w:rFonts w:asciiTheme="minorHAnsi" w:hAnsiTheme="minorHAnsi"/>
          <w:lang w:val="en-GB"/>
        </w:rPr>
        <w:lastRenderedPageBreak/>
        <w:t>EUTR/FLEGT Expert Group Minutes</w:t>
      </w:r>
      <w:r w:rsidR="001D088B" w:rsidRPr="000B7B8D">
        <w:rPr>
          <w:rFonts w:asciiTheme="minorHAnsi" w:hAnsiTheme="minorHAnsi"/>
          <w:lang w:val="en-GB"/>
        </w:rPr>
        <w:t xml:space="preserve">, </w:t>
      </w:r>
      <w:r w:rsidRPr="000B7B8D">
        <w:rPr>
          <w:rFonts w:asciiTheme="minorHAnsi" w:hAnsiTheme="minorHAnsi"/>
          <w:lang w:val="en-GB"/>
        </w:rPr>
        <w:t xml:space="preserve"> </w:t>
      </w:r>
      <w:hyperlink r:id="rId62" w:history="1">
        <w:r w:rsidR="00B35806" w:rsidRPr="000B7B8D">
          <w:rPr>
            <w:rStyle w:val="Hyperlink"/>
            <w:rFonts w:asciiTheme="minorHAnsi" w:hAnsiTheme="minorHAnsi"/>
            <w:lang w:val="en-GB"/>
          </w:rPr>
          <w:t>http://ec.europa.eu/transparency/regexpert/index.cfm?do=groupDetail.groupDetail&amp;groupID=3282</w:t>
        </w:r>
      </w:hyperlink>
      <w:r w:rsidR="00B35806" w:rsidRPr="000B7B8D">
        <w:rPr>
          <w:rFonts w:asciiTheme="minorHAnsi" w:hAnsiTheme="minorHAnsi"/>
          <w:lang w:val="en-GB"/>
        </w:rPr>
        <w:t>.</w:t>
      </w:r>
    </w:p>
    <w:p w14:paraId="037A2127" w14:textId="672DBB5A" w:rsidR="005A12F2" w:rsidRPr="000B7B8D" w:rsidRDefault="005A12F2" w:rsidP="005818B3">
      <w:pPr>
        <w:pStyle w:val="BodyTextHanging"/>
        <w:jc w:val="both"/>
        <w:rPr>
          <w:rFonts w:asciiTheme="minorHAnsi" w:hAnsiTheme="minorHAnsi"/>
          <w:lang w:val="en-GB"/>
        </w:rPr>
      </w:pPr>
      <w:r w:rsidRPr="000B7B8D">
        <w:rPr>
          <w:rFonts w:asciiTheme="minorHAnsi" w:hAnsiTheme="minorHAnsi"/>
          <w:lang w:val="en-GB"/>
        </w:rPr>
        <w:t xml:space="preserve">Independent Market Monitor </w:t>
      </w:r>
      <w:r w:rsidRPr="000B7B8D">
        <w:rPr>
          <w:rFonts w:asciiTheme="minorHAnsi" w:hAnsiTheme="minorHAnsi"/>
          <w:i/>
          <w:lang w:val="en-GB"/>
        </w:rPr>
        <w:t>News</w:t>
      </w:r>
      <w:r w:rsidR="00663248" w:rsidRPr="000B7B8D">
        <w:rPr>
          <w:rFonts w:asciiTheme="minorHAnsi" w:hAnsiTheme="minorHAnsi"/>
          <w:i/>
          <w:lang w:val="en-GB"/>
        </w:rPr>
        <w:t>letter</w:t>
      </w:r>
      <w:r w:rsidR="00663248" w:rsidRPr="000B7B8D">
        <w:rPr>
          <w:rFonts w:asciiTheme="minorHAnsi" w:hAnsiTheme="minorHAnsi"/>
          <w:lang w:val="en-GB"/>
        </w:rPr>
        <w:t xml:space="preserve">, </w:t>
      </w:r>
      <w:hyperlink r:id="rId63" w:history="1">
        <w:r w:rsidR="00663248" w:rsidRPr="000B7B8D">
          <w:rPr>
            <w:rStyle w:val="Hyperlink"/>
            <w:rFonts w:asciiTheme="minorHAnsi" w:hAnsiTheme="minorHAnsi"/>
            <w:lang w:val="en-GB"/>
          </w:rPr>
          <w:t>http://www.flegtimm.eu/index.php/component/users/?view=remind&amp;Itemid=101</w:t>
        </w:r>
      </w:hyperlink>
      <w:r w:rsidR="00663248" w:rsidRPr="000B7B8D">
        <w:rPr>
          <w:rFonts w:asciiTheme="minorHAnsi" w:hAnsiTheme="minorHAnsi"/>
          <w:lang w:val="en-GB"/>
        </w:rPr>
        <w:t>.</w:t>
      </w:r>
    </w:p>
    <w:p w14:paraId="3C0BF25F" w14:textId="3BF94F6A" w:rsidR="00313831" w:rsidRPr="000B7B8D" w:rsidRDefault="00B23B1A" w:rsidP="005818B3">
      <w:pPr>
        <w:pStyle w:val="BodyTextHanging"/>
        <w:jc w:val="both"/>
        <w:rPr>
          <w:rFonts w:asciiTheme="minorHAnsi" w:hAnsiTheme="minorHAnsi"/>
          <w:lang w:val="en-GB"/>
        </w:rPr>
      </w:pPr>
      <w:r w:rsidRPr="000B7B8D">
        <w:rPr>
          <w:rFonts w:asciiTheme="minorHAnsi" w:hAnsiTheme="minorHAnsi"/>
          <w:lang w:val="en-GB"/>
        </w:rPr>
        <w:t xml:space="preserve">TREE meeting </w:t>
      </w:r>
      <w:r w:rsidR="001211C3" w:rsidRPr="000B7B8D">
        <w:rPr>
          <w:rFonts w:asciiTheme="minorHAnsi" w:hAnsiTheme="minorHAnsi"/>
          <w:lang w:val="en-GB"/>
        </w:rPr>
        <w:t>summaries</w:t>
      </w:r>
      <w:r w:rsidR="00313831" w:rsidRPr="000B7B8D">
        <w:rPr>
          <w:rFonts w:asciiTheme="minorHAnsi" w:hAnsiTheme="minorHAnsi"/>
          <w:lang w:val="en-GB"/>
        </w:rPr>
        <w:t xml:space="preserve"> </w:t>
      </w:r>
    </w:p>
    <w:p w14:paraId="42DE4529" w14:textId="01A679E4" w:rsidR="00B23B1A" w:rsidRPr="000B7B8D" w:rsidRDefault="00313831" w:rsidP="00313831">
      <w:pPr>
        <w:pStyle w:val="BodyTextHanging"/>
        <w:ind w:left="680"/>
        <w:jc w:val="both"/>
        <w:rPr>
          <w:rFonts w:asciiTheme="minorHAnsi" w:hAnsiTheme="minorHAnsi"/>
          <w:lang w:val="en-GB"/>
        </w:rPr>
      </w:pPr>
      <w:r w:rsidRPr="000B7B8D">
        <w:rPr>
          <w:rFonts w:asciiTheme="minorHAnsi" w:hAnsiTheme="minorHAnsi"/>
          <w:lang w:val="en-GB"/>
        </w:rPr>
        <w:t>2013-2017</w:t>
      </w:r>
      <w:r w:rsidR="00E505BF" w:rsidRPr="000B7B8D">
        <w:rPr>
          <w:rFonts w:asciiTheme="minorHAnsi" w:hAnsiTheme="minorHAnsi"/>
          <w:lang w:val="en-GB"/>
        </w:rPr>
        <w:t>:</w:t>
      </w:r>
      <w:r w:rsidRPr="000B7B8D">
        <w:rPr>
          <w:rFonts w:asciiTheme="minorHAnsi" w:hAnsiTheme="minorHAnsi"/>
          <w:lang w:val="en-GB"/>
        </w:rPr>
        <w:t xml:space="preserve"> </w:t>
      </w:r>
      <w:hyperlink r:id="rId64" w:anchor="ssection-5" w:history="1">
        <w:r w:rsidRPr="000B7B8D">
          <w:rPr>
            <w:rStyle w:val="Hyperlink"/>
            <w:rFonts w:asciiTheme="minorHAnsi" w:hAnsiTheme="minorHAnsi"/>
            <w:lang w:val="en-GB"/>
          </w:rPr>
          <w:t>https://www.forest-trends.org/who-we-are/initiatives/#ssection-5</w:t>
        </w:r>
      </w:hyperlink>
      <w:r w:rsidR="00F81127" w:rsidRPr="000B7B8D">
        <w:rPr>
          <w:rFonts w:asciiTheme="minorHAnsi" w:hAnsiTheme="minorHAnsi"/>
          <w:lang w:val="en-GB"/>
        </w:rPr>
        <w:t>.</w:t>
      </w:r>
    </w:p>
    <w:p w14:paraId="7DB65492" w14:textId="531DFEC1" w:rsidR="00313831" w:rsidRPr="000B7B8D" w:rsidRDefault="00AF64B1" w:rsidP="00313831">
      <w:pPr>
        <w:pStyle w:val="BodyTextHanging"/>
        <w:ind w:left="680"/>
        <w:jc w:val="both"/>
        <w:rPr>
          <w:rFonts w:asciiTheme="minorHAnsi" w:hAnsiTheme="minorHAnsi"/>
          <w:lang w:val="en-GB"/>
        </w:rPr>
      </w:pPr>
      <w:r w:rsidRPr="000B7B8D">
        <w:rPr>
          <w:rFonts w:asciiTheme="minorHAnsi" w:hAnsiTheme="minorHAnsi"/>
          <w:lang w:val="en-GB"/>
        </w:rPr>
        <w:t xml:space="preserve">2018-2019: </w:t>
      </w:r>
      <w:hyperlink r:id="rId65" w:history="1">
        <w:r w:rsidR="00260F02" w:rsidRPr="000B7B8D">
          <w:rPr>
            <w:rStyle w:val="Hyperlink"/>
            <w:rFonts w:asciiTheme="minorHAnsi" w:hAnsiTheme="minorHAnsi"/>
          </w:rPr>
          <w:t>https://www.forest-trends.org/events/timber-regulation-enforcement-exchange-hamburg/</w:t>
        </w:r>
      </w:hyperlink>
      <w:r w:rsidR="00260F02" w:rsidRPr="000B7B8D">
        <w:rPr>
          <w:rFonts w:asciiTheme="minorHAnsi" w:hAnsiTheme="minorHAnsi"/>
          <w:lang w:val="en-GB"/>
        </w:rPr>
        <w:t>; https://www.forest-trends.org/events/timber-regulation-enforcement-exchange-london/</w:t>
      </w:r>
    </w:p>
    <w:p w14:paraId="3A90CF31" w14:textId="2D12E7B1" w:rsidR="00E505BF" w:rsidRPr="000B7B8D" w:rsidRDefault="00E505BF" w:rsidP="005818B3">
      <w:pPr>
        <w:pStyle w:val="BodyTextHanging"/>
        <w:jc w:val="both"/>
        <w:rPr>
          <w:rFonts w:asciiTheme="minorHAnsi" w:hAnsiTheme="minorHAnsi"/>
          <w:lang w:val="en-GB"/>
        </w:rPr>
      </w:pPr>
      <w:r w:rsidRPr="000B7B8D">
        <w:rPr>
          <w:rFonts w:asciiTheme="minorHAnsi" w:hAnsiTheme="minorHAnsi"/>
          <w:lang w:val="en-GB"/>
        </w:rPr>
        <w:t xml:space="preserve">TREE </w:t>
      </w:r>
      <w:r w:rsidRPr="000B7B8D">
        <w:rPr>
          <w:rFonts w:asciiTheme="minorHAnsi" w:hAnsiTheme="minorHAnsi"/>
          <w:i/>
          <w:lang w:val="en-GB"/>
        </w:rPr>
        <w:t>Newsletters</w:t>
      </w:r>
      <w:r w:rsidRPr="000B7B8D">
        <w:rPr>
          <w:rFonts w:asciiTheme="minorHAnsi" w:hAnsiTheme="minorHAnsi"/>
          <w:lang w:val="en-GB"/>
        </w:rPr>
        <w:t xml:space="preserve">, </w:t>
      </w:r>
      <w:r w:rsidR="00F81127" w:rsidRPr="000B7B8D">
        <w:rPr>
          <w:rFonts w:asciiTheme="minorHAnsi" w:hAnsiTheme="minorHAnsi"/>
          <w:lang w:val="en-GB"/>
        </w:rPr>
        <w:t xml:space="preserve">2016: </w:t>
      </w:r>
      <w:hyperlink r:id="rId66" w:anchor="ssection-5" w:history="1">
        <w:r w:rsidR="00F81127" w:rsidRPr="000B7B8D">
          <w:rPr>
            <w:rStyle w:val="Hyperlink"/>
            <w:rFonts w:asciiTheme="minorHAnsi" w:hAnsiTheme="minorHAnsi"/>
            <w:lang w:val="en-GB"/>
          </w:rPr>
          <w:t>https://www.forest-trends.org/who-we-are/initiatives/#ssection-5</w:t>
        </w:r>
      </w:hyperlink>
      <w:r w:rsidR="00F81127" w:rsidRPr="000B7B8D">
        <w:rPr>
          <w:rFonts w:asciiTheme="minorHAnsi" w:hAnsiTheme="minorHAnsi"/>
          <w:lang w:val="en-GB"/>
        </w:rPr>
        <w:t xml:space="preserve"> .</w:t>
      </w:r>
    </w:p>
    <w:p w14:paraId="348BA1B6" w14:textId="00CFE318" w:rsidR="005A12F2" w:rsidRPr="000B7B8D" w:rsidRDefault="005A12F2" w:rsidP="005818B3">
      <w:pPr>
        <w:pStyle w:val="BodyTextHanging"/>
        <w:jc w:val="both"/>
        <w:rPr>
          <w:rFonts w:asciiTheme="minorHAnsi" w:hAnsiTheme="minorHAnsi"/>
          <w:lang w:val="en-GB"/>
        </w:rPr>
      </w:pPr>
      <w:r w:rsidRPr="000B7B8D">
        <w:rPr>
          <w:rFonts w:asciiTheme="minorHAnsi" w:hAnsiTheme="minorHAnsi"/>
          <w:lang w:val="en-GB"/>
        </w:rPr>
        <w:t>UNEP-WCMC</w:t>
      </w:r>
      <w:r w:rsidR="006219AB" w:rsidRPr="000B7B8D">
        <w:rPr>
          <w:rFonts w:asciiTheme="minorHAnsi" w:hAnsiTheme="minorHAnsi"/>
          <w:lang w:val="en-GB"/>
        </w:rPr>
        <w:t xml:space="preserve">, </w:t>
      </w:r>
      <w:r w:rsidR="006219AB" w:rsidRPr="000B7B8D">
        <w:rPr>
          <w:rFonts w:asciiTheme="minorHAnsi" w:hAnsiTheme="minorHAnsi"/>
          <w:i/>
        </w:rPr>
        <w:t>Briefing Notes for the Competent Authorities Implementing the EU Timber Regulation</w:t>
      </w:r>
      <w:r w:rsidR="006219AB" w:rsidRPr="000B7B8D">
        <w:rPr>
          <w:rFonts w:asciiTheme="minorHAnsi" w:hAnsiTheme="minorHAnsi"/>
        </w:rPr>
        <w:t xml:space="preserve">, </w:t>
      </w:r>
      <w:hyperlink r:id="rId67" w:history="1">
        <w:r w:rsidR="006219AB" w:rsidRPr="000B7B8D">
          <w:rPr>
            <w:rStyle w:val="Hyperlink"/>
            <w:rFonts w:asciiTheme="minorHAnsi" w:hAnsiTheme="minorHAnsi"/>
          </w:rPr>
          <w:t>https://www.unep-wcmc.org/featured-projects/eu-timber-regulations-and-flegt</w:t>
        </w:r>
      </w:hyperlink>
      <w:r w:rsidR="00F81127" w:rsidRPr="000B7B8D">
        <w:rPr>
          <w:rStyle w:val="Hyperlink"/>
          <w:rFonts w:asciiTheme="minorHAnsi" w:hAnsiTheme="minorHAnsi"/>
        </w:rPr>
        <w:t>.</w:t>
      </w:r>
    </w:p>
    <w:p w14:paraId="7BA6B40E" w14:textId="71A3DE30" w:rsidR="006E3641" w:rsidRPr="000B7B8D" w:rsidRDefault="00F81127" w:rsidP="00F81127">
      <w:pPr>
        <w:pStyle w:val="BodyTextHanging"/>
        <w:jc w:val="both"/>
        <w:rPr>
          <w:rFonts w:asciiTheme="minorHAnsi" w:hAnsiTheme="minorHAnsi"/>
          <w:b/>
          <w:lang w:val="en-GB"/>
        </w:rPr>
      </w:pPr>
      <w:r w:rsidRPr="000B7B8D">
        <w:rPr>
          <w:rFonts w:asciiTheme="minorHAnsi" w:hAnsiTheme="minorHAnsi"/>
          <w:b/>
          <w:lang w:val="en-GB"/>
        </w:rPr>
        <w:t>Interviews and Personal Communications</w:t>
      </w:r>
    </w:p>
    <w:p w14:paraId="04207417" w14:textId="038A1FC4" w:rsidR="005B43BA" w:rsidRPr="000B7B8D" w:rsidRDefault="005B43BA" w:rsidP="00F81127">
      <w:pPr>
        <w:pStyle w:val="BodyTextHanging"/>
        <w:jc w:val="both"/>
        <w:rPr>
          <w:rFonts w:asciiTheme="minorHAnsi" w:hAnsiTheme="minorHAnsi"/>
          <w:lang w:val="en-GB"/>
        </w:rPr>
      </w:pPr>
      <w:r w:rsidRPr="000B7B8D">
        <w:rPr>
          <w:rFonts w:asciiTheme="minorHAnsi" w:hAnsiTheme="minorHAnsi"/>
          <w:lang w:val="en-GB"/>
        </w:rPr>
        <w:t xml:space="preserve">Patrick Duggan, </w:t>
      </w:r>
      <w:r w:rsidR="000067F7" w:rsidRPr="000B7B8D">
        <w:rPr>
          <w:rFonts w:asciiTheme="minorHAnsi" w:hAnsiTheme="minorHAnsi"/>
          <w:lang w:val="en-GB"/>
        </w:rPr>
        <w:t>US Department of Justice Environmental Crimes Section, email 25 October 2018.</w:t>
      </w:r>
    </w:p>
    <w:p w14:paraId="487963D3" w14:textId="77777777" w:rsidR="00E80913" w:rsidRPr="000B7B8D" w:rsidRDefault="00E80913" w:rsidP="00E80913">
      <w:pPr>
        <w:pStyle w:val="BodyTextHanging"/>
        <w:jc w:val="both"/>
        <w:rPr>
          <w:rFonts w:asciiTheme="minorHAnsi" w:hAnsiTheme="minorHAnsi"/>
          <w:lang w:val="en-GB"/>
        </w:rPr>
      </w:pPr>
      <w:r w:rsidRPr="000B7B8D">
        <w:rPr>
          <w:rFonts w:asciiTheme="minorHAnsi" w:hAnsiTheme="minorHAnsi"/>
          <w:lang w:val="en-GB"/>
        </w:rPr>
        <w:t>PT Gunung Gajah Abadi and PT Karya Lestari, interviews with managers and staff, East Kalimantan, 12-14 March 2018.</w:t>
      </w:r>
    </w:p>
    <w:p w14:paraId="482AC3B2" w14:textId="11330EA2" w:rsidR="00225258" w:rsidRPr="000B7B8D" w:rsidRDefault="00225258" w:rsidP="00F81127">
      <w:pPr>
        <w:pStyle w:val="BodyTextHanging"/>
        <w:jc w:val="both"/>
        <w:rPr>
          <w:rFonts w:asciiTheme="minorHAnsi" w:hAnsiTheme="minorHAnsi"/>
          <w:lang w:val="en-GB"/>
        </w:rPr>
      </w:pPr>
      <w:r w:rsidRPr="000B7B8D">
        <w:rPr>
          <w:rFonts w:asciiTheme="minorHAnsi" w:hAnsiTheme="minorHAnsi"/>
          <w:lang w:val="en-GB"/>
        </w:rPr>
        <w:t xml:space="preserve">James Hewitt, independent consultant and timber trade expert, </w:t>
      </w:r>
      <w:r w:rsidR="00265AEF" w:rsidRPr="000B7B8D">
        <w:rPr>
          <w:rFonts w:asciiTheme="minorHAnsi" w:hAnsiTheme="minorHAnsi"/>
          <w:lang w:val="en-GB"/>
        </w:rPr>
        <w:t>email</w:t>
      </w:r>
      <w:r w:rsidRPr="000B7B8D">
        <w:rPr>
          <w:rFonts w:asciiTheme="minorHAnsi" w:hAnsiTheme="minorHAnsi"/>
          <w:lang w:val="en-GB"/>
        </w:rPr>
        <w:t xml:space="preserve"> 9 April 2019.</w:t>
      </w:r>
    </w:p>
    <w:p w14:paraId="7C88F120" w14:textId="0825730F" w:rsidR="00F81127" w:rsidRPr="000B7B8D" w:rsidRDefault="00F81127" w:rsidP="00F81127">
      <w:pPr>
        <w:pStyle w:val="BodyTextHanging"/>
        <w:jc w:val="both"/>
        <w:rPr>
          <w:rFonts w:asciiTheme="minorHAnsi" w:hAnsiTheme="minorHAnsi"/>
          <w:lang w:val="en-GB"/>
        </w:rPr>
      </w:pPr>
      <w:r w:rsidRPr="000B7B8D">
        <w:rPr>
          <w:rFonts w:asciiTheme="minorHAnsi" w:hAnsiTheme="minorHAnsi"/>
          <w:lang w:val="en-GB"/>
        </w:rPr>
        <w:t xml:space="preserve">Thorsten Hinrichs, </w:t>
      </w:r>
      <w:r w:rsidRPr="000B7B8D">
        <w:rPr>
          <w:rFonts w:asciiTheme="minorHAnsi" w:hAnsiTheme="minorHAnsi"/>
        </w:rPr>
        <w:t xml:space="preserve">German Federal Ministry of Food and Agriculture (BMEL), European and International Forestry Unit, </w:t>
      </w:r>
      <w:r w:rsidR="00265AEF" w:rsidRPr="000B7B8D">
        <w:rPr>
          <w:rFonts w:asciiTheme="minorHAnsi" w:hAnsiTheme="minorHAnsi"/>
        </w:rPr>
        <w:t xml:space="preserve">interview </w:t>
      </w:r>
      <w:r w:rsidRPr="000B7B8D">
        <w:rPr>
          <w:rFonts w:asciiTheme="minorHAnsi" w:hAnsiTheme="minorHAnsi"/>
        </w:rPr>
        <w:t>22 October 2018.</w:t>
      </w:r>
    </w:p>
    <w:p w14:paraId="32C405BC" w14:textId="6EC5235B" w:rsidR="00397EBB" w:rsidRPr="000B7B8D" w:rsidRDefault="00397EBB" w:rsidP="00F81127">
      <w:pPr>
        <w:pStyle w:val="BodyTextHanging"/>
        <w:jc w:val="both"/>
        <w:rPr>
          <w:rFonts w:asciiTheme="minorHAnsi" w:hAnsiTheme="minorHAnsi"/>
        </w:rPr>
      </w:pPr>
      <w:r w:rsidRPr="000B7B8D">
        <w:rPr>
          <w:rFonts w:asciiTheme="minorHAnsi" w:hAnsiTheme="minorHAnsi"/>
        </w:rPr>
        <w:t>Marion Karmann, FSC, email 5 April 2018.</w:t>
      </w:r>
    </w:p>
    <w:p w14:paraId="368FCC40" w14:textId="1BEA5757" w:rsidR="00F81127" w:rsidRPr="000B7B8D" w:rsidRDefault="00F81127" w:rsidP="00F81127">
      <w:pPr>
        <w:pStyle w:val="BodyTextHanging"/>
        <w:jc w:val="both"/>
        <w:rPr>
          <w:rFonts w:asciiTheme="minorHAnsi" w:hAnsiTheme="minorHAnsi"/>
          <w:lang w:val="en-GB"/>
        </w:rPr>
      </w:pPr>
      <w:r w:rsidRPr="000B7B8D">
        <w:rPr>
          <w:rFonts w:asciiTheme="minorHAnsi" w:hAnsiTheme="minorHAnsi"/>
          <w:lang w:val="en-GB"/>
        </w:rPr>
        <w:t xml:space="preserve">Jade Saunders (Chatham House/Forest Trends/TREE), </w:t>
      </w:r>
      <w:r w:rsidR="00265AEF" w:rsidRPr="000B7B8D">
        <w:rPr>
          <w:rFonts w:asciiTheme="minorHAnsi" w:hAnsiTheme="minorHAnsi"/>
          <w:lang w:val="en-GB"/>
        </w:rPr>
        <w:t xml:space="preserve">interview </w:t>
      </w:r>
      <w:r w:rsidRPr="000B7B8D">
        <w:rPr>
          <w:rFonts w:asciiTheme="minorHAnsi" w:hAnsiTheme="minorHAnsi"/>
          <w:lang w:val="en-GB"/>
        </w:rPr>
        <w:t>London 25 September 2018; email correspondence September-October 2018.</w:t>
      </w:r>
    </w:p>
    <w:sectPr w:rsidR="00F81127" w:rsidRPr="000B7B8D">
      <w:footerReference w:type="default" r:id="rId6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C9E0F" w14:textId="77777777" w:rsidR="00413CB2" w:rsidRDefault="00413CB2">
      <w:r>
        <w:separator/>
      </w:r>
    </w:p>
    <w:p w14:paraId="72787864" w14:textId="77777777" w:rsidR="00413CB2" w:rsidRDefault="00413CB2"/>
  </w:endnote>
  <w:endnote w:type="continuationSeparator" w:id="0">
    <w:p w14:paraId="7552122E" w14:textId="77777777" w:rsidR="00413CB2" w:rsidRDefault="00413CB2">
      <w:r>
        <w:continuationSeparator/>
      </w:r>
    </w:p>
    <w:p w14:paraId="68907521" w14:textId="77777777" w:rsidR="00413CB2" w:rsidRDefault="00413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B2CA5" w14:textId="77777777" w:rsidR="004C72CA" w:rsidRPr="00523396" w:rsidRDefault="004C72CA">
    <w:pPr>
      <w:pStyle w:val="Footer"/>
      <w:rPr>
        <w:rFonts w:asciiTheme="minorHAnsi" w:hAnsiTheme="minorHAnsi"/>
      </w:rPr>
    </w:pPr>
    <w:r>
      <w:tab/>
    </w:r>
    <w:r w:rsidRPr="00523396">
      <w:rPr>
        <w:rFonts w:asciiTheme="minorHAnsi" w:hAnsiTheme="minorHAnsi"/>
      </w:rPr>
      <w:fldChar w:fldCharType="begin"/>
    </w:r>
    <w:r w:rsidRPr="00523396">
      <w:rPr>
        <w:rFonts w:asciiTheme="minorHAnsi" w:hAnsiTheme="minorHAnsi"/>
      </w:rPr>
      <w:instrText xml:space="preserve"> PAGE </w:instrText>
    </w:r>
    <w:r w:rsidRPr="00523396">
      <w:rPr>
        <w:rFonts w:asciiTheme="minorHAnsi" w:hAnsiTheme="minorHAnsi"/>
      </w:rPr>
      <w:fldChar w:fldCharType="separate"/>
    </w:r>
    <w:r w:rsidR="00DB04E8">
      <w:rPr>
        <w:rFonts w:asciiTheme="minorHAnsi" w:hAnsiTheme="minorHAnsi"/>
        <w:noProof/>
      </w:rPr>
      <w:t>53</w:t>
    </w:r>
    <w:r w:rsidRPr="00523396">
      <w:rPr>
        <w:rFonts w:asciiTheme="minorHAnsi" w:hAnsiTheme="minorHAnsi"/>
      </w:rPr>
      <w:fldChar w:fldCharType="end"/>
    </w:r>
  </w:p>
  <w:p w14:paraId="7EC444EC" w14:textId="77777777" w:rsidR="004C72CA" w:rsidRDefault="004C72C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D1E90" w14:textId="77777777" w:rsidR="00413CB2" w:rsidRDefault="00413CB2">
      <w:r>
        <w:separator/>
      </w:r>
    </w:p>
    <w:p w14:paraId="67AA5832" w14:textId="77777777" w:rsidR="00413CB2" w:rsidRDefault="00413CB2"/>
  </w:footnote>
  <w:footnote w:type="continuationSeparator" w:id="0">
    <w:p w14:paraId="49A4C097" w14:textId="77777777" w:rsidR="00413CB2" w:rsidRDefault="00413CB2">
      <w:r>
        <w:continuationSeparator/>
      </w:r>
    </w:p>
    <w:p w14:paraId="507D4350" w14:textId="77777777" w:rsidR="00413CB2" w:rsidRDefault="00413CB2"/>
  </w:footnote>
  <w:footnote w:id="1">
    <w:p w14:paraId="7A7365E1" w14:textId="0C306A1F" w:rsidR="004C72CA" w:rsidRDefault="004C72CA">
      <w:pPr>
        <w:pStyle w:val="FootnoteText"/>
      </w:pPr>
      <w:r>
        <w:rPr>
          <w:rStyle w:val="FootnoteReference"/>
        </w:rPr>
        <w:footnoteRef/>
      </w:r>
      <w:r>
        <w:t xml:space="preserve"> For a full but anonymized list of interviews conducted between 2011 and 2016, see Overdevest &amp; Zeitlin (2018: Appendix S1).</w:t>
      </w:r>
    </w:p>
  </w:footnote>
  <w:footnote w:id="2">
    <w:p w14:paraId="740D6207" w14:textId="5548577F" w:rsidR="004C72CA" w:rsidRPr="005339B7" w:rsidRDefault="004C72CA" w:rsidP="007E060F">
      <w:pPr>
        <w:pStyle w:val="FootnoteText"/>
      </w:pPr>
      <w:r w:rsidRPr="005339B7">
        <w:rPr>
          <w:rStyle w:val="FootnoteReference"/>
          <w:rFonts w:asciiTheme="minorHAnsi" w:hAnsiTheme="minorHAnsi"/>
        </w:rPr>
        <w:footnoteRef/>
      </w:r>
      <w:r w:rsidRPr="005339B7">
        <w:t xml:space="preserve"> </w:t>
      </w:r>
      <w:hyperlink r:id="rId1" w:history="1">
        <w:r w:rsidRPr="005339B7">
          <w:rPr>
            <w:rStyle w:val="Hyperlink"/>
          </w:rPr>
          <w:t>https://www.apec.org/Groups/SOM-Steering-Committee-on-Economic-and-Technical-Cooperation/Working-Groups/Illegal-Logging-and-Associated-Trade</w:t>
        </w:r>
      </w:hyperlink>
      <w:r w:rsidRPr="005339B7">
        <w:t xml:space="preserve">; </w:t>
      </w:r>
      <w:hyperlink r:id="rId2" w:history="1">
        <w:r w:rsidRPr="005339B7">
          <w:rPr>
            <w:rStyle w:val="Hyperlink"/>
          </w:rPr>
          <w:t>http://asean.org/storage/2016/10/Strategic-Plan-of-Action-for-ASEAN-Cooperation-on-Forestry-2016-2025.pdf</w:t>
        </w:r>
      </w:hyperlink>
      <w:r w:rsidRPr="005339B7">
        <w:t>.</w:t>
      </w:r>
    </w:p>
  </w:footnote>
  <w:footnote w:id="3">
    <w:p w14:paraId="35C4CD29" w14:textId="02C71A21" w:rsidR="004C72CA" w:rsidRPr="005339B7" w:rsidRDefault="004C72CA" w:rsidP="007E060F">
      <w:pPr>
        <w:pStyle w:val="FootnoteText"/>
      </w:pPr>
      <w:r w:rsidRPr="005339B7">
        <w:rPr>
          <w:rStyle w:val="FootnoteReference"/>
          <w:rFonts w:asciiTheme="minorHAnsi" w:hAnsiTheme="minorHAnsi"/>
        </w:rPr>
        <w:footnoteRef/>
      </w:r>
      <w:r w:rsidRPr="005339B7">
        <w:t xml:space="preserve"> Abbott defines a “transnational regime complex” as a “loosely connected but…still fragmented…group of institutions” operating in a global policy field that includes non-state and sub-national actors as well as states and interstate organizations (Abbott 2014: 60).</w:t>
      </w:r>
    </w:p>
  </w:footnote>
  <w:footnote w:id="4">
    <w:p w14:paraId="582A75F5" w14:textId="279A7450" w:rsidR="004C72CA" w:rsidRDefault="004C72CA">
      <w:pPr>
        <w:pStyle w:val="FootnoteText"/>
      </w:pPr>
      <w:r>
        <w:rPr>
          <w:rStyle w:val="FootnoteReference"/>
        </w:rPr>
        <w:footnoteRef/>
      </w:r>
      <w:r>
        <w:t xml:space="preserve"> This section draws on and updates earlier work by Overdevest &amp; Zeitlin (2015, 2018).</w:t>
      </w:r>
    </w:p>
  </w:footnote>
  <w:footnote w:id="5">
    <w:p w14:paraId="3F0936B0" w14:textId="4C8C1828" w:rsidR="004C72CA" w:rsidRPr="005339B7" w:rsidRDefault="004C72CA" w:rsidP="007E060F">
      <w:pPr>
        <w:pStyle w:val="FootnoteText"/>
      </w:pPr>
      <w:r w:rsidRPr="005339B7">
        <w:rPr>
          <w:rStyle w:val="FootnoteReference"/>
          <w:rFonts w:asciiTheme="minorHAnsi" w:hAnsiTheme="minorHAnsi"/>
        </w:rPr>
        <w:footnoteRef/>
      </w:r>
      <w:r w:rsidRPr="005339B7">
        <w:t xml:space="preserve"> Other major measures outlined in the Action Plan included public procurement reforms, private sector initiatives, and financing and investment safeguards.</w:t>
      </w:r>
    </w:p>
  </w:footnote>
  <w:footnote w:id="6">
    <w:p w14:paraId="63564DEC" w14:textId="6BF8E371" w:rsidR="004C72CA" w:rsidRDefault="004C72CA">
      <w:pPr>
        <w:pStyle w:val="FootnoteText"/>
      </w:pPr>
      <w:r>
        <w:rPr>
          <w:rStyle w:val="FootnoteReference"/>
        </w:rPr>
        <w:footnoteRef/>
      </w:r>
      <w:r>
        <w:t xml:space="preserve"> </w:t>
      </w:r>
      <w:r w:rsidRPr="00523396">
        <w:t xml:space="preserve">The EU-FAO FLEGT Programme has </w:t>
      </w:r>
      <w:r>
        <w:t xml:space="preserve">also </w:t>
      </w:r>
      <w:r w:rsidRPr="00523396">
        <w:t>initiated a pilot programme for working on FLEGT objectives with seven non-VPA countries</w:t>
      </w:r>
      <w:r>
        <w:t xml:space="preserve"> (Colombia, Guatemala, Madagascar, Mozambique, Peru, the Philippines, and Uganda)</w:t>
      </w:r>
      <w:r w:rsidRPr="00523396">
        <w:t xml:space="preserve">, based on a local situational analysis and baseline assessment, a stakeholder workshop to set priorities and develop a national roadmap for improving forest governance, and the formation of a joint committee of EU, FAO, and government representatives to oversee and monitor agreed support activities (EU-FAO 2016: vii, 9-16).  </w:t>
      </w:r>
    </w:p>
  </w:footnote>
  <w:footnote w:id="7">
    <w:p w14:paraId="3D433FFA" w14:textId="09FC42AD" w:rsidR="004C72CA" w:rsidRPr="00816E1F" w:rsidRDefault="004C72CA" w:rsidP="007E060F">
      <w:pPr>
        <w:pStyle w:val="FootnoteText"/>
      </w:pPr>
      <w:r w:rsidRPr="00816E1F">
        <w:rPr>
          <w:rStyle w:val="FootnoteReference"/>
          <w:rFonts w:asciiTheme="minorHAnsi" w:hAnsiTheme="minorHAnsi"/>
        </w:rPr>
        <w:footnoteRef/>
      </w:r>
      <w:r w:rsidRPr="00816E1F">
        <w:t xml:space="preserve"> For recent overviews of the state of play in other VPA countries, see </w:t>
      </w:r>
      <w:r>
        <w:t>Perez (2017)</w:t>
      </w:r>
      <w:r w:rsidRPr="00816E1F">
        <w:t>; EUTR/FLEGT Expert Group Minutes, 7/12/18; Fern (2018).</w:t>
      </w:r>
    </w:p>
  </w:footnote>
  <w:footnote w:id="8">
    <w:p w14:paraId="59840582" w14:textId="252B3AF7" w:rsidR="004C72CA" w:rsidRPr="005339B7" w:rsidRDefault="004C72CA" w:rsidP="007E060F">
      <w:pPr>
        <w:pStyle w:val="FootnoteText"/>
      </w:pPr>
      <w:r w:rsidRPr="005339B7">
        <w:rPr>
          <w:rStyle w:val="FootnoteReference"/>
          <w:rFonts w:asciiTheme="minorHAnsi" w:hAnsiTheme="minorHAnsi"/>
        </w:rPr>
        <w:footnoteRef/>
      </w:r>
      <w:r w:rsidRPr="005339B7">
        <w:t xml:space="preserve"> The European Commission has mandated the Centre for International Forest Research (CIFOR) to develop this global monitoring framework, in collaboration with the EU FLEGT Facility, the FAO</w:t>
      </w:r>
      <w:r>
        <w:t>-EU</w:t>
      </w:r>
      <w:r w:rsidRPr="005339B7">
        <w:t xml:space="preserve"> FLEGT Programme, and other FLEGT partners (</w:t>
      </w:r>
      <w:r w:rsidRPr="00AF0FCF">
        <w:rPr>
          <w:i/>
        </w:rPr>
        <w:t>IMM News</w:t>
      </w:r>
      <w:r w:rsidRPr="005339B7">
        <w:t xml:space="preserve"> Spring 2018: 16).</w:t>
      </w:r>
    </w:p>
  </w:footnote>
  <w:footnote w:id="9">
    <w:p w14:paraId="5682FBB4" w14:textId="10F95A08" w:rsidR="004C72CA" w:rsidRPr="005339B7" w:rsidRDefault="004C72CA" w:rsidP="007E060F">
      <w:pPr>
        <w:pStyle w:val="FootnoteText"/>
      </w:pPr>
      <w:r w:rsidRPr="005339B7">
        <w:rPr>
          <w:rStyle w:val="FootnoteReference"/>
          <w:rFonts w:asciiTheme="minorHAnsi" w:hAnsiTheme="minorHAnsi"/>
        </w:rPr>
        <w:footnoteRef/>
      </w:r>
      <w:r w:rsidRPr="005339B7">
        <w:t xml:space="preserve"> Discussions with members of a delegation from the ROC participating in a VPA Lesson-Sharing Conference in Ghana in November 2018 confirmed the pivotal role of this stock-taking exercise in revitalizing the VPA implementation process, notably by fostering collaboration between the Finance, Planning, and Forestry ministries.</w:t>
      </w:r>
    </w:p>
  </w:footnote>
  <w:footnote w:id="10">
    <w:p w14:paraId="738DCA88" w14:textId="6CBD3700" w:rsidR="004C72CA" w:rsidRPr="005339B7" w:rsidRDefault="004C72CA" w:rsidP="007E060F">
      <w:pPr>
        <w:pStyle w:val="FootnoteText"/>
      </w:pPr>
      <w:r w:rsidRPr="005339B7">
        <w:rPr>
          <w:rStyle w:val="FootnoteReference"/>
          <w:rFonts w:asciiTheme="minorHAnsi" w:hAnsiTheme="minorHAnsi"/>
        </w:rPr>
        <w:footnoteRef/>
      </w:r>
      <w:r w:rsidRPr="005339B7">
        <w:t xml:space="preserve"> For guidance on the verification of CITES permits under the EUTR, see European Commission (2018a).                                                                                                                                                   </w:t>
      </w:r>
    </w:p>
  </w:footnote>
  <w:footnote w:id="11">
    <w:p w14:paraId="49FD21DC" w14:textId="5875737D" w:rsidR="004C72CA" w:rsidRPr="005339B7" w:rsidRDefault="004C72CA" w:rsidP="007E060F">
      <w:pPr>
        <w:pStyle w:val="FootnoteText"/>
      </w:pPr>
      <w:r w:rsidRPr="005339B7">
        <w:rPr>
          <w:rStyle w:val="FootnoteReference"/>
          <w:rFonts w:asciiTheme="minorHAnsi" w:hAnsiTheme="minorHAnsi"/>
        </w:rPr>
        <w:footnoteRef/>
      </w:r>
      <w:r w:rsidRPr="005339B7">
        <w:t xml:space="preserve"> An infringement proceeding is ongoing against Slovakia, which </w:t>
      </w:r>
      <w:r>
        <w:t>is still in the process of amending its legislation to adequately cover timber imports</w:t>
      </w:r>
      <w:r w:rsidRPr="005339B7">
        <w:t>.</w:t>
      </w:r>
    </w:p>
  </w:footnote>
  <w:footnote w:id="12">
    <w:p w14:paraId="5B33E4AA" w14:textId="42D6F860" w:rsidR="004C72CA" w:rsidRPr="005339B7" w:rsidRDefault="004C72CA" w:rsidP="007E060F">
      <w:pPr>
        <w:pStyle w:val="FootnoteText"/>
      </w:pPr>
      <w:r w:rsidRPr="005339B7">
        <w:rPr>
          <w:rStyle w:val="FootnoteReference"/>
          <w:rFonts w:asciiTheme="minorHAnsi" w:hAnsiTheme="minorHAnsi"/>
        </w:rPr>
        <w:footnoteRef/>
      </w:r>
      <w:r w:rsidRPr="005339B7">
        <w:t xml:space="preserve"> For the mission, minutes, and materials of the Expert Group, see </w:t>
      </w:r>
      <w:hyperlink r:id="rId3" w:history="1">
        <w:r w:rsidRPr="005339B7">
          <w:rPr>
            <w:rStyle w:val="Hyperlink"/>
          </w:rPr>
          <w:t>http://ec.europa.eu/transparency/regexpert/index.cfm?do=groupDetail.groupDetail&amp;groupID=3282</w:t>
        </w:r>
      </w:hyperlink>
      <w:r w:rsidRPr="005339B7">
        <w:t>.  Additional information on the workings of this body and its relationship with the informal enforcement network was kindly provided by Thorsten Hinrichs, German Federal Ministry of Food and Agriculture, European and International Forestry Unit.</w:t>
      </w:r>
    </w:p>
  </w:footnote>
  <w:footnote w:id="13">
    <w:p w14:paraId="43605233" w14:textId="37200532" w:rsidR="004C72CA" w:rsidRPr="005339B7" w:rsidRDefault="004C72CA" w:rsidP="007E060F">
      <w:pPr>
        <w:pStyle w:val="FootnoteText"/>
      </w:pPr>
      <w:r w:rsidRPr="005339B7">
        <w:rPr>
          <w:rStyle w:val="FootnoteReference"/>
          <w:rFonts w:asciiTheme="minorHAnsi" w:hAnsiTheme="minorHAnsi"/>
        </w:rPr>
        <w:footnoteRef/>
      </w:r>
      <w:r w:rsidRPr="005339B7">
        <w:t xml:space="preserve"> Due care was not defined in the LTPA, but is understood in US tort law as “that degree of care which a reasonably prudent person would exercise under the same or similar circumstances” (Birchell 2013).</w:t>
      </w:r>
    </w:p>
  </w:footnote>
  <w:footnote w:id="14">
    <w:p w14:paraId="1E83E4B8" w14:textId="15774693" w:rsidR="004C72CA" w:rsidRPr="005339B7" w:rsidRDefault="004C72CA" w:rsidP="007E060F">
      <w:pPr>
        <w:pStyle w:val="FootnoteText"/>
      </w:pPr>
      <w:r w:rsidRPr="005339B7">
        <w:rPr>
          <w:rStyle w:val="FootnoteReference"/>
          <w:rFonts w:asciiTheme="minorHAnsi" w:hAnsiTheme="minorHAnsi"/>
        </w:rPr>
        <w:footnoteRef/>
      </w:r>
      <w:r w:rsidRPr="005339B7">
        <w:t xml:space="preserve"> For Indonesia’s advocacy role in the adoption of public legality regulations in timber-importing countries, see Leipold et al. (2016: 299); EU FLEGT Facility</w:t>
      </w:r>
      <w:r>
        <w:t xml:space="preserve"> </w:t>
      </w:r>
      <w:r w:rsidRPr="005339B7">
        <w:t>(2018</w:t>
      </w:r>
      <w:r>
        <w:t>a</w:t>
      </w:r>
      <w:r w:rsidRPr="005339B7">
        <w:t>: 1).</w:t>
      </w:r>
    </w:p>
  </w:footnote>
  <w:footnote w:id="15">
    <w:p w14:paraId="3AB219B0" w14:textId="64F9AA58" w:rsidR="004C72CA" w:rsidRPr="005339B7" w:rsidRDefault="004C72CA" w:rsidP="007E060F">
      <w:pPr>
        <w:pStyle w:val="FootnoteText"/>
      </w:pPr>
      <w:r w:rsidRPr="005339B7">
        <w:rPr>
          <w:rStyle w:val="FootnoteReference"/>
          <w:rFonts w:asciiTheme="minorHAnsi" w:hAnsiTheme="minorHAnsi"/>
        </w:rPr>
        <w:footnoteRef/>
      </w:r>
      <w:r w:rsidRPr="005339B7">
        <w:t xml:space="preserve"> Examples include the US and EU agreements with South Korea, as well as the pending EU-Japan agreement, although the latter has been sharply criticized by NGOs for its acceptance of Japan’s non-bind</w:t>
      </w:r>
      <w:r>
        <w:t>ing Clean Wood Act (</w:t>
      </w:r>
      <w:r w:rsidRPr="005339B7">
        <w:t>European Commission 2016</w:t>
      </w:r>
      <w:r>
        <w:t>b</w:t>
      </w:r>
      <w:r w:rsidRPr="005339B7">
        <w:t xml:space="preserve">: 10-11; </w:t>
      </w:r>
      <w:r>
        <w:t>Fern 2016,</w:t>
      </w:r>
      <w:r w:rsidRPr="005339B7">
        <w:t xml:space="preserve"> 2018</w:t>
      </w:r>
      <w:r>
        <w:t>c</w:t>
      </w:r>
      <w:r w:rsidRPr="005339B7">
        <w:t>). The Trans-Pacific Partnership (TPP) agreement originally included language modeled on the Lacey Act committing signatories to restrict trade in timber harvested in violation of foreign laws, but this was removed after the US’s withdrawal (</w:t>
      </w:r>
      <w:r>
        <w:t>WRI</w:t>
      </w:r>
      <w:r w:rsidRPr="005339B7">
        <w:t xml:space="preserve"> 2018).</w:t>
      </w:r>
    </w:p>
  </w:footnote>
  <w:footnote w:id="16">
    <w:p w14:paraId="35DBF5C1" w14:textId="14BEAEA4" w:rsidR="004C72CA" w:rsidRPr="005339B7" w:rsidRDefault="004C72CA" w:rsidP="007E060F">
      <w:pPr>
        <w:pStyle w:val="FootnoteText"/>
      </w:pPr>
      <w:r w:rsidRPr="005339B7">
        <w:rPr>
          <w:rStyle w:val="FootnoteReference"/>
          <w:rFonts w:asciiTheme="minorHAnsi" w:hAnsiTheme="minorHAnsi"/>
        </w:rPr>
        <w:footnoteRef/>
      </w:r>
      <w:r w:rsidRPr="005339B7">
        <w:t xml:space="preserve"> This Act builds on an earlier voluntary system for the verification of legal or </w:t>
      </w:r>
      <w:r w:rsidRPr="005339B7">
        <w:rPr>
          <w:i/>
        </w:rPr>
        <w:t xml:space="preserve">goho </w:t>
      </w:r>
      <w:r w:rsidRPr="005339B7">
        <w:t>wood, developed by the Japanese Forestry Agency to promote compliance with Japan’s 2006 Green Purchasing Law, whose use in the construction of public buildings was mandated by new legislation in 2010 (Momii 2014).</w:t>
      </w:r>
    </w:p>
  </w:footnote>
  <w:footnote w:id="17">
    <w:p w14:paraId="490CA589" w14:textId="05F6F778" w:rsidR="004C72CA" w:rsidRPr="000F21D5" w:rsidRDefault="004C72CA" w:rsidP="007E060F">
      <w:pPr>
        <w:pStyle w:val="FootnoteText"/>
        <w:rPr>
          <w:lang w:val="en-GB"/>
        </w:rPr>
      </w:pPr>
      <w:r w:rsidRPr="000F21D5">
        <w:rPr>
          <w:rStyle w:val="FootnoteReference"/>
          <w:rFonts w:asciiTheme="minorHAnsi" w:hAnsiTheme="minorHAnsi"/>
        </w:rPr>
        <w:footnoteRef/>
      </w:r>
      <w:r w:rsidRPr="000F21D5">
        <w:t xml:space="preserve"> According to a recent EIA report, in April 2018, Mexico, which is regarded as “a </w:t>
      </w:r>
      <w:r w:rsidRPr="000F21D5">
        <w:rPr>
          <w:lang w:val="en-GB"/>
        </w:rPr>
        <w:t xml:space="preserve">a significant import and trading hub for illegal timber from Latin America” also “passed a law banning the import of illegal wood products and requiring a degree of supply chain traceability” (Johnson &amp; </w:t>
      </w:r>
      <w:r>
        <w:rPr>
          <w:lang w:val="en-GB"/>
        </w:rPr>
        <w:t>Gehl</w:t>
      </w:r>
      <w:r w:rsidRPr="000F21D5">
        <w:rPr>
          <w:lang w:val="en-GB"/>
        </w:rPr>
        <w:t xml:space="preserve"> 2019).</w:t>
      </w:r>
    </w:p>
    <w:p w14:paraId="68C31350" w14:textId="0B791DE8" w:rsidR="004C72CA" w:rsidRDefault="004C72CA" w:rsidP="007E060F">
      <w:pPr>
        <w:pStyle w:val="FootnoteText"/>
      </w:pPr>
    </w:p>
  </w:footnote>
  <w:footnote w:id="18">
    <w:p w14:paraId="388A926E" w14:textId="2FA6F2A8" w:rsidR="004C72CA" w:rsidRPr="005339B7" w:rsidRDefault="004C72CA" w:rsidP="007E060F">
      <w:pPr>
        <w:pStyle w:val="FootnoteText"/>
      </w:pPr>
      <w:r w:rsidRPr="005339B7">
        <w:rPr>
          <w:rStyle w:val="FootnoteReference"/>
          <w:rFonts w:asciiTheme="minorHAnsi" w:hAnsiTheme="minorHAnsi"/>
        </w:rPr>
        <w:footnoteRef/>
      </w:r>
      <w:r w:rsidRPr="005339B7">
        <w:t xml:space="preserve"> This compliance approach is explicitly based on Ayres </w:t>
      </w:r>
      <w:r>
        <w:t>&amp;</w:t>
      </w:r>
      <w:r w:rsidRPr="005339B7">
        <w:t xml:space="preserve"> Braithwaite’s (1992) responsive regulation pyramid  (</w:t>
      </w:r>
      <w:r>
        <w:t>ADAWR</w:t>
      </w:r>
      <w:r w:rsidRPr="005339B7">
        <w:t xml:space="preserve"> 2018</w:t>
      </w:r>
      <w:r>
        <w:t>a</w:t>
      </w:r>
      <w:r w:rsidRPr="005339B7">
        <w:t>: 8).</w:t>
      </w:r>
    </w:p>
  </w:footnote>
  <w:footnote w:id="19">
    <w:p w14:paraId="31A96556" w14:textId="4711A88F" w:rsidR="004C72CA" w:rsidRPr="00DB3550" w:rsidRDefault="004C72CA" w:rsidP="007E060F">
      <w:pPr>
        <w:pStyle w:val="FootnoteText"/>
      </w:pPr>
      <w:r w:rsidRPr="00DB3550">
        <w:rPr>
          <w:rStyle w:val="FootnoteReference"/>
          <w:rFonts w:asciiTheme="minorHAnsi" w:hAnsiTheme="minorHAnsi"/>
        </w:rPr>
        <w:footnoteRef/>
      </w:r>
      <w:r w:rsidRPr="00DB3550">
        <w:t xml:space="preserve"> </w:t>
      </w:r>
      <w:hyperlink r:id="rId4" w:anchor="ssection-5" w:history="1">
        <w:r w:rsidRPr="00DB3550">
          <w:rPr>
            <w:rStyle w:val="Hyperlink"/>
          </w:rPr>
          <w:t>https://www.forest-trends.org/who-we-are/initiatives/#ssection-5</w:t>
        </w:r>
      </w:hyperlink>
      <w:r>
        <w:t xml:space="preserve">; </w:t>
      </w:r>
      <w:hyperlink r:id="rId5" w:history="1">
        <w:r w:rsidRPr="00DB3550">
          <w:rPr>
            <w:rStyle w:val="Hyperlink"/>
          </w:rPr>
          <w:t>https://www.forest-trends.org/events/timber-regulation-enforcement-exchange-hamburg/</w:t>
        </w:r>
      </w:hyperlink>
      <w:r>
        <w:rPr>
          <w:rStyle w:val="Hyperlink"/>
        </w:rPr>
        <w:t xml:space="preserve">; </w:t>
      </w:r>
      <w:r w:rsidRPr="00260F02">
        <w:rPr>
          <w:rStyle w:val="Hyperlink"/>
        </w:rPr>
        <w:t>https://www.forest-trends.org/events/timber-regulation-enforcement-exchange-london/</w:t>
      </w:r>
      <w:r w:rsidRPr="00DB3550">
        <w:t>. For information on the development of TREE, we are grateful to Jade Saunde</w:t>
      </w:r>
      <w:r>
        <w:t>rs (Forest Trends/Chatham House</w:t>
      </w:r>
      <w:r w:rsidRPr="00DB3550">
        <w:t>) and Thorsten Hinrichs (</w:t>
      </w:r>
      <w:r>
        <w:t>German Federal Ministry of Food and Agriculture</w:t>
      </w:r>
      <w:r w:rsidRPr="00DB3550">
        <w:t>).</w:t>
      </w:r>
    </w:p>
  </w:footnote>
  <w:footnote w:id="20">
    <w:p w14:paraId="5C303E2B" w14:textId="08301C0B" w:rsidR="004C72CA" w:rsidRPr="00DE46AC" w:rsidRDefault="004C72CA" w:rsidP="007E060F">
      <w:pPr>
        <w:pStyle w:val="FootnoteText"/>
      </w:pPr>
      <w:r w:rsidRPr="00DE46AC">
        <w:rPr>
          <w:rStyle w:val="FootnoteReference"/>
          <w:rFonts w:asciiTheme="minorHAnsi" w:hAnsiTheme="minorHAnsi"/>
        </w:rPr>
        <w:footnoteRef/>
      </w:r>
      <w:r>
        <w:t xml:space="preserve"> Personal communication, 25/10</w:t>
      </w:r>
      <w:r w:rsidRPr="00DE46AC">
        <w:t xml:space="preserve">/18; </w:t>
      </w:r>
      <w:r>
        <w:t xml:space="preserve">for the text of the ECP, see </w:t>
      </w:r>
      <w:hyperlink r:id="rId6" w:history="1">
        <w:r w:rsidRPr="00743DC5">
          <w:rPr>
            <w:rStyle w:val="Hyperlink"/>
          </w:rPr>
          <w:t>https://www.sec.gov/Archives/edgar/data/1396033/000114420415058462/v421764_ex10-1.htm</w:t>
        </w:r>
      </w:hyperlink>
      <w:r>
        <w:t xml:space="preserve">; </w:t>
      </w:r>
      <w:r w:rsidRPr="00DE46AC">
        <w:t xml:space="preserve">cf. </w:t>
      </w:r>
      <w:r>
        <w:t xml:space="preserve">TREE meeting summary </w:t>
      </w:r>
      <w:r w:rsidRPr="00DE46AC">
        <w:t>5-8/4/16; Duggan (2016).</w:t>
      </w:r>
    </w:p>
  </w:footnote>
  <w:footnote w:id="21">
    <w:p w14:paraId="3594B8B2" w14:textId="22F96D11" w:rsidR="004C72CA" w:rsidRPr="00FD72FD" w:rsidRDefault="004C72CA">
      <w:pPr>
        <w:pStyle w:val="FootnoteText"/>
      </w:pPr>
      <w:r w:rsidRPr="00FD72FD">
        <w:rPr>
          <w:rStyle w:val="FootnoteReference"/>
          <w:rFonts w:asciiTheme="minorHAnsi" w:hAnsiTheme="minorHAnsi"/>
        </w:rPr>
        <w:footnoteRef/>
      </w:r>
      <w:r w:rsidRPr="00FD72FD">
        <w:t xml:space="preserve"> http://www.euflegt.efi.int/es/q-and-a-cameroon; http://www.euflegt.efi.int/background-congo#art19.</w:t>
      </w:r>
    </w:p>
  </w:footnote>
  <w:footnote w:id="22">
    <w:p w14:paraId="6DDD7700" w14:textId="541D8FB6" w:rsidR="004C72CA" w:rsidRDefault="004C72CA" w:rsidP="007E060F">
      <w:pPr>
        <w:pStyle w:val="FootnoteText"/>
      </w:pPr>
      <w:r>
        <w:rPr>
          <w:rStyle w:val="FootnoteReference"/>
        </w:rPr>
        <w:footnoteRef/>
      </w:r>
      <w:r>
        <w:t xml:space="preserve"> </w:t>
      </w:r>
      <w:hyperlink r:id="rId7" w:history="1">
        <w:r w:rsidRPr="00212943">
          <w:rPr>
            <w:rStyle w:val="Hyperlink"/>
          </w:rPr>
          <w:t>http://www.ettf.info/eu-timber-regulation</w:t>
        </w:r>
      </w:hyperlink>
      <w:r>
        <w:t xml:space="preserve">; </w:t>
      </w:r>
      <w:hyperlink r:id="rId8" w:history="1">
        <w:r w:rsidRPr="00212943">
          <w:rPr>
            <w:rStyle w:val="Hyperlink"/>
          </w:rPr>
          <w:t>https://www.</w:t>
        </w:r>
        <w:r>
          <w:rPr>
            <w:rStyle w:val="Hyperlink"/>
          </w:rPr>
          <w:t>NEPCon</w:t>
        </w:r>
        <w:r w:rsidRPr="00212943">
          <w:rPr>
            <w:rStyle w:val="Hyperlink"/>
          </w:rPr>
          <w:t>.org/certification/legalsource/legalsource-due-diligence-system</w:t>
        </w:r>
      </w:hyperlink>
      <w:r>
        <w:t>.</w:t>
      </w:r>
    </w:p>
  </w:footnote>
  <w:footnote w:id="23">
    <w:p w14:paraId="55867089" w14:textId="74A6B67E" w:rsidR="004C72CA" w:rsidRPr="001B3CAE" w:rsidRDefault="004C72CA" w:rsidP="007E060F">
      <w:pPr>
        <w:pStyle w:val="FootnoteText"/>
      </w:pPr>
      <w:r w:rsidRPr="001B3CAE">
        <w:rPr>
          <w:rStyle w:val="FootnoteReference"/>
          <w:rFonts w:asciiTheme="minorHAnsi" w:hAnsiTheme="minorHAnsi"/>
        </w:rPr>
        <w:footnoteRef/>
      </w:r>
      <w:r w:rsidRPr="001B3CAE">
        <w:t xml:space="preserve"> For a current list, see </w:t>
      </w:r>
      <w:hyperlink r:id="rId9" w:history="1">
        <w:r w:rsidRPr="001B3CAE">
          <w:rPr>
            <w:rStyle w:val="Hyperlink"/>
          </w:rPr>
          <w:t>http://ec.europa.eu/environment/forests/timber_regulation.htm</w:t>
        </w:r>
      </w:hyperlink>
      <w:r w:rsidRPr="001B3CAE">
        <w:t>.</w:t>
      </w:r>
    </w:p>
  </w:footnote>
  <w:footnote w:id="24">
    <w:p w14:paraId="799F8179" w14:textId="77777777" w:rsidR="004C72CA" w:rsidRPr="002A6BC0" w:rsidRDefault="004C72CA" w:rsidP="00397EBB">
      <w:pPr>
        <w:pStyle w:val="FootnoteText"/>
      </w:pPr>
      <w:r w:rsidRPr="002A6BC0">
        <w:rPr>
          <w:rStyle w:val="FootnoteReference"/>
          <w:rFonts w:asciiTheme="minorHAnsi" w:hAnsiTheme="minorHAnsi"/>
        </w:rPr>
        <w:footnoteRef/>
      </w:r>
      <w:r w:rsidRPr="002A6BC0">
        <w:t xml:space="preserve"> Approximately 16.5% of the combined total of 503 million hectares in mid-2017 was estimated to be certified by both scheme</w:t>
      </w:r>
      <w:r>
        <w:t>s (UNECE 20</w:t>
      </w:r>
      <w:r w:rsidRPr="002A6BC0">
        <w:t>18: 18).</w:t>
      </w:r>
    </w:p>
  </w:footnote>
  <w:footnote w:id="25">
    <w:p w14:paraId="35FDC702" w14:textId="4F193B19" w:rsidR="004C72CA" w:rsidRPr="007A0715" w:rsidRDefault="004C72CA" w:rsidP="007E060F">
      <w:pPr>
        <w:pStyle w:val="FootnoteText"/>
      </w:pPr>
      <w:r w:rsidRPr="007A0715">
        <w:rPr>
          <w:rStyle w:val="FootnoteReference"/>
          <w:rFonts w:asciiTheme="minorHAnsi" w:hAnsiTheme="minorHAnsi"/>
        </w:rPr>
        <w:footnoteRef/>
      </w:r>
      <w:r w:rsidRPr="007A0715">
        <w:t xml:space="preserve"> One of these concessions, Karya Lestari, has </w:t>
      </w:r>
      <w:r>
        <w:t>since</w:t>
      </w:r>
      <w:r w:rsidRPr="007A0715">
        <w:t xml:space="preserve"> been recommended for reinstatement: </w:t>
      </w:r>
      <w:hyperlink r:id="rId10" w:history="1">
        <w:r w:rsidRPr="007A0715">
          <w:rPr>
            <w:rStyle w:val="Hyperlink"/>
          </w:rPr>
          <w:t>https://info.fsc.org/details.php?id=a023300000d4kJ8AAI&amp;type=certificate</w:t>
        </w:r>
      </w:hyperlink>
      <w:r w:rsidRPr="007A0715">
        <w:t xml:space="preserve">; the other, Gunung Gajah Abadi, remains suspended: </w:t>
      </w:r>
      <w:hyperlink r:id="rId11" w:history="1">
        <w:r w:rsidRPr="007A0715">
          <w:rPr>
            <w:rStyle w:val="Hyperlink"/>
          </w:rPr>
          <w:t>https://info.fsc.org/details.php?id=a024000000AkssuAAB&amp;type=certificate&amp;return=certificate.php</w:t>
        </w:r>
      </w:hyperlink>
      <w:r w:rsidRPr="007A0715">
        <w:t xml:space="preserve">. Between March 2018 and March 2019, at least seven FSC certified forest management units in Indonesia appear to have been suspended or allowed to lapse (FSC 2018, 2019). </w:t>
      </w:r>
      <w:r>
        <w:t xml:space="preserve"> For an analysis of responses to FSC corrective action requests in Indonesia between 2000 and 2010, see Bartley (2018: 106-8).</w:t>
      </w:r>
    </w:p>
  </w:footnote>
  <w:footnote w:id="26">
    <w:p w14:paraId="16808CE7" w14:textId="59173692" w:rsidR="004C72CA" w:rsidRDefault="004C72CA">
      <w:pPr>
        <w:pStyle w:val="FootnoteText"/>
      </w:pPr>
      <w:r>
        <w:rPr>
          <w:rStyle w:val="FootnoteReference"/>
        </w:rPr>
        <w:footnoteRef/>
      </w:r>
      <w:r>
        <w:t xml:space="preserve"> The Korea Forestry Service has stated that “products from high risk countries will be investigated after customs clearance, even if certified”, while working with the international community to monitor evidence of fraud and efforts to combat it within certification schemes (Saunders &amp; Norman 2019: 11).</w:t>
      </w:r>
    </w:p>
  </w:footnote>
  <w:footnote w:id="27">
    <w:p w14:paraId="2452B8F4" w14:textId="6D335ECB" w:rsidR="004C72CA" w:rsidRDefault="004C72CA">
      <w:pPr>
        <w:pStyle w:val="FootnoteText"/>
      </w:pPr>
      <w:r>
        <w:rPr>
          <w:rStyle w:val="FootnoteReference"/>
        </w:rPr>
        <w:footnoteRef/>
      </w:r>
      <w:r>
        <w:t xml:space="preserve"> </w:t>
      </w:r>
      <w:hyperlink r:id="rId12" w:history="1">
        <w:r w:rsidRPr="00653F37">
          <w:rPr>
            <w:rStyle w:val="Hyperlink"/>
          </w:rPr>
          <w:t>https://www.reuters.com/article/us-mozambique-forest-logging/mozambique-reforms-timber-sector-to-counter-illegal-logging-idUSKBN1KG1F8</w:t>
        </w:r>
      </w:hyperlink>
      <w:r w:rsidRPr="00653F37">
        <w:t xml:space="preserve">; </w:t>
      </w:r>
      <w:hyperlink r:id="rId13" w:history="1">
        <w:r w:rsidRPr="00E57AD5">
          <w:rPr>
            <w:rStyle w:val="Hyperlink"/>
          </w:rPr>
          <w:t>https://medium.com/@WWF/chinese-cooperation-is-good-news-for-mozambiques-forests-f21e3d2c2224</w:t>
        </w:r>
      </w:hyperlink>
      <w:r>
        <w:t>.</w:t>
      </w:r>
    </w:p>
  </w:footnote>
  <w:footnote w:id="28">
    <w:p w14:paraId="611B18BF" w14:textId="40D68974" w:rsidR="004C72CA" w:rsidRDefault="004C72CA">
      <w:pPr>
        <w:pStyle w:val="FootnoteText"/>
      </w:pPr>
      <w:r>
        <w:rPr>
          <w:rStyle w:val="FootnoteReference"/>
        </w:rPr>
        <w:footnoteRef/>
      </w:r>
      <w:r>
        <w:t xml:space="preserve"> For earlier versions of these proposals, which included bilateral government-to-government agreements with timber-exporting countries alongside an industry association certification scheme, see Speechly (2016: 46-7); Wellesley (2014: 11-12).  </w:t>
      </w:r>
    </w:p>
  </w:footnote>
  <w:footnote w:id="29">
    <w:p w14:paraId="46BF9A67" w14:textId="3512338A" w:rsidR="004C72CA" w:rsidRDefault="004C72CA">
      <w:pPr>
        <w:pStyle w:val="FootnoteText"/>
      </w:pPr>
      <w:r>
        <w:rPr>
          <w:rStyle w:val="FootnoteReference"/>
        </w:rPr>
        <w:footnoteRef/>
      </w:r>
      <w:r>
        <w:t xml:space="preserve"> China has the highest number of FSC CoC certificates in the world (7349), but many of these are held by firms which do not actually handle certified products and are prohibited from using the FSC trademark under the scheme’s revised rules (FSC 2019). </w:t>
      </w:r>
    </w:p>
  </w:footnote>
  <w:footnote w:id="30">
    <w:p w14:paraId="1D10E39D" w14:textId="61D036AC" w:rsidR="004C72CA" w:rsidRDefault="004C72CA">
      <w:pPr>
        <w:pStyle w:val="FootnoteText"/>
      </w:pPr>
      <w:r>
        <w:rPr>
          <w:rStyle w:val="FootnoteReference"/>
        </w:rPr>
        <w:footnoteRef/>
      </w:r>
      <w:r>
        <w:t xml:space="preserve"> The ISEAL Alliance (2019) has recently produced a draft </w:t>
      </w:r>
      <w:r w:rsidRPr="003C71FE">
        <w:rPr>
          <w:i/>
        </w:rPr>
        <w:t>Good Practice Guide</w:t>
      </w:r>
      <w:r>
        <w:t xml:space="preserve"> for benchmarking voluntary sustainability standards, whose principles include ongoing monitoring of continued alignment.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73083"/>
    <w:multiLevelType w:val="multilevel"/>
    <w:tmpl w:val="8760E76A"/>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1A70788F"/>
    <w:multiLevelType w:val="hybridMultilevel"/>
    <w:tmpl w:val="60786AF4"/>
    <w:lvl w:ilvl="0" w:tplc="AB6AA096">
      <w:start w:val="1"/>
      <w:numFmt w:val="bullet"/>
      <w:pStyle w:val="ListBullet3"/>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AF77A5B"/>
    <w:multiLevelType w:val="hybridMultilevel"/>
    <w:tmpl w:val="2DA2FF8C"/>
    <w:lvl w:ilvl="0" w:tplc="F27C2DB2">
      <w:start w:val="1"/>
      <w:numFmt w:val="bullet"/>
      <w:pStyle w:val="ListBullet2"/>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B532FD3"/>
    <w:multiLevelType w:val="singleLevel"/>
    <w:tmpl w:val="F370D3B0"/>
    <w:lvl w:ilvl="0">
      <w:start w:val="1"/>
      <w:numFmt w:val="decimal"/>
      <w:lvlText w:val="%1."/>
      <w:legacy w:legacy="1" w:legacySpace="0" w:legacyIndent="360"/>
      <w:lvlJc w:val="left"/>
      <w:pPr>
        <w:ind w:left="720" w:hanging="360"/>
      </w:pPr>
    </w:lvl>
  </w:abstractNum>
  <w:abstractNum w:abstractNumId="4">
    <w:nsid w:val="4A5447A5"/>
    <w:multiLevelType w:val="hybridMultilevel"/>
    <w:tmpl w:val="F0245A1E"/>
    <w:lvl w:ilvl="0" w:tplc="F92CB080">
      <w:start w:val="1"/>
      <w:numFmt w:val="bullet"/>
      <w:pStyle w:val="ListBullet4"/>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FE249DC"/>
    <w:multiLevelType w:val="hybridMultilevel"/>
    <w:tmpl w:val="AD587D38"/>
    <w:lvl w:ilvl="0" w:tplc="694C2A6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5CB71B20"/>
    <w:multiLevelType w:val="hybridMultilevel"/>
    <w:tmpl w:val="DADCD740"/>
    <w:lvl w:ilvl="0" w:tplc="F4E81C3E">
      <w:start w:val="1"/>
      <w:numFmt w:val="upperRoman"/>
      <w:lvlText w:val="%1."/>
      <w:lvlJc w:val="left"/>
      <w:pPr>
        <w:tabs>
          <w:tab w:val="num" w:pos="1080"/>
        </w:tabs>
        <w:ind w:left="1080" w:hanging="720"/>
      </w:pPr>
      <w:rPr>
        <w:rFonts w:hint="default"/>
      </w:rPr>
    </w:lvl>
    <w:lvl w:ilvl="1" w:tplc="51F21FAC">
      <w:start w:val="1"/>
      <w:numFmt w:val="upperLetter"/>
      <w:lvlText w:val="%2."/>
      <w:lvlJc w:val="left"/>
      <w:pPr>
        <w:tabs>
          <w:tab w:val="num" w:pos="1440"/>
        </w:tabs>
        <w:ind w:left="1440" w:hanging="360"/>
      </w:pPr>
      <w:rPr>
        <w:rFonts w:hint="default"/>
      </w:rPr>
    </w:lvl>
    <w:lvl w:ilvl="2" w:tplc="9A80B0D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0364A7F"/>
    <w:multiLevelType w:val="hybridMultilevel"/>
    <w:tmpl w:val="48346FB6"/>
    <w:lvl w:ilvl="0" w:tplc="D8D86CB4">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56E6CDC"/>
    <w:multiLevelType w:val="hybridMultilevel"/>
    <w:tmpl w:val="FAD446E4"/>
    <w:lvl w:ilvl="0" w:tplc="E7B6E156">
      <w:start w:val="1"/>
      <w:numFmt w:val="lowerLetter"/>
      <w:lvlText w:val="%1)"/>
      <w:lvlJc w:val="left"/>
      <w:pPr>
        <w:tabs>
          <w:tab w:val="num" w:pos="1080"/>
        </w:tabs>
        <w:ind w:left="1080" w:hanging="360"/>
      </w:pPr>
      <w:rPr>
        <w:rFonts w:hint="default"/>
      </w:rPr>
    </w:lvl>
    <w:lvl w:ilvl="1" w:tplc="ED6AB65E">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92616FC"/>
    <w:multiLevelType w:val="hybridMultilevel"/>
    <w:tmpl w:val="9B8CD85A"/>
    <w:lvl w:ilvl="0" w:tplc="ECC6E95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8"/>
  </w:num>
  <w:num w:numId="4">
    <w:abstractNumId w:val="6"/>
  </w:num>
  <w:num w:numId="5">
    <w:abstractNumId w:val="6"/>
  </w:num>
  <w:num w:numId="6">
    <w:abstractNumId w:val="6"/>
  </w:num>
  <w:num w:numId="7">
    <w:abstractNumId w:val="1"/>
  </w:num>
  <w:num w:numId="8">
    <w:abstractNumId w:val="2"/>
  </w:num>
  <w:num w:numId="9">
    <w:abstractNumId w:val="2"/>
  </w:num>
  <w:num w:numId="10">
    <w:abstractNumId w:val="4"/>
  </w:num>
  <w:num w:numId="11">
    <w:abstractNumId w:val="4"/>
  </w:num>
  <w:num w:numId="12">
    <w:abstractNumId w:val="4"/>
  </w:num>
  <w:num w:numId="13">
    <w:abstractNumId w:val="7"/>
  </w:num>
  <w:num w:numId="14">
    <w:abstractNumId w:val="4"/>
  </w:num>
  <w:num w:numId="15">
    <w:abstractNumId w:val="4"/>
  </w:num>
  <w:num w:numId="16">
    <w:abstractNumId w:val="1"/>
  </w:num>
  <w:num w:numId="17">
    <w:abstractNumId w:val="1"/>
  </w:num>
  <w:num w:numId="18">
    <w:abstractNumId w:val="1"/>
  </w:num>
  <w:num w:numId="19">
    <w:abstractNumId w:val="1"/>
  </w:num>
  <w:num w:numId="20">
    <w:abstractNumId w:val="1"/>
  </w:num>
  <w:num w:numId="21">
    <w:abstractNumId w:val="4"/>
  </w:num>
  <w:num w:numId="22">
    <w:abstractNumId w:val="1"/>
  </w:num>
  <w:num w:numId="23">
    <w:abstractNumId w:val="9"/>
  </w:num>
  <w:num w:numId="24">
    <w:abstractNumId w:val="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7"/>
  <w:attachedTemplate r:id="rId1"/>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4DD"/>
    <w:rsid w:val="00000B35"/>
    <w:rsid w:val="00000F4D"/>
    <w:rsid w:val="000011DF"/>
    <w:rsid w:val="0000143D"/>
    <w:rsid w:val="000015F5"/>
    <w:rsid w:val="00001997"/>
    <w:rsid w:val="0000350C"/>
    <w:rsid w:val="000067F7"/>
    <w:rsid w:val="00006B48"/>
    <w:rsid w:val="0000785D"/>
    <w:rsid w:val="00007B9C"/>
    <w:rsid w:val="000109F3"/>
    <w:rsid w:val="0001371F"/>
    <w:rsid w:val="00013743"/>
    <w:rsid w:val="00013AAC"/>
    <w:rsid w:val="000158F7"/>
    <w:rsid w:val="00016BC1"/>
    <w:rsid w:val="00017FA3"/>
    <w:rsid w:val="00020467"/>
    <w:rsid w:val="0002089E"/>
    <w:rsid w:val="00020AFC"/>
    <w:rsid w:val="00022605"/>
    <w:rsid w:val="0002294A"/>
    <w:rsid w:val="000229AF"/>
    <w:rsid w:val="00022FD2"/>
    <w:rsid w:val="00026CBE"/>
    <w:rsid w:val="0002748C"/>
    <w:rsid w:val="000306D8"/>
    <w:rsid w:val="000318DE"/>
    <w:rsid w:val="00032225"/>
    <w:rsid w:val="0003237E"/>
    <w:rsid w:val="000323C2"/>
    <w:rsid w:val="00033E10"/>
    <w:rsid w:val="00035D1E"/>
    <w:rsid w:val="000365EF"/>
    <w:rsid w:val="00036C75"/>
    <w:rsid w:val="00036EBE"/>
    <w:rsid w:val="000371CF"/>
    <w:rsid w:val="00037DC9"/>
    <w:rsid w:val="00040DE4"/>
    <w:rsid w:val="000417A6"/>
    <w:rsid w:val="00041AB0"/>
    <w:rsid w:val="00041EDA"/>
    <w:rsid w:val="00044974"/>
    <w:rsid w:val="00044F40"/>
    <w:rsid w:val="00046735"/>
    <w:rsid w:val="00046ABD"/>
    <w:rsid w:val="00046C55"/>
    <w:rsid w:val="00050361"/>
    <w:rsid w:val="00051FD3"/>
    <w:rsid w:val="0005284A"/>
    <w:rsid w:val="00052FC7"/>
    <w:rsid w:val="0005385F"/>
    <w:rsid w:val="00054FD5"/>
    <w:rsid w:val="00056CF6"/>
    <w:rsid w:val="0006005C"/>
    <w:rsid w:val="000610C2"/>
    <w:rsid w:val="00062217"/>
    <w:rsid w:val="00063F6A"/>
    <w:rsid w:val="00066AAA"/>
    <w:rsid w:val="0007232B"/>
    <w:rsid w:val="000733EE"/>
    <w:rsid w:val="00076367"/>
    <w:rsid w:val="00076A93"/>
    <w:rsid w:val="000777C7"/>
    <w:rsid w:val="00077AD6"/>
    <w:rsid w:val="00077F65"/>
    <w:rsid w:val="00081C5F"/>
    <w:rsid w:val="00086A97"/>
    <w:rsid w:val="00086EDF"/>
    <w:rsid w:val="00087A16"/>
    <w:rsid w:val="0009053E"/>
    <w:rsid w:val="00092412"/>
    <w:rsid w:val="00092DED"/>
    <w:rsid w:val="00094D1A"/>
    <w:rsid w:val="00095821"/>
    <w:rsid w:val="00095FF3"/>
    <w:rsid w:val="000974F7"/>
    <w:rsid w:val="000A2FD7"/>
    <w:rsid w:val="000A4BA4"/>
    <w:rsid w:val="000A4C53"/>
    <w:rsid w:val="000A509B"/>
    <w:rsid w:val="000A5F09"/>
    <w:rsid w:val="000A6288"/>
    <w:rsid w:val="000A62DB"/>
    <w:rsid w:val="000A6D10"/>
    <w:rsid w:val="000A784B"/>
    <w:rsid w:val="000A7960"/>
    <w:rsid w:val="000A79B9"/>
    <w:rsid w:val="000A7CFF"/>
    <w:rsid w:val="000A7F9F"/>
    <w:rsid w:val="000B13B5"/>
    <w:rsid w:val="000B3715"/>
    <w:rsid w:val="000B460B"/>
    <w:rsid w:val="000B4FE8"/>
    <w:rsid w:val="000B543B"/>
    <w:rsid w:val="000B74EA"/>
    <w:rsid w:val="000B7B09"/>
    <w:rsid w:val="000B7B8D"/>
    <w:rsid w:val="000C1520"/>
    <w:rsid w:val="000C192E"/>
    <w:rsid w:val="000C3400"/>
    <w:rsid w:val="000C3721"/>
    <w:rsid w:val="000C37CE"/>
    <w:rsid w:val="000C3C68"/>
    <w:rsid w:val="000C48CF"/>
    <w:rsid w:val="000C4B9C"/>
    <w:rsid w:val="000C6F8C"/>
    <w:rsid w:val="000D2F53"/>
    <w:rsid w:val="000D325A"/>
    <w:rsid w:val="000D4A2F"/>
    <w:rsid w:val="000D592D"/>
    <w:rsid w:val="000D68A5"/>
    <w:rsid w:val="000D6BBA"/>
    <w:rsid w:val="000D780A"/>
    <w:rsid w:val="000D780D"/>
    <w:rsid w:val="000D78E7"/>
    <w:rsid w:val="000D7D64"/>
    <w:rsid w:val="000D7E51"/>
    <w:rsid w:val="000E08FD"/>
    <w:rsid w:val="000E1465"/>
    <w:rsid w:val="000E2319"/>
    <w:rsid w:val="000E34F7"/>
    <w:rsid w:val="000E4093"/>
    <w:rsid w:val="000E4490"/>
    <w:rsid w:val="000E56A9"/>
    <w:rsid w:val="000E6124"/>
    <w:rsid w:val="000E7C86"/>
    <w:rsid w:val="000F16F0"/>
    <w:rsid w:val="000F21D5"/>
    <w:rsid w:val="000F26E6"/>
    <w:rsid w:val="000F31AB"/>
    <w:rsid w:val="000F40DA"/>
    <w:rsid w:val="000F65F4"/>
    <w:rsid w:val="000F6AD7"/>
    <w:rsid w:val="000F7B54"/>
    <w:rsid w:val="00100F84"/>
    <w:rsid w:val="00101DAE"/>
    <w:rsid w:val="00102E1D"/>
    <w:rsid w:val="00102E2E"/>
    <w:rsid w:val="00104DD4"/>
    <w:rsid w:val="0010768D"/>
    <w:rsid w:val="00107CF2"/>
    <w:rsid w:val="0011092F"/>
    <w:rsid w:val="00110D28"/>
    <w:rsid w:val="0011107A"/>
    <w:rsid w:val="00111891"/>
    <w:rsid w:val="00112333"/>
    <w:rsid w:val="00115B26"/>
    <w:rsid w:val="00116CA7"/>
    <w:rsid w:val="0011783C"/>
    <w:rsid w:val="001211C3"/>
    <w:rsid w:val="00121649"/>
    <w:rsid w:val="00121A2E"/>
    <w:rsid w:val="00122ECA"/>
    <w:rsid w:val="00123FE4"/>
    <w:rsid w:val="00125420"/>
    <w:rsid w:val="00125684"/>
    <w:rsid w:val="00126E29"/>
    <w:rsid w:val="00126E5F"/>
    <w:rsid w:val="00127EA6"/>
    <w:rsid w:val="00130E6F"/>
    <w:rsid w:val="00132D00"/>
    <w:rsid w:val="001338A1"/>
    <w:rsid w:val="0013632B"/>
    <w:rsid w:val="00136A17"/>
    <w:rsid w:val="0013715D"/>
    <w:rsid w:val="00137871"/>
    <w:rsid w:val="0014095B"/>
    <w:rsid w:val="00141638"/>
    <w:rsid w:val="0014169C"/>
    <w:rsid w:val="00141848"/>
    <w:rsid w:val="001423AD"/>
    <w:rsid w:val="00142AC8"/>
    <w:rsid w:val="00142C7B"/>
    <w:rsid w:val="001444E7"/>
    <w:rsid w:val="0014475F"/>
    <w:rsid w:val="001457E3"/>
    <w:rsid w:val="001461D3"/>
    <w:rsid w:val="00146628"/>
    <w:rsid w:val="001477C4"/>
    <w:rsid w:val="001478A8"/>
    <w:rsid w:val="00147E88"/>
    <w:rsid w:val="001504B0"/>
    <w:rsid w:val="00150E6A"/>
    <w:rsid w:val="00151214"/>
    <w:rsid w:val="0015305C"/>
    <w:rsid w:val="00153CFB"/>
    <w:rsid w:val="0015442B"/>
    <w:rsid w:val="00155DEE"/>
    <w:rsid w:val="00156C6B"/>
    <w:rsid w:val="00157F49"/>
    <w:rsid w:val="00160DAC"/>
    <w:rsid w:val="00161BFE"/>
    <w:rsid w:val="0016262B"/>
    <w:rsid w:val="00162A35"/>
    <w:rsid w:val="00164697"/>
    <w:rsid w:val="001662B0"/>
    <w:rsid w:val="00166D6C"/>
    <w:rsid w:val="00170217"/>
    <w:rsid w:val="001712CE"/>
    <w:rsid w:val="001729BA"/>
    <w:rsid w:val="001750DC"/>
    <w:rsid w:val="00175E60"/>
    <w:rsid w:val="00176CB9"/>
    <w:rsid w:val="00177577"/>
    <w:rsid w:val="001802A0"/>
    <w:rsid w:val="00180D5A"/>
    <w:rsid w:val="00182850"/>
    <w:rsid w:val="00184CDE"/>
    <w:rsid w:val="00185F81"/>
    <w:rsid w:val="00186A3F"/>
    <w:rsid w:val="00187E4F"/>
    <w:rsid w:val="00191CBC"/>
    <w:rsid w:val="0019359F"/>
    <w:rsid w:val="00197925"/>
    <w:rsid w:val="001A10DB"/>
    <w:rsid w:val="001A20F4"/>
    <w:rsid w:val="001A2E04"/>
    <w:rsid w:val="001A3082"/>
    <w:rsid w:val="001A3215"/>
    <w:rsid w:val="001A4340"/>
    <w:rsid w:val="001A495C"/>
    <w:rsid w:val="001A4B3E"/>
    <w:rsid w:val="001A7271"/>
    <w:rsid w:val="001B213D"/>
    <w:rsid w:val="001B2802"/>
    <w:rsid w:val="001B3107"/>
    <w:rsid w:val="001B3789"/>
    <w:rsid w:val="001B380D"/>
    <w:rsid w:val="001B3B37"/>
    <w:rsid w:val="001B3CAE"/>
    <w:rsid w:val="001B3F49"/>
    <w:rsid w:val="001B4507"/>
    <w:rsid w:val="001B58E8"/>
    <w:rsid w:val="001B79DC"/>
    <w:rsid w:val="001C0A14"/>
    <w:rsid w:val="001C0ACE"/>
    <w:rsid w:val="001C136D"/>
    <w:rsid w:val="001C4344"/>
    <w:rsid w:val="001C4D76"/>
    <w:rsid w:val="001D028F"/>
    <w:rsid w:val="001D088B"/>
    <w:rsid w:val="001D10A3"/>
    <w:rsid w:val="001D4023"/>
    <w:rsid w:val="001D440D"/>
    <w:rsid w:val="001D465C"/>
    <w:rsid w:val="001D5B12"/>
    <w:rsid w:val="001D5BF3"/>
    <w:rsid w:val="001D6F54"/>
    <w:rsid w:val="001D7E8F"/>
    <w:rsid w:val="001E1217"/>
    <w:rsid w:val="001E1FF3"/>
    <w:rsid w:val="001E22E8"/>
    <w:rsid w:val="001E233E"/>
    <w:rsid w:val="001E2739"/>
    <w:rsid w:val="001E3885"/>
    <w:rsid w:val="001E3C60"/>
    <w:rsid w:val="001E5A5E"/>
    <w:rsid w:val="001E5C78"/>
    <w:rsid w:val="001E6175"/>
    <w:rsid w:val="001E6239"/>
    <w:rsid w:val="001E6333"/>
    <w:rsid w:val="001E6776"/>
    <w:rsid w:val="001E6FA4"/>
    <w:rsid w:val="001F1201"/>
    <w:rsid w:val="001F19F1"/>
    <w:rsid w:val="001F4845"/>
    <w:rsid w:val="001F4F26"/>
    <w:rsid w:val="001F5826"/>
    <w:rsid w:val="001F67B0"/>
    <w:rsid w:val="001F68B2"/>
    <w:rsid w:val="001F69CA"/>
    <w:rsid w:val="001F7C3C"/>
    <w:rsid w:val="00201683"/>
    <w:rsid w:val="00204445"/>
    <w:rsid w:val="0020501E"/>
    <w:rsid w:val="0020529C"/>
    <w:rsid w:val="0020537A"/>
    <w:rsid w:val="00206764"/>
    <w:rsid w:val="00206915"/>
    <w:rsid w:val="00210658"/>
    <w:rsid w:val="002135A1"/>
    <w:rsid w:val="002145BB"/>
    <w:rsid w:val="00216295"/>
    <w:rsid w:val="0022186E"/>
    <w:rsid w:val="00224FA9"/>
    <w:rsid w:val="00225258"/>
    <w:rsid w:val="002253E7"/>
    <w:rsid w:val="002274AC"/>
    <w:rsid w:val="00227B1D"/>
    <w:rsid w:val="002307A8"/>
    <w:rsid w:val="00230D01"/>
    <w:rsid w:val="002346B6"/>
    <w:rsid w:val="002360CF"/>
    <w:rsid w:val="00236375"/>
    <w:rsid w:val="0024074B"/>
    <w:rsid w:val="00241CA2"/>
    <w:rsid w:val="00242B39"/>
    <w:rsid w:val="002438D8"/>
    <w:rsid w:val="00245922"/>
    <w:rsid w:val="00245D93"/>
    <w:rsid w:val="00245E72"/>
    <w:rsid w:val="00246021"/>
    <w:rsid w:val="00246409"/>
    <w:rsid w:val="00246E0A"/>
    <w:rsid w:val="0024771A"/>
    <w:rsid w:val="00247A3D"/>
    <w:rsid w:val="00252A10"/>
    <w:rsid w:val="002534D4"/>
    <w:rsid w:val="002534FE"/>
    <w:rsid w:val="00253744"/>
    <w:rsid w:val="00255F73"/>
    <w:rsid w:val="00257211"/>
    <w:rsid w:val="002574FB"/>
    <w:rsid w:val="002602E1"/>
    <w:rsid w:val="00260B8A"/>
    <w:rsid w:val="00260BC0"/>
    <w:rsid w:val="00260F02"/>
    <w:rsid w:val="00261208"/>
    <w:rsid w:val="002628E2"/>
    <w:rsid w:val="00263D5D"/>
    <w:rsid w:val="0026446F"/>
    <w:rsid w:val="002658D8"/>
    <w:rsid w:val="00265AEF"/>
    <w:rsid w:val="00265F2B"/>
    <w:rsid w:val="002666BE"/>
    <w:rsid w:val="002675D9"/>
    <w:rsid w:val="00271A07"/>
    <w:rsid w:val="0027209A"/>
    <w:rsid w:val="00272596"/>
    <w:rsid w:val="002727B1"/>
    <w:rsid w:val="002747E2"/>
    <w:rsid w:val="00274D68"/>
    <w:rsid w:val="0027586C"/>
    <w:rsid w:val="00277083"/>
    <w:rsid w:val="0027760A"/>
    <w:rsid w:val="00277D53"/>
    <w:rsid w:val="00280242"/>
    <w:rsid w:val="00280444"/>
    <w:rsid w:val="0028049B"/>
    <w:rsid w:val="002817BE"/>
    <w:rsid w:val="002821BF"/>
    <w:rsid w:val="00282C83"/>
    <w:rsid w:val="00282F56"/>
    <w:rsid w:val="002850CF"/>
    <w:rsid w:val="00285655"/>
    <w:rsid w:val="00285733"/>
    <w:rsid w:val="00285824"/>
    <w:rsid w:val="00285BBF"/>
    <w:rsid w:val="00286163"/>
    <w:rsid w:val="00286E4B"/>
    <w:rsid w:val="0028730F"/>
    <w:rsid w:val="00290379"/>
    <w:rsid w:val="0029105B"/>
    <w:rsid w:val="00292B84"/>
    <w:rsid w:val="00294101"/>
    <w:rsid w:val="0029467A"/>
    <w:rsid w:val="00294E0A"/>
    <w:rsid w:val="0029575D"/>
    <w:rsid w:val="002958B8"/>
    <w:rsid w:val="002959EF"/>
    <w:rsid w:val="00296634"/>
    <w:rsid w:val="0029722B"/>
    <w:rsid w:val="002A065D"/>
    <w:rsid w:val="002A14A9"/>
    <w:rsid w:val="002A5A84"/>
    <w:rsid w:val="002A6BC0"/>
    <w:rsid w:val="002A79D2"/>
    <w:rsid w:val="002B10D3"/>
    <w:rsid w:val="002B461D"/>
    <w:rsid w:val="002B4FE0"/>
    <w:rsid w:val="002B6962"/>
    <w:rsid w:val="002C09C7"/>
    <w:rsid w:val="002C1AE3"/>
    <w:rsid w:val="002C2C6A"/>
    <w:rsid w:val="002C34E9"/>
    <w:rsid w:val="002C3AFB"/>
    <w:rsid w:val="002C62CE"/>
    <w:rsid w:val="002D0A2A"/>
    <w:rsid w:val="002D3FE2"/>
    <w:rsid w:val="002D5656"/>
    <w:rsid w:val="002E0418"/>
    <w:rsid w:val="002E16AA"/>
    <w:rsid w:val="002E2809"/>
    <w:rsid w:val="002E4B64"/>
    <w:rsid w:val="002E4E87"/>
    <w:rsid w:val="002E63AB"/>
    <w:rsid w:val="002E7259"/>
    <w:rsid w:val="002E7F59"/>
    <w:rsid w:val="002F0415"/>
    <w:rsid w:val="002F0A8E"/>
    <w:rsid w:val="002F21EA"/>
    <w:rsid w:val="002F53E7"/>
    <w:rsid w:val="002F60CD"/>
    <w:rsid w:val="002F6B5E"/>
    <w:rsid w:val="00301A3A"/>
    <w:rsid w:val="0030242B"/>
    <w:rsid w:val="003051CC"/>
    <w:rsid w:val="00305787"/>
    <w:rsid w:val="0030664A"/>
    <w:rsid w:val="003074DD"/>
    <w:rsid w:val="00310628"/>
    <w:rsid w:val="00311909"/>
    <w:rsid w:val="00313040"/>
    <w:rsid w:val="00313583"/>
    <w:rsid w:val="00313831"/>
    <w:rsid w:val="00313E2E"/>
    <w:rsid w:val="00314736"/>
    <w:rsid w:val="00314C24"/>
    <w:rsid w:val="0031545F"/>
    <w:rsid w:val="0031671E"/>
    <w:rsid w:val="003177E2"/>
    <w:rsid w:val="00320016"/>
    <w:rsid w:val="003200F5"/>
    <w:rsid w:val="00320AE7"/>
    <w:rsid w:val="003215F8"/>
    <w:rsid w:val="00322B9E"/>
    <w:rsid w:val="00323AED"/>
    <w:rsid w:val="00323D5C"/>
    <w:rsid w:val="003262A5"/>
    <w:rsid w:val="00326DC2"/>
    <w:rsid w:val="003275BC"/>
    <w:rsid w:val="00327907"/>
    <w:rsid w:val="00330A0B"/>
    <w:rsid w:val="00330A6D"/>
    <w:rsid w:val="003312C8"/>
    <w:rsid w:val="00333A00"/>
    <w:rsid w:val="00333A42"/>
    <w:rsid w:val="00334181"/>
    <w:rsid w:val="0034027C"/>
    <w:rsid w:val="00340F6C"/>
    <w:rsid w:val="0034154F"/>
    <w:rsid w:val="003422A0"/>
    <w:rsid w:val="003424C9"/>
    <w:rsid w:val="00342941"/>
    <w:rsid w:val="00342D78"/>
    <w:rsid w:val="00343696"/>
    <w:rsid w:val="00343E08"/>
    <w:rsid w:val="00344724"/>
    <w:rsid w:val="00346A5B"/>
    <w:rsid w:val="00350B35"/>
    <w:rsid w:val="00352484"/>
    <w:rsid w:val="00352496"/>
    <w:rsid w:val="003534E2"/>
    <w:rsid w:val="003538D1"/>
    <w:rsid w:val="003555CC"/>
    <w:rsid w:val="003564E2"/>
    <w:rsid w:val="003571DB"/>
    <w:rsid w:val="003604D3"/>
    <w:rsid w:val="00361628"/>
    <w:rsid w:val="00361CDC"/>
    <w:rsid w:val="00362DA4"/>
    <w:rsid w:val="003644CD"/>
    <w:rsid w:val="003656B2"/>
    <w:rsid w:val="00366EA3"/>
    <w:rsid w:val="00366F0D"/>
    <w:rsid w:val="00371364"/>
    <w:rsid w:val="00372073"/>
    <w:rsid w:val="003727DA"/>
    <w:rsid w:val="00373049"/>
    <w:rsid w:val="00374F1C"/>
    <w:rsid w:val="003753F4"/>
    <w:rsid w:val="003757FE"/>
    <w:rsid w:val="00376470"/>
    <w:rsid w:val="00380473"/>
    <w:rsid w:val="0038220C"/>
    <w:rsid w:val="003829D7"/>
    <w:rsid w:val="0038404F"/>
    <w:rsid w:val="00385AEA"/>
    <w:rsid w:val="00386FB0"/>
    <w:rsid w:val="00387B04"/>
    <w:rsid w:val="00394D7C"/>
    <w:rsid w:val="003959B5"/>
    <w:rsid w:val="00395A5D"/>
    <w:rsid w:val="00395D04"/>
    <w:rsid w:val="003964D1"/>
    <w:rsid w:val="00397EBB"/>
    <w:rsid w:val="003A09F1"/>
    <w:rsid w:val="003A270A"/>
    <w:rsid w:val="003A2EC1"/>
    <w:rsid w:val="003A48D1"/>
    <w:rsid w:val="003A7560"/>
    <w:rsid w:val="003B1EDA"/>
    <w:rsid w:val="003B43CC"/>
    <w:rsid w:val="003B6CAB"/>
    <w:rsid w:val="003B7266"/>
    <w:rsid w:val="003B73DF"/>
    <w:rsid w:val="003C0077"/>
    <w:rsid w:val="003C122C"/>
    <w:rsid w:val="003C286B"/>
    <w:rsid w:val="003C4ED7"/>
    <w:rsid w:val="003C539A"/>
    <w:rsid w:val="003C71FE"/>
    <w:rsid w:val="003C751C"/>
    <w:rsid w:val="003C7BC3"/>
    <w:rsid w:val="003D0C96"/>
    <w:rsid w:val="003D0E7E"/>
    <w:rsid w:val="003D1D8A"/>
    <w:rsid w:val="003D2BC0"/>
    <w:rsid w:val="003D36C5"/>
    <w:rsid w:val="003D37F0"/>
    <w:rsid w:val="003D536C"/>
    <w:rsid w:val="003D5ACC"/>
    <w:rsid w:val="003D65AB"/>
    <w:rsid w:val="003D6A7A"/>
    <w:rsid w:val="003E03D5"/>
    <w:rsid w:val="003E121B"/>
    <w:rsid w:val="003E1765"/>
    <w:rsid w:val="003E23AA"/>
    <w:rsid w:val="003E422E"/>
    <w:rsid w:val="003E6A6C"/>
    <w:rsid w:val="003F3BEB"/>
    <w:rsid w:val="003F42BF"/>
    <w:rsid w:val="003F6529"/>
    <w:rsid w:val="003F6D6F"/>
    <w:rsid w:val="003F7407"/>
    <w:rsid w:val="00400E63"/>
    <w:rsid w:val="00403659"/>
    <w:rsid w:val="00403934"/>
    <w:rsid w:val="00403C26"/>
    <w:rsid w:val="00403C75"/>
    <w:rsid w:val="00404366"/>
    <w:rsid w:val="00405C38"/>
    <w:rsid w:val="00407656"/>
    <w:rsid w:val="00407F79"/>
    <w:rsid w:val="00411FD4"/>
    <w:rsid w:val="00412297"/>
    <w:rsid w:val="0041247D"/>
    <w:rsid w:val="00412519"/>
    <w:rsid w:val="00412E97"/>
    <w:rsid w:val="00413C34"/>
    <w:rsid w:val="00413CB2"/>
    <w:rsid w:val="0041441B"/>
    <w:rsid w:val="004158CE"/>
    <w:rsid w:val="00416AEA"/>
    <w:rsid w:val="00416E96"/>
    <w:rsid w:val="00421877"/>
    <w:rsid w:val="00421F75"/>
    <w:rsid w:val="0042202B"/>
    <w:rsid w:val="00422229"/>
    <w:rsid w:val="00422DBA"/>
    <w:rsid w:val="0042697E"/>
    <w:rsid w:val="00427171"/>
    <w:rsid w:val="004314E4"/>
    <w:rsid w:val="00432189"/>
    <w:rsid w:val="00434893"/>
    <w:rsid w:val="004351DE"/>
    <w:rsid w:val="00436669"/>
    <w:rsid w:val="0043791C"/>
    <w:rsid w:val="00440AA8"/>
    <w:rsid w:val="0044297F"/>
    <w:rsid w:val="00443688"/>
    <w:rsid w:val="0044508F"/>
    <w:rsid w:val="004454C0"/>
    <w:rsid w:val="00445A7E"/>
    <w:rsid w:val="00447511"/>
    <w:rsid w:val="00447E9C"/>
    <w:rsid w:val="004511D2"/>
    <w:rsid w:val="004518AA"/>
    <w:rsid w:val="00453213"/>
    <w:rsid w:val="00454275"/>
    <w:rsid w:val="00454E2D"/>
    <w:rsid w:val="004552DF"/>
    <w:rsid w:val="004555A3"/>
    <w:rsid w:val="00455D36"/>
    <w:rsid w:val="0045624E"/>
    <w:rsid w:val="00460D61"/>
    <w:rsid w:val="004665E4"/>
    <w:rsid w:val="00467818"/>
    <w:rsid w:val="004700D0"/>
    <w:rsid w:val="004706B0"/>
    <w:rsid w:val="004711BA"/>
    <w:rsid w:val="00471D93"/>
    <w:rsid w:val="0047310F"/>
    <w:rsid w:val="00473398"/>
    <w:rsid w:val="00473A5C"/>
    <w:rsid w:val="004767E2"/>
    <w:rsid w:val="004769FE"/>
    <w:rsid w:val="00477445"/>
    <w:rsid w:val="00477706"/>
    <w:rsid w:val="00477E35"/>
    <w:rsid w:val="00480CFB"/>
    <w:rsid w:val="00481DF8"/>
    <w:rsid w:val="00483D47"/>
    <w:rsid w:val="004853D9"/>
    <w:rsid w:val="00485F62"/>
    <w:rsid w:val="0048649C"/>
    <w:rsid w:val="0048720A"/>
    <w:rsid w:val="00490588"/>
    <w:rsid w:val="0049085B"/>
    <w:rsid w:val="00491098"/>
    <w:rsid w:val="0049164E"/>
    <w:rsid w:val="00492968"/>
    <w:rsid w:val="0049412C"/>
    <w:rsid w:val="004960F3"/>
    <w:rsid w:val="004961A0"/>
    <w:rsid w:val="004970C8"/>
    <w:rsid w:val="004A0220"/>
    <w:rsid w:val="004A4580"/>
    <w:rsid w:val="004A4CB3"/>
    <w:rsid w:val="004A5606"/>
    <w:rsid w:val="004A766E"/>
    <w:rsid w:val="004B1679"/>
    <w:rsid w:val="004B22B9"/>
    <w:rsid w:val="004B43E9"/>
    <w:rsid w:val="004B4588"/>
    <w:rsid w:val="004B488D"/>
    <w:rsid w:val="004B63E6"/>
    <w:rsid w:val="004B6741"/>
    <w:rsid w:val="004B7B67"/>
    <w:rsid w:val="004C212B"/>
    <w:rsid w:val="004C2BCE"/>
    <w:rsid w:val="004C381B"/>
    <w:rsid w:val="004C53EE"/>
    <w:rsid w:val="004C5AE3"/>
    <w:rsid w:val="004C5E09"/>
    <w:rsid w:val="004C61B9"/>
    <w:rsid w:val="004C648B"/>
    <w:rsid w:val="004C6D0F"/>
    <w:rsid w:val="004C72CA"/>
    <w:rsid w:val="004C7C17"/>
    <w:rsid w:val="004C7DE8"/>
    <w:rsid w:val="004D057B"/>
    <w:rsid w:val="004D0643"/>
    <w:rsid w:val="004D091E"/>
    <w:rsid w:val="004D1618"/>
    <w:rsid w:val="004D164D"/>
    <w:rsid w:val="004D258B"/>
    <w:rsid w:val="004D2709"/>
    <w:rsid w:val="004D3491"/>
    <w:rsid w:val="004D4485"/>
    <w:rsid w:val="004D4638"/>
    <w:rsid w:val="004D6B39"/>
    <w:rsid w:val="004D6DF6"/>
    <w:rsid w:val="004D6EA4"/>
    <w:rsid w:val="004D7886"/>
    <w:rsid w:val="004D79AD"/>
    <w:rsid w:val="004D7C73"/>
    <w:rsid w:val="004E02CE"/>
    <w:rsid w:val="004E0F35"/>
    <w:rsid w:val="004E163E"/>
    <w:rsid w:val="004E27E5"/>
    <w:rsid w:val="004E2837"/>
    <w:rsid w:val="004E3B57"/>
    <w:rsid w:val="004E61B4"/>
    <w:rsid w:val="004E6BF4"/>
    <w:rsid w:val="004F0E5D"/>
    <w:rsid w:val="004F3BF7"/>
    <w:rsid w:val="004F6441"/>
    <w:rsid w:val="004F66EA"/>
    <w:rsid w:val="004F7396"/>
    <w:rsid w:val="004F7656"/>
    <w:rsid w:val="0050045A"/>
    <w:rsid w:val="00500E57"/>
    <w:rsid w:val="00500F7F"/>
    <w:rsid w:val="00502E23"/>
    <w:rsid w:val="005036C3"/>
    <w:rsid w:val="0050440C"/>
    <w:rsid w:val="00504FA5"/>
    <w:rsid w:val="00505AC3"/>
    <w:rsid w:val="005065B0"/>
    <w:rsid w:val="005070B0"/>
    <w:rsid w:val="00510753"/>
    <w:rsid w:val="005110C8"/>
    <w:rsid w:val="00511943"/>
    <w:rsid w:val="00512A7A"/>
    <w:rsid w:val="00513B92"/>
    <w:rsid w:val="005156FF"/>
    <w:rsid w:val="00515CD1"/>
    <w:rsid w:val="00516A6F"/>
    <w:rsid w:val="00516FEC"/>
    <w:rsid w:val="005204B4"/>
    <w:rsid w:val="0052088A"/>
    <w:rsid w:val="00521C51"/>
    <w:rsid w:val="005230BE"/>
    <w:rsid w:val="00523396"/>
    <w:rsid w:val="005237D4"/>
    <w:rsid w:val="00524543"/>
    <w:rsid w:val="00524E20"/>
    <w:rsid w:val="005254D5"/>
    <w:rsid w:val="005258AB"/>
    <w:rsid w:val="00525F74"/>
    <w:rsid w:val="00526396"/>
    <w:rsid w:val="0052667A"/>
    <w:rsid w:val="00527607"/>
    <w:rsid w:val="0053048D"/>
    <w:rsid w:val="00530DAC"/>
    <w:rsid w:val="00530DEB"/>
    <w:rsid w:val="00530FE3"/>
    <w:rsid w:val="00531571"/>
    <w:rsid w:val="005339B7"/>
    <w:rsid w:val="005347A3"/>
    <w:rsid w:val="0053531E"/>
    <w:rsid w:val="00535D74"/>
    <w:rsid w:val="0053768E"/>
    <w:rsid w:val="00537A7A"/>
    <w:rsid w:val="0054285A"/>
    <w:rsid w:val="00543807"/>
    <w:rsid w:val="00544AA9"/>
    <w:rsid w:val="0054564A"/>
    <w:rsid w:val="0054597B"/>
    <w:rsid w:val="005474E5"/>
    <w:rsid w:val="00550C1C"/>
    <w:rsid w:val="00550E2F"/>
    <w:rsid w:val="0055345E"/>
    <w:rsid w:val="005539E1"/>
    <w:rsid w:val="00553AB5"/>
    <w:rsid w:val="00554AA9"/>
    <w:rsid w:val="00556DA0"/>
    <w:rsid w:val="00557417"/>
    <w:rsid w:val="0056056C"/>
    <w:rsid w:val="00560EFF"/>
    <w:rsid w:val="00561C5C"/>
    <w:rsid w:val="005631A6"/>
    <w:rsid w:val="00564DC6"/>
    <w:rsid w:val="00565216"/>
    <w:rsid w:val="00565312"/>
    <w:rsid w:val="00565EAE"/>
    <w:rsid w:val="005661C8"/>
    <w:rsid w:val="005700CC"/>
    <w:rsid w:val="00570F41"/>
    <w:rsid w:val="00574720"/>
    <w:rsid w:val="0057494A"/>
    <w:rsid w:val="00574C6A"/>
    <w:rsid w:val="00575249"/>
    <w:rsid w:val="00575E64"/>
    <w:rsid w:val="005760E9"/>
    <w:rsid w:val="0057737D"/>
    <w:rsid w:val="005818B3"/>
    <w:rsid w:val="00581A51"/>
    <w:rsid w:val="00581EA3"/>
    <w:rsid w:val="00583B39"/>
    <w:rsid w:val="005852F9"/>
    <w:rsid w:val="00585EE0"/>
    <w:rsid w:val="0058650D"/>
    <w:rsid w:val="005909A4"/>
    <w:rsid w:val="005926CC"/>
    <w:rsid w:val="00592E7B"/>
    <w:rsid w:val="00594B2F"/>
    <w:rsid w:val="005956EE"/>
    <w:rsid w:val="00597A97"/>
    <w:rsid w:val="005A12F2"/>
    <w:rsid w:val="005A3058"/>
    <w:rsid w:val="005A3334"/>
    <w:rsid w:val="005A4117"/>
    <w:rsid w:val="005A44AE"/>
    <w:rsid w:val="005A6E85"/>
    <w:rsid w:val="005A7B6C"/>
    <w:rsid w:val="005B2F2A"/>
    <w:rsid w:val="005B43BA"/>
    <w:rsid w:val="005B5E14"/>
    <w:rsid w:val="005B753C"/>
    <w:rsid w:val="005B78E6"/>
    <w:rsid w:val="005C0D3F"/>
    <w:rsid w:val="005C15CB"/>
    <w:rsid w:val="005C29A8"/>
    <w:rsid w:val="005C2ABF"/>
    <w:rsid w:val="005C388C"/>
    <w:rsid w:val="005C4003"/>
    <w:rsid w:val="005C434B"/>
    <w:rsid w:val="005C48A9"/>
    <w:rsid w:val="005C49C8"/>
    <w:rsid w:val="005C5827"/>
    <w:rsid w:val="005C7FEB"/>
    <w:rsid w:val="005D30C2"/>
    <w:rsid w:val="005D3286"/>
    <w:rsid w:val="005D3DE9"/>
    <w:rsid w:val="005D50B9"/>
    <w:rsid w:val="005D550C"/>
    <w:rsid w:val="005D60E1"/>
    <w:rsid w:val="005D64B8"/>
    <w:rsid w:val="005D70B1"/>
    <w:rsid w:val="005D76EC"/>
    <w:rsid w:val="005E01F7"/>
    <w:rsid w:val="005E1B62"/>
    <w:rsid w:val="005E2877"/>
    <w:rsid w:val="005E5310"/>
    <w:rsid w:val="005E607B"/>
    <w:rsid w:val="005E630D"/>
    <w:rsid w:val="005E6B9D"/>
    <w:rsid w:val="005E6D21"/>
    <w:rsid w:val="005E70C9"/>
    <w:rsid w:val="005F0FEF"/>
    <w:rsid w:val="005F115E"/>
    <w:rsid w:val="005F229F"/>
    <w:rsid w:val="005F6050"/>
    <w:rsid w:val="005F6A34"/>
    <w:rsid w:val="005F7085"/>
    <w:rsid w:val="005F7294"/>
    <w:rsid w:val="00602569"/>
    <w:rsid w:val="00602B63"/>
    <w:rsid w:val="006053C4"/>
    <w:rsid w:val="00606B24"/>
    <w:rsid w:val="00606C8E"/>
    <w:rsid w:val="00607411"/>
    <w:rsid w:val="00610581"/>
    <w:rsid w:val="006111C6"/>
    <w:rsid w:val="0061173B"/>
    <w:rsid w:val="00612F51"/>
    <w:rsid w:val="0061426E"/>
    <w:rsid w:val="00614448"/>
    <w:rsid w:val="006152A9"/>
    <w:rsid w:val="00617190"/>
    <w:rsid w:val="006219AB"/>
    <w:rsid w:val="00622980"/>
    <w:rsid w:val="00622BF5"/>
    <w:rsid w:val="006241B1"/>
    <w:rsid w:val="00624289"/>
    <w:rsid w:val="00624C9D"/>
    <w:rsid w:val="00624F01"/>
    <w:rsid w:val="00625E83"/>
    <w:rsid w:val="00625F35"/>
    <w:rsid w:val="00625F4B"/>
    <w:rsid w:val="0062614F"/>
    <w:rsid w:val="00626E78"/>
    <w:rsid w:val="00632817"/>
    <w:rsid w:val="00633339"/>
    <w:rsid w:val="00634017"/>
    <w:rsid w:val="00634237"/>
    <w:rsid w:val="006344E2"/>
    <w:rsid w:val="00635FAD"/>
    <w:rsid w:val="00636E91"/>
    <w:rsid w:val="006400C2"/>
    <w:rsid w:val="00640AA7"/>
    <w:rsid w:val="006415DE"/>
    <w:rsid w:val="006416C8"/>
    <w:rsid w:val="00642CCB"/>
    <w:rsid w:val="00644CA6"/>
    <w:rsid w:val="00645575"/>
    <w:rsid w:val="00645C65"/>
    <w:rsid w:val="006469FB"/>
    <w:rsid w:val="00647CE9"/>
    <w:rsid w:val="00647D0C"/>
    <w:rsid w:val="00650366"/>
    <w:rsid w:val="00650583"/>
    <w:rsid w:val="00650D9D"/>
    <w:rsid w:val="00651EC5"/>
    <w:rsid w:val="006522EB"/>
    <w:rsid w:val="006537B4"/>
    <w:rsid w:val="00653F37"/>
    <w:rsid w:val="00654E5F"/>
    <w:rsid w:val="00655FAB"/>
    <w:rsid w:val="0065602B"/>
    <w:rsid w:val="006560AB"/>
    <w:rsid w:val="00656995"/>
    <w:rsid w:val="00656DD6"/>
    <w:rsid w:val="00657AEA"/>
    <w:rsid w:val="00663248"/>
    <w:rsid w:val="00663E6D"/>
    <w:rsid w:val="00663F92"/>
    <w:rsid w:val="00664B85"/>
    <w:rsid w:val="00665500"/>
    <w:rsid w:val="00665BDB"/>
    <w:rsid w:val="00666EB6"/>
    <w:rsid w:val="00667E2B"/>
    <w:rsid w:val="00670E7E"/>
    <w:rsid w:val="00671749"/>
    <w:rsid w:val="00671916"/>
    <w:rsid w:val="00672F7A"/>
    <w:rsid w:val="0067439F"/>
    <w:rsid w:val="00675D5A"/>
    <w:rsid w:val="00676113"/>
    <w:rsid w:val="0067617A"/>
    <w:rsid w:val="006764AD"/>
    <w:rsid w:val="006770DC"/>
    <w:rsid w:val="00677C61"/>
    <w:rsid w:val="00680C8A"/>
    <w:rsid w:val="00681308"/>
    <w:rsid w:val="00683166"/>
    <w:rsid w:val="00684D68"/>
    <w:rsid w:val="0068578E"/>
    <w:rsid w:val="006859B7"/>
    <w:rsid w:val="00685CAE"/>
    <w:rsid w:val="006875BE"/>
    <w:rsid w:val="00690C14"/>
    <w:rsid w:val="00691741"/>
    <w:rsid w:val="00691FF9"/>
    <w:rsid w:val="00696D9B"/>
    <w:rsid w:val="00697D90"/>
    <w:rsid w:val="006A0BD9"/>
    <w:rsid w:val="006A21E9"/>
    <w:rsid w:val="006A2EB1"/>
    <w:rsid w:val="006A3AA4"/>
    <w:rsid w:val="006A5083"/>
    <w:rsid w:val="006A5B65"/>
    <w:rsid w:val="006A5D92"/>
    <w:rsid w:val="006B09D7"/>
    <w:rsid w:val="006B257D"/>
    <w:rsid w:val="006B41E6"/>
    <w:rsid w:val="006B5B75"/>
    <w:rsid w:val="006B6685"/>
    <w:rsid w:val="006B7675"/>
    <w:rsid w:val="006C33E5"/>
    <w:rsid w:val="006C4135"/>
    <w:rsid w:val="006C55FB"/>
    <w:rsid w:val="006C7203"/>
    <w:rsid w:val="006D135E"/>
    <w:rsid w:val="006D1414"/>
    <w:rsid w:val="006D2BEF"/>
    <w:rsid w:val="006D39B7"/>
    <w:rsid w:val="006D3C84"/>
    <w:rsid w:val="006D4CBC"/>
    <w:rsid w:val="006D62FA"/>
    <w:rsid w:val="006D7A7A"/>
    <w:rsid w:val="006D7C46"/>
    <w:rsid w:val="006E0F5A"/>
    <w:rsid w:val="006E1C57"/>
    <w:rsid w:val="006E1FFE"/>
    <w:rsid w:val="006E22C2"/>
    <w:rsid w:val="006E272C"/>
    <w:rsid w:val="006E2856"/>
    <w:rsid w:val="006E3641"/>
    <w:rsid w:val="006E3802"/>
    <w:rsid w:val="006E458E"/>
    <w:rsid w:val="006E6897"/>
    <w:rsid w:val="006E68B7"/>
    <w:rsid w:val="006F0135"/>
    <w:rsid w:val="006F168A"/>
    <w:rsid w:val="006F396B"/>
    <w:rsid w:val="006F4350"/>
    <w:rsid w:val="006F49C7"/>
    <w:rsid w:val="006F4ED8"/>
    <w:rsid w:val="006F52BE"/>
    <w:rsid w:val="006F5DF2"/>
    <w:rsid w:val="006F667A"/>
    <w:rsid w:val="006F77A3"/>
    <w:rsid w:val="0070149F"/>
    <w:rsid w:val="00701A6F"/>
    <w:rsid w:val="00705567"/>
    <w:rsid w:val="007058D1"/>
    <w:rsid w:val="00705A13"/>
    <w:rsid w:val="00707C25"/>
    <w:rsid w:val="00711358"/>
    <w:rsid w:val="007114CB"/>
    <w:rsid w:val="007129ED"/>
    <w:rsid w:val="00713ACC"/>
    <w:rsid w:val="00714C35"/>
    <w:rsid w:val="00716BEB"/>
    <w:rsid w:val="00717929"/>
    <w:rsid w:val="00717B6E"/>
    <w:rsid w:val="00722B02"/>
    <w:rsid w:val="007264C2"/>
    <w:rsid w:val="00726F29"/>
    <w:rsid w:val="0072757E"/>
    <w:rsid w:val="00730261"/>
    <w:rsid w:val="00732931"/>
    <w:rsid w:val="007342BC"/>
    <w:rsid w:val="007344A0"/>
    <w:rsid w:val="007360EA"/>
    <w:rsid w:val="00737422"/>
    <w:rsid w:val="0074036C"/>
    <w:rsid w:val="007405E4"/>
    <w:rsid w:val="0074188B"/>
    <w:rsid w:val="00741D03"/>
    <w:rsid w:val="007457C6"/>
    <w:rsid w:val="007458E5"/>
    <w:rsid w:val="0074590F"/>
    <w:rsid w:val="007459DF"/>
    <w:rsid w:val="00746CE1"/>
    <w:rsid w:val="00747980"/>
    <w:rsid w:val="00747CB9"/>
    <w:rsid w:val="00750336"/>
    <w:rsid w:val="007505EB"/>
    <w:rsid w:val="007524BC"/>
    <w:rsid w:val="0075318C"/>
    <w:rsid w:val="00753C91"/>
    <w:rsid w:val="007548C2"/>
    <w:rsid w:val="00754BCD"/>
    <w:rsid w:val="00757169"/>
    <w:rsid w:val="00757591"/>
    <w:rsid w:val="007600D3"/>
    <w:rsid w:val="007604A5"/>
    <w:rsid w:val="00761B87"/>
    <w:rsid w:val="0076268C"/>
    <w:rsid w:val="00763D7E"/>
    <w:rsid w:val="007641D9"/>
    <w:rsid w:val="0076470B"/>
    <w:rsid w:val="007653EA"/>
    <w:rsid w:val="00766709"/>
    <w:rsid w:val="00766A48"/>
    <w:rsid w:val="00771607"/>
    <w:rsid w:val="00771E1A"/>
    <w:rsid w:val="00772232"/>
    <w:rsid w:val="00772873"/>
    <w:rsid w:val="007764E1"/>
    <w:rsid w:val="00776AA6"/>
    <w:rsid w:val="007812A5"/>
    <w:rsid w:val="00782149"/>
    <w:rsid w:val="00782467"/>
    <w:rsid w:val="0078303F"/>
    <w:rsid w:val="00783DC9"/>
    <w:rsid w:val="00785033"/>
    <w:rsid w:val="0078621F"/>
    <w:rsid w:val="00787DDE"/>
    <w:rsid w:val="00793408"/>
    <w:rsid w:val="007936E6"/>
    <w:rsid w:val="00793EE1"/>
    <w:rsid w:val="0079460B"/>
    <w:rsid w:val="00795ABF"/>
    <w:rsid w:val="00797984"/>
    <w:rsid w:val="007A0715"/>
    <w:rsid w:val="007A2796"/>
    <w:rsid w:val="007A305D"/>
    <w:rsid w:val="007A3F2A"/>
    <w:rsid w:val="007A46FE"/>
    <w:rsid w:val="007A5BBA"/>
    <w:rsid w:val="007A7F21"/>
    <w:rsid w:val="007A7FD4"/>
    <w:rsid w:val="007B0757"/>
    <w:rsid w:val="007B104D"/>
    <w:rsid w:val="007B190F"/>
    <w:rsid w:val="007B33E0"/>
    <w:rsid w:val="007B3FE0"/>
    <w:rsid w:val="007B57C6"/>
    <w:rsid w:val="007B630B"/>
    <w:rsid w:val="007C0DCD"/>
    <w:rsid w:val="007C285E"/>
    <w:rsid w:val="007C310A"/>
    <w:rsid w:val="007C3A09"/>
    <w:rsid w:val="007C3D4B"/>
    <w:rsid w:val="007C47A0"/>
    <w:rsid w:val="007C4DD9"/>
    <w:rsid w:val="007C57BA"/>
    <w:rsid w:val="007C6376"/>
    <w:rsid w:val="007C7DE5"/>
    <w:rsid w:val="007D0DFD"/>
    <w:rsid w:val="007D1888"/>
    <w:rsid w:val="007D1E8A"/>
    <w:rsid w:val="007D2C8E"/>
    <w:rsid w:val="007D35AB"/>
    <w:rsid w:val="007D35E4"/>
    <w:rsid w:val="007D3949"/>
    <w:rsid w:val="007D55B7"/>
    <w:rsid w:val="007D57D8"/>
    <w:rsid w:val="007D6C3F"/>
    <w:rsid w:val="007D6E0F"/>
    <w:rsid w:val="007D7E3E"/>
    <w:rsid w:val="007D7FB3"/>
    <w:rsid w:val="007E060F"/>
    <w:rsid w:val="007E3D08"/>
    <w:rsid w:val="007E461D"/>
    <w:rsid w:val="007E52D5"/>
    <w:rsid w:val="007F0E92"/>
    <w:rsid w:val="007F212F"/>
    <w:rsid w:val="007F2302"/>
    <w:rsid w:val="007F24E6"/>
    <w:rsid w:val="007F2548"/>
    <w:rsid w:val="007F2C58"/>
    <w:rsid w:val="007F6148"/>
    <w:rsid w:val="007F6FBB"/>
    <w:rsid w:val="007F76D6"/>
    <w:rsid w:val="007F76F4"/>
    <w:rsid w:val="008006A6"/>
    <w:rsid w:val="008017CB"/>
    <w:rsid w:val="0080199B"/>
    <w:rsid w:val="00802EED"/>
    <w:rsid w:val="00803DC4"/>
    <w:rsid w:val="00804E03"/>
    <w:rsid w:val="008055EB"/>
    <w:rsid w:val="008057F3"/>
    <w:rsid w:val="008071E9"/>
    <w:rsid w:val="0081033A"/>
    <w:rsid w:val="0081067A"/>
    <w:rsid w:val="00810932"/>
    <w:rsid w:val="00810C9B"/>
    <w:rsid w:val="00811543"/>
    <w:rsid w:val="00814CAC"/>
    <w:rsid w:val="008163E8"/>
    <w:rsid w:val="00816E1F"/>
    <w:rsid w:val="008179DB"/>
    <w:rsid w:val="00817A27"/>
    <w:rsid w:val="00817E79"/>
    <w:rsid w:val="00820CC7"/>
    <w:rsid w:val="00821550"/>
    <w:rsid w:val="0082458C"/>
    <w:rsid w:val="00824B5F"/>
    <w:rsid w:val="00824D82"/>
    <w:rsid w:val="00825FAC"/>
    <w:rsid w:val="008301EA"/>
    <w:rsid w:val="008307FC"/>
    <w:rsid w:val="00831266"/>
    <w:rsid w:val="00831361"/>
    <w:rsid w:val="008314D3"/>
    <w:rsid w:val="00832AB8"/>
    <w:rsid w:val="00832BED"/>
    <w:rsid w:val="00832C9D"/>
    <w:rsid w:val="00834224"/>
    <w:rsid w:val="00834FDC"/>
    <w:rsid w:val="00835E86"/>
    <w:rsid w:val="008371BF"/>
    <w:rsid w:val="00837640"/>
    <w:rsid w:val="00840978"/>
    <w:rsid w:val="00841446"/>
    <w:rsid w:val="008417CE"/>
    <w:rsid w:val="00841E49"/>
    <w:rsid w:val="00844557"/>
    <w:rsid w:val="00845D86"/>
    <w:rsid w:val="008467D5"/>
    <w:rsid w:val="00851035"/>
    <w:rsid w:val="0085161F"/>
    <w:rsid w:val="0085218E"/>
    <w:rsid w:val="0085222F"/>
    <w:rsid w:val="00854AA9"/>
    <w:rsid w:val="008556A3"/>
    <w:rsid w:val="0085678E"/>
    <w:rsid w:val="00860074"/>
    <w:rsid w:val="0086120C"/>
    <w:rsid w:val="00862650"/>
    <w:rsid w:val="00862FB4"/>
    <w:rsid w:val="00863328"/>
    <w:rsid w:val="008640B2"/>
    <w:rsid w:val="00864F53"/>
    <w:rsid w:val="0086516D"/>
    <w:rsid w:val="008667A9"/>
    <w:rsid w:val="0086768A"/>
    <w:rsid w:val="0087030F"/>
    <w:rsid w:val="0087140A"/>
    <w:rsid w:val="0087183A"/>
    <w:rsid w:val="00873104"/>
    <w:rsid w:val="00873281"/>
    <w:rsid w:val="0087364D"/>
    <w:rsid w:val="00874BB0"/>
    <w:rsid w:val="00874DD2"/>
    <w:rsid w:val="00876713"/>
    <w:rsid w:val="00876A5E"/>
    <w:rsid w:val="00876F91"/>
    <w:rsid w:val="00881A76"/>
    <w:rsid w:val="00881D16"/>
    <w:rsid w:val="00884772"/>
    <w:rsid w:val="008872C6"/>
    <w:rsid w:val="008905EB"/>
    <w:rsid w:val="008908C4"/>
    <w:rsid w:val="0089121A"/>
    <w:rsid w:val="008917B5"/>
    <w:rsid w:val="00891D7F"/>
    <w:rsid w:val="0089237B"/>
    <w:rsid w:val="008927C5"/>
    <w:rsid w:val="00893168"/>
    <w:rsid w:val="0089596D"/>
    <w:rsid w:val="00895B60"/>
    <w:rsid w:val="008976A8"/>
    <w:rsid w:val="00897CB5"/>
    <w:rsid w:val="00897CF2"/>
    <w:rsid w:val="008A008A"/>
    <w:rsid w:val="008A0992"/>
    <w:rsid w:val="008A1D88"/>
    <w:rsid w:val="008A452F"/>
    <w:rsid w:val="008A57F6"/>
    <w:rsid w:val="008A59FE"/>
    <w:rsid w:val="008B09FF"/>
    <w:rsid w:val="008B3C46"/>
    <w:rsid w:val="008B44B8"/>
    <w:rsid w:val="008B45C0"/>
    <w:rsid w:val="008B5140"/>
    <w:rsid w:val="008C0582"/>
    <w:rsid w:val="008C0CA7"/>
    <w:rsid w:val="008C281D"/>
    <w:rsid w:val="008C356F"/>
    <w:rsid w:val="008C3848"/>
    <w:rsid w:val="008C4E73"/>
    <w:rsid w:val="008C510F"/>
    <w:rsid w:val="008C550D"/>
    <w:rsid w:val="008C592A"/>
    <w:rsid w:val="008C5EE2"/>
    <w:rsid w:val="008C658C"/>
    <w:rsid w:val="008C6986"/>
    <w:rsid w:val="008C6AD3"/>
    <w:rsid w:val="008C6D1B"/>
    <w:rsid w:val="008C6EC4"/>
    <w:rsid w:val="008C77A5"/>
    <w:rsid w:val="008D0E8E"/>
    <w:rsid w:val="008D1324"/>
    <w:rsid w:val="008D2334"/>
    <w:rsid w:val="008D2992"/>
    <w:rsid w:val="008D57AF"/>
    <w:rsid w:val="008D5C09"/>
    <w:rsid w:val="008E17D4"/>
    <w:rsid w:val="008E1A7F"/>
    <w:rsid w:val="008E2615"/>
    <w:rsid w:val="008E49A1"/>
    <w:rsid w:val="008E4D84"/>
    <w:rsid w:val="008E616A"/>
    <w:rsid w:val="008F0320"/>
    <w:rsid w:val="008F15BA"/>
    <w:rsid w:val="008F1624"/>
    <w:rsid w:val="008F238F"/>
    <w:rsid w:val="008F2448"/>
    <w:rsid w:val="008F342F"/>
    <w:rsid w:val="008F49F7"/>
    <w:rsid w:val="009003B0"/>
    <w:rsid w:val="009016E9"/>
    <w:rsid w:val="00902542"/>
    <w:rsid w:val="0090410E"/>
    <w:rsid w:val="009044D5"/>
    <w:rsid w:val="0090543C"/>
    <w:rsid w:val="00907EC9"/>
    <w:rsid w:val="00910070"/>
    <w:rsid w:val="009104D0"/>
    <w:rsid w:val="00910A8A"/>
    <w:rsid w:val="009115AB"/>
    <w:rsid w:val="009116F7"/>
    <w:rsid w:val="00912C60"/>
    <w:rsid w:val="00912EE8"/>
    <w:rsid w:val="00913B20"/>
    <w:rsid w:val="00914A36"/>
    <w:rsid w:val="00917765"/>
    <w:rsid w:val="009208B4"/>
    <w:rsid w:val="009222AB"/>
    <w:rsid w:val="00922E83"/>
    <w:rsid w:val="00923590"/>
    <w:rsid w:val="00924FDD"/>
    <w:rsid w:val="009266DA"/>
    <w:rsid w:val="0092747F"/>
    <w:rsid w:val="009337B7"/>
    <w:rsid w:val="00933BE9"/>
    <w:rsid w:val="009347A3"/>
    <w:rsid w:val="00935560"/>
    <w:rsid w:val="0093648B"/>
    <w:rsid w:val="009368FA"/>
    <w:rsid w:val="00936A0D"/>
    <w:rsid w:val="00936F51"/>
    <w:rsid w:val="009370E3"/>
    <w:rsid w:val="0093769D"/>
    <w:rsid w:val="009403B8"/>
    <w:rsid w:val="00940C0A"/>
    <w:rsid w:val="00941E80"/>
    <w:rsid w:val="0094229B"/>
    <w:rsid w:val="00942AFF"/>
    <w:rsid w:val="00943704"/>
    <w:rsid w:val="00943F3A"/>
    <w:rsid w:val="00946CE8"/>
    <w:rsid w:val="009470E3"/>
    <w:rsid w:val="00950524"/>
    <w:rsid w:val="00952329"/>
    <w:rsid w:val="009525ED"/>
    <w:rsid w:val="009527AC"/>
    <w:rsid w:val="009568DD"/>
    <w:rsid w:val="00957236"/>
    <w:rsid w:val="00957B93"/>
    <w:rsid w:val="00962D34"/>
    <w:rsid w:val="00962D6E"/>
    <w:rsid w:val="00965BAD"/>
    <w:rsid w:val="009663CD"/>
    <w:rsid w:val="00967B99"/>
    <w:rsid w:val="00972052"/>
    <w:rsid w:val="00972640"/>
    <w:rsid w:val="00974D47"/>
    <w:rsid w:val="00975C77"/>
    <w:rsid w:val="00976FCA"/>
    <w:rsid w:val="00980494"/>
    <w:rsid w:val="009805B4"/>
    <w:rsid w:val="00981DC4"/>
    <w:rsid w:val="00981EE1"/>
    <w:rsid w:val="00983795"/>
    <w:rsid w:val="009860F6"/>
    <w:rsid w:val="00986A23"/>
    <w:rsid w:val="00987232"/>
    <w:rsid w:val="00987CBD"/>
    <w:rsid w:val="00990DAE"/>
    <w:rsid w:val="009921EF"/>
    <w:rsid w:val="009937E6"/>
    <w:rsid w:val="0099432F"/>
    <w:rsid w:val="009952FB"/>
    <w:rsid w:val="0099769F"/>
    <w:rsid w:val="00997A70"/>
    <w:rsid w:val="009A0128"/>
    <w:rsid w:val="009A0E4A"/>
    <w:rsid w:val="009A13B0"/>
    <w:rsid w:val="009A2DA1"/>
    <w:rsid w:val="009A2E87"/>
    <w:rsid w:val="009A380B"/>
    <w:rsid w:val="009A4C9C"/>
    <w:rsid w:val="009A6675"/>
    <w:rsid w:val="009B2319"/>
    <w:rsid w:val="009B2CB8"/>
    <w:rsid w:val="009B332F"/>
    <w:rsid w:val="009B3D7E"/>
    <w:rsid w:val="009B420D"/>
    <w:rsid w:val="009B6247"/>
    <w:rsid w:val="009B6E42"/>
    <w:rsid w:val="009B6EFF"/>
    <w:rsid w:val="009B71BE"/>
    <w:rsid w:val="009B77C0"/>
    <w:rsid w:val="009B7CE0"/>
    <w:rsid w:val="009C03B3"/>
    <w:rsid w:val="009C1E3A"/>
    <w:rsid w:val="009C22D0"/>
    <w:rsid w:val="009C22FC"/>
    <w:rsid w:val="009C712C"/>
    <w:rsid w:val="009C7CF2"/>
    <w:rsid w:val="009D103F"/>
    <w:rsid w:val="009D12F2"/>
    <w:rsid w:val="009D181F"/>
    <w:rsid w:val="009D1ECC"/>
    <w:rsid w:val="009D2EC8"/>
    <w:rsid w:val="009D349B"/>
    <w:rsid w:val="009D36ED"/>
    <w:rsid w:val="009D38EF"/>
    <w:rsid w:val="009D3C30"/>
    <w:rsid w:val="009D4017"/>
    <w:rsid w:val="009D40BA"/>
    <w:rsid w:val="009D4445"/>
    <w:rsid w:val="009D59D9"/>
    <w:rsid w:val="009D5E39"/>
    <w:rsid w:val="009D61D6"/>
    <w:rsid w:val="009D78C6"/>
    <w:rsid w:val="009E05E6"/>
    <w:rsid w:val="009E0892"/>
    <w:rsid w:val="009E0E4E"/>
    <w:rsid w:val="009E221C"/>
    <w:rsid w:val="009E4FAD"/>
    <w:rsid w:val="009E5B0B"/>
    <w:rsid w:val="009E7146"/>
    <w:rsid w:val="009E773F"/>
    <w:rsid w:val="009F2B4F"/>
    <w:rsid w:val="009F374F"/>
    <w:rsid w:val="009F39F7"/>
    <w:rsid w:val="009F43B5"/>
    <w:rsid w:val="009F50A7"/>
    <w:rsid w:val="009F614D"/>
    <w:rsid w:val="00A03F51"/>
    <w:rsid w:val="00A0435A"/>
    <w:rsid w:val="00A0503D"/>
    <w:rsid w:val="00A057A4"/>
    <w:rsid w:val="00A06066"/>
    <w:rsid w:val="00A07247"/>
    <w:rsid w:val="00A074E6"/>
    <w:rsid w:val="00A07E54"/>
    <w:rsid w:val="00A07EE7"/>
    <w:rsid w:val="00A11A1C"/>
    <w:rsid w:val="00A1388B"/>
    <w:rsid w:val="00A1610F"/>
    <w:rsid w:val="00A16649"/>
    <w:rsid w:val="00A16F83"/>
    <w:rsid w:val="00A17EA1"/>
    <w:rsid w:val="00A17F19"/>
    <w:rsid w:val="00A17F41"/>
    <w:rsid w:val="00A21ACA"/>
    <w:rsid w:val="00A21C33"/>
    <w:rsid w:val="00A234BA"/>
    <w:rsid w:val="00A2404B"/>
    <w:rsid w:val="00A270EA"/>
    <w:rsid w:val="00A27CD2"/>
    <w:rsid w:val="00A31A5C"/>
    <w:rsid w:val="00A32D78"/>
    <w:rsid w:val="00A340C1"/>
    <w:rsid w:val="00A3549C"/>
    <w:rsid w:val="00A37184"/>
    <w:rsid w:val="00A37229"/>
    <w:rsid w:val="00A37854"/>
    <w:rsid w:val="00A40BAE"/>
    <w:rsid w:val="00A41A45"/>
    <w:rsid w:val="00A440AF"/>
    <w:rsid w:val="00A443DE"/>
    <w:rsid w:val="00A44C79"/>
    <w:rsid w:val="00A45BC8"/>
    <w:rsid w:val="00A47188"/>
    <w:rsid w:val="00A47EEB"/>
    <w:rsid w:val="00A506AE"/>
    <w:rsid w:val="00A52819"/>
    <w:rsid w:val="00A53DC1"/>
    <w:rsid w:val="00A54C60"/>
    <w:rsid w:val="00A55E99"/>
    <w:rsid w:val="00A56172"/>
    <w:rsid w:val="00A56E2B"/>
    <w:rsid w:val="00A57196"/>
    <w:rsid w:val="00A60E2C"/>
    <w:rsid w:val="00A61288"/>
    <w:rsid w:val="00A6465E"/>
    <w:rsid w:val="00A64E67"/>
    <w:rsid w:val="00A64FC2"/>
    <w:rsid w:val="00A654FC"/>
    <w:rsid w:val="00A6622C"/>
    <w:rsid w:val="00A663D5"/>
    <w:rsid w:val="00A66948"/>
    <w:rsid w:val="00A6734E"/>
    <w:rsid w:val="00A70A00"/>
    <w:rsid w:val="00A70BE6"/>
    <w:rsid w:val="00A70FA0"/>
    <w:rsid w:val="00A75558"/>
    <w:rsid w:val="00A75614"/>
    <w:rsid w:val="00A75CE5"/>
    <w:rsid w:val="00A76D84"/>
    <w:rsid w:val="00A779DF"/>
    <w:rsid w:val="00A804B2"/>
    <w:rsid w:val="00A80985"/>
    <w:rsid w:val="00A80AC4"/>
    <w:rsid w:val="00A831A8"/>
    <w:rsid w:val="00A83547"/>
    <w:rsid w:val="00A84E3B"/>
    <w:rsid w:val="00A85BD8"/>
    <w:rsid w:val="00A86832"/>
    <w:rsid w:val="00A8695B"/>
    <w:rsid w:val="00A87B3A"/>
    <w:rsid w:val="00A87F2C"/>
    <w:rsid w:val="00A92975"/>
    <w:rsid w:val="00A94F37"/>
    <w:rsid w:val="00A96E6D"/>
    <w:rsid w:val="00A97688"/>
    <w:rsid w:val="00AA1651"/>
    <w:rsid w:val="00AA1D03"/>
    <w:rsid w:val="00AA1F9F"/>
    <w:rsid w:val="00AA2B3F"/>
    <w:rsid w:val="00AA56E7"/>
    <w:rsid w:val="00AA5E20"/>
    <w:rsid w:val="00AA60C6"/>
    <w:rsid w:val="00AB0183"/>
    <w:rsid w:val="00AB13B0"/>
    <w:rsid w:val="00AB1CF2"/>
    <w:rsid w:val="00AB295A"/>
    <w:rsid w:val="00AB39F0"/>
    <w:rsid w:val="00AB3AA4"/>
    <w:rsid w:val="00AB6AB3"/>
    <w:rsid w:val="00AB6B20"/>
    <w:rsid w:val="00AB7241"/>
    <w:rsid w:val="00AB783B"/>
    <w:rsid w:val="00AB79C7"/>
    <w:rsid w:val="00AB7F9A"/>
    <w:rsid w:val="00AC1DCB"/>
    <w:rsid w:val="00AC2110"/>
    <w:rsid w:val="00AC431E"/>
    <w:rsid w:val="00AC4B32"/>
    <w:rsid w:val="00AC5185"/>
    <w:rsid w:val="00AD7318"/>
    <w:rsid w:val="00AD7FFB"/>
    <w:rsid w:val="00AE04DB"/>
    <w:rsid w:val="00AE306B"/>
    <w:rsid w:val="00AE36B9"/>
    <w:rsid w:val="00AE3FCE"/>
    <w:rsid w:val="00AE4A47"/>
    <w:rsid w:val="00AE4BDA"/>
    <w:rsid w:val="00AE55F1"/>
    <w:rsid w:val="00AE6069"/>
    <w:rsid w:val="00AE67B5"/>
    <w:rsid w:val="00AE69EC"/>
    <w:rsid w:val="00AE7FEE"/>
    <w:rsid w:val="00AF037C"/>
    <w:rsid w:val="00AF068D"/>
    <w:rsid w:val="00AF0CC7"/>
    <w:rsid w:val="00AF0FCF"/>
    <w:rsid w:val="00AF1F0E"/>
    <w:rsid w:val="00AF2011"/>
    <w:rsid w:val="00AF252B"/>
    <w:rsid w:val="00AF2649"/>
    <w:rsid w:val="00AF295E"/>
    <w:rsid w:val="00AF3F45"/>
    <w:rsid w:val="00AF49B5"/>
    <w:rsid w:val="00AF606C"/>
    <w:rsid w:val="00AF618E"/>
    <w:rsid w:val="00AF64B1"/>
    <w:rsid w:val="00AF68AB"/>
    <w:rsid w:val="00AF701C"/>
    <w:rsid w:val="00B00331"/>
    <w:rsid w:val="00B0137D"/>
    <w:rsid w:val="00B0224F"/>
    <w:rsid w:val="00B02262"/>
    <w:rsid w:val="00B0265E"/>
    <w:rsid w:val="00B02878"/>
    <w:rsid w:val="00B04992"/>
    <w:rsid w:val="00B04D4E"/>
    <w:rsid w:val="00B04E99"/>
    <w:rsid w:val="00B05CBB"/>
    <w:rsid w:val="00B0784F"/>
    <w:rsid w:val="00B13A30"/>
    <w:rsid w:val="00B14571"/>
    <w:rsid w:val="00B15068"/>
    <w:rsid w:val="00B1785C"/>
    <w:rsid w:val="00B21489"/>
    <w:rsid w:val="00B23B1A"/>
    <w:rsid w:val="00B24C43"/>
    <w:rsid w:val="00B24C70"/>
    <w:rsid w:val="00B268B8"/>
    <w:rsid w:val="00B27917"/>
    <w:rsid w:val="00B31EFD"/>
    <w:rsid w:val="00B330E3"/>
    <w:rsid w:val="00B33799"/>
    <w:rsid w:val="00B34E2A"/>
    <w:rsid w:val="00B3576A"/>
    <w:rsid w:val="00B35806"/>
    <w:rsid w:val="00B3730A"/>
    <w:rsid w:val="00B37442"/>
    <w:rsid w:val="00B37822"/>
    <w:rsid w:val="00B4099F"/>
    <w:rsid w:val="00B41BC9"/>
    <w:rsid w:val="00B42509"/>
    <w:rsid w:val="00B4372A"/>
    <w:rsid w:val="00B4435F"/>
    <w:rsid w:val="00B44991"/>
    <w:rsid w:val="00B4531E"/>
    <w:rsid w:val="00B45389"/>
    <w:rsid w:val="00B479E0"/>
    <w:rsid w:val="00B5008E"/>
    <w:rsid w:val="00B510C5"/>
    <w:rsid w:val="00B52AC5"/>
    <w:rsid w:val="00B52F5A"/>
    <w:rsid w:val="00B53D37"/>
    <w:rsid w:val="00B53E67"/>
    <w:rsid w:val="00B541C2"/>
    <w:rsid w:val="00B55419"/>
    <w:rsid w:val="00B56805"/>
    <w:rsid w:val="00B56C44"/>
    <w:rsid w:val="00B5702B"/>
    <w:rsid w:val="00B57036"/>
    <w:rsid w:val="00B63374"/>
    <w:rsid w:val="00B63D4F"/>
    <w:rsid w:val="00B645A1"/>
    <w:rsid w:val="00B6471A"/>
    <w:rsid w:val="00B65F71"/>
    <w:rsid w:val="00B676B1"/>
    <w:rsid w:val="00B71684"/>
    <w:rsid w:val="00B71711"/>
    <w:rsid w:val="00B71AB4"/>
    <w:rsid w:val="00B71B47"/>
    <w:rsid w:val="00B7293E"/>
    <w:rsid w:val="00B72EC8"/>
    <w:rsid w:val="00B7382F"/>
    <w:rsid w:val="00B75354"/>
    <w:rsid w:val="00B77373"/>
    <w:rsid w:val="00B77794"/>
    <w:rsid w:val="00B8055D"/>
    <w:rsid w:val="00B80705"/>
    <w:rsid w:val="00B8293E"/>
    <w:rsid w:val="00B85A7C"/>
    <w:rsid w:val="00B86B02"/>
    <w:rsid w:val="00B877B8"/>
    <w:rsid w:val="00B87AF7"/>
    <w:rsid w:val="00B87EED"/>
    <w:rsid w:val="00B90965"/>
    <w:rsid w:val="00B91118"/>
    <w:rsid w:val="00B9116B"/>
    <w:rsid w:val="00B91C4D"/>
    <w:rsid w:val="00B91CB1"/>
    <w:rsid w:val="00B9234A"/>
    <w:rsid w:val="00B923CB"/>
    <w:rsid w:val="00B92D55"/>
    <w:rsid w:val="00B9361F"/>
    <w:rsid w:val="00B93AD6"/>
    <w:rsid w:val="00B9470F"/>
    <w:rsid w:val="00B94AC5"/>
    <w:rsid w:val="00B94B02"/>
    <w:rsid w:val="00B969D8"/>
    <w:rsid w:val="00BA23CC"/>
    <w:rsid w:val="00BA3B0A"/>
    <w:rsid w:val="00BA4070"/>
    <w:rsid w:val="00BA4AD9"/>
    <w:rsid w:val="00BA4C90"/>
    <w:rsid w:val="00BA4F81"/>
    <w:rsid w:val="00BA60CE"/>
    <w:rsid w:val="00BB24A3"/>
    <w:rsid w:val="00BB346A"/>
    <w:rsid w:val="00BB6048"/>
    <w:rsid w:val="00BC2310"/>
    <w:rsid w:val="00BC2319"/>
    <w:rsid w:val="00BC556E"/>
    <w:rsid w:val="00BC59A2"/>
    <w:rsid w:val="00BC5B8E"/>
    <w:rsid w:val="00BC6C71"/>
    <w:rsid w:val="00BD0C18"/>
    <w:rsid w:val="00BD18A6"/>
    <w:rsid w:val="00BD4DF2"/>
    <w:rsid w:val="00BD5559"/>
    <w:rsid w:val="00BD5A77"/>
    <w:rsid w:val="00BD6682"/>
    <w:rsid w:val="00BD6D89"/>
    <w:rsid w:val="00BD7573"/>
    <w:rsid w:val="00BE15F2"/>
    <w:rsid w:val="00BE242B"/>
    <w:rsid w:val="00BE457F"/>
    <w:rsid w:val="00BE46EF"/>
    <w:rsid w:val="00BE562C"/>
    <w:rsid w:val="00BE64B5"/>
    <w:rsid w:val="00BE754B"/>
    <w:rsid w:val="00BE7871"/>
    <w:rsid w:val="00BF0E41"/>
    <w:rsid w:val="00BF1155"/>
    <w:rsid w:val="00BF11F5"/>
    <w:rsid w:val="00BF21E5"/>
    <w:rsid w:val="00BF4677"/>
    <w:rsid w:val="00BF4E0D"/>
    <w:rsid w:val="00BF74BA"/>
    <w:rsid w:val="00BF779E"/>
    <w:rsid w:val="00C01B15"/>
    <w:rsid w:val="00C01DB2"/>
    <w:rsid w:val="00C02459"/>
    <w:rsid w:val="00C027EB"/>
    <w:rsid w:val="00C02AC7"/>
    <w:rsid w:val="00C04922"/>
    <w:rsid w:val="00C04A2C"/>
    <w:rsid w:val="00C05E7D"/>
    <w:rsid w:val="00C061B0"/>
    <w:rsid w:val="00C11AEE"/>
    <w:rsid w:val="00C11E36"/>
    <w:rsid w:val="00C11EC5"/>
    <w:rsid w:val="00C1437F"/>
    <w:rsid w:val="00C1683C"/>
    <w:rsid w:val="00C17DE7"/>
    <w:rsid w:val="00C20471"/>
    <w:rsid w:val="00C20C71"/>
    <w:rsid w:val="00C20CB4"/>
    <w:rsid w:val="00C23596"/>
    <w:rsid w:val="00C2389B"/>
    <w:rsid w:val="00C239E6"/>
    <w:rsid w:val="00C26771"/>
    <w:rsid w:val="00C31491"/>
    <w:rsid w:val="00C31612"/>
    <w:rsid w:val="00C33597"/>
    <w:rsid w:val="00C33CE4"/>
    <w:rsid w:val="00C34406"/>
    <w:rsid w:val="00C3524E"/>
    <w:rsid w:val="00C361EE"/>
    <w:rsid w:val="00C3671A"/>
    <w:rsid w:val="00C36F48"/>
    <w:rsid w:val="00C370CD"/>
    <w:rsid w:val="00C37C71"/>
    <w:rsid w:val="00C4264E"/>
    <w:rsid w:val="00C4606F"/>
    <w:rsid w:val="00C51214"/>
    <w:rsid w:val="00C51BEF"/>
    <w:rsid w:val="00C5265B"/>
    <w:rsid w:val="00C536E4"/>
    <w:rsid w:val="00C5399D"/>
    <w:rsid w:val="00C54042"/>
    <w:rsid w:val="00C541D9"/>
    <w:rsid w:val="00C62E31"/>
    <w:rsid w:val="00C63373"/>
    <w:rsid w:val="00C63A37"/>
    <w:rsid w:val="00C64CE0"/>
    <w:rsid w:val="00C6521E"/>
    <w:rsid w:val="00C654DA"/>
    <w:rsid w:val="00C65CC6"/>
    <w:rsid w:val="00C67FE2"/>
    <w:rsid w:val="00C717DD"/>
    <w:rsid w:val="00C72295"/>
    <w:rsid w:val="00C73597"/>
    <w:rsid w:val="00C74E22"/>
    <w:rsid w:val="00C74E40"/>
    <w:rsid w:val="00C74E72"/>
    <w:rsid w:val="00C751C4"/>
    <w:rsid w:val="00C77688"/>
    <w:rsid w:val="00C80C0A"/>
    <w:rsid w:val="00C82138"/>
    <w:rsid w:val="00C832F1"/>
    <w:rsid w:val="00C834D7"/>
    <w:rsid w:val="00C848A5"/>
    <w:rsid w:val="00C84FC6"/>
    <w:rsid w:val="00C8610E"/>
    <w:rsid w:val="00C90564"/>
    <w:rsid w:val="00C9091D"/>
    <w:rsid w:val="00C90C58"/>
    <w:rsid w:val="00C90E5E"/>
    <w:rsid w:val="00C929BE"/>
    <w:rsid w:val="00C9314A"/>
    <w:rsid w:val="00C93209"/>
    <w:rsid w:val="00C934A7"/>
    <w:rsid w:val="00C936D0"/>
    <w:rsid w:val="00C93DFA"/>
    <w:rsid w:val="00C94BA4"/>
    <w:rsid w:val="00C94CDA"/>
    <w:rsid w:val="00C95001"/>
    <w:rsid w:val="00C97129"/>
    <w:rsid w:val="00C97189"/>
    <w:rsid w:val="00CA19FD"/>
    <w:rsid w:val="00CA204E"/>
    <w:rsid w:val="00CA3EC6"/>
    <w:rsid w:val="00CA3EDF"/>
    <w:rsid w:val="00CA4CE5"/>
    <w:rsid w:val="00CA5A9E"/>
    <w:rsid w:val="00CA72DB"/>
    <w:rsid w:val="00CB042D"/>
    <w:rsid w:val="00CB0834"/>
    <w:rsid w:val="00CB230D"/>
    <w:rsid w:val="00CB2569"/>
    <w:rsid w:val="00CB49B4"/>
    <w:rsid w:val="00CB4BA2"/>
    <w:rsid w:val="00CB67FA"/>
    <w:rsid w:val="00CB6863"/>
    <w:rsid w:val="00CB697C"/>
    <w:rsid w:val="00CC09B9"/>
    <w:rsid w:val="00CC1821"/>
    <w:rsid w:val="00CC2E7B"/>
    <w:rsid w:val="00CC37A1"/>
    <w:rsid w:val="00CC51AA"/>
    <w:rsid w:val="00CC6A0F"/>
    <w:rsid w:val="00CC6C80"/>
    <w:rsid w:val="00CC724B"/>
    <w:rsid w:val="00CC785C"/>
    <w:rsid w:val="00CD02A1"/>
    <w:rsid w:val="00CD1EEC"/>
    <w:rsid w:val="00CD42A6"/>
    <w:rsid w:val="00CD4887"/>
    <w:rsid w:val="00CD4BC0"/>
    <w:rsid w:val="00CD6F3E"/>
    <w:rsid w:val="00CD72E2"/>
    <w:rsid w:val="00CD733F"/>
    <w:rsid w:val="00CE0E54"/>
    <w:rsid w:val="00CE4165"/>
    <w:rsid w:val="00CE577E"/>
    <w:rsid w:val="00CE5D34"/>
    <w:rsid w:val="00CE5DCC"/>
    <w:rsid w:val="00CF1F82"/>
    <w:rsid w:val="00CF2A87"/>
    <w:rsid w:val="00CF31DF"/>
    <w:rsid w:val="00CF6EFB"/>
    <w:rsid w:val="00D0110F"/>
    <w:rsid w:val="00D01AF0"/>
    <w:rsid w:val="00D01B81"/>
    <w:rsid w:val="00D07045"/>
    <w:rsid w:val="00D076C5"/>
    <w:rsid w:val="00D079CA"/>
    <w:rsid w:val="00D07A8A"/>
    <w:rsid w:val="00D07A98"/>
    <w:rsid w:val="00D1080D"/>
    <w:rsid w:val="00D10862"/>
    <w:rsid w:val="00D1222A"/>
    <w:rsid w:val="00D125F0"/>
    <w:rsid w:val="00D138D4"/>
    <w:rsid w:val="00D147DB"/>
    <w:rsid w:val="00D20C11"/>
    <w:rsid w:val="00D210C5"/>
    <w:rsid w:val="00D21527"/>
    <w:rsid w:val="00D21AC6"/>
    <w:rsid w:val="00D23863"/>
    <w:rsid w:val="00D243B3"/>
    <w:rsid w:val="00D244F5"/>
    <w:rsid w:val="00D2486E"/>
    <w:rsid w:val="00D24B8B"/>
    <w:rsid w:val="00D27096"/>
    <w:rsid w:val="00D308D4"/>
    <w:rsid w:val="00D30974"/>
    <w:rsid w:val="00D32D34"/>
    <w:rsid w:val="00D337B5"/>
    <w:rsid w:val="00D33A57"/>
    <w:rsid w:val="00D34DA4"/>
    <w:rsid w:val="00D35030"/>
    <w:rsid w:val="00D3586A"/>
    <w:rsid w:val="00D36DFA"/>
    <w:rsid w:val="00D376E3"/>
    <w:rsid w:val="00D40B83"/>
    <w:rsid w:val="00D42060"/>
    <w:rsid w:val="00D42A80"/>
    <w:rsid w:val="00D42B59"/>
    <w:rsid w:val="00D42DB8"/>
    <w:rsid w:val="00D436B1"/>
    <w:rsid w:val="00D43A49"/>
    <w:rsid w:val="00D449DF"/>
    <w:rsid w:val="00D452C2"/>
    <w:rsid w:val="00D46F9D"/>
    <w:rsid w:val="00D5039C"/>
    <w:rsid w:val="00D533C6"/>
    <w:rsid w:val="00D534F7"/>
    <w:rsid w:val="00D53F3A"/>
    <w:rsid w:val="00D5490F"/>
    <w:rsid w:val="00D56022"/>
    <w:rsid w:val="00D56E8F"/>
    <w:rsid w:val="00D60D7B"/>
    <w:rsid w:val="00D63BC0"/>
    <w:rsid w:val="00D64539"/>
    <w:rsid w:val="00D64EE7"/>
    <w:rsid w:val="00D65341"/>
    <w:rsid w:val="00D6597A"/>
    <w:rsid w:val="00D67666"/>
    <w:rsid w:val="00D709F4"/>
    <w:rsid w:val="00D71640"/>
    <w:rsid w:val="00D74B5A"/>
    <w:rsid w:val="00D7582D"/>
    <w:rsid w:val="00D76A63"/>
    <w:rsid w:val="00D81120"/>
    <w:rsid w:val="00D826CD"/>
    <w:rsid w:val="00D82A58"/>
    <w:rsid w:val="00D82BE2"/>
    <w:rsid w:val="00D83C8F"/>
    <w:rsid w:val="00D86172"/>
    <w:rsid w:val="00D86C47"/>
    <w:rsid w:val="00D90BCD"/>
    <w:rsid w:val="00D94785"/>
    <w:rsid w:val="00D94F59"/>
    <w:rsid w:val="00D96374"/>
    <w:rsid w:val="00DA4195"/>
    <w:rsid w:val="00DA51A5"/>
    <w:rsid w:val="00DA61F3"/>
    <w:rsid w:val="00DA65BE"/>
    <w:rsid w:val="00DA6734"/>
    <w:rsid w:val="00DB04E8"/>
    <w:rsid w:val="00DB0A63"/>
    <w:rsid w:val="00DB163B"/>
    <w:rsid w:val="00DB2B64"/>
    <w:rsid w:val="00DB3550"/>
    <w:rsid w:val="00DB550F"/>
    <w:rsid w:val="00DB5788"/>
    <w:rsid w:val="00DB6140"/>
    <w:rsid w:val="00DB6EE0"/>
    <w:rsid w:val="00DB7D83"/>
    <w:rsid w:val="00DC2691"/>
    <w:rsid w:val="00DC412B"/>
    <w:rsid w:val="00DC61EE"/>
    <w:rsid w:val="00DC6869"/>
    <w:rsid w:val="00DC6933"/>
    <w:rsid w:val="00DC70E8"/>
    <w:rsid w:val="00DC785E"/>
    <w:rsid w:val="00DC7F07"/>
    <w:rsid w:val="00DD16DC"/>
    <w:rsid w:val="00DD1B24"/>
    <w:rsid w:val="00DD1B97"/>
    <w:rsid w:val="00DD2D1E"/>
    <w:rsid w:val="00DD39B2"/>
    <w:rsid w:val="00DD3E6F"/>
    <w:rsid w:val="00DD50CB"/>
    <w:rsid w:val="00DD7356"/>
    <w:rsid w:val="00DD758E"/>
    <w:rsid w:val="00DD76FF"/>
    <w:rsid w:val="00DE2DD3"/>
    <w:rsid w:val="00DE46AC"/>
    <w:rsid w:val="00DE517C"/>
    <w:rsid w:val="00DE6206"/>
    <w:rsid w:val="00DE6BE9"/>
    <w:rsid w:val="00DE7904"/>
    <w:rsid w:val="00DF09D9"/>
    <w:rsid w:val="00DF1FAC"/>
    <w:rsid w:val="00DF223D"/>
    <w:rsid w:val="00DF31C8"/>
    <w:rsid w:val="00DF3BF9"/>
    <w:rsid w:val="00DF3CE5"/>
    <w:rsid w:val="00DF3DA7"/>
    <w:rsid w:val="00DF430E"/>
    <w:rsid w:val="00DF43A7"/>
    <w:rsid w:val="00DF5CBF"/>
    <w:rsid w:val="00DF656A"/>
    <w:rsid w:val="00DF6B7F"/>
    <w:rsid w:val="00DF7413"/>
    <w:rsid w:val="00DF77EA"/>
    <w:rsid w:val="00DF7F57"/>
    <w:rsid w:val="00E02696"/>
    <w:rsid w:val="00E031EE"/>
    <w:rsid w:val="00E0533E"/>
    <w:rsid w:val="00E05829"/>
    <w:rsid w:val="00E05C80"/>
    <w:rsid w:val="00E06FDC"/>
    <w:rsid w:val="00E07C36"/>
    <w:rsid w:val="00E12C74"/>
    <w:rsid w:val="00E134CD"/>
    <w:rsid w:val="00E13559"/>
    <w:rsid w:val="00E15740"/>
    <w:rsid w:val="00E167A6"/>
    <w:rsid w:val="00E17C4B"/>
    <w:rsid w:val="00E200F9"/>
    <w:rsid w:val="00E20432"/>
    <w:rsid w:val="00E223D3"/>
    <w:rsid w:val="00E2288D"/>
    <w:rsid w:val="00E245F7"/>
    <w:rsid w:val="00E24C48"/>
    <w:rsid w:val="00E26A70"/>
    <w:rsid w:val="00E31A66"/>
    <w:rsid w:val="00E4046B"/>
    <w:rsid w:val="00E4103E"/>
    <w:rsid w:val="00E41674"/>
    <w:rsid w:val="00E41B19"/>
    <w:rsid w:val="00E42291"/>
    <w:rsid w:val="00E43A5F"/>
    <w:rsid w:val="00E44775"/>
    <w:rsid w:val="00E44C14"/>
    <w:rsid w:val="00E467F0"/>
    <w:rsid w:val="00E505BF"/>
    <w:rsid w:val="00E518FB"/>
    <w:rsid w:val="00E5476D"/>
    <w:rsid w:val="00E5493C"/>
    <w:rsid w:val="00E559AA"/>
    <w:rsid w:val="00E559B1"/>
    <w:rsid w:val="00E55BB1"/>
    <w:rsid w:val="00E563DF"/>
    <w:rsid w:val="00E5693B"/>
    <w:rsid w:val="00E57251"/>
    <w:rsid w:val="00E57965"/>
    <w:rsid w:val="00E600CA"/>
    <w:rsid w:val="00E60D6F"/>
    <w:rsid w:val="00E60E39"/>
    <w:rsid w:val="00E65458"/>
    <w:rsid w:val="00E65570"/>
    <w:rsid w:val="00E655AD"/>
    <w:rsid w:val="00E658CF"/>
    <w:rsid w:val="00E6783A"/>
    <w:rsid w:val="00E6796A"/>
    <w:rsid w:val="00E67D0B"/>
    <w:rsid w:val="00E707B7"/>
    <w:rsid w:val="00E708B6"/>
    <w:rsid w:val="00E713FF"/>
    <w:rsid w:val="00E71EC4"/>
    <w:rsid w:val="00E721C0"/>
    <w:rsid w:val="00E74E5C"/>
    <w:rsid w:val="00E772EC"/>
    <w:rsid w:val="00E80913"/>
    <w:rsid w:val="00E81D22"/>
    <w:rsid w:val="00E8234D"/>
    <w:rsid w:val="00E838DB"/>
    <w:rsid w:val="00E83A73"/>
    <w:rsid w:val="00E84B57"/>
    <w:rsid w:val="00E84DAE"/>
    <w:rsid w:val="00E84FED"/>
    <w:rsid w:val="00E85411"/>
    <w:rsid w:val="00E859A3"/>
    <w:rsid w:val="00E9031E"/>
    <w:rsid w:val="00E9298B"/>
    <w:rsid w:val="00E92C4D"/>
    <w:rsid w:val="00E97ADE"/>
    <w:rsid w:val="00EA0165"/>
    <w:rsid w:val="00EA0862"/>
    <w:rsid w:val="00EA0CA4"/>
    <w:rsid w:val="00EA120B"/>
    <w:rsid w:val="00EA1460"/>
    <w:rsid w:val="00EA1AA9"/>
    <w:rsid w:val="00EA34DC"/>
    <w:rsid w:val="00EA5BC4"/>
    <w:rsid w:val="00EA6477"/>
    <w:rsid w:val="00EA71C8"/>
    <w:rsid w:val="00EA7B99"/>
    <w:rsid w:val="00EA7BE0"/>
    <w:rsid w:val="00EB2352"/>
    <w:rsid w:val="00EB4016"/>
    <w:rsid w:val="00EB5302"/>
    <w:rsid w:val="00EB6061"/>
    <w:rsid w:val="00EB7B44"/>
    <w:rsid w:val="00EB7B96"/>
    <w:rsid w:val="00EC0C69"/>
    <w:rsid w:val="00EC153C"/>
    <w:rsid w:val="00EC219B"/>
    <w:rsid w:val="00EC2801"/>
    <w:rsid w:val="00EC34A4"/>
    <w:rsid w:val="00EC3E2B"/>
    <w:rsid w:val="00EC44A2"/>
    <w:rsid w:val="00EC52CE"/>
    <w:rsid w:val="00ED12F0"/>
    <w:rsid w:val="00ED22E0"/>
    <w:rsid w:val="00ED31D0"/>
    <w:rsid w:val="00ED389D"/>
    <w:rsid w:val="00ED3CF1"/>
    <w:rsid w:val="00ED442C"/>
    <w:rsid w:val="00ED51A3"/>
    <w:rsid w:val="00ED56D8"/>
    <w:rsid w:val="00ED5D1B"/>
    <w:rsid w:val="00ED64F8"/>
    <w:rsid w:val="00ED6D6E"/>
    <w:rsid w:val="00ED76FE"/>
    <w:rsid w:val="00EE0757"/>
    <w:rsid w:val="00EE0BFA"/>
    <w:rsid w:val="00EE2641"/>
    <w:rsid w:val="00EF036E"/>
    <w:rsid w:val="00EF3562"/>
    <w:rsid w:val="00EF3FC1"/>
    <w:rsid w:val="00EF3FDE"/>
    <w:rsid w:val="00EF5649"/>
    <w:rsid w:val="00EF57AA"/>
    <w:rsid w:val="00EF5965"/>
    <w:rsid w:val="00EF6DAD"/>
    <w:rsid w:val="00EF7254"/>
    <w:rsid w:val="00F00D59"/>
    <w:rsid w:val="00F028A4"/>
    <w:rsid w:val="00F066B6"/>
    <w:rsid w:val="00F0688F"/>
    <w:rsid w:val="00F07600"/>
    <w:rsid w:val="00F11790"/>
    <w:rsid w:val="00F12B2F"/>
    <w:rsid w:val="00F13A25"/>
    <w:rsid w:val="00F1513A"/>
    <w:rsid w:val="00F15F06"/>
    <w:rsid w:val="00F169BF"/>
    <w:rsid w:val="00F20A2C"/>
    <w:rsid w:val="00F22216"/>
    <w:rsid w:val="00F23A77"/>
    <w:rsid w:val="00F24861"/>
    <w:rsid w:val="00F25318"/>
    <w:rsid w:val="00F2690C"/>
    <w:rsid w:val="00F3504E"/>
    <w:rsid w:val="00F355B0"/>
    <w:rsid w:val="00F36475"/>
    <w:rsid w:val="00F36DE1"/>
    <w:rsid w:val="00F37E0A"/>
    <w:rsid w:val="00F422DD"/>
    <w:rsid w:val="00F42EAD"/>
    <w:rsid w:val="00F446E3"/>
    <w:rsid w:val="00F452C0"/>
    <w:rsid w:val="00F46B07"/>
    <w:rsid w:val="00F46C9B"/>
    <w:rsid w:val="00F522FD"/>
    <w:rsid w:val="00F52A3D"/>
    <w:rsid w:val="00F53B9D"/>
    <w:rsid w:val="00F5454C"/>
    <w:rsid w:val="00F54830"/>
    <w:rsid w:val="00F55DB2"/>
    <w:rsid w:val="00F55EBC"/>
    <w:rsid w:val="00F57B1D"/>
    <w:rsid w:val="00F61C1E"/>
    <w:rsid w:val="00F62FB6"/>
    <w:rsid w:val="00F63C20"/>
    <w:rsid w:val="00F643A6"/>
    <w:rsid w:val="00F65540"/>
    <w:rsid w:val="00F658D8"/>
    <w:rsid w:val="00F65F95"/>
    <w:rsid w:val="00F718E2"/>
    <w:rsid w:val="00F75F6F"/>
    <w:rsid w:val="00F76B53"/>
    <w:rsid w:val="00F80CE4"/>
    <w:rsid w:val="00F81127"/>
    <w:rsid w:val="00F826FE"/>
    <w:rsid w:val="00F83474"/>
    <w:rsid w:val="00F84432"/>
    <w:rsid w:val="00F85122"/>
    <w:rsid w:val="00F86CB2"/>
    <w:rsid w:val="00F879EA"/>
    <w:rsid w:val="00F87DF4"/>
    <w:rsid w:val="00F9011F"/>
    <w:rsid w:val="00F90A01"/>
    <w:rsid w:val="00F90BF6"/>
    <w:rsid w:val="00F910B2"/>
    <w:rsid w:val="00F94F59"/>
    <w:rsid w:val="00F9681C"/>
    <w:rsid w:val="00FA0C9C"/>
    <w:rsid w:val="00FA1406"/>
    <w:rsid w:val="00FA1D2C"/>
    <w:rsid w:val="00FA3243"/>
    <w:rsid w:val="00FA357F"/>
    <w:rsid w:val="00FA4C18"/>
    <w:rsid w:val="00FA4DBA"/>
    <w:rsid w:val="00FA501D"/>
    <w:rsid w:val="00FA5A5F"/>
    <w:rsid w:val="00FA6F07"/>
    <w:rsid w:val="00FA71F1"/>
    <w:rsid w:val="00FB00D9"/>
    <w:rsid w:val="00FB1033"/>
    <w:rsid w:val="00FB1542"/>
    <w:rsid w:val="00FB1608"/>
    <w:rsid w:val="00FB2FDB"/>
    <w:rsid w:val="00FB328E"/>
    <w:rsid w:val="00FB49F3"/>
    <w:rsid w:val="00FB5811"/>
    <w:rsid w:val="00FB607B"/>
    <w:rsid w:val="00FB6392"/>
    <w:rsid w:val="00FC1006"/>
    <w:rsid w:val="00FC2464"/>
    <w:rsid w:val="00FC361B"/>
    <w:rsid w:val="00FC5654"/>
    <w:rsid w:val="00FC732C"/>
    <w:rsid w:val="00FD0048"/>
    <w:rsid w:val="00FD030C"/>
    <w:rsid w:val="00FD08D4"/>
    <w:rsid w:val="00FD3164"/>
    <w:rsid w:val="00FD5825"/>
    <w:rsid w:val="00FD6C4A"/>
    <w:rsid w:val="00FD72FD"/>
    <w:rsid w:val="00FE3318"/>
    <w:rsid w:val="00FE3ABB"/>
    <w:rsid w:val="00FE547A"/>
    <w:rsid w:val="00FE5788"/>
    <w:rsid w:val="00FE5C86"/>
    <w:rsid w:val="00FF0B3C"/>
    <w:rsid w:val="00FF0CA3"/>
    <w:rsid w:val="00FF1442"/>
    <w:rsid w:val="00FF1A3C"/>
    <w:rsid w:val="00FF4E55"/>
    <w:rsid w:val="00FF5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976AE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utoRedefine/>
    <w:qFormat/>
    <w:rsid w:val="0089237B"/>
    <w:pPr>
      <w:spacing w:after="120" w:line="360" w:lineRule="auto"/>
      <w:ind w:firstLine="720"/>
    </w:pPr>
    <w:rPr>
      <w:sz w:val="24"/>
      <w:lang w:val="en-US" w:eastAsia="en-US"/>
    </w:rPr>
  </w:style>
  <w:style w:type="paragraph" w:styleId="Heading1">
    <w:name w:val="heading 1"/>
    <w:basedOn w:val="HeadingBase"/>
    <w:next w:val="BodyText"/>
    <w:qFormat/>
    <w:pPr>
      <w:spacing w:before="360" w:after="360"/>
      <w:ind w:left="317" w:hanging="317"/>
      <w:outlineLvl w:val="0"/>
    </w:pPr>
    <w:rPr>
      <w:rFonts w:ascii="Times New Roman" w:hAnsi="Times New Roman"/>
      <w:sz w:val="24"/>
    </w:rPr>
  </w:style>
  <w:style w:type="paragraph" w:styleId="Heading2">
    <w:name w:val="heading 2"/>
    <w:basedOn w:val="HeadingBase"/>
    <w:next w:val="BodyText"/>
    <w:autoRedefine/>
    <w:qFormat/>
    <w:pPr>
      <w:spacing w:before="160" w:after="240"/>
      <w:ind w:left="1440" w:hanging="720"/>
      <w:outlineLvl w:val="1"/>
    </w:pPr>
    <w:rPr>
      <w:rFonts w:ascii="Times New Roman" w:hAnsi="Times New Roman"/>
      <w:sz w:val="24"/>
    </w:rPr>
  </w:style>
  <w:style w:type="paragraph" w:styleId="Heading3">
    <w:name w:val="heading 3"/>
    <w:basedOn w:val="HeadingBase"/>
    <w:next w:val="BodyText"/>
    <w:qFormat/>
    <w:pPr>
      <w:spacing w:before="120" w:after="240"/>
      <w:outlineLvl w:val="2"/>
    </w:pPr>
    <w:rPr>
      <w:rFonts w:ascii="Times New Roman" w:hAnsi="Times New Roman"/>
      <w:b w:val="0"/>
      <w:i/>
      <w:sz w:val="24"/>
      <w:u w:val="single"/>
    </w:rPr>
  </w:style>
  <w:style w:type="paragraph" w:styleId="Heading4">
    <w:name w:val="heading 4"/>
    <w:basedOn w:val="HeadingBase"/>
    <w:next w:val="BodyText"/>
    <w:qFormat/>
    <w:pPr>
      <w:spacing w:before="80" w:after="160"/>
      <w:outlineLvl w:val="3"/>
    </w:pPr>
    <w:rPr>
      <w:rFonts w:ascii="Times New Roman" w:hAnsi="Times New Roman"/>
      <w:b w:val="0"/>
      <w:i/>
      <w:sz w:val="24"/>
    </w:rPr>
  </w:style>
  <w:style w:type="paragraph" w:styleId="Heading5">
    <w:name w:val="heading 5"/>
    <w:basedOn w:val="HeadingBase"/>
    <w:next w:val="BodyText"/>
    <w:qFormat/>
    <w:pPr>
      <w:spacing w:before="120" w:after="80"/>
      <w:ind w:left="3600" w:hanging="720"/>
      <w:outlineLvl w:val="4"/>
    </w:pPr>
    <w:rPr>
      <w:rFonts w:ascii="Times New Roman" w:hAnsi="Times New Roman"/>
      <w:b w:val="0"/>
      <w:sz w:val="24"/>
    </w:rPr>
  </w:style>
  <w:style w:type="paragraph" w:styleId="Heading6">
    <w:name w:val="heading 6"/>
    <w:basedOn w:val="HeadingBase"/>
    <w:next w:val="BodyText"/>
    <w:qFormat/>
    <w:pPr>
      <w:spacing w:before="120" w:after="80"/>
      <w:ind w:left="4320" w:hanging="720"/>
      <w:outlineLvl w:val="5"/>
    </w:pPr>
    <w:rPr>
      <w:rFonts w:ascii="Times New Roman" w:hAnsi="Times New Roman"/>
      <w:b w:val="0"/>
      <w:sz w:val="24"/>
    </w:rPr>
  </w:style>
  <w:style w:type="paragraph" w:styleId="Heading7">
    <w:name w:val="heading 7"/>
    <w:basedOn w:val="HeadingBase"/>
    <w:next w:val="BodyText"/>
    <w:qFormat/>
    <w:pPr>
      <w:spacing w:before="80" w:after="60"/>
      <w:ind w:left="5040" w:hanging="720"/>
      <w:outlineLvl w:val="6"/>
    </w:pPr>
    <w:rPr>
      <w:rFonts w:ascii="Times New Roman" w:hAnsi="Times New Roman"/>
      <w:b w:val="0"/>
      <w:sz w:val="24"/>
    </w:rPr>
  </w:style>
  <w:style w:type="paragraph" w:styleId="Heading8">
    <w:name w:val="heading 8"/>
    <w:basedOn w:val="HeadingBase"/>
    <w:next w:val="BodyText"/>
    <w:qFormat/>
    <w:pPr>
      <w:spacing w:before="80" w:after="60"/>
      <w:ind w:left="5760" w:hanging="720"/>
      <w:outlineLvl w:val="7"/>
    </w:pPr>
    <w:rPr>
      <w:rFonts w:ascii="Times New Roman" w:hAnsi="Times New Roman"/>
      <w:b w:val="0"/>
      <w:sz w:val="24"/>
    </w:rPr>
  </w:style>
  <w:style w:type="paragraph" w:styleId="Heading9">
    <w:name w:val="heading 9"/>
    <w:basedOn w:val="HeadingBase"/>
    <w:next w:val="BodyText"/>
    <w:qFormat/>
    <w:pPr>
      <w:spacing w:before="80" w:after="60"/>
      <w:ind w:left="6480" w:hanging="720"/>
      <w:outlineLvl w:val="8"/>
    </w:pPr>
    <w:rPr>
      <w:rFonts w:ascii="Times New Roman" w:hAnsi="Times New Roman"/>
      <w:b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FootnoteBase"/>
    <w:link w:val="CommentTextChar"/>
    <w:semiHidden/>
    <w:rPr>
      <w:sz w:val="20"/>
    </w:rPr>
  </w:style>
  <w:style w:type="paragraph" w:customStyle="1" w:styleId="FootnoteBase">
    <w:name w:val="Footnote Base"/>
    <w:basedOn w:val="Normal"/>
    <w:link w:val="FootnoteBaseChar"/>
    <w:pPr>
      <w:tabs>
        <w:tab w:val="left" w:pos="187"/>
      </w:tabs>
      <w:spacing w:line="220" w:lineRule="exact"/>
      <w:ind w:left="187" w:hanging="187"/>
    </w:pPr>
    <w:rPr>
      <w:sz w:val="18"/>
    </w:rPr>
  </w:style>
  <w:style w:type="paragraph" w:customStyle="1" w:styleId="BlockQuotation">
    <w:name w:val="Block Quotation"/>
    <w:basedOn w:val="BodyText"/>
    <w:pPr>
      <w:keepLines/>
      <w:spacing w:after="280" w:line="240" w:lineRule="auto"/>
      <w:ind w:left="720" w:right="720" w:firstLine="0"/>
    </w:pPr>
  </w:style>
  <w:style w:type="paragraph" w:styleId="Caption">
    <w:name w:val="caption"/>
    <w:basedOn w:val="Picture"/>
    <w:next w:val="BodyText"/>
    <w:qFormat/>
    <w:pPr>
      <w:spacing w:before="120"/>
      <w:ind w:firstLine="0"/>
    </w:pPr>
    <w:rPr>
      <w:b/>
      <w:sz w:val="20"/>
    </w:rPr>
  </w:style>
  <w:style w:type="paragraph" w:customStyle="1" w:styleId="Picture">
    <w:name w:val="Picture"/>
    <w:basedOn w:val="BodyText"/>
    <w:next w:val="Caption"/>
    <w:pPr>
      <w:keepNext/>
      <w:spacing w:line="240" w:lineRule="auto"/>
    </w:pPr>
  </w:style>
  <w:style w:type="paragraph" w:styleId="Date">
    <w:name w:val="Date"/>
    <w:basedOn w:val="BodyText"/>
    <w:semiHidden/>
    <w:pPr>
      <w:jc w:val="center"/>
    </w:pPr>
  </w:style>
  <w:style w:type="paragraph" w:customStyle="1" w:styleId="DocumentLabel">
    <w:name w:val="Document Label"/>
    <w:basedOn w:val="HeadingBase"/>
    <w:pPr>
      <w:spacing w:after="360"/>
    </w:pPr>
    <w:rPr>
      <w:rFonts w:ascii="Times New Roman" w:hAnsi="Times New Roman"/>
    </w:rPr>
  </w:style>
  <w:style w:type="character" w:styleId="EndnoteReference">
    <w:name w:val="endnote reference"/>
    <w:semiHidden/>
    <w:rPr>
      <w:sz w:val="18"/>
      <w:vertAlign w:val="superscript"/>
    </w:rPr>
  </w:style>
  <w:style w:type="paragraph" w:styleId="EndnoteText">
    <w:name w:val="endnote text"/>
    <w:basedOn w:val="FootnoteBase"/>
    <w:semiHidden/>
    <w:rPr>
      <w:sz w:val="24"/>
    </w:rPr>
  </w:style>
  <w:style w:type="paragraph" w:styleId="EnvelopeAddress">
    <w:name w:val="envelope address"/>
    <w:basedOn w:val="Address"/>
    <w:semiHidden/>
    <w:pPr>
      <w:ind w:left="3240" w:right="0"/>
    </w:pPr>
  </w:style>
  <w:style w:type="paragraph" w:styleId="EnvelopeReturn">
    <w:name w:val="envelope return"/>
    <w:basedOn w:val="Address"/>
    <w:semiHidden/>
    <w:pPr>
      <w:ind w:right="5040"/>
    </w:p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FootnoteText">
    <w:name w:val="footnote text"/>
    <w:basedOn w:val="FootnoteBase"/>
    <w:autoRedefine/>
    <w:semiHidden/>
    <w:rsid w:val="007E060F"/>
    <w:rPr>
      <w:rFonts w:asciiTheme="minorHAnsi" w:hAnsiTheme="minorHAnsi"/>
      <w:sz w:val="20"/>
    </w:rPr>
  </w:style>
  <w:style w:type="character" w:styleId="FootnoteReference">
    <w:name w:val="footnote reference"/>
    <w:semiHidden/>
    <w:rPr>
      <w:rFonts w:ascii="Times New Roman" w:hAnsi="Times New Roman"/>
      <w:sz w:val="18"/>
      <w:vertAlign w:val="superscript"/>
    </w:rPr>
  </w:style>
  <w:style w:type="paragraph" w:styleId="List">
    <w:name w:val="List"/>
    <w:basedOn w:val="BodyText"/>
    <w:semiHidden/>
    <w:pPr>
      <w:tabs>
        <w:tab w:val="left" w:pos="720"/>
      </w:tabs>
      <w:spacing w:after="80"/>
      <w:ind w:left="720" w:hanging="360"/>
    </w:pPr>
  </w:style>
  <w:style w:type="character" w:customStyle="1" w:styleId="Lead-inEmphasis">
    <w:name w:val="Lead-in Emphasis"/>
    <w:rPr>
      <w:b/>
      <w:i/>
    </w:rPr>
  </w:style>
  <w:style w:type="character" w:styleId="LineNumber">
    <w:name w:val="line number"/>
    <w:semiHidden/>
    <w:rPr>
      <w:rFonts w:ascii="Arial" w:hAnsi="Arial"/>
      <w:sz w:val="18"/>
    </w:rPr>
  </w:style>
  <w:style w:type="paragraph" w:styleId="ListBullet">
    <w:name w:val="List Bullet"/>
    <w:basedOn w:val="List"/>
    <w:autoRedefine/>
    <w:semiHidden/>
    <w:pPr>
      <w:numPr>
        <w:numId w:val="13"/>
      </w:numPr>
      <w:spacing w:after="160" w:line="240" w:lineRule="auto"/>
    </w:pPr>
  </w:style>
  <w:style w:type="paragraph" w:styleId="ListNumber">
    <w:name w:val="List Number"/>
    <w:basedOn w:val="List"/>
    <w:semiHidden/>
    <w:pPr>
      <w:tabs>
        <w:tab w:val="clear" w:pos="720"/>
      </w:tabs>
      <w:spacing w:after="160"/>
    </w:pPr>
  </w:style>
  <w:style w:type="paragraph" w:styleId="MacroText">
    <w:name w:val="macro"/>
    <w:basedOn w:val="BodyText"/>
    <w:semiHidden/>
    <w:pPr>
      <w:spacing w:after="120" w:line="240" w:lineRule="auto"/>
    </w:pPr>
    <w:rPr>
      <w:rFonts w:ascii="Courier New" w:hAnsi="Courier New"/>
    </w:rPr>
  </w:style>
  <w:style w:type="character" w:styleId="PageNumber">
    <w:name w:val="page number"/>
    <w:semiHidden/>
    <w:rPr>
      <w:b/>
    </w:rPr>
  </w:style>
  <w:style w:type="paragraph" w:customStyle="1" w:styleId="ReturnAddress">
    <w:name w:val="Return Address"/>
    <w:basedOn w:val="Address"/>
    <w:pPr>
      <w:ind w:left="5760" w:right="0" w:firstLine="0"/>
    </w:pPr>
  </w:style>
  <w:style w:type="paragraph" w:customStyle="1" w:styleId="BodyTextFlush">
    <w:name w:val="Body Text Flush"/>
    <w:basedOn w:val="BodyText"/>
    <w:pPr>
      <w:ind w:firstLine="0"/>
    </w:pPr>
  </w:style>
  <w:style w:type="paragraph" w:customStyle="1" w:styleId="SubtitleCover">
    <w:name w:val="Subtitle Cover"/>
    <w:basedOn w:val="TitleCover"/>
    <w:next w:val="BodyText"/>
    <w:pPr>
      <w:spacing w:before="240"/>
    </w:pPr>
    <w:rPr>
      <w:b w:val="0"/>
      <w:i/>
      <w:sz w:val="36"/>
    </w:rPr>
  </w:style>
  <w:style w:type="character" w:customStyle="1" w:styleId="Superscript">
    <w:name w:val="Superscript"/>
    <w:rPr>
      <w:vertAlign w:val="superscript"/>
    </w:rPr>
  </w:style>
  <w:style w:type="paragraph" w:customStyle="1" w:styleId="Author">
    <w:name w:val="Author"/>
    <w:basedOn w:val="BodyText"/>
    <w:pPr>
      <w:spacing w:after="240"/>
      <w:jc w:val="center"/>
    </w:pPr>
    <w:rPr>
      <w:b/>
      <w:sz w:val="28"/>
    </w:rPr>
  </w:style>
  <w:style w:type="paragraph" w:customStyle="1" w:styleId="ChapterLabel">
    <w:name w:val="Chapter Label"/>
    <w:basedOn w:val="HeadingBase"/>
    <w:next w:val="ChapterTitle"/>
    <w:pPr>
      <w:spacing w:before="360" w:after="0"/>
      <w:jc w:val="center"/>
    </w:pPr>
    <w:rPr>
      <w:sz w:val="24"/>
      <w:u w:val="single"/>
    </w:rPr>
  </w:style>
  <w:style w:type="paragraph" w:customStyle="1" w:styleId="ChapterTitle">
    <w:name w:val="Chapter Title"/>
    <w:basedOn w:val="HeadingBase"/>
    <w:next w:val="BodyText"/>
    <w:rsid w:val="00076A93"/>
    <w:pPr>
      <w:spacing w:before="0" w:after="480" w:line="240" w:lineRule="auto"/>
      <w:ind w:firstLine="0"/>
      <w:jc w:val="center"/>
    </w:pPr>
    <w:rPr>
      <w:rFonts w:ascii="Times New Roman" w:hAnsi="Times New Roman"/>
      <w:sz w:val="28"/>
    </w:rPr>
  </w:style>
  <w:style w:type="paragraph" w:customStyle="1" w:styleId="ChapterSubtitle">
    <w:name w:val="Chapter Subtitle"/>
    <w:basedOn w:val="ChapterTitle"/>
    <w:next w:val="BodyText"/>
    <w:pPr>
      <w:spacing w:before="360" w:after="360"/>
      <w:jc w:val="left"/>
    </w:pPr>
    <w:rPr>
      <w:sz w:val="24"/>
      <w:u w:val="single"/>
    </w:rPr>
  </w:style>
  <w:style w:type="paragraph" w:customStyle="1" w:styleId="FooterFirst">
    <w:name w:val="Footer First"/>
    <w:basedOn w:val="Footer"/>
    <w:pPr>
      <w:tabs>
        <w:tab w:val="clear" w:pos="8640"/>
      </w:tabs>
      <w:jc w:val="center"/>
    </w:pPr>
  </w:style>
  <w:style w:type="paragraph" w:customStyle="1" w:styleId="FooterEven">
    <w:name w:val="Footer Even"/>
    <w:basedOn w:val="Footer"/>
  </w:style>
  <w:style w:type="paragraph" w:customStyle="1" w:styleId="FooterOdd">
    <w:name w:val="Footer Odd"/>
    <w:basedOn w:val="Footer"/>
    <w:pPr>
      <w:tabs>
        <w:tab w:val="right" w:pos="0"/>
      </w:tabs>
      <w:jc w:val="right"/>
    </w:pPr>
  </w:style>
  <w:style w:type="paragraph" w:customStyle="1" w:styleId="HeaderFirst">
    <w:name w:val="Header First"/>
    <w:basedOn w:val="Header"/>
    <w:pPr>
      <w:tabs>
        <w:tab w:val="clear" w:pos="8640"/>
      </w:tabs>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jc w:val="right"/>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autoRedefine/>
    <w:pPr>
      <w:keepLines w:val="0"/>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First">
    <w:name w:val="List First"/>
    <w:basedOn w:val="List"/>
    <w:next w:val="List"/>
    <w:pPr>
      <w:spacing w:before="80"/>
    </w:pPr>
  </w:style>
  <w:style w:type="paragraph" w:customStyle="1" w:styleId="ListLast">
    <w:name w:val="List Last"/>
    <w:basedOn w:val="Lis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PartTitle">
    <w:name w:val="Part Title"/>
    <w:basedOn w:val="HeadingBase"/>
    <w:next w:val="PartSubtitle"/>
    <w:pPr>
      <w:spacing w:before="600"/>
      <w:jc w:val="center"/>
    </w:pPr>
  </w:style>
  <w:style w:type="paragraph" w:customStyle="1" w:styleId="PartSubtitle">
    <w:name w:val="Part Subtitle"/>
    <w:basedOn w:val="PartTitle"/>
    <w:next w:val="BodyText"/>
    <w:pPr>
      <w:spacing w:before="360"/>
    </w:pPr>
    <w:rPr>
      <w:b w:val="0"/>
      <w:i/>
      <w:sz w:val="32"/>
    </w:rPr>
  </w:style>
  <w:style w:type="paragraph" w:styleId="BodyTextIndent">
    <w:name w:val="Body Text Indent"/>
    <w:basedOn w:val="BodyText"/>
    <w:semiHidden/>
    <w:pPr>
      <w:ind w:left="360"/>
    </w:pPr>
  </w:style>
  <w:style w:type="paragraph" w:styleId="ListContinue">
    <w:name w:val="List Continue"/>
    <w:basedOn w:val="List"/>
    <w:semiHidden/>
    <w:pPr>
      <w:tabs>
        <w:tab w:val="clear" w:pos="720"/>
      </w:tabs>
      <w:spacing w:after="160"/>
    </w:pPr>
  </w:style>
  <w:style w:type="paragraph" w:styleId="List2">
    <w:name w:val="List 2"/>
    <w:basedOn w:val="List"/>
    <w:semiHidden/>
    <w:pPr>
      <w:tabs>
        <w:tab w:val="clear" w:pos="720"/>
        <w:tab w:val="left" w:pos="1080"/>
      </w:tabs>
      <w:ind w:left="1080"/>
    </w:pPr>
  </w:style>
  <w:style w:type="paragraph" w:styleId="List3">
    <w:name w:val="List 3"/>
    <w:basedOn w:val="List"/>
    <w:semiHidden/>
    <w:pPr>
      <w:tabs>
        <w:tab w:val="clear" w:pos="720"/>
        <w:tab w:val="left" w:pos="1440"/>
      </w:tabs>
      <w:ind w:left="1440"/>
    </w:pPr>
  </w:style>
  <w:style w:type="paragraph" w:styleId="List4">
    <w:name w:val="List 4"/>
    <w:basedOn w:val="List"/>
    <w:semiHidden/>
    <w:pPr>
      <w:tabs>
        <w:tab w:val="clear" w:pos="720"/>
        <w:tab w:val="left" w:pos="1800"/>
      </w:tabs>
      <w:ind w:left="1800"/>
    </w:pPr>
  </w:style>
  <w:style w:type="paragraph" w:styleId="List5">
    <w:name w:val="List 5"/>
    <w:basedOn w:val="List"/>
    <w:semiHidden/>
    <w:pPr>
      <w:tabs>
        <w:tab w:val="clear" w:pos="720"/>
        <w:tab w:val="left" w:pos="2160"/>
      </w:tabs>
      <w:ind w:left="2160"/>
    </w:pPr>
  </w:style>
  <w:style w:type="paragraph" w:styleId="ListNumber5">
    <w:name w:val="List Number 5"/>
    <w:basedOn w:val="ListNumber"/>
    <w:semiHidden/>
    <w:pPr>
      <w:ind w:left="2160"/>
    </w:pPr>
  </w:style>
  <w:style w:type="paragraph" w:styleId="ListNumber4">
    <w:name w:val="List Number 4"/>
    <w:basedOn w:val="ListNumber"/>
    <w:semiHidden/>
    <w:pPr>
      <w:ind w:left="1800"/>
    </w:pPr>
  </w:style>
  <w:style w:type="paragraph" w:styleId="ListNumber3">
    <w:name w:val="List Number 3"/>
    <w:basedOn w:val="ListNumber"/>
    <w:semiHidden/>
    <w:pPr>
      <w:ind w:left="1440"/>
    </w:pPr>
  </w:style>
  <w:style w:type="paragraph" w:styleId="ListNumber2">
    <w:name w:val="List Number 2"/>
    <w:basedOn w:val="ListNumber"/>
    <w:semiHidden/>
    <w:pPr>
      <w:ind w:left="1080"/>
    </w:pPr>
  </w:style>
  <w:style w:type="paragraph" w:styleId="ListBullet5">
    <w:name w:val="List Bullet 5"/>
    <w:basedOn w:val="ListBullet"/>
    <w:semiHidden/>
    <w:pPr>
      <w:ind w:left="2160"/>
    </w:pPr>
  </w:style>
  <w:style w:type="paragraph" w:styleId="ListBullet4">
    <w:name w:val="List Bullet 4"/>
    <w:basedOn w:val="ListBullet"/>
    <w:autoRedefine/>
    <w:semiHidden/>
    <w:pPr>
      <w:numPr>
        <w:numId w:val="21"/>
      </w:numPr>
    </w:pPr>
  </w:style>
  <w:style w:type="paragraph" w:styleId="ListBullet3">
    <w:name w:val="List Bullet 3"/>
    <w:basedOn w:val="ListBullet2"/>
    <w:autoRedefine/>
    <w:semiHidden/>
    <w:pPr>
      <w:numPr>
        <w:numId w:val="22"/>
      </w:numPr>
    </w:pPr>
    <w:rPr>
      <w:rFonts w:ascii="TimesNewRoman" w:hAnsi="TimesNewRoman"/>
      <w:szCs w:val="16"/>
    </w:rPr>
  </w:style>
  <w:style w:type="paragraph" w:styleId="ListBullet2">
    <w:name w:val="List Bullet 2"/>
    <w:basedOn w:val="ListBullet"/>
    <w:autoRedefine/>
    <w:semiHidden/>
    <w:pPr>
      <w:numPr>
        <w:numId w:val="9"/>
      </w:numPr>
    </w:pPr>
  </w:style>
  <w:style w:type="paragraph" w:styleId="ListContinue2">
    <w:name w:val="List Continue 2"/>
    <w:basedOn w:val="ListContinue"/>
    <w:semiHidden/>
    <w:pPr>
      <w:ind w:left="1080"/>
    </w:pPr>
  </w:style>
  <w:style w:type="paragraph" w:customStyle="1" w:styleId="PartLabel">
    <w:name w:val="Part Label"/>
    <w:basedOn w:val="HeadingBase"/>
    <w:next w:val="PartTitle"/>
    <w:pPr>
      <w:spacing w:before="600" w:after="160"/>
      <w:jc w:val="center"/>
    </w:pPr>
    <w:rPr>
      <w:b w:val="0"/>
      <w:sz w:val="24"/>
      <w:u w:val="single"/>
    </w:rPr>
  </w:style>
  <w:style w:type="paragraph" w:customStyle="1" w:styleId="BodyTextKeep">
    <w:name w:val="Body Text Keep"/>
    <w:basedOn w:val="BodyText"/>
    <w:pPr>
      <w:keepNext/>
    </w:pPr>
  </w:style>
  <w:style w:type="paragraph" w:customStyle="1" w:styleId="SubjectLine">
    <w:name w:val="Subject Line"/>
    <w:basedOn w:val="BodyText"/>
    <w:rPr>
      <w:i/>
      <w:u w:val="single"/>
    </w:rPr>
  </w:style>
  <w:style w:type="paragraph" w:customStyle="1" w:styleId="HeadingBase">
    <w:name w:val="Heading Base"/>
    <w:basedOn w:val="Normal"/>
    <w:next w:val="BodyText"/>
    <w:pPr>
      <w:keepNext/>
      <w:keepLines/>
      <w:spacing w:before="240"/>
    </w:pPr>
    <w:rPr>
      <w:rFonts w:ascii="Arial" w:hAnsi="Arial"/>
      <w:b/>
      <w:kern w:val="28"/>
      <w:sz w:val="36"/>
    </w:rPr>
  </w:style>
  <w:style w:type="paragraph" w:styleId="BodyText">
    <w:name w:val="Body Text"/>
    <w:basedOn w:val="Normal"/>
    <w:autoRedefine/>
    <w:semiHidden/>
    <w:pPr>
      <w:spacing w:after="160"/>
    </w:pPr>
    <w:rPr>
      <w:szCs w:val="24"/>
    </w:rPr>
  </w:style>
  <w:style w:type="character" w:styleId="Emphasis">
    <w:name w:val="Emphasis"/>
    <w:qFormat/>
    <w:rPr>
      <w:i/>
    </w:rPr>
  </w:style>
  <w:style w:type="paragraph" w:customStyle="1" w:styleId="Address">
    <w:name w:val="Address"/>
    <w:basedOn w:val="BodyText"/>
    <w:pPr>
      <w:keepLines/>
      <w:spacing w:after="0" w:line="240" w:lineRule="auto"/>
      <w:ind w:right="4320"/>
    </w:pPr>
  </w:style>
  <w:style w:type="character" w:styleId="CommentReference">
    <w:name w:val="annotation reference"/>
    <w:semiHidden/>
    <w:rPr>
      <w:sz w:val="16"/>
    </w:rPr>
  </w:style>
  <w:style w:type="paragraph" w:customStyle="1" w:styleId="TitleCover">
    <w:name w:val="Title Cover"/>
    <w:basedOn w:val="HeadingBase"/>
    <w:next w:val="SubtitleCover"/>
    <w:pPr>
      <w:spacing w:before="720" w:after="160"/>
      <w:jc w:val="center"/>
    </w:pPr>
    <w:rPr>
      <w:sz w:val="48"/>
    </w:rPr>
  </w:style>
  <w:style w:type="paragraph" w:styleId="ListContinue3">
    <w:name w:val="List Continue 3"/>
    <w:basedOn w:val="ListContinue"/>
    <w:semiHidden/>
    <w:pPr>
      <w:ind w:left="1440"/>
    </w:pPr>
  </w:style>
  <w:style w:type="paragraph" w:styleId="ListContinue4">
    <w:name w:val="List Continue 4"/>
    <w:basedOn w:val="ListContinue"/>
    <w:semiHidden/>
    <w:pPr>
      <w:ind w:left="1800"/>
    </w:pPr>
  </w:style>
  <w:style w:type="paragraph" w:styleId="ListContinue5">
    <w:name w:val="List Continue 5"/>
    <w:basedOn w:val="ListContinue"/>
    <w:semiHidden/>
    <w:pPr>
      <w:ind w:left="2160"/>
    </w:pPr>
  </w:style>
  <w:style w:type="paragraph" w:customStyle="1" w:styleId="BodyTextPre-quotation">
    <w:name w:val="Body Text Pre-quotation"/>
    <w:basedOn w:val="BodyText"/>
    <w:pPr>
      <w:spacing w:after="0"/>
    </w:pPr>
  </w:style>
  <w:style w:type="paragraph" w:customStyle="1" w:styleId="BodyTextSingle-Spaced">
    <w:name w:val="Body Text Single-Spaced"/>
    <w:basedOn w:val="BodyText"/>
    <w:autoRedefine/>
    <w:pPr>
      <w:spacing w:line="240" w:lineRule="auto"/>
    </w:pPr>
  </w:style>
  <w:style w:type="paragraph" w:customStyle="1" w:styleId="table">
    <w:name w:val="table"/>
    <w:basedOn w:val="BodyTextFlush"/>
    <w:pPr>
      <w:jc w:val="center"/>
    </w:pPr>
  </w:style>
  <w:style w:type="paragraph" w:customStyle="1" w:styleId="BodyTextHanging">
    <w:name w:val="Body Text Hanging"/>
    <w:basedOn w:val="BodyText"/>
    <w:rsid w:val="0087183A"/>
    <w:pPr>
      <w:keepLines/>
      <w:spacing w:after="240" w:line="240" w:lineRule="auto"/>
      <w:ind w:left="340" w:hanging="340"/>
    </w:pPr>
  </w:style>
  <w:style w:type="paragraph" w:customStyle="1" w:styleId="BodyTextSingle-SpacedFlush">
    <w:name w:val="Body Text Single-Spaced Flush"/>
    <w:basedOn w:val="BodyTextSingle-Spaced"/>
    <w:autoRedefine/>
    <w:rsid w:val="00D63BC0"/>
    <w:pPr>
      <w:spacing w:after="0"/>
      <w:ind w:firstLine="0"/>
    </w:pPr>
    <w:rPr>
      <w:bCs/>
    </w:rPr>
  </w:style>
  <w:style w:type="paragraph" w:customStyle="1" w:styleId="BodyTextDouble-Spaced">
    <w:name w:val="Body Text Double-Spaced"/>
    <w:basedOn w:val="BodyText"/>
    <w:autoRedefine/>
    <w:pPr>
      <w:widowControl w:val="0"/>
      <w:spacing w:line="480" w:lineRule="auto"/>
    </w:pPr>
  </w:style>
  <w:style w:type="paragraph" w:customStyle="1" w:styleId="BlockQuotationDouble-Spaced">
    <w:name w:val="Block Quotation Double-Spaced"/>
    <w:basedOn w:val="BlockQuotationLast"/>
    <w:autoRedefine/>
    <w:pPr>
      <w:spacing w:line="480" w:lineRule="auto"/>
    </w:pPr>
  </w:style>
  <w:style w:type="paragraph" w:customStyle="1" w:styleId="EndnoteTextDouble-Spaced">
    <w:name w:val="Endnote Text Double-Spaced"/>
    <w:basedOn w:val="EndnoteText"/>
    <w:autoRedefine/>
    <w:pPr>
      <w:widowControl w:val="0"/>
      <w:spacing w:line="480" w:lineRule="auto"/>
    </w:pPr>
  </w:style>
  <w:style w:type="paragraph" w:customStyle="1" w:styleId="Style1">
    <w:name w:val="Style1"/>
    <w:basedOn w:val="Normal"/>
    <w:autoRedefine/>
    <w:pPr>
      <w:jc w:val="both"/>
    </w:pPr>
    <w:rPr>
      <w:sz w:val="28"/>
    </w:rPr>
  </w:style>
  <w:style w:type="paragraph" w:customStyle="1" w:styleId="BodyTextJustified">
    <w:name w:val="Body Text Justified"/>
    <w:basedOn w:val="Normal"/>
    <w:autoRedefine/>
    <w:rsid w:val="00DE6BE9"/>
    <w:pPr>
      <w:spacing w:before="120"/>
      <w:ind w:firstLine="0"/>
      <w:jc w:val="both"/>
    </w:pPr>
  </w:style>
  <w:style w:type="paragraph" w:customStyle="1" w:styleId="BodyTextDoubleFlush">
    <w:name w:val="Body Text Double Flush"/>
    <w:basedOn w:val="BodyTextDouble-Spaced"/>
    <w:autoRedefine/>
    <w:pPr>
      <w:ind w:firstLine="0"/>
    </w:pPr>
    <w:rPr>
      <w:lang w:val="en-GB"/>
    </w:rPr>
  </w:style>
  <w:style w:type="paragraph" w:styleId="CommentSubject">
    <w:name w:val="annotation subject"/>
    <w:basedOn w:val="CommentText"/>
    <w:next w:val="CommentText"/>
    <w:link w:val="CommentSubjectChar"/>
    <w:uiPriority w:val="99"/>
    <w:semiHidden/>
    <w:unhideWhenUsed/>
    <w:rsid w:val="00D53F3A"/>
    <w:pPr>
      <w:tabs>
        <w:tab w:val="clear" w:pos="187"/>
      </w:tabs>
      <w:spacing w:line="240" w:lineRule="auto"/>
      <w:ind w:left="0" w:firstLine="720"/>
    </w:pPr>
    <w:rPr>
      <w:b/>
      <w:bCs/>
    </w:rPr>
  </w:style>
  <w:style w:type="character" w:customStyle="1" w:styleId="FootnoteBaseChar">
    <w:name w:val="Footnote Base Char"/>
    <w:basedOn w:val="DefaultParagraphFont"/>
    <w:link w:val="FootnoteBase"/>
    <w:rsid w:val="00D53F3A"/>
    <w:rPr>
      <w:sz w:val="18"/>
      <w:lang w:val="en-US" w:eastAsia="en-US"/>
    </w:rPr>
  </w:style>
  <w:style w:type="character" w:customStyle="1" w:styleId="CommentTextChar">
    <w:name w:val="Comment Text Char"/>
    <w:basedOn w:val="FootnoteBaseChar"/>
    <w:link w:val="CommentText"/>
    <w:semiHidden/>
    <w:rsid w:val="00D53F3A"/>
    <w:rPr>
      <w:sz w:val="18"/>
      <w:lang w:val="en-US" w:eastAsia="en-US"/>
    </w:rPr>
  </w:style>
  <w:style w:type="character" w:customStyle="1" w:styleId="CommentSubjectChar">
    <w:name w:val="Comment Subject Char"/>
    <w:basedOn w:val="CommentTextChar"/>
    <w:link w:val="CommentSubject"/>
    <w:uiPriority w:val="99"/>
    <w:semiHidden/>
    <w:rsid w:val="00D53F3A"/>
    <w:rPr>
      <w:b/>
      <w:bCs/>
      <w:sz w:val="18"/>
      <w:lang w:val="en-US" w:eastAsia="en-US"/>
    </w:rPr>
  </w:style>
  <w:style w:type="paragraph" w:styleId="BalloonText">
    <w:name w:val="Balloon Text"/>
    <w:basedOn w:val="Normal"/>
    <w:link w:val="BalloonTextChar"/>
    <w:uiPriority w:val="99"/>
    <w:semiHidden/>
    <w:unhideWhenUsed/>
    <w:rsid w:val="00D53F3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53F3A"/>
    <w:rPr>
      <w:sz w:val="18"/>
      <w:szCs w:val="18"/>
      <w:lang w:val="en-US" w:eastAsia="en-US"/>
    </w:rPr>
  </w:style>
  <w:style w:type="character" w:styleId="Hyperlink">
    <w:name w:val="Hyperlink"/>
    <w:basedOn w:val="DefaultParagraphFont"/>
    <w:uiPriority w:val="99"/>
    <w:unhideWhenUsed/>
    <w:rsid w:val="009115AB"/>
    <w:rPr>
      <w:color w:val="0563C1" w:themeColor="hyperlink"/>
      <w:u w:val="single"/>
    </w:rPr>
  </w:style>
  <w:style w:type="character" w:styleId="FollowedHyperlink">
    <w:name w:val="FollowedHyperlink"/>
    <w:basedOn w:val="DefaultParagraphFont"/>
    <w:uiPriority w:val="99"/>
    <w:semiHidden/>
    <w:unhideWhenUsed/>
    <w:rsid w:val="00575E64"/>
    <w:rPr>
      <w:color w:val="954F72" w:themeColor="followedHyperlink"/>
      <w:u w:val="single"/>
    </w:rPr>
  </w:style>
  <w:style w:type="paragraph" w:styleId="DocumentMap">
    <w:name w:val="Document Map"/>
    <w:basedOn w:val="Normal"/>
    <w:link w:val="DocumentMapChar"/>
    <w:uiPriority w:val="99"/>
    <w:semiHidden/>
    <w:unhideWhenUsed/>
    <w:rsid w:val="00100F84"/>
    <w:pPr>
      <w:spacing w:after="0" w:line="240" w:lineRule="auto"/>
    </w:pPr>
    <w:rPr>
      <w:szCs w:val="24"/>
    </w:rPr>
  </w:style>
  <w:style w:type="character" w:customStyle="1" w:styleId="DocumentMapChar">
    <w:name w:val="Document Map Char"/>
    <w:basedOn w:val="DefaultParagraphFont"/>
    <w:link w:val="DocumentMap"/>
    <w:uiPriority w:val="99"/>
    <w:semiHidden/>
    <w:rsid w:val="00100F84"/>
    <w:rPr>
      <w:sz w:val="24"/>
      <w:szCs w:val="24"/>
      <w:lang w:val="en-US" w:eastAsia="en-US"/>
    </w:rPr>
  </w:style>
  <w:style w:type="character" w:styleId="HTMLCite">
    <w:name w:val="HTML Cite"/>
    <w:basedOn w:val="DefaultParagraphFont"/>
    <w:uiPriority w:val="99"/>
    <w:semiHidden/>
    <w:unhideWhenUsed/>
    <w:rsid w:val="000E56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842255">
      <w:bodyDiv w:val="1"/>
      <w:marLeft w:val="0"/>
      <w:marRight w:val="0"/>
      <w:marTop w:val="0"/>
      <w:marBottom w:val="0"/>
      <w:divBdr>
        <w:top w:val="none" w:sz="0" w:space="0" w:color="auto"/>
        <w:left w:val="none" w:sz="0" w:space="0" w:color="auto"/>
        <w:bottom w:val="none" w:sz="0" w:space="0" w:color="auto"/>
        <w:right w:val="none" w:sz="0" w:space="0" w:color="auto"/>
      </w:divBdr>
      <w:divsChild>
        <w:div w:id="1218004688">
          <w:marLeft w:val="0"/>
          <w:marRight w:val="0"/>
          <w:marTop w:val="0"/>
          <w:marBottom w:val="0"/>
          <w:divBdr>
            <w:top w:val="none" w:sz="0" w:space="0" w:color="auto"/>
            <w:left w:val="none" w:sz="0" w:space="0" w:color="auto"/>
            <w:bottom w:val="none" w:sz="0" w:space="0" w:color="auto"/>
            <w:right w:val="none" w:sz="0" w:space="0" w:color="auto"/>
          </w:divBdr>
        </w:div>
      </w:divsChild>
    </w:div>
    <w:div w:id="308873574">
      <w:bodyDiv w:val="1"/>
      <w:marLeft w:val="0"/>
      <w:marRight w:val="0"/>
      <w:marTop w:val="0"/>
      <w:marBottom w:val="0"/>
      <w:divBdr>
        <w:top w:val="none" w:sz="0" w:space="0" w:color="auto"/>
        <w:left w:val="none" w:sz="0" w:space="0" w:color="auto"/>
        <w:bottom w:val="none" w:sz="0" w:space="0" w:color="auto"/>
        <w:right w:val="none" w:sz="0" w:space="0" w:color="auto"/>
      </w:divBdr>
    </w:div>
    <w:div w:id="314073912">
      <w:bodyDiv w:val="1"/>
      <w:marLeft w:val="0"/>
      <w:marRight w:val="0"/>
      <w:marTop w:val="0"/>
      <w:marBottom w:val="0"/>
      <w:divBdr>
        <w:top w:val="none" w:sz="0" w:space="0" w:color="auto"/>
        <w:left w:val="none" w:sz="0" w:space="0" w:color="auto"/>
        <w:bottom w:val="none" w:sz="0" w:space="0" w:color="auto"/>
        <w:right w:val="none" w:sz="0" w:space="0" w:color="auto"/>
      </w:divBdr>
    </w:div>
    <w:div w:id="550964730">
      <w:bodyDiv w:val="1"/>
      <w:marLeft w:val="0"/>
      <w:marRight w:val="0"/>
      <w:marTop w:val="0"/>
      <w:marBottom w:val="0"/>
      <w:divBdr>
        <w:top w:val="none" w:sz="0" w:space="0" w:color="auto"/>
        <w:left w:val="none" w:sz="0" w:space="0" w:color="auto"/>
        <w:bottom w:val="none" w:sz="0" w:space="0" w:color="auto"/>
        <w:right w:val="none" w:sz="0" w:space="0" w:color="auto"/>
      </w:divBdr>
    </w:div>
    <w:div w:id="790786065">
      <w:bodyDiv w:val="1"/>
      <w:marLeft w:val="0"/>
      <w:marRight w:val="0"/>
      <w:marTop w:val="0"/>
      <w:marBottom w:val="0"/>
      <w:divBdr>
        <w:top w:val="none" w:sz="0" w:space="0" w:color="auto"/>
        <w:left w:val="none" w:sz="0" w:space="0" w:color="auto"/>
        <w:bottom w:val="none" w:sz="0" w:space="0" w:color="auto"/>
        <w:right w:val="none" w:sz="0" w:space="0" w:color="auto"/>
      </w:divBdr>
    </w:div>
    <w:div w:id="833030864">
      <w:bodyDiv w:val="1"/>
      <w:marLeft w:val="0"/>
      <w:marRight w:val="0"/>
      <w:marTop w:val="0"/>
      <w:marBottom w:val="0"/>
      <w:divBdr>
        <w:top w:val="none" w:sz="0" w:space="0" w:color="auto"/>
        <w:left w:val="none" w:sz="0" w:space="0" w:color="auto"/>
        <w:bottom w:val="none" w:sz="0" w:space="0" w:color="auto"/>
        <w:right w:val="none" w:sz="0" w:space="0" w:color="auto"/>
      </w:divBdr>
    </w:div>
    <w:div w:id="1136024249">
      <w:bodyDiv w:val="1"/>
      <w:marLeft w:val="0"/>
      <w:marRight w:val="0"/>
      <w:marTop w:val="0"/>
      <w:marBottom w:val="0"/>
      <w:divBdr>
        <w:top w:val="none" w:sz="0" w:space="0" w:color="auto"/>
        <w:left w:val="none" w:sz="0" w:space="0" w:color="auto"/>
        <w:bottom w:val="none" w:sz="0" w:space="0" w:color="auto"/>
        <w:right w:val="none" w:sz="0" w:space="0" w:color="auto"/>
      </w:divBdr>
      <w:divsChild>
        <w:div w:id="1663465368">
          <w:marLeft w:val="0"/>
          <w:marRight w:val="0"/>
          <w:marTop w:val="0"/>
          <w:marBottom w:val="0"/>
          <w:divBdr>
            <w:top w:val="none" w:sz="0" w:space="0" w:color="auto"/>
            <w:left w:val="none" w:sz="0" w:space="0" w:color="auto"/>
            <w:bottom w:val="none" w:sz="0" w:space="0" w:color="auto"/>
            <w:right w:val="none" w:sz="0" w:space="0" w:color="auto"/>
          </w:divBdr>
        </w:div>
      </w:divsChild>
    </w:div>
    <w:div w:id="1230001221">
      <w:bodyDiv w:val="1"/>
      <w:marLeft w:val="0"/>
      <w:marRight w:val="0"/>
      <w:marTop w:val="0"/>
      <w:marBottom w:val="0"/>
      <w:divBdr>
        <w:top w:val="none" w:sz="0" w:space="0" w:color="auto"/>
        <w:left w:val="none" w:sz="0" w:space="0" w:color="auto"/>
        <w:bottom w:val="none" w:sz="0" w:space="0" w:color="auto"/>
        <w:right w:val="none" w:sz="0" w:space="0" w:color="auto"/>
      </w:divBdr>
      <w:divsChild>
        <w:div w:id="1101607274">
          <w:marLeft w:val="0"/>
          <w:marRight w:val="0"/>
          <w:marTop w:val="0"/>
          <w:marBottom w:val="0"/>
          <w:divBdr>
            <w:top w:val="none" w:sz="0" w:space="0" w:color="auto"/>
            <w:left w:val="none" w:sz="0" w:space="0" w:color="auto"/>
            <w:bottom w:val="none" w:sz="0" w:space="0" w:color="auto"/>
            <w:right w:val="none" w:sz="0" w:space="0" w:color="auto"/>
          </w:divBdr>
        </w:div>
      </w:divsChild>
    </w:div>
    <w:div w:id="1249654902">
      <w:bodyDiv w:val="1"/>
      <w:marLeft w:val="0"/>
      <w:marRight w:val="0"/>
      <w:marTop w:val="0"/>
      <w:marBottom w:val="0"/>
      <w:divBdr>
        <w:top w:val="none" w:sz="0" w:space="0" w:color="auto"/>
        <w:left w:val="none" w:sz="0" w:space="0" w:color="auto"/>
        <w:bottom w:val="none" w:sz="0" w:space="0" w:color="auto"/>
        <w:right w:val="none" w:sz="0" w:space="0" w:color="auto"/>
      </w:divBdr>
      <w:divsChild>
        <w:div w:id="1755201546">
          <w:marLeft w:val="0"/>
          <w:marRight w:val="0"/>
          <w:marTop w:val="0"/>
          <w:marBottom w:val="0"/>
          <w:divBdr>
            <w:top w:val="none" w:sz="0" w:space="0" w:color="auto"/>
            <w:left w:val="none" w:sz="0" w:space="0" w:color="auto"/>
            <w:bottom w:val="none" w:sz="0" w:space="0" w:color="auto"/>
            <w:right w:val="none" w:sz="0" w:space="0" w:color="auto"/>
          </w:divBdr>
        </w:div>
      </w:divsChild>
    </w:div>
    <w:div w:id="1339116052">
      <w:bodyDiv w:val="1"/>
      <w:marLeft w:val="0"/>
      <w:marRight w:val="0"/>
      <w:marTop w:val="0"/>
      <w:marBottom w:val="0"/>
      <w:divBdr>
        <w:top w:val="none" w:sz="0" w:space="0" w:color="auto"/>
        <w:left w:val="none" w:sz="0" w:space="0" w:color="auto"/>
        <w:bottom w:val="none" w:sz="0" w:space="0" w:color="auto"/>
        <w:right w:val="none" w:sz="0" w:space="0" w:color="auto"/>
      </w:divBdr>
    </w:div>
    <w:div w:id="1530953240">
      <w:bodyDiv w:val="1"/>
      <w:marLeft w:val="0"/>
      <w:marRight w:val="0"/>
      <w:marTop w:val="0"/>
      <w:marBottom w:val="0"/>
      <w:divBdr>
        <w:top w:val="none" w:sz="0" w:space="0" w:color="auto"/>
        <w:left w:val="none" w:sz="0" w:space="0" w:color="auto"/>
        <w:bottom w:val="none" w:sz="0" w:space="0" w:color="auto"/>
        <w:right w:val="none" w:sz="0" w:space="0" w:color="auto"/>
      </w:divBdr>
    </w:div>
    <w:div w:id="1536233726">
      <w:bodyDiv w:val="1"/>
      <w:marLeft w:val="0"/>
      <w:marRight w:val="0"/>
      <w:marTop w:val="0"/>
      <w:marBottom w:val="0"/>
      <w:divBdr>
        <w:top w:val="none" w:sz="0" w:space="0" w:color="auto"/>
        <w:left w:val="none" w:sz="0" w:space="0" w:color="auto"/>
        <w:bottom w:val="none" w:sz="0" w:space="0" w:color="auto"/>
        <w:right w:val="none" w:sz="0" w:space="0" w:color="auto"/>
      </w:divBdr>
    </w:div>
    <w:div w:id="1647277072">
      <w:bodyDiv w:val="1"/>
      <w:marLeft w:val="0"/>
      <w:marRight w:val="0"/>
      <w:marTop w:val="0"/>
      <w:marBottom w:val="0"/>
      <w:divBdr>
        <w:top w:val="none" w:sz="0" w:space="0" w:color="auto"/>
        <w:left w:val="none" w:sz="0" w:space="0" w:color="auto"/>
        <w:bottom w:val="none" w:sz="0" w:space="0" w:color="auto"/>
        <w:right w:val="none" w:sz="0" w:space="0" w:color="auto"/>
      </w:divBdr>
    </w:div>
    <w:div w:id="20404300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www.flegtimm.eu/" TargetMode="External"/><Relationship Id="rId14" Type="http://schemas.openxmlformats.org/officeDocument/2006/relationships/hyperlink" Target="http://ec.europa.eu/environment/forests/timber_regulation.htm" TargetMode="External"/><Relationship Id="rId15" Type="http://schemas.openxmlformats.org/officeDocument/2006/relationships/hyperlink" Target="http://www.laceyduecare.com/" TargetMode="External"/><Relationship Id="rId16" Type="http://schemas.openxmlformats.org/officeDocument/2006/relationships/hyperlink" Target="http://www.nepcon.org" TargetMode="External"/><Relationship Id="rId17" Type="http://schemas.openxmlformats.org/officeDocument/2006/relationships/hyperlink" Target="http://forestlegality.org/risk-tool" TargetMode="External"/><Relationship Id="rId18" Type="http://schemas.openxmlformats.org/officeDocument/2006/relationships/hyperlink" Target="http://www.laceyduecare.com/" TargetMode="External"/><Relationship Id="rId19" Type="http://schemas.openxmlformats.org/officeDocument/2006/relationships/hyperlink" Target="https://theborneoinitiative.org/" TargetMode="External"/><Relationship Id="rId63" Type="http://schemas.openxmlformats.org/officeDocument/2006/relationships/hyperlink" Target="http://www.flegtimm.eu/index.php/component/users/?view=remind&amp;Itemid=101" TargetMode="External"/><Relationship Id="rId64" Type="http://schemas.openxmlformats.org/officeDocument/2006/relationships/hyperlink" Target="https://www.forest-trends.org/who-we-are/initiatives/" TargetMode="External"/><Relationship Id="rId65" Type="http://schemas.openxmlformats.org/officeDocument/2006/relationships/hyperlink" Target="https://www.forest-trends.org/events/timber-regulation-enforcement-exchange-hamburg/" TargetMode="External"/><Relationship Id="rId66" Type="http://schemas.openxmlformats.org/officeDocument/2006/relationships/hyperlink" Target="https://www.forest-trends.org/who-we-are/initiatives/" TargetMode="External"/><Relationship Id="rId67" Type="http://schemas.openxmlformats.org/officeDocument/2006/relationships/hyperlink" Target="https://www.unep-wcmc.org/featured-projects/eu-timber-regulations-and-flegt" TargetMode="External"/><Relationship Id="rId68" Type="http://schemas.openxmlformats.org/officeDocument/2006/relationships/footer" Target="footer1.xml"/><Relationship Id="rId69" Type="http://schemas.openxmlformats.org/officeDocument/2006/relationships/fontTable" Target="fontTable.xml"/><Relationship Id="rId50" Type="http://schemas.openxmlformats.org/officeDocument/2006/relationships/hyperlink" Target="http://ec.europa.eu/transparency/regexpert/index.cfm?do=groupDetail.groupMeetingDoc&amp;docid=25128" TargetMode="External"/><Relationship Id="rId51" Type="http://schemas.openxmlformats.org/officeDocument/2006/relationships/hyperlink" Target="https://www.isealalliance.org/sustainability-news/consultation-open-iseal-developing-guide-good-benchmarking-sustainability" TargetMode="External"/><Relationship Id="rId52" Type="http://schemas.openxmlformats.org/officeDocument/2006/relationships/hyperlink" Target="https://www.americanbar.org/groups/environment_energy_resources/publications/natural_resources_environment/2018-19/winter/the-2008-illegal-logging-amendments-tenyear-review-the-lacey-acts-impact-law-policy-and-environment/" TargetMode="External"/><Relationship Id="rId53" Type="http://schemas.openxmlformats.org/officeDocument/2006/relationships/hyperlink" Target="https://www.forest-trends.or/wp-content/uploads/2018/01/doc_5698.pdf" TargetMode="External"/><Relationship Id="rId54" Type="http://schemas.openxmlformats.org/officeDocument/2006/relationships/hyperlink" Target="https://www.illegal-logging.info/sites/files/chlogging/Day1Session1LucaPerez.pdf" TargetMode="External"/><Relationship Id="rId55" Type="http://schemas.openxmlformats.org/officeDocument/2006/relationships/hyperlink" Target="https://www.google.com/url?sa=t&amp;rct=j&amp;q=&amp;esrc=s&amp;source=web&amp;cd=1&amp;ved=2ahUKEwiqr8ql3vrhAhWMJVAKHbdcDiEQFjAAegQIABAC&amp;url=https%3A%2F%2Fwww.proforest.net%2Fproforest%2Fen%2Ffiles%2Fassessment-of-certification-and-legality-verification-schemes-2013-full-report.pdf&amp;usg=AOvVaw2CnCbm_qICcrIMsLr00FAi" TargetMode="External"/><Relationship Id="rId56" Type="http://schemas.openxmlformats.org/officeDocument/2006/relationships/hyperlink" Target="http://www.euflegt.efi.int/documents/10180/438736/Aide-me%CC%81moire+CCM8.pdf/4150e22c-0b71-86c1-d334-4ad5a7e47c45" TargetMode="External"/><Relationship Id="rId57" Type="http://schemas.openxmlformats.org/officeDocument/2006/relationships/hyperlink" Target="http://illegallogging.info/uploads/EUTRSurveyPaperJadeSaunders.pdf" TargetMode="External"/><Relationship Id="rId58" Type="http://schemas.openxmlformats.org/officeDocument/2006/relationships/hyperlink" Target="https://www.forest-trends.org/publications/regulating-the-trade-in-illegal-timber-republic-of-korea-update/" TargetMode="External"/><Relationship Id="rId59" Type="http://schemas.openxmlformats.org/officeDocument/2006/relationships/hyperlink" Target="https://ec.europa.eu/europeaid/evaluation-eu-flegtaction-plan-forest-law-enforcement-governance-and-trade-2004-2014_en" TargetMode="External"/><Relationship Id="rId40" Type="http://schemas.openxmlformats.org/officeDocument/2006/relationships/hyperlink" Target="https://ec.europa.eu/chafea/agri/content/trade-sustainability-impact-assessment-free-trade-agreement-between-european-union-and-japan" TargetMode="External"/><Relationship Id="rId41" Type="http://schemas.openxmlformats.org/officeDocument/2006/relationships/hyperlink" Target="https://eur-lex.europa.eu/legal-content/EN/TXT/?uri=CELEX:52018XC1018(01)" TargetMode="External"/><Relationship Id="rId42" Type="http://schemas.openxmlformats.org/officeDocument/2006/relationships/hyperlink" Target="http://ec.europa.eu/transparency/regexpert/index.cfm?do=groupDetail.groupMeetingDoc&amp;docid=19708" TargetMode="External"/><Relationship Id="rId43" Type="http://schemas.openxmlformats.org/officeDocument/2006/relationships/hyperlink" Target="http://www.eca.europa.eu/en/Pages/DocItem.aspx?did=33292" TargetMode="External"/><Relationship Id="rId44" Type="http://schemas.openxmlformats.org/officeDocument/2006/relationships/hyperlink" Target="http://ec.europa.eu/transparency/regexpert/index.cfm?do=groupDetail.groupMeetingDoc&amp;docid=8851" TargetMode="External"/><Relationship Id="rId45" Type="http://schemas.openxmlformats.org/officeDocument/2006/relationships/hyperlink" Target="http://ec.europa.eu/transparency/regexpert/index.cfm?do=groupDetail.groupMeetingDoc&amp;docid=13316" TargetMode="External"/><Relationship Id="rId46" Type="http://schemas.openxmlformats.org/officeDocument/2006/relationships/hyperlink" Target="https://loggingoff.info/library/trade-agreements-and-transparency-under-construction-vpa-update-december-2018" TargetMode="External"/><Relationship Id="rId47" Type="http://schemas.openxmlformats.org/officeDocument/2006/relationships/hyperlink" Target="https://www.google.com/url?sa=t&amp;rct=j&amp;q=&amp;esrc=s&amp;source=web&amp;cd=12&amp;cad=rja&amp;uact=8&amp;ved=2ahUKEwiC1MHC1_rhAhVEZlAKHVrkD5wQFjALegQIBBAC&amp;url=http%3A%2F%2Fwww.agriculture.gov.au%2FSiteCollectionDocuments%2Fforestry%2Fris-submissions%2Fforest-trends.pdf&amp;usg=AOvVaw28THC479VD8-NDFMbmCPUW" TargetMode="External"/><Relationship Id="rId48" Type="http://schemas.openxmlformats.org/officeDocument/2006/relationships/hyperlink" Target="http://www.euflegt.efi.int/documents/10180/438736/JMRM+Aide+Memoire+Technical+session+17+July+2018.pdf/1844a726-4356-1159-314b-de149938d9c9" TargetMode="External"/><Relationship Id="rId49" Type="http://schemas.openxmlformats.org/officeDocument/2006/relationships/hyperlink" Target="http://www.nrcan.gc.ca/forests/canada/laws/1747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legtlicence.org/vpa-countries" TargetMode="External"/><Relationship Id="rId9" Type="http://schemas.openxmlformats.org/officeDocument/2006/relationships/hyperlink" Target="http://www.vpaunpacked.org/legality-definition" TargetMode="External"/><Relationship Id="rId30" Type="http://schemas.openxmlformats.org/officeDocument/2006/relationships/hyperlink" Target="http://www.agriculture.gov.au/forestry/policies/illegal-logging/review-and-consultation" TargetMode="External"/><Relationship Id="rId31" Type="http://schemas.openxmlformats.org/officeDocument/2006/relationships/hyperlink" Target="http://www.agriculture.gov.au/forestry/policies/illegal-logging/compliance-and-enforcement" TargetMode="External"/><Relationship Id="rId32" Type="http://schemas.openxmlformats.org/officeDocument/2006/relationships/hyperlink" Target="https://www.illegal-logging.info/content/26th-illegal-logging-update-and-stakeholder-consultation-meeting" TargetMode="External"/><Relationship Id="rId33" Type="http://schemas.openxmlformats.org/officeDocument/2006/relationships/hyperlink" Target="https://europa.eu/capacity4dev/file/71432/download?token=q6xP0IlC" TargetMode="External"/><Relationship Id="rId34" Type="http://schemas.openxmlformats.org/officeDocument/2006/relationships/hyperlink" Target="https://www.illegal-logging.info/sites/files/chlogging/Day%201_Session%202_Patrick%20Duggan.pdf" TargetMode="External"/><Relationship Id="rId35" Type="http://schemas.openxmlformats.org/officeDocument/2006/relationships/hyperlink" Target="http://www.fao.org/3/a-i6805e.pdf" TargetMode="External"/><Relationship Id="rId36" Type="http://schemas.openxmlformats.org/officeDocument/2006/relationships/hyperlink" Target="http://forestindustries.eu/content/current-guidancedevelopment-legality-definitions-flegt-voluntary-partnership-agreements" TargetMode="External"/><Relationship Id="rId37" Type="http://schemas.openxmlformats.org/officeDocument/2006/relationships/hyperlink" Target="http://www.euflegt.efi.int/es/publications/eu-flegt-facility-highlights-and-insights-from-2017" TargetMode="External"/><Relationship Id="rId38" Type="http://schemas.openxmlformats.org/officeDocument/2006/relationships/hyperlink" Target="http://www.euflegt.efi.int/publications/introduction-to-china-s-timber-legality-verification-system" TargetMode="External"/><Relationship Id="rId39" Type="http://schemas.openxmlformats.org/officeDocument/2006/relationships/hyperlink" Target="http://www.euflegt.efi.int/es/publications/feasibility-analysis-of-the-incorporation-of-timber-legality-requirements-0" TargetMode="External"/><Relationship Id="rId70" Type="http://schemas.openxmlformats.org/officeDocument/2006/relationships/theme" Target="theme/theme1.xml"/><Relationship Id="rId20" Type="http://schemas.openxmlformats.org/officeDocument/2006/relationships/image" Target="media/image1.tiff"/><Relationship Id="rId21" Type="http://schemas.openxmlformats.org/officeDocument/2006/relationships/hyperlink" Target="https://issuu.com/timberandforestryenews/docs/issue_498" TargetMode="External"/><Relationship Id="rId22" Type="http://schemas.openxmlformats.org/officeDocument/2006/relationships/hyperlink" Target="http://www.opentimberportal.org/)" TargetMode="External"/><Relationship Id="rId23" Type="http://schemas.openxmlformats.org/officeDocument/2006/relationships/hyperlink" Target="http://www.globaltimbertrackingnetwork.org)" TargetMode="External"/><Relationship Id="rId24" Type="http://schemas.openxmlformats.org/officeDocument/2006/relationships/hyperlink" Target="http://www.bvrio.org/timber)" TargetMode="External"/><Relationship Id="rId25" Type="http://schemas.openxmlformats.org/officeDocument/2006/relationships/hyperlink" Target="https://www.unep-wcmc.org/featured-projects/eu-timber-regulations-and-flegt)" TargetMode="External"/><Relationship Id="rId26" Type="http://schemas.openxmlformats.org/officeDocument/2006/relationships/hyperlink" Target="https://www.apec.org/Groups/SOM-Steering-Committee-on-Economic-and-Technical-Cooperation/Working-Groups/Illegal-Logging-and-Associated-Trade)" TargetMode="External"/><Relationship Id="rId27" Type="http://schemas.openxmlformats.org/officeDocument/2006/relationships/hyperlink" Target="http://www.euflegt.efi.int/es/activities-china" TargetMode="External"/><Relationship Id="rId28" Type="http://schemas.openxmlformats.org/officeDocument/2006/relationships/hyperlink" Target="https://www.gov.uk/guidance/trading-timber-imports-and-exports-if-theres-no-brexit-deal)" TargetMode="External"/><Relationship Id="rId29" Type="http://schemas.openxmlformats.org/officeDocument/2006/relationships/hyperlink" Target="http://www.agriculture.gov.au/forestry/policies/illegal-logging/consultation-engagement" TargetMode="External"/><Relationship Id="rId60" Type="http://schemas.openxmlformats.org/officeDocument/2006/relationships/hyperlink" Target="https://www.wri.org/blog/2018/03/us-out-tpp-so-are-measures-curb-illegal-logging" TargetMode="External"/><Relationship Id="rId61" Type="http://schemas.openxmlformats.org/officeDocument/2006/relationships/hyperlink" Target="https://www.clientearth.org/eutr/" TargetMode="External"/><Relationship Id="rId62" Type="http://schemas.openxmlformats.org/officeDocument/2006/relationships/hyperlink" Target="http://ec.europa.eu/transparency/regexpert/index.cfm?do=groupDetail.groupDetail&amp;groupID=3282" TargetMode="External"/><Relationship Id="rId10" Type="http://schemas.openxmlformats.org/officeDocument/2006/relationships/hyperlink" Target="http://www.vpaunpacked.org/en/web/vpa-unpacked-multilang/vpa-elements" TargetMode="External"/><Relationship Id="rId11" Type="http://schemas.openxmlformats.org/officeDocument/2006/relationships/hyperlink" Target="http://www.euflegt.efi.int/what-we-do)" TargetMode="External"/><Relationship Id="rId12" Type="http://schemas.openxmlformats.org/officeDocument/2006/relationships/hyperlink" Target="http://www.itto.int/imm/"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info.fsc.org/details.php?id=a024000000AkssuAAB&amp;type=certificate&amp;return=certificate.php" TargetMode="External"/><Relationship Id="rId12" Type="http://schemas.openxmlformats.org/officeDocument/2006/relationships/hyperlink" Target="https://www.reuters.com/article/us-mozambique-forest-logging/mozambique-reforms-timber-sector-to-counter-illegal-logging-idUSKBN1KG1F8" TargetMode="External"/><Relationship Id="rId13" Type="http://schemas.openxmlformats.org/officeDocument/2006/relationships/hyperlink" Target="https://medium.com/@WWF/chinese-cooperation-is-good-news-for-mozambiques-forests-f21e3d2c2224" TargetMode="External"/><Relationship Id="rId1" Type="http://schemas.openxmlformats.org/officeDocument/2006/relationships/hyperlink" Target="https://www.apec.org/Groups/SOM-Steering-Committee-on-Economic-and-Technical-Cooperation/Working-Groups/Illegal-Logging-and-Associated-Trade" TargetMode="External"/><Relationship Id="rId2" Type="http://schemas.openxmlformats.org/officeDocument/2006/relationships/hyperlink" Target="http://asean.org/storage/2016/10/Strategic-Plan-of-Action-for-ASEAN-Cooperation-on-Forestry-2016-2025.pdf" TargetMode="External"/><Relationship Id="rId3" Type="http://schemas.openxmlformats.org/officeDocument/2006/relationships/hyperlink" Target="http://ec.europa.eu/transparency/regexpert/index.cfm?do=groupDetail.groupDetail&amp;groupID=3282" TargetMode="External"/><Relationship Id="rId4" Type="http://schemas.openxmlformats.org/officeDocument/2006/relationships/hyperlink" Target="https://www.forest-trends.org/who-we-are/initiatives/" TargetMode="External"/><Relationship Id="rId5" Type="http://schemas.openxmlformats.org/officeDocument/2006/relationships/hyperlink" Target="https://www.forest-trends.org/events/timber-regulation-enforcement-exchange-hamburg/" TargetMode="External"/><Relationship Id="rId6" Type="http://schemas.openxmlformats.org/officeDocument/2006/relationships/hyperlink" Target="https://www.sec.gov/Archives/edgar/data/1396033/000114420415058462/v421764_ex10-1.htm" TargetMode="External"/><Relationship Id="rId7" Type="http://schemas.openxmlformats.org/officeDocument/2006/relationships/hyperlink" Target="http://www.ettf.info/eu-timber-regulation" TargetMode="External"/><Relationship Id="rId8" Type="http://schemas.openxmlformats.org/officeDocument/2006/relationships/hyperlink" Target="https://www.nepcon.org/certification/legalsource/legalsource-due-diligence-system" TargetMode="External"/><Relationship Id="rId9" Type="http://schemas.openxmlformats.org/officeDocument/2006/relationships/hyperlink" Target="http://ec.europa.eu/environment/forests/timber_regulation.htm" TargetMode="External"/><Relationship Id="rId10" Type="http://schemas.openxmlformats.org/officeDocument/2006/relationships/hyperlink" Target="https://info.fsc.org/details.php?id=a023300000d4kJ8AAI&amp;type=certific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jonathanzeitlin/Library/Group%20Containers/UBF8T346G9.Office/User%20Content.localized/Templates.localized/BOOK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45E0799-1D1B-1C4B-9EFF-452237CE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BOOK1.dot</Template>
  <TotalTime>726</TotalTime>
  <Pages>53</Pages>
  <Words>16825</Words>
  <Characters>100446</Characters>
  <Application>Microsoft Macintosh Word</Application>
  <DocSecurity>0</DocSecurity>
  <Lines>1375</Lines>
  <Paragraphs>311</Paragraphs>
  <ScaleCrop>false</ScaleCrop>
  <HeadingPairs>
    <vt:vector size="2" baseType="variant">
      <vt:variant>
        <vt:lpstr>Title</vt:lpstr>
      </vt:variant>
      <vt:variant>
        <vt:i4>1</vt:i4>
      </vt:variant>
    </vt:vector>
  </HeadingPairs>
  <TitlesOfParts>
    <vt:vector size="1" baseType="lpstr">
      <vt:lpstr>Classic Manuscript</vt:lpstr>
    </vt:vector>
  </TitlesOfParts>
  <Company>UW-Madison</Company>
  <LinksUpToDate>false</LinksUpToDate>
  <CharactersWithSpaces>116960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Classic Manuscript</dc:title>
  <dc:subject/>
  <dc:creator>Jonathan Zeitlin</dc:creator>
  <cp:keywords/>
  <cp:lastModifiedBy>Jonathan Zeitlin</cp:lastModifiedBy>
  <cp:revision>25</cp:revision>
  <cp:lastPrinted>2019-04-30T14:48:00Z</cp:lastPrinted>
  <dcterms:created xsi:type="dcterms:W3CDTF">2019-04-29T13:02:00Z</dcterms:created>
  <dcterms:modified xsi:type="dcterms:W3CDTF">2019-05-01T16:44:00Z</dcterms:modified>
</cp:coreProperties>
</file>