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5C" w:rsidRDefault="00424D5C" w:rsidP="00424D5C">
      <w:pPr>
        <w:pStyle w:val="IntensivesZitat"/>
        <w:rPr>
          <w:lang w:val="en-US"/>
        </w:rPr>
      </w:pPr>
      <w:r>
        <w:rPr>
          <w:lang w:val="en-US"/>
        </w:rPr>
        <w:t>Paper for EUSA Biennial Conference, Denver (CO), 11 May 2019</w:t>
      </w:r>
    </w:p>
    <w:p w:rsidR="00424D5C" w:rsidRDefault="00424D5C" w:rsidP="00424D5C">
      <w:pPr>
        <w:spacing w:before="120" w:after="120" w:line="240" w:lineRule="auto"/>
        <w:rPr>
          <w:sz w:val="32"/>
          <w:lang w:val="en-US"/>
        </w:rPr>
      </w:pPr>
    </w:p>
    <w:p w:rsidR="00424D5C" w:rsidRPr="00424D5C" w:rsidRDefault="00424D5C" w:rsidP="00424D5C">
      <w:pPr>
        <w:spacing w:before="120" w:after="120" w:line="240" w:lineRule="auto"/>
        <w:rPr>
          <w:sz w:val="32"/>
          <w:vertAlign w:val="superscript"/>
          <w:lang w:val="en-US"/>
        </w:rPr>
      </w:pPr>
      <w:r w:rsidRPr="00424D5C">
        <w:rPr>
          <w:sz w:val="32"/>
          <w:lang w:val="en-US"/>
        </w:rPr>
        <w:t>Zimmermann, Hubert</w:t>
      </w:r>
      <w:r w:rsidRPr="00424D5C">
        <w:rPr>
          <w:sz w:val="32"/>
          <w:vertAlign w:val="superscript"/>
          <w:lang w:val="en-US"/>
        </w:rPr>
        <w:t xml:space="preserve"> </w:t>
      </w:r>
    </w:p>
    <w:p w:rsidR="00424D5C" w:rsidRDefault="00424D5C" w:rsidP="00424D5C">
      <w:pPr>
        <w:tabs>
          <w:tab w:val="left" w:pos="142"/>
        </w:tabs>
        <w:spacing w:after="0" w:line="240" w:lineRule="auto"/>
        <w:rPr>
          <w:sz w:val="20"/>
          <w:lang w:val="en-US"/>
        </w:rPr>
      </w:pPr>
      <w:r>
        <w:rPr>
          <w:sz w:val="20"/>
          <w:vertAlign w:val="superscript"/>
          <w:lang w:val="en-US"/>
        </w:rPr>
        <w:t>1</w:t>
      </w:r>
      <w:r>
        <w:rPr>
          <w:sz w:val="20"/>
          <w:lang w:val="en-US"/>
        </w:rPr>
        <w:t xml:space="preserve">Institute for Political Science, </w:t>
      </w:r>
      <w:r w:rsidRPr="00ED3D79">
        <w:rPr>
          <w:lang w:val="en-US"/>
        </w:rPr>
        <w:t>Phi</w:t>
      </w:r>
      <w:r>
        <w:rPr>
          <w:lang w:val="en-US"/>
        </w:rPr>
        <w:t>li</w:t>
      </w:r>
      <w:r w:rsidRPr="00ED3D79">
        <w:rPr>
          <w:lang w:val="en-US"/>
        </w:rPr>
        <w:t>pps University Marburg</w:t>
      </w:r>
      <w:r w:rsidRPr="00AC0900">
        <w:rPr>
          <w:sz w:val="20"/>
          <w:lang w:val="en-US"/>
        </w:rPr>
        <w:t xml:space="preserve">, </w:t>
      </w:r>
      <w:r>
        <w:rPr>
          <w:sz w:val="20"/>
          <w:lang w:val="en-US"/>
        </w:rPr>
        <w:t>35036 Marburg, Germany; E-Mail: zimmer2d@staff.uni-marburg.de</w:t>
      </w:r>
    </w:p>
    <w:p w:rsidR="00424D5C" w:rsidRDefault="00424D5C" w:rsidP="00161C68">
      <w:pPr>
        <w:rPr>
          <w:b/>
          <w:sz w:val="36"/>
          <w:lang w:val="en-US"/>
        </w:rPr>
      </w:pPr>
    </w:p>
    <w:p w:rsidR="00161C68" w:rsidRPr="004A1C09" w:rsidRDefault="00491852" w:rsidP="00161C68">
      <w:pPr>
        <w:rPr>
          <w:b/>
          <w:sz w:val="36"/>
          <w:lang w:val="en-US"/>
        </w:rPr>
      </w:pPr>
      <w:r w:rsidRPr="004A1C09">
        <w:rPr>
          <w:b/>
          <w:sz w:val="36"/>
          <w:lang w:val="en-US"/>
        </w:rPr>
        <w:t xml:space="preserve">The European Parliament and the Layered Politicization of the </w:t>
      </w:r>
      <w:r w:rsidR="000A365C" w:rsidRPr="004A1C09">
        <w:rPr>
          <w:b/>
          <w:sz w:val="36"/>
          <w:lang w:val="en-US"/>
        </w:rPr>
        <w:t xml:space="preserve">External Dimension of the </w:t>
      </w:r>
      <w:r w:rsidRPr="004A1C09">
        <w:rPr>
          <w:b/>
          <w:sz w:val="36"/>
          <w:lang w:val="en-US"/>
        </w:rPr>
        <w:t>Common</w:t>
      </w:r>
      <w:r w:rsidR="00161C68" w:rsidRPr="004A1C09">
        <w:rPr>
          <w:b/>
          <w:sz w:val="36"/>
          <w:lang w:val="en-US"/>
        </w:rPr>
        <w:t xml:space="preserve"> Fisheries</w:t>
      </w:r>
      <w:r w:rsidRPr="004A1C09">
        <w:rPr>
          <w:b/>
          <w:sz w:val="36"/>
          <w:lang w:val="en-US"/>
        </w:rPr>
        <w:t xml:space="preserve"> Policy</w:t>
      </w:r>
      <w:r w:rsidR="000A365C" w:rsidRPr="004A1C09">
        <w:rPr>
          <w:b/>
          <w:sz w:val="36"/>
          <w:lang w:val="en-US"/>
        </w:rPr>
        <w:t xml:space="preserve"> </w:t>
      </w:r>
    </w:p>
    <w:p w:rsidR="00491852" w:rsidRDefault="00491852" w:rsidP="00161C68">
      <w:pPr>
        <w:rPr>
          <w:b/>
          <w:lang w:val="en-US"/>
        </w:rPr>
      </w:pPr>
    </w:p>
    <w:p w:rsidR="004A1C09" w:rsidRPr="004A1C09" w:rsidRDefault="004A1C09" w:rsidP="00161C68">
      <w:pPr>
        <w:rPr>
          <w:b/>
          <w:sz w:val="20"/>
          <w:lang w:val="en-US"/>
        </w:rPr>
      </w:pPr>
      <w:r w:rsidRPr="004A1C09">
        <w:rPr>
          <w:b/>
          <w:sz w:val="20"/>
          <w:lang w:val="en-US"/>
        </w:rPr>
        <w:t>Abstract</w:t>
      </w:r>
    </w:p>
    <w:p w:rsidR="00161C68" w:rsidRPr="00946FED" w:rsidRDefault="00CB7235" w:rsidP="00161C68">
      <w:pPr>
        <w:spacing w:after="0" w:line="360" w:lineRule="auto"/>
        <w:jc w:val="both"/>
        <w:rPr>
          <w:rFonts w:cstheme="minorHAnsi"/>
          <w:i/>
          <w:lang w:val="en-US"/>
        </w:rPr>
      </w:pPr>
      <w:r>
        <w:rPr>
          <w:rFonts w:cstheme="minorHAnsi"/>
          <w:i/>
          <w:lang w:val="en-US"/>
        </w:rPr>
        <w:t>When</w:t>
      </w:r>
      <w:r w:rsidR="00161C68" w:rsidRPr="00946FED">
        <w:rPr>
          <w:rFonts w:cstheme="minorHAnsi"/>
          <w:i/>
          <w:lang w:val="en-US"/>
        </w:rPr>
        <w:t xml:space="preserve"> the </w:t>
      </w:r>
      <w:r w:rsidR="00D41B9A">
        <w:rPr>
          <w:rFonts w:cstheme="minorHAnsi"/>
          <w:i/>
          <w:lang w:val="en-US"/>
        </w:rPr>
        <w:t>Lisbon Treaty</w:t>
      </w:r>
      <w:r w:rsidRPr="00CB7235">
        <w:rPr>
          <w:rFonts w:cstheme="minorHAnsi"/>
          <w:i/>
          <w:lang w:val="en-US"/>
        </w:rPr>
        <w:t xml:space="preserve"> </w:t>
      </w:r>
      <w:r>
        <w:rPr>
          <w:rFonts w:cstheme="minorHAnsi"/>
          <w:i/>
          <w:lang w:val="en-US"/>
        </w:rPr>
        <w:t>entered into force</w:t>
      </w:r>
      <w:r w:rsidR="00D41B9A">
        <w:rPr>
          <w:rFonts w:cstheme="minorHAnsi"/>
          <w:i/>
          <w:lang w:val="en-US"/>
        </w:rPr>
        <w:t>, the European P</w:t>
      </w:r>
      <w:r w:rsidR="00161C68" w:rsidRPr="00946FED">
        <w:rPr>
          <w:rFonts w:cstheme="minorHAnsi"/>
          <w:i/>
          <w:lang w:val="en-US"/>
        </w:rPr>
        <w:t>arliament</w:t>
      </w:r>
      <w:r w:rsidR="007464CC">
        <w:rPr>
          <w:rFonts w:cstheme="minorHAnsi"/>
          <w:i/>
          <w:lang w:val="en-US"/>
        </w:rPr>
        <w:t xml:space="preserve"> beca</w:t>
      </w:r>
      <w:r w:rsidR="00D41B9A">
        <w:rPr>
          <w:rFonts w:cstheme="minorHAnsi"/>
          <w:i/>
          <w:lang w:val="en-US"/>
        </w:rPr>
        <w:t>me a core player in</w:t>
      </w:r>
      <w:r w:rsidR="00161C68" w:rsidRPr="00946FED">
        <w:rPr>
          <w:rFonts w:cstheme="minorHAnsi"/>
          <w:i/>
          <w:lang w:val="en-US"/>
        </w:rPr>
        <w:t xml:space="preserve"> decision-making process</w:t>
      </w:r>
      <w:r w:rsidR="00161C68">
        <w:rPr>
          <w:rFonts w:cstheme="minorHAnsi"/>
          <w:i/>
          <w:lang w:val="en-US"/>
        </w:rPr>
        <w:t>es</w:t>
      </w:r>
      <w:r w:rsidR="00161C68" w:rsidRPr="00946FED">
        <w:rPr>
          <w:rFonts w:cstheme="minorHAnsi"/>
          <w:i/>
          <w:lang w:val="en-US"/>
        </w:rPr>
        <w:t xml:space="preserve"> </w:t>
      </w:r>
      <w:r w:rsidR="009D766C">
        <w:rPr>
          <w:rFonts w:cstheme="minorHAnsi"/>
          <w:i/>
          <w:lang w:val="en-US"/>
        </w:rPr>
        <w:t>of</w:t>
      </w:r>
      <w:r w:rsidR="00161C68" w:rsidRPr="00946FED">
        <w:rPr>
          <w:rFonts w:cstheme="minorHAnsi"/>
          <w:i/>
          <w:lang w:val="en-US"/>
        </w:rPr>
        <w:t xml:space="preserve"> </w:t>
      </w:r>
      <w:r w:rsidR="00161C68">
        <w:rPr>
          <w:rFonts w:cstheme="minorHAnsi"/>
          <w:i/>
          <w:lang w:val="en-US"/>
        </w:rPr>
        <w:t>the EU’s Common Fisheries Policy</w:t>
      </w:r>
      <w:r w:rsidRPr="00CB7235">
        <w:rPr>
          <w:rFonts w:cstheme="minorHAnsi"/>
          <w:i/>
          <w:lang w:val="en-US"/>
        </w:rPr>
        <w:t xml:space="preserve"> </w:t>
      </w:r>
      <w:r>
        <w:rPr>
          <w:rFonts w:cstheme="minorHAnsi"/>
          <w:i/>
          <w:lang w:val="en-US"/>
        </w:rPr>
        <w:t>and its external dimension</w:t>
      </w:r>
      <w:r w:rsidR="00161C68" w:rsidRPr="00946FED">
        <w:rPr>
          <w:rFonts w:cstheme="minorHAnsi"/>
          <w:i/>
          <w:lang w:val="en-US"/>
        </w:rPr>
        <w:t xml:space="preserve">. </w:t>
      </w:r>
      <w:r w:rsidR="00161C68">
        <w:rPr>
          <w:rFonts w:cstheme="minorHAnsi"/>
          <w:i/>
          <w:lang w:val="en-US"/>
        </w:rPr>
        <w:t xml:space="preserve">This </w:t>
      </w:r>
      <w:r w:rsidR="00D41B9A">
        <w:rPr>
          <w:rFonts w:cstheme="minorHAnsi"/>
          <w:i/>
          <w:lang w:val="en-US"/>
        </w:rPr>
        <w:t>new role greatly intensifi</w:t>
      </w:r>
      <w:r w:rsidR="00B06438">
        <w:rPr>
          <w:rFonts w:cstheme="minorHAnsi"/>
          <w:i/>
          <w:lang w:val="en-US"/>
        </w:rPr>
        <w:t xml:space="preserve">ed </w:t>
      </w:r>
      <w:r w:rsidR="007464CC">
        <w:rPr>
          <w:rFonts w:cstheme="minorHAnsi"/>
          <w:i/>
          <w:lang w:val="en-US"/>
        </w:rPr>
        <w:t xml:space="preserve">and solidified </w:t>
      </w:r>
      <w:r w:rsidR="00B06438">
        <w:rPr>
          <w:rFonts w:cstheme="minorHAnsi"/>
          <w:i/>
          <w:lang w:val="en-US"/>
        </w:rPr>
        <w:t>a</w:t>
      </w:r>
      <w:r w:rsidR="007464CC">
        <w:rPr>
          <w:rFonts w:cstheme="minorHAnsi"/>
          <w:i/>
          <w:lang w:val="en-US"/>
        </w:rPr>
        <w:t>n ongoing</w:t>
      </w:r>
      <w:r w:rsidR="00B06438">
        <w:rPr>
          <w:rFonts w:cstheme="minorHAnsi"/>
          <w:i/>
          <w:lang w:val="en-US"/>
        </w:rPr>
        <w:t xml:space="preserve"> process of politicization in</w:t>
      </w:r>
      <w:r w:rsidR="0003483B">
        <w:rPr>
          <w:rFonts w:cstheme="minorHAnsi"/>
          <w:i/>
          <w:lang w:val="en-US"/>
        </w:rPr>
        <w:t xml:space="preserve"> a previously rather technocratic policy field</w:t>
      </w:r>
      <w:r w:rsidR="000A365C">
        <w:rPr>
          <w:rFonts w:cstheme="minorHAnsi"/>
          <w:i/>
          <w:lang w:val="en-US"/>
        </w:rPr>
        <w:t>.</w:t>
      </w:r>
      <w:r w:rsidR="000A365C" w:rsidRPr="000A365C">
        <w:rPr>
          <w:rFonts w:cstheme="minorHAnsi"/>
          <w:i/>
          <w:lang w:val="en-US"/>
        </w:rPr>
        <w:t xml:space="preserve"> </w:t>
      </w:r>
      <w:r w:rsidR="000A365C">
        <w:rPr>
          <w:rFonts w:cstheme="minorHAnsi"/>
          <w:i/>
          <w:lang w:val="en-US"/>
        </w:rPr>
        <w:t>I use the concept of ‘layered politicisation’ to explain the resulting pattern</w:t>
      </w:r>
      <w:r>
        <w:rPr>
          <w:rFonts w:cstheme="minorHAnsi"/>
          <w:i/>
          <w:lang w:val="en-US"/>
        </w:rPr>
        <w:t xml:space="preserve"> of incomplete politicization. This pattern led</w:t>
      </w:r>
      <w:r w:rsidR="007464CC">
        <w:rPr>
          <w:rFonts w:cstheme="minorHAnsi"/>
          <w:i/>
          <w:lang w:val="en-US"/>
        </w:rPr>
        <w:t xml:space="preserve"> to</w:t>
      </w:r>
      <w:r w:rsidR="000A365C">
        <w:rPr>
          <w:rFonts w:cstheme="minorHAnsi"/>
          <w:i/>
          <w:lang w:val="en-US"/>
        </w:rPr>
        <w:t xml:space="preserve"> </w:t>
      </w:r>
      <w:r w:rsidR="00A06E5A">
        <w:rPr>
          <w:rFonts w:cstheme="minorHAnsi"/>
          <w:i/>
          <w:lang w:val="en-US"/>
        </w:rPr>
        <w:t>new</w:t>
      </w:r>
      <w:r w:rsidR="000A365C">
        <w:rPr>
          <w:rFonts w:cstheme="minorHAnsi"/>
          <w:i/>
          <w:lang w:val="en-US"/>
        </w:rPr>
        <w:t xml:space="preserve"> p</w:t>
      </w:r>
      <w:r w:rsidR="00B06438">
        <w:rPr>
          <w:rFonts w:cstheme="minorHAnsi"/>
          <w:i/>
          <w:lang w:val="en-US"/>
        </w:rPr>
        <w:t>olitical dynamics</w:t>
      </w:r>
      <w:r>
        <w:rPr>
          <w:rFonts w:cstheme="minorHAnsi"/>
          <w:i/>
          <w:lang w:val="en-US"/>
        </w:rPr>
        <w:t xml:space="preserve"> in this area.</w:t>
      </w:r>
      <w:r w:rsidR="000A365C">
        <w:rPr>
          <w:rFonts w:cstheme="minorHAnsi"/>
          <w:i/>
          <w:lang w:val="en-US"/>
        </w:rPr>
        <w:t xml:space="preserve"> Among them is a</w:t>
      </w:r>
      <w:r w:rsidR="009D766C">
        <w:rPr>
          <w:rFonts w:cstheme="minorHAnsi"/>
          <w:i/>
          <w:lang w:val="en-US"/>
        </w:rPr>
        <w:t xml:space="preserve"> transformation in</w:t>
      </w:r>
      <w:r w:rsidR="00161C68">
        <w:rPr>
          <w:rFonts w:cstheme="minorHAnsi"/>
          <w:i/>
          <w:lang w:val="en-US"/>
        </w:rPr>
        <w:t xml:space="preserve"> the policy process due to higher ratification requirements; a higher likelihood of political deadlock </w:t>
      </w:r>
      <w:r w:rsidR="008E13C5">
        <w:rPr>
          <w:rFonts w:cstheme="minorHAnsi"/>
          <w:i/>
          <w:lang w:val="en-US"/>
        </w:rPr>
        <w:t>resulting from</w:t>
      </w:r>
      <w:r w:rsidR="00161C68">
        <w:rPr>
          <w:rFonts w:cstheme="minorHAnsi"/>
          <w:i/>
          <w:lang w:val="en-US"/>
        </w:rPr>
        <w:t xml:space="preserve"> an increasing number of veto-players; and a strengthening of the contested legitimacy of EU decision-making in this policy field. </w:t>
      </w:r>
      <w:r w:rsidR="00B06438">
        <w:rPr>
          <w:rFonts w:cstheme="minorHAnsi"/>
          <w:i/>
          <w:lang w:val="en-US"/>
        </w:rPr>
        <w:t>T</w:t>
      </w:r>
      <w:r w:rsidR="00AD3400">
        <w:rPr>
          <w:rFonts w:cstheme="minorHAnsi"/>
          <w:i/>
          <w:lang w:val="en-US"/>
        </w:rPr>
        <w:t>wo</w:t>
      </w:r>
      <w:r w:rsidR="0003483B">
        <w:rPr>
          <w:rFonts w:cstheme="minorHAnsi"/>
          <w:i/>
          <w:lang w:val="en-US"/>
        </w:rPr>
        <w:t xml:space="preserve"> case</w:t>
      </w:r>
      <w:r w:rsidR="00B06438">
        <w:rPr>
          <w:rFonts w:cstheme="minorHAnsi"/>
          <w:i/>
          <w:lang w:val="en-US"/>
        </w:rPr>
        <w:t>s</w:t>
      </w:r>
      <w:r w:rsidR="00AD3400">
        <w:rPr>
          <w:rFonts w:cstheme="minorHAnsi"/>
          <w:i/>
          <w:lang w:val="en-US"/>
        </w:rPr>
        <w:t>,</w:t>
      </w:r>
      <w:r w:rsidR="0003483B">
        <w:rPr>
          <w:rFonts w:cstheme="minorHAnsi"/>
          <w:i/>
          <w:lang w:val="en-US"/>
        </w:rPr>
        <w:t xml:space="preserve"> </w:t>
      </w:r>
      <w:r w:rsidR="00B06438">
        <w:rPr>
          <w:rFonts w:cstheme="minorHAnsi"/>
          <w:i/>
          <w:lang w:val="en-US"/>
        </w:rPr>
        <w:t>the negotiation of Fisheries Partnership Agreements</w:t>
      </w:r>
      <w:r w:rsidR="0003483B">
        <w:rPr>
          <w:rFonts w:cstheme="minorHAnsi"/>
          <w:i/>
          <w:lang w:val="en-US"/>
        </w:rPr>
        <w:t xml:space="preserve"> </w:t>
      </w:r>
      <w:r w:rsidR="000A365C">
        <w:rPr>
          <w:rFonts w:cstheme="minorHAnsi"/>
          <w:i/>
          <w:lang w:val="en-US"/>
        </w:rPr>
        <w:t>with Morocco and Mauritania</w:t>
      </w:r>
      <w:r w:rsidR="00AD3400">
        <w:rPr>
          <w:rFonts w:cstheme="minorHAnsi"/>
          <w:i/>
          <w:lang w:val="en-US"/>
        </w:rPr>
        <w:t>,</w:t>
      </w:r>
      <w:r w:rsidR="00D41B9A">
        <w:rPr>
          <w:rFonts w:cstheme="minorHAnsi"/>
          <w:i/>
          <w:lang w:val="en-US"/>
        </w:rPr>
        <w:t xml:space="preserve"> </w:t>
      </w:r>
      <w:r w:rsidR="0003483B">
        <w:rPr>
          <w:rFonts w:cstheme="minorHAnsi"/>
          <w:i/>
          <w:lang w:val="en-US"/>
        </w:rPr>
        <w:t>t</w:t>
      </w:r>
      <w:r w:rsidR="00B06438">
        <w:rPr>
          <w:rFonts w:cstheme="minorHAnsi"/>
          <w:i/>
          <w:lang w:val="en-US"/>
        </w:rPr>
        <w:t>est the theoretical propositions</w:t>
      </w:r>
      <w:r w:rsidR="0003483B">
        <w:rPr>
          <w:rFonts w:cstheme="minorHAnsi"/>
          <w:i/>
          <w:lang w:val="en-US"/>
        </w:rPr>
        <w:t xml:space="preserve"> empirically</w:t>
      </w:r>
      <w:r w:rsidR="00161C68">
        <w:rPr>
          <w:rFonts w:cstheme="minorHAnsi"/>
          <w:i/>
          <w:lang w:val="en-US"/>
        </w:rPr>
        <w:t>.</w:t>
      </w:r>
    </w:p>
    <w:p w:rsidR="00161C68" w:rsidRDefault="00161C68" w:rsidP="00161C68">
      <w:pPr>
        <w:rPr>
          <w:lang w:val="en-US"/>
        </w:rPr>
      </w:pPr>
    </w:p>
    <w:p w:rsidR="004A1C09" w:rsidRPr="004A1C09" w:rsidRDefault="004A1C09" w:rsidP="00161C68">
      <w:pPr>
        <w:rPr>
          <w:lang w:val="en-US"/>
        </w:rPr>
      </w:pPr>
      <w:r>
        <w:rPr>
          <w:b/>
          <w:lang w:val="en-US"/>
        </w:rPr>
        <w:t xml:space="preserve">Keywords: </w:t>
      </w:r>
      <w:r w:rsidRPr="004A1C09">
        <w:rPr>
          <w:lang w:val="en-US"/>
        </w:rPr>
        <w:t xml:space="preserve">Common Fisheries Policy, </w:t>
      </w:r>
      <w:r>
        <w:rPr>
          <w:lang w:val="en-US"/>
        </w:rPr>
        <w:t xml:space="preserve">European Parliament, </w:t>
      </w:r>
      <w:r w:rsidRPr="004A1C09">
        <w:rPr>
          <w:lang w:val="en-US"/>
        </w:rPr>
        <w:t xml:space="preserve">Fisheries Partnership Agreements, </w:t>
      </w:r>
      <w:r>
        <w:rPr>
          <w:lang w:val="en-US"/>
        </w:rPr>
        <w:t>Politicization</w:t>
      </w:r>
    </w:p>
    <w:p w:rsidR="00D0789F" w:rsidRDefault="00D0789F" w:rsidP="00795F69">
      <w:pPr>
        <w:spacing w:after="0" w:line="360" w:lineRule="auto"/>
        <w:jc w:val="both"/>
        <w:rPr>
          <w:rFonts w:cstheme="minorHAnsi"/>
          <w:lang w:val="en-US"/>
        </w:rPr>
      </w:pPr>
    </w:p>
    <w:p w:rsidR="004A1C09" w:rsidRPr="004A1C09" w:rsidRDefault="004A1C09" w:rsidP="00795F69">
      <w:pPr>
        <w:spacing w:after="0" w:line="360" w:lineRule="auto"/>
        <w:jc w:val="both"/>
        <w:rPr>
          <w:rFonts w:cstheme="minorHAnsi"/>
          <w:b/>
          <w:lang w:val="en-US"/>
        </w:rPr>
      </w:pPr>
      <w:r w:rsidRPr="004A1C09">
        <w:rPr>
          <w:rFonts w:cstheme="minorHAnsi"/>
          <w:b/>
          <w:lang w:val="en-US"/>
        </w:rPr>
        <w:t>1. Introduction</w:t>
      </w:r>
    </w:p>
    <w:p w:rsidR="006014F3" w:rsidRPr="0055253B" w:rsidRDefault="0043638B" w:rsidP="00795F69">
      <w:pPr>
        <w:spacing w:after="0" w:line="360" w:lineRule="auto"/>
        <w:jc w:val="both"/>
        <w:rPr>
          <w:rFonts w:cstheme="minorHAnsi"/>
          <w:lang w:val="en-US"/>
        </w:rPr>
      </w:pPr>
      <w:r>
        <w:rPr>
          <w:rFonts w:cstheme="minorHAnsi"/>
          <w:lang w:val="en-US"/>
        </w:rPr>
        <w:t xml:space="preserve">For a long time, </w:t>
      </w:r>
      <w:r w:rsidR="00C8663B">
        <w:rPr>
          <w:rFonts w:cstheme="minorHAnsi"/>
          <w:lang w:val="en-US"/>
        </w:rPr>
        <w:t>research on</w:t>
      </w:r>
      <w:r>
        <w:rPr>
          <w:rFonts w:cstheme="minorHAnsi"/>
          <w:lang w:val="en-US"/>
        </w:rPr>
        <w:t xml:space="preserve"> EU </w:t>
      </w:r>
      <w:r w:rsidR="00D41B9A">
        <w:rPr>
          <w:rFonts w:cstheme="minorHAnsi"/>
          <w:lang w:val="en-US"/>
        </w:rPr>
        <w:t>foreign economic</w:t>
      </w:r>
      <w:r>
        <w:rPr>
          <w:rFonts w:cstheme="minorHAnsi"/>
          <w:lang w:val="en-US"/>
        </w:rPr>
        <w:t xml:space="preserve"> policies </w:t>
      </w:r>
      <w:r w:rsidR="00E26226" w:rsidRPr="0055253B">
        <w:rPr>
          <w:rFonts w:cstheme="minorHAnsi"/>
          <w:lang w:val="en-US"/>
        </w:rPr>
        <w:t xml:space="preserve">focused </w:t>
      </w:r>
      <w:r w:rsidR="00D41B9A">
        <w:rPr>
          <w:rFonts w:cstheme="minorHAnsi"/>
          <w:lang w:val="en-US"/>
        </w:rPr>
        <w:t xml:space="preserve">mainly </w:t>
      </w:r>
      <w:r w:rsidR="00E26226" w:rsidRPr="0055253B">
        <w:rPr>
          <w:rFonts w:cstheme="minorHAnsi"/>
          <w:lang w:val="en-US"/>
        </w:rPr>
        <w:t xml:space="preserve">on the impact of </w:t>
      </w:r>
      <w:r w:rsidR="00046B97" w:rsidRPr="0055253B">
        <w:rPr>
          <w:rFonts w:cstheme="minorHAnsi"/>
          <w:lang w:val="en-US"/>
        </w:rPr>
        <w:t xml:space="preserve">the </w:t>
      </w:r>
      <w:r w:rsidR="00E26226" w:rsidRPr="0055253B">
        <w:rPr>
          <w:rFonts w:cstheme="minorHAnsi"/>
          <w:lang w:val="en-US"/>
        </w:rPr>
        <w:t xml:space="preserve">principal-agent dynamics between the Commission and the Council, the influence of </w:t>
      </w:r>
      <w:r w:rsidR="008E6192" w:rsidRPr="0055253B">
        <w:rPr>
          <w:rFonts w:cstheme="minorHAnsi"/>
          <w:lang w:val="en-US"/>
        </w:rPr>
        <w:t xml:space="preserve">commercial </w:t>
      </w:r>
      <w:r w:rsidR="00E26226" w:rsidRPr="0055253B">
        <w:rPr>
          <w:rFonts w:cstheme="minorHAnsi"/>
          <w:lang w:val="en-US"/>
        </w:rPr>
        <w:t xml:space="preserve">lobby groups, and the efficiency of EU negotiating strategies. While </w:t>
      </w:r>
      <w:r w:rsidR="002B3826" w:rsidRPr="0055253B">
        <w:rPr>
          <w:rFonts w:cstheme="minorHAnsi"/>
          <w:lang w:val="en-US"/>
        </w:rPr>
        <w:t>concerns about</w:t>
      </w:r>
      <w:r w:rsidR="00E26226" w:rsidRPr="0055253B">
        <w:rPr>
          <w:rFonts w:cstheme="minorHAnsi"/>
          <w:lang w:val="en-US"/>
        </w:rPr>
        <w:t xml:space="preserve"> input</w:t>
      </w:r>
      <w:r w:rsidR="00046B97" w:rsidRPr="0055253B">
        <w:rPr>
          <w:rFonts w:cstheme="minorHAnsi"/>
          <w:lang w:val="en-US"/>
        </w:rPr>
        <w:t>-</w:t>
      </w:r>
      <w:r w:rsidR="00E26226" w:rsidRPr="0055253B">
        <w:rPr>
          <w:rFonts w:cstheme="minorHAnsi"/>
          <w:lang w:val="en-US"/>
        </w:rPr>
        <w:t xml:space="preserve"> and outpu</w:t>
      </w:r>
      <w:r>
        <w:rPr>
          <w:rFonts w:cstheme="minorHAnsi"/>
          <w:lang w:val="en-US"/>
        </w:rPr>
        <w:t xml:space="preserve">t-legitimacy </w:t>
      </w:r>
      <w:r w:rsidR="00CB3A91">
        <w:rPr>
          <w:rFonts w:cstheme="minorHAnsi"/>
          <w:lang w:val="en-US"/>
        </w:rPr>
        <w:t xml:space="preserve">often were </w:t>
      </w:r>
      <w:r w:rsidR="009141BA">
        <w:rPr>
          <w:rFonts w:cstheme="minorHAnsi"/>
          <w:lang w:val="en-US"/>
        </w:rPr>
        <w:t>an</w:t>
      </w:r>
      <w:r>
        <w:rPr>
          <w:rFonts w:cstheme="minorHAnsi"/>
          <w:lang w:val="en-US"/>
        </w:rPr>
        <w:t xml:space="preserve"> implicit background</w:t>
      </w:r>
      <w:r w:rsidR="00CB3A91">
        <w:rPr>
          <w:rFonts w:cstheme="minorHAnsi"/>
          <w:lang w:val="en-US"/>
        </w:rPr>
        <w:t xml:space="preserve"> theme</w:t>
      </w:r>
      <w:r>
        <w:rPr>
          <w:rFonts w:cstheme="minorHAnsi"/>
          <w:lang w:val="en-US"/>
        </w:rPr>
        <w:t xml:space="preserve"> </w:t>
      </w:r>
      <w:r w:rsidR="009141BA">
        <w:rPr>
          <w:rFonts w:cstheme="minorHAnsi"/>
          <w:lang w:val="en-US"/>
        </w:rPr>
        <w:t>to most of</w:t>
      </w:r>
      <w:r w:rsidR="007B5D2F" w:rsidRPr="0055253B">
        <w:rPr>
          <w:rFonts w:cstheme="minorHAnsi"/>
          <w:lang w:val="en-US"/>
        </w:rPr>
        <w:t xml:space="preserve"> </w:t>
      </w:r>
      <w:r w:rsidR="00C8663B">
        <w:rPr>
          <w:rFonts w:cstheme="minorHAnsi"/>
          <w:lang w:val="en-US"/>
        </w:rPr>
        <w:t xml:space="preserve">these </w:t>
      </w:r>
      <w:r w:rsidR="007B5D2F" w:rsidRPr="0055253B">
        <w:rPr>
          <w:rFonts w:cstheme="minorHAnsi"/>
          <w:lang w:val="en-US"/>
        </w:rPr>
        <w:t>studies</w:t>
      </w:r>
      <w:r w:rsidR="002B3826" w:rsidRPr="0055253B">
        <w:rPr>
          <w:rFonts w:cstheme="minorHAnsi"/>
          <w:lang w:val="en-US"/>
        </w:rPr>
        <w:t>, the</w:t>
      </w:r>
      <w:r w:rsidR="004E61E4">
        <w:rPr>
          <w:rFonts w:cstheme="minorHAnsi"/>
          <w:lang w:val="en-US"/>
        </w:rPr>
        <w:t xml:space="preserve"> elevated</w:t>
      </w:r>
      <w:r w:rsidR="002B3826" w:rsidRPr="0055253B">
        <w:rPr>
          <w:rFonts w:cstheme="minorHAnsi"/>
          <w:lang w:val="en-US"/>
        </w:rPr>
        <w:t xml:space="preserve"> level of societal contestation and political controversy reached </w:t>
      </w:r>
      <w:r w:rsidR="009141BA" w:rsidRPr="0055253B">
        <w:rPr>
          <w:rFonts w:cstheme="minorHAnsi"/>
          <w:lang w:val="en-US"/>
        </w:rPr>
        <w:t xml:space="preserve">in recent years </w:t>
      </w:r>
      <w:r w:rsidR="002B3826" w:rsidRPr="0055253B">
        <w:rPr>
          <w:rFonts w:cstheme="minorHAnsi"/>
          <w:lang w:val="en-US"/>
        </w:rPr>
        <w:t xml:space="preserve">by debates about EU </w:t>
      </w:r>
      <w:r w:rsidR="009141BA">
        <w:rPr>
          <w:rFonts w:cstheme="minorHAnsi"/>
          <w:lang w:val="en-US"/>
        </w:rPr>
        <w:t>foreign economic</w:t>
      </w:r>
      <w:r w:rsidR="002B3826" w:rsidRPr="0055253B">
        <w:rPr>
          <w:rFonts w:cstheme="minorHAnsi"/>
          <w:lang w:val="en-US"/>
        </w:rPr>
        <w:t xml:space="preserve"> policy</w:t>
      </w:r>
      <w:r w:rsidR="009141BA">
        <w:rPr>
          <w:rFonts w:cstheme="minorHAnsi"/>
          <w:lang w:val="en-US"/>
        </w:rPr>
        <w:t>, particularly trade policy,</w:t>
      </w:r>
      <w:r w:rsidR="0017182F" w:rsidRPr="0055253B">
        <w:rPr>
          <w:rFonts w:cstheme="minorHAnsi"/>
          <w:lang w:val="en-US"/>
        </w:rPr>
        <w:t xml:space="preserve"> </w:t>
      </w:r>
      <w:r w:rsidR="002B3826" w:rsidRPr="0055253B">
        <w:rPr>
          <w:rFonts w:cstheme="minorHAnsi"/>
          <w:lang w:val="en-US"/>
        </w:rPr>
        <w:t xml:space="preserve">was </w:t>
      </w:r>
      <w:r w:rsidR="000A365C">
        <w:rPr>
          <w:rFonts w:cstheme="minorHAnsi"/>
          <w:lang w:val="en-US"/>
        </w:rPr>
        <w:t>rather unexpected</w:t>
      </w:r>
      <w:r w:rsidR="002B3826" w:rsidRPr="0055253B">
        <w:rPr>
          <w:rFonts w:cstheme="minorHAnsi"/>
          <w:lang w:val="en-US"/>
        </w:rPr>
        <w:t xml:space="preserve">. </w:t>
      </w:r>
      <w:bookmarkStart w:id="0" w:name="_GoBack"/>
      <w:bookmarkEnd w:id="0"/>
      <w:r w:rsidR="00424D5C">
        <w:rPr>
          <w:rFonts w:cstheme="minorHAnsi"/>
          <w:lang w:val="en-US"/>
        </w:rPr>
        <w:t>T</w:t>
      </w:r>
      <w:r w:rsidR="00C04A22">
        <w:rPr>
          <w:rFonts w:cstheme="minorHAnsi"/>
          <w:lang w:val="en-US"/>
        </w:rPr>
        <w:t xml:space="preserve">he empowerment of the European Parliament (EP) </w:t>
      </w:r>
      <w:r w:rsidR="00D41B9A">
        <w:rPr>
          <w:rFonts w:cstheme="minorHAnsi"/>
          <w:lang w:val="en-US"/>
        </w:rPr>
        <w:t>during</w:t>
      </w:r>
      <w:r>
        <w:rPr>
          <w:rFonts w:cstheme="minorHAnsi"/>
          <w:lang w:val="en-US"/>
        </w:rPr>
        <w:t xml:space="preserve"> the past decade </w:t>
      </w:r>
      <w:r w:rsidR="00C8663B">
        <w:rPr>
          <w:rFonts w:cstheme="minorHAnsi"/>
          <w:lang w:val="en-US"/>
        </w:rPr>
        <w:t>provided</w:t>
      </w:r>
      <w:r w:rsidR="00C04A22">
        <w:rPr>
          <w:rFonts w:cstheme="minorHAnsi"/>
          <w:lang w:val="en-US"/>
        </w:rPr>
        <w:t xml:space="preserve"> a far wider opening for societal contestation than</w:t>
      </w:r>
      <w:r w:rsidR="000A365C">
        <w:rPr>
          <w:rFonts w:cstheme="minorHAnsi"/>
          <w:lang w:val="en-US"/>
        </w:rPr>
        <w:t xml:space="preserve"> the </w:t>
      </w:r>
      <w:r w:rsidR="000A365C">
        <w:rPr>
          <w:rFonts w:cstheme="minorHAnsi"/>
          <w:lang w:val="en-US"/>
        </w:rPr>
        <w:lastRenderedPageBreak/>
        <w:t>one existing</w:t>
      </w:r>
      <w:r w:rsidR="009141BA">
        <w:rPr>
          <w:rFonts w:cstheme="minorHAnsi"/>
          <w:lang w:val="en-US"/>
        </w:rPr>
        <w:t xml:space="preserve"> </w:t>
      </w:r>
      <w:r w:rsidR="00A000D0">
        <w:rPr>
          <w:rFonts w:cstheme="minorHAnsi"/>
          <w:lang w:val="en-US"/>
        </w:rPr>
        <w:t>at</w:t>
      </w:r>
      <w:r w:rsidR="000A365C">
        <w:rPr>
          <w:rFonts w:cstheme="minorHAnsi"/>
          <w:lang w:val="en-US"/>
        </w:rPr>
        <w:t xml:space="preserve"> a</w:t>
      </w:r>
      <w:r w:rsidR="00C8663B">
        <w:rPr>
          <w:rFonts w:cstheme="minorHAnsi"/>
          <w:lang w:val="en-US"/>
        </w:rPr>
        <w:t xml:space="preserve"> time when</w:t>
      </w:r>
      <w:r w:rsidR="00C04A22">
        <w:rPr>
          <w:rFonts w:cstheme="minorHAnsi"/>
          <w:lang w:val="en-US"/>
        </w:rPr>
        <w:t xml:space="preserve"> the Council and the Commission </w:t>
      </w:r>
      <w:r w:rsidR="00C8663B">
        <w:rPr>
          <w:rFonts w:cstheme="minorHAnsi"/>
          <w:lang w:val="en-US"/>
        </w:rPr>
        <w:t xml:space="preserve">still </w:t>
      </w:r>
      <w:r w:rsidR="00C04A22">
        <w:rPr>
          <w:rFonts w:cstheme="minorHAnsi"/>
          <w:lang w:val="en-US"/>
        </w:rPr>
        <w:t xml:space="preserve">reigned supreme in </w:t>
      </w:r>
      <w:r w:rsidR="00C8663B">
        <w:rPr>
          <w:rFonts w:cstheme="minorHAnsi"/>
          <w:lang w:val="en-US"/>
        </w:rPr>
        <w:t>foreign economic policy</w:t>
      </w:r>
      <w:r w:rsidR="00C04A22">
        <w:rPr>
          <w:rFonts w:cstheme="minorHAnsi"/>
          <w:lang w:val="en-US"/>
        </w:rPr>
        <w:t>.</w:t>
      </w:r>
      <w:r w:rsidR="009141BA">
        <w:rPr>
          <w:rFonts w:cstheme="minorHAnsi"/>
          <w:lang w:val="en-US"/>
        </w:rPr>
        <w:t xml:space="preserve"> T</w:t>
      </w:r>
      <w:r>
        <w:rPr>
          <w:rFonts w:cstheme="minorHAnsi"/>
          <w:lang w:val="en-US"/>
        </w:rPr>
        <w:t xml:space="preserve">he EP has become a focal point for </w:t>
      </w:r>
      <w:r w:rsidR="00C8663B">
        <w:rPr>
          <w:rFonts w:cstheme="minorHAnsi"/>
          <w:lang w:val="en-US"/>
        </w:rPr>
        <w:t xml:space="preserve">research on </w:t>
      </w:r>
      <w:r w:rsidR="009141BA">
        <w:rPr>
          <w:rFonts w:cstheme="minorHAnsi"/>
          <w:lang w:val="en-US"/>
        </w:rPr>
        <w:t>this phenomenon, usually described as part of a process of politicization</w:t>
      </w:r>
      <w:r>
        <w:rPr>
          <w:rFonts w:cstheme="minorHAnsi"/>
          <w:lang w:val="en-US"/>
        </w:rPr>
        <w:t>.</w:t>
      </w:r>
    </w:p>
    <w:p w:rsidR="00B826F7" w:rsidRPr="0055253B" w:rsidRDefault="00B826F7" w:rsidP="00795F69">
      <w:pPr>
        <w:spacing w:after="0" w:line="360" w:lineRule="auto"/>
        <w:jc w:val="both"/>
        <w:rPr>
          <w:rFonts w:cstheme="minorHAnsi"/>
          <w:lang w:val="en-US"/>
        </w:rPr>
      </w:pPr>
    </w:p>
    <w:p w:rsidR="00946FED" w:rsidRDefault="00A21802" w:rsidP="00795F69">
      <w:pPr>
        <w:autoSpaceDE w:val="0"/>
        <w:autoSpaceDN w:val="0"/>
        <w:adjustRightInd w:val="0"/>
        <w:spacing w:after="0" w:line="360" w:lineRule="auto"/>
        <w:jc w:val="both"/>
        <w:rPr>
          <w:rFonts w:cstheme="minorHAnsi"/>
          <w:lang w:val="en-US"/>
        </w:rPr>
      </w:pPr>
      <w:r>
        <w:rPr>
          <w:rFonts w:cstheme="minorHAnsi"/>
          <w:lang w:val="en-US"/>
        </w:rPr>
        <w:t xml:space="preserve">Politicization </w:t>
      </w:r>
      <w:r w:rsidR="000A365C">
        <w:rPr>
          <w:rFonts w:cstheme="minorHAnsi"/>
          <w:lang w:val="en-US"/>
        </w:rPr>
        <w:t>as</w:t>
      </w:r>
      <w:r>
        <w:rPr>
          <w:rFonts w:cstheme="minorHAnsi"/>
          <w:lang w:val="en-US"/>
        </w:rPr>
        <w:t xml:space="preserve"> a concept </w:t>
      </w:r>
      <w:r w:rsidR="000A365C">
        <w:rPr>
          <w:rFonts w:cstheme="minorHAnsi"/>
          <w:lang w:val="en-US"/>
        </w:rPr>
        <w:t>has been used</w:t>
      </w:r>
      <w:r w:rsidR="009141BA">
        <w:rPr>
          <w:rFonts w:cstheme="minorHAnsi"/>
          <w:lang w:val="en-US"/>
        </w:rPr>
        <w:t xml:space="preserve"> </w:t>
      </w:r>
      <w:r w:rsidR="000A365C">
        <w:rPr>
          <w:rFonts w:cstheme="minorHAnsi"/>
          <w:lang w:val="en-US"/>
        </w:rPr>
        <w:t xml:space="preserve">with increasing frequency </w:t>
      </w:r>
      <w:r w:rsidR="009141BA">
        <w:rPr>
          <w:rFonts w:cstheme="minorHAnsi"/>
          <w:lang w:val="en-US"/>
        </w:rPr>
        <w:t>to analyz</w:t>
      </w:r>
      <w:r>
        <w:rPr>
          <w:rFonts w:cstheme="minorHAnsi"/>
          <w:lang w:val="en-US"/>
        </w:rPr>
        <w:t xml:space="preserve">e </w:t>
      </w:r>
      <w:r w:rsidR="000A365C">
        <w:rPr>
          <w:rFonts w:cstheme="minorHAnsi"/>
          <w:lang w:val="en-US"/>
        </w:rPr>
        <w:t>h</w:t>
      </w:r>
      <w:r w:rsidR="00973583">
        <w:rPr>
          <w:rFonts w:cstheme="minorHAnsi"/>
          <w:lang w:val="en-US"/>
        </w:rPr>
        <w:t>eightened</w:t>
      </w:r>
      <w:r>
        <w:rPr>
          <w:rFonts w:cstheme="minorHAnsi"/>
          <w:lang w:val="en-US"/>
        </w:rPr>
        <w:t xml:space="preserve"> political contest</w:t>
      </w:r>
      <w:r w:rsidR="009141BA">
        <w:rPr>
          <w:rFonts w:cstheme="minorHAnsi"/>
          <w:lang w:val="en-US"/>
        </w:rPr>
        <w:t>ation</w:t>
      </w:r>
      <w:r>
        <w:rPr>
          <w:rFonts w:cstheme="minorHAnsi"/>
          <w:lang w:val="en-US"/>
        </w:rPr>
        <w:t xml:space="preserve"> in many EU-related policy fields. </w:t>
      </w:r>
      <w:r w:rsidR="00C04A22">
        <w:rPr>
          <w:rFonts w:cstheme="minorHAnsi"/>
          <w:lang w:val="en-US"/>
        </w:rPr>
        <w:t>However,</w:t>
      </w:r>
      <w:r w:rsidR="00C530EF" w:rsidRPr="0055253B">
        <w:rPr>
          <w:rFonts w:cstheme="minorHAnsi"/>
          <w:lang w:val="en-US"/>
        </w:rPr>
        <w:t xml:space="preserve"> it </w:t>
      </w:r>
      <w:r w:rsidR="009141BA">
        <w:rPr>
          <w:rFonts w:cstheme="minorHAnsi"/>
          <w:lang w:val="en-US"/>
        </w:rPr>
        <w:t>still is</w:t>
      </w:r>
      <w:r w:rsidR="00C530EF" w:rsidRPr="0055253B">
        <w:rPr>
          <w:rFonts w:cstheme="minorHAnsi"/>
          <w:lang w:val="en-US"/>
        </w:rPr>
        <w:t xml:space="preserve"> an open question whether </w:t>
      </w:r>
      <w:r w:rsidR="00C8663B">
        <w:rPr>
          <w:rFonts w:cstheme="minorHAnsi"/>
          <w:lang w:val="en-US"/>
        </w:rPr>
        <w:t>issu</w:t>
      </w:r>
      <w:r w:rsidR="0055771D">
        <w:rPr>
          <w:rFonts w:cstheme="minorHAnsi"/>
          <w:lang w:val="en-US"/>
        </w:rPr>
        <w:t>es</w:t>
      </w:r>
      <w:r w:rsidR="00C530EF" w:rsidRPr="0055253B">
        <w:rPr>
          <w:rFonts w:cstheme="minorHAnsi"/>
          <w:lang w:val="en-US"/>
        </w:rPr>
        <w:t xml:space="preserve"> </w:t>
      </w:r>
      <w:r w:rsidR="000A365C">
        <w:rPr>
          <w:rFonts w:cstheme="minorHAnsi"/>
          <w:lang w:val="en-US"/>
        </w:rPr>
        <w:t>that</w:t>
      </w:r>
      <w:r w:rsidR="000A365C" w:rsidRPr="0055253B">
        <w:rPr>
          <w:rFonts w:cstheme="minorHAnsi"/>
          <w:lang w:val="en-US"/>
        </w:rPr>
        <w:t xml:space="preserve"> </w:t>
      </w:r>
      <w:r w:rsidR="000A365C">
        <w:rPr>
          <w:rFonts w:cstheme="minorHAnsi"/>
          <w:lang w:val="en-US"/>
        </w:rPr>
        <w:t xml:space="preserve">are not as visible on the </w:t>
      </w:r>
      <w:r w:rsidR="000A365C" w:rsidRPr="0055253B">
        <w:rPr>
          <w:rFonts w:cstheme="minorHAnsi"/>
          <w:lang w:val="en-US"/>
        </w:rPr>
        <w:t xml:space="preserve">public radar </w:t>
      </w:r>
      <w:r w:rsidR="000A365C">
        <w:rPr>
          <w:rFonts w:cstheme="minorHAnsi"/>
          <w:lang w:val="en-US"/>
        </w:rPr>
        <w:t>and not as prominent on the parliamentary agend</w:t>
      </w:r>
      <w:r w:rsidR="00A06E5A">
        <w:rPr>
          <w:rFonts w:cstheme="minorHAnsi"/>
          <w:lang w:val="en-US"/>
        </w:rPr>
        <w:t>a as, for example, TTIP or CETA can be analyz</w:t>
      </w:r>
      <w:r w:rsidR="000A365C">
        <w:rPr>
          <w:rFonts w:cstheme="minorHAnsi"/>
          <w:lang w:val="en-US"/>
        </w:rPr>
        <w:t xml:space="preserve">ed </w:t>
      </w:r>
      <w:r w:rsidR="00973583">
        <w:rPr>
          <w:rFonts w:cstheme="minorHAnsi"/>
          <w:lang w:val="en-US"/>
        </w:rPr>
        <w:t>with this concept,</w:t>
      </w:r>
      <w:r w:rsidR="000A365C">
        <w:rPr>
          <w:rFonts w:cstheme="minorHAnsi"/>
          <w:lang w:val="en-US"/>
        </w:rPr>
        <w:t xml:space="preserve"> even if</w:t>
      </w:r>
      <w:r w:rsidR="009141BA">
        <w:rPr>
          <w:rFonts w:cstheme="minorHAnsi"/>
          <w:lang w:val="en-US"/>
        </w:rPr>
        <w:t xml:space="preserve"> the EP has been </w:t>
      </w:r>
      <w:r w:rsidR="000A365C">
        <w:rPr>
          <w:rFonts w:cstheme="minorHAnsi"/>
          <w:lang w:val="en-US"/>
        </w:rPr>
        <w:t xml:space="preserve">empowered in a </w:t>
      </w:r>
      <w:r w:rsidR="00973583">
        <w:rPr>
          <w:rFonts w:cstheme="minorHAnsi"/>
          <w:lang w:val="en-US"/>
        </w:rPr>
        <w:t xml:space="preserve">very </w:t>
      </w:r>
      <w:r w:rsidR="009D766C">
        <w:rPr>
          <w:rFonts w:cstheme="minorHAnsi"/>
          <w:lang w:val="en-US"/>
        </w:rPr>
        <w:t>similar way in these area</w:t>
      </w:r>
      <w:r w:rsidR="000A365C">
        <w:rPr>
          <w:rFonts w:cstheme="minorHAnsi"/>
          <w:lang w:val="en-US"/>
        </w:rPr>
        <w:t>s</w:t>
      </w:r>
      <w:r w:rsidR="00B1144F">
        <w:rPr>
          <w:rFonts w:cstheme="minorHAnsi"/>
          <w:lang w:val="en-US"/>
        </w:rPr>
        <w:t xml:space="preserve"> (Rosén</w:t>
      </w:r>
      <w:r w:rsidR="004A1C09">
        <w:rPr>
          <w:rFonts w:cstheme="minorHAnsi"/>
          <w:lang w:val="en-US"/>
        </w:rPr>
        <w:t>,</w:t>
      </w:r>
      <w:r w:rsidR="00B1144F">
        <w:rPr>
          <w:rFonts w:cstheme="minorHAnsi"/>
          <w:lang w:val="en-US"/>
        </w:rPr>
        <w:t xml:space="preserve"> 2016)</w:t>
      </w:r>
      <w:r w:rsidR="00A000D0">
        <w:rPr>
          <w:rFonts w:cstheme="minorHAnsi"/>
          <w:lang w:val="en-US"/>
        </w:rPr>
        <w:t xml:space="preserve">. </w:t>
      </w:r>
      <w:r w:rsidR="00991BEF" w:rsidRPr="0055253B">
        <w:rPr>
          <w:rFonts w:cstheme="minorHAnsi"/>
          <w:lang w:val="en-US"/>
        </w:rPr>
        <w:t>Amon</w:t>
      </w:r>
      <w:r w:rsidR="002A1858" w:rsidRPr="0055253B">
        <w:rPr>
          <w:rFonts w:cstheme="minorHAnsi"/>
          <w:lang w:val="en-US"/>
        </w:rPr>
        <w:t>g</w:t>
      </w:r>
      <w:r w:rsidR="00AA6064">
        <w:rPr>
          <w:rFonts w:cstheme="minorHAnsi"/>
          <w:lang w:val="en-US"/>
        </w:rPr>
        <w:t xml:space="preserve"> such</w:t>
      </w:r>
      <w:r w:rsidR="00991BEF" w:rsidRPr="0055253B">
        <w:rPr>
          <w:rFonts w:cstheme="minorHAnsi"/>
          <w:lang w:val="en-US"/>
        </w:rPr>
        <w:t xml:space="preserve"> </w:t>
      </w:r>
      <w:r w:rsidR="00046B97" w:rsidRPr="0055253B">
        <w:rPr>
          <w:rFonts w:cstheme="minorHAnsi"/>
          <w:lang w:val="en-US"/>
        </w:rPr>
        <w:t xml:space="preserve">lower-profile </w:t>
      </w:r>
      <w:r w:rsidR="00D47212">
        <w:rPr>
          <w:rFonts w:cstheme="minorHAnsi"/>
          <w:lang w:val="en-US"/>
        </w:rPr>
        <w:t xml:space="preserve">policy fields is the </w:t>
      </w:r>
      <w:r w:rsidR="009141BA">
        <w:rPr>
          <w:rFonts w:cstheme="minorHAnsi"/>
          <w:lang w:val="en-US"/>
        </w:rPr>
        <w:t xml:space="preserve">EU’s </w:t>
      </w:r>
      <w:r w:rsidR="00D47212">
        <w:rPr>
          <w:rFonts w:cstheme="minorHAnsi"/>
          <w:lang w:val="en-US"/>
        </w:rPr>
        <w:t>Common Fisheries Policy</w:t>
      </w:r>
      <w:r w:rsidR="0055771D">
        <w:rPr>
          <w:rFonts w:cstheme="minorHAnsi"/>
          <w:lang w:val="en-US"/>
        </w:rPr>
        <w:t xml:space="preserve"> </w:t>
      </w:r>
      <w:r w:rsidR="009141BA">
        <w:rPr>
          <w:rFonts w:cstheme="minorHAnsi"/>
          <w:lang w:val="en-US"/>
        </w:rPr>
        <w:t xml:space="preserve">(CFP) </w:t>
      </w:r>
      <w:r w:rsidR="0055771D">
        <w:rPr>
          <w:rFonts w:cstheme="minorHAnsi"/>
          <w:lang w:val="en-US"/>
        </w:rPr>
        <w:t>and its external dimension</w:t>
      </w:r>
      <w:r w:rsidR="00D47212">
        <w:rPr>
          <w:rFonts w:cstheme="minorHAnsi"/>
          <w:lang w:val="en-US"/>
        </w:rPr>
        <w:t xml:space="preserve">. </w:t>
      </w:r>
      <w:r w:rsidR="00C8663B">
        <w:rPr>
          <w:rFonts w:cstheme="minorHAnsi"/>
          <w:lang w:val="en-US"/>
        </w:rPr>
        <w:t>Can we speak of</w:t>
      </w:r>
      <w:r w:rsidR="00AA6064">
        <w:rPr>
          <w:rFonts w:cstheme="minorHAnsi"/>
          <w:lang w:val="en-US"/>
        </w:rPr>
        <w:t xml:space="preserve"> politicization </w:t>
      </w:r>
      <w:r w:rsidR="00C8663B">
        <w:rPr>
          <w:rFonts w:cstheme="minorHAnsi"/>
          <w:lang w:val="en-US"/>
        </w:rPr>
        <w:t>in this area, and if yes, what does it look like? I</w:t>
      </w:r>
      <w:r w:rsidR="00AA6064">
        <w:rPr>
          <w:rFonts w:cstheme="minorHAnsi"/>
          <w:lang w:val="en-US"/>
        </w:rPr>
        <w:t xml:space="preserve">s it different from politicization in other </w:t>
      </w:r>
      <w:r w:rsidR="009141BA">
        <w:rPr>
          <w:rFonts w:cstheme="minorHAnsi"/>
          <w:lang w:val="en-US"/>
        </w:rPr>
        <w:t>area</w:t>
      </w:r>
      <w:r w:rsidR="00C8663B">
        <w:rPr>
          <w:rFonts w:cstheme="minorHAnsi"/>
          <w:lang w:val="en-US"/>
        </w:rPr>
        <w:t>s</w:t>
      </w:r>
      <w:r w:rsidR="00AA6064">
        <w:rPr>
          <w:rFonts w:cstheme="minorHAnsi"/>
          <w:lang w:val="en-US"/>
        </w:rPr>
        <w:t xml:space="preserve">? </w:t>
      </w:r>
      <w:r w:rsidR="00C8663B">
        <w:rPr>
          <w:rFonts w:cstheme="minorHAnsi"/>
          <w:lang w:val="en-US"/>
        </w:rPr>
        <w:t>What role do</w:t>
      </w:r>
      <w:r w:rsidR="00D47212">
        <w:rPr>
          <w:rFonts w:cstheme="minorHAnsi"/>
          <w:lang w:val="en-US"/>
        </w:rPr>
        <w:t xml:space="preserve"> the EP (and national parliaments) </w:t>
      </w:r>
      <w:r w:rsidR="00C8663B">
        <w:rPr>
          <w:rFonts w:cstheme="minorHAnsi"/>
          <w:lang w:val="en-US"/>
        </w:rPr>
        <w:t>play</w:t>
      </w:r>
      <w:r w:rsidR="0055771D">
        <w:rPr>
          <w:rFonts w:cstheme="minorHAnsi"/>
          <w:lang w:val="en-US"/>
        </w:rPr>
        <w:t xml:space="preserve"> in this process? And w</w:t>
      </w:r>
      <w:r w:rsidR="00A000D0">
        <w:rPr>
          <w:rFonts w:cstheme="minorHAnsi"/>
          <w:lang w:val="en-US"/>
        </w:rPr>
        <w:t>hat are the</w:t>
      </w:r>
      <w:r w:rsidR="00AA6064">
        <w:rPr>
          <w:rFonts w:cstheme="minorHAnsi"/>
          <w:lang w:val="en-US"/>
        </w:rPr>
        <w:t xml:space="preserve"> polit</w:t>
      </w:r>
      <w:r w:rsidR="009141BA">
        <w:rPr>
          <w:rFonts w:cstheme="minorHAnsi"/>
          <w:lang w:val="en-US"/>
        </w:rPr>
        <w:t>ical consequences? These are</w:t>
      </w:r>
      <w:r w:rsidR="00AA6064">
        <w:rPr>
          <w:rFonts w:cstheme="minorHAnsi"/>
          <w:lang w:val="en-US"/>
        </w:rPr>
        <w:t xml:space="preserve"> </w:t>
      </w:r>
      <w:r w:rsidR="008E13C5">
        <w:rPr>
          <w:rFonts w:cstheme="minorHAnsi"/>
          <w:lang w:val="en-US"/>
        </w:rPr>
        <w:t xml:space="preserve">the </w:t>
      </w:r>
      <w:r w:rsidR="00AA6064">
        <w:rPr>
          <w:rFonts w:cstheme="minorHAnsi"/>
          <w:lang w:val="en-US"/>
        </w:rPr>
        <w:t>questions</w:t>
      </w:r>
      <w:r w:rsidR="00973583">
        <w:rPr>
          <w:rFonts w:cstheme="minorHAnsi"/>
          <w:lang w:val="en-US"/>
        </w:rPr>
        <w:t xml:space="preserve"> </w:t>
      </w:r>
      <w:r w:rsidR="00AA6064">
        <w:rPr>
          <w:rFonts w:cstheme="minorHAnsi"/>
          <w:lang w:val="en-US"/>
        </w:rPr>
        <w:t xml:space="preserve">this contribution seeks to answer. </w:t>
      </w:r>
      <w:r w:rsidR="0055771D">
        <w:rPr>
          <w:rFonts w:cstheme="minorHAnsi"/>
          <w:lang w:val="en-US"/>
        </w:rPr>
        <w:t xml:space="preserve">I will first sketch the pattern of politicization in the CFP, specifically </w:t>
      </w:r>
      <w:r w:rsidR="00CB3A91">
        <w:rPr>
          <w:rFonts w:cstheme="minorHAnsi"/>
          <w:lang w:val="en-US"/>
        </w:rPr>
        <w:t xml:space="preserve">in </w:t>
      </w:r>
      <w:r w:rsidR="0055771D">
        <w:rPr>
          <w:rFonts w:cstheme="minorHAnsi"/>
          <w:lang w:val="en-US"/>
        </w:rPr>
        <w:t xml:space="preserve">its external dimension. I will </w:t>
      </w:r>
      <w:r w:rsidR="00CB3A91">
        <w:rPr>
          <w:rFonts w:cstheme="minorHAnsi"/>
          <w:lang w:val="en-US"/>
        </w:rPr>
        <w:t xml:space="preserve">then </w:t>
      </w:r>
      <w:r w:rsidR="0025614C">
        <w:rPr>
          <w:rFonts w:cstheme="minorHAnsi"/>
          <w:lang w:val="en-US"/>
        </w:rPr>
        <w:t>propo</w:t>
      </w:r>
      <w:r w:rsidR="00E220F8">
        <w:rPr>
          <w:rFonts w:cstheme="minorHAnsi"/>
          <w:lang w:val="en-US"/>
        </w:rPr>
        <w:t>se the concept</w:t>
      </w:r>
      <w:r w:rsidR="00681BAF">
        <w:rPr>
          <w:rFonts w:cstheme="minorHAnsi"/>
          <w:lang w:val="en-US"/>
        </w:rPr>
        <w:t xml:space="preserve"> of </w:t>
      </w:r>
      <w:r w:rsidR="00E220F8">
        <w:rPr>
          <w:rFonts w:cstheme="minorHAnsi"/>
          <w:lang w:val="en-US"/>
        </w:rPr>
        <w:t>‘</w:t>
      </w:r>
      <w:r w:rsidR="00681BAF">
        <w:rPr>
          <w:rFonts w:cstheme="minorHAnsi"/>
          <w:lang w:val="en-US"/>
        </w:rPr>
        <w:t>layered politicization</w:t>
      </w:r>
      <w:r w:rsidR="00E220F8">
        <w:rPr>
          <w:rFonts w:cstheme="minorHAnsi"/>
          <w:lang w:val="en-US"/>
        </w:rPr>
        <w:t>’</w:t>
      </w:r>
      <w:r w:rsidR="00681BAF">
        <w:rPr>
          <w:rFonts w:cstheme="minorHAnsi"/>
          <w:lang w:val="en-US"/>
        </w:rPr>
        <w:t xml:space="preserve"> </w:t>
      </w:r>
      <w:r w:rsidR="00E220F8">
        <w:rPr>
          <w:rFonts w:cstheme="minorHAnsi"/>
          <w:lang w:val="en-US"/>
        </w:rPr>
        <w:t xml:space="preserve">to </w:t>
      </w:r>
      <w:r w:rsidR="00CB3A91">
        <w:rPr>
          <w:rFonts w:cstheme="minorHAnsi"/>
          <w:lang w:val="en-US"/>
        </w:rPr>
        <w:t>deal with a</w:t>
      </w:r>
      <w:r w:rsidR="00681BAF">
        <w:rPr>
          <w:rFonts w:cstheme="minorHAnsi"/>
          <w:lang w:val="en-US"/>
        </w:rPr>
        <w:t xml:space="preserve"> </w:t>
      </w:r>
      <w:r w:rsidR="00E220F8">
        <w:rPr>
          <w:rFonts w:cstheme="minorHAnsi"/>
          <w:lang w:val="en-US"/>
        </w:rPr>
        <w:t>pattern</w:t>
      </w:r>
      <w:r w:rsidR="00CB3A91">
        <w:rPr>
          <w:rFonts w:cstheme="minorHAnsi"/>
          <w:lang w:val="en-US"/>
        </w:rPr>
        <w:t xml:space="preserve"> of politicization that is </w:t>
      </w:r>
      <w:r w:rsidR="00973583">
        <w:rPr>
          <w:rFonts w:cstheme="minorHAnsi"/>
          <w:lang w:val="en-US"/>
        </w:rPr>
        <w:t xml:space="preserve">incomplete and </w:t>
      </w:r>
      <w:r w:rsidR="00CB3A91">
        <w:rPr>
          <w:rFonts w:cstheme="minorHAnsi"/>
          <w:lang w:val="en-US"/>
        </w:rPr>
        <w:t>not as comprehensive as in the usual empirical</w:t>
      </w:r>
      <w:r w:rsidR="009141BA">
        <w:rPr>
          <w:rFonts w:cstheme="minorHAnsi"/>
          <w:lang w:val="en-US"/>
        </w:rPr>
        <w:t xml:space="preserve"> case studies of politicization</w:t>
      </w:r>
      <w:r w:rsidR="00CB3A91">
        <w:rPr>
          <w:rFonts w:cstheme="minorHAnsi"/>
          <w:lang w:val="en-US"/>
        </w:rPr>
        <w:t xml:space="preserve"> (e.g. </w:t>
      </w:r>
      <w:r w:rsidR="009141BA">
        <w:rPr>
          <w:rFonts w:cstheme="minorHAnsi"/>
          <w:lang w:val="en-US"/>
        </w:rPr>
        <w:t>European integration per se,</w:t>
      </w:r>
      <w:r w:rsidR="00CB3A91">
        <w:rPr>
          <w:rFonts w:cstheme="minorHAnsi"/>
          <w:lang w:val="en-US"/>
        </w:rPr>
        <w:t xml:space="preserve"> EU trade policy or Eur</w:t>
      </w:r>
      <w:r w:rsidR="009141BA">
        <w:rPr>
          <w:rFonts w:cstheme="minorHAnsi"/>
          <w:lang w:val="en-US"/>
        </w:rPr>
        <w:t>opean migration</w:t>
      </w:r>
      <w:r w:rsidR="00CB3A91">
        <w:rPr>
          <w:rFonts w:cstheme="minorHAnsi"/>
          <w:lang w:val="en-US"/>
        </w:rPr>
        <w:t xml:space="preserve"> policies)</w:t>
      </w:r>
      <w:r w:rsidR="00681BAF">
        <w:rPr>
          <w:rFonts w:cstheme="minorHAnsi"/>
          <w:lang w:val="en-US"/>
        </w:rPr>
        <w:t xml:space="preserve">. </w:t>
      </w:r>
      <w:r w:rsidR="00E220F8">
        <w:rPr>
          <w:rFonts w:cstheme="minorHAnsi"/>
          <w:lang w:val="en-US"/>
        </w:rPr>
        <w:t xml:space="preserve">Finally, </w:t>
      </w:r>
      <w:r w:rsidR="00681BAF">
        <w:rPr>
          <w:rFonts w:cstheme="minorHAnsi"/>
          <w:lang w:val="en-US"/>
        </w:rPr>
        <w:t xml:space="preserve">I will </w:t>
      </w:r>
      <w:r w:rsidR="00E220F8">
        <w:rPr>
          <w:rFonts w:cstheme="minorHAnsi"/>
          <w:lang w:val="en-US"/>
        </w:rPr>
        <w:t xml:space="preserve">look at </w:t>
      </w:r>
      <w:r w:rsidR="009141BA">
        <w:rPr>
          <w:rFonts w:cstheme="minorHAnsi"/>
          <w:lang w:val="en-US"/>
        </w:rPr>
        <w:t>EU external fisheries policies through an analysis of</w:t>
      </w:r>
      <w:r w:rsidR="00E220F8">
        <w:rPr>
          <w:rFonts w:cstheme="minorHAnsi"/>
          <w:lang w:val="en-US"/>
        </w:rPr>
        <w:t xml:space="preserve"> so-called SFPAs (Sustainable Fisheries Partnership Agreements) and discuss the e</w:t>
      </w:r>
      <w:r w:rsidR="0025614C">
        <w:rPr>
          <w:rFonts w:cstheme="minorHAnsi"/>
          <w:lang w:val="en-US"/>
        </w:rPr>
        <w:t>ffects of this layered</w:t>
      </w:r>
      <w:r w:rsidR="00E220F8">
        <w:rPr>
          <w:rFonts w:cstheme="minorHAnsi"/>
          <w:lang w:val="en-US"/>
        </w:rPr>
        <w:t xml:space="preserve"> form of politicization.</w:t>
      </w:r>
      <w:r w:rsidR="00681BAF">
        <w:rPr>
          <w:rFonts w:cstheme="minorHAnsi"/>
          <w:lang w:val="en-US"/>
        </w:rPr>
        <w:t xml:space="preserve"> </w:t>
      </w:r>
    </w:p>
    <w:p w:rsidR="006349E1" w:rsidRDefault="006349E1" w:rsidP="00795F69">
      <w:pPr>
        <w:autoSpaceDE w:val="0"/>
        <w:autoSpaceDN w:val="0"/>
        <w:adjustRightInd w:val="0"/>
        <w:spacing w:after="0" w:line="360" w:lineRule="auto"/>
        <w:jc w:val="both"/>
        <w:rPr>
          <w:rFonts w:cstheme="minorHAnsi"/>
          <w:lang w:val="en-US"/>
        </w:rPr>
      </w:pPr>
    </w:p>
    <w:p w:rsidR="006349E1" w:rsidRPr="0055253B" w:rsidRDefault="006349E1" w:rsidP="00795F69">
      <w:pPr>
        <w:autoSpaceDE w:val="0"/>
        <w:autoSpaceDN w:val="0"/>
        <w:adjustRightInd w:val="0"/>
        <w:spacing w:after="0" w:line="360" w:lineRule="auto"/>
        <w:jc w:val="both"/>
        <w:rPr>
          <w:rFonts w:cstheme="minorHAnsi"/>
          <w:lang w:val="en-US"/>
        </w:rPr>
      </w:pPr>
      <w:r>
        <w:rPr>
          <w:rFonts w:cstheme="minorHAnsi"/>
          <w:lang w:val="en-US"/>
        </w:rPr>
        <w:t>There is by now a substantial literature on how to define politicization in a given policy field</w:t>
      </w:r>
      <w:r w:rsidR="00973583">
        <w:rPr>
          <w:rFonts w:cstheme="minorHAnsi"/>
          <w:lang w:val="en-US"/>
        </w:rPr>
        <w:t xml:space="preserve">. </w:t>
      </w:r>
      <w:r>
        <w:rPr>
          <w:rFonts w:cstheme="minorHAnsi"/>
          <w:lang w:val="en-US"/>
        </w:rPr>
        <w:t>For d</w:t>
      </w:r>
      <w:r w:rsidR="00A90FE7">
        <w:rPr>
          <w:rFonts w:cstheme="minorHAnsi"/>
          <w:lang w:val="en-US"/>
        </w:rPr>
        <w:t>e Wilde et al. (2016</w:t>
      </w:r>
      <w:r w:rsidRPr="0055253B">
        <w:rPr>
          <w:rFonts w:cstheme="minorHAnsi"/>
          <w:lang w:val="en-US"/>
        </w:rPr>
        <w:t>)</w:t>
      </w:r>
      <w:r>
        <w:rPr>
          <w:rFonts w:cstheme="minorHAnsi"/>
          <w:lang w:val="en-US"/>
        </w:rPr>
        <w:t xml:space="preserve"> politicization consists of three elements</w:t>
      </w:r>
      <w:r w:rsidRPr="0055253B">
        <w:rPr>
          <w:rFonts w:cstheme="minorHAnsi"/>
          <w:lang w:val="en-US"/>
        </w:rPr>
        <w:t xml:space="preserve">: (i) </w:t>
      </w:r>
      <w:r>
        <w:rPr>
          <w:rFonts w:cstheme="minorHAnsi"/>
          <w:lang w:val="en-US"/>
        </w:rPr>
        <w:t xml:space="preserve">the </w:t>
      </w:r>
      <w:r w:rsidRPr="0055253B">
        <w:rPr>
          <w:rFonts w:cstheme="minorHAnsi"/>
          <w:lang w:val="en-US"/>
        </w:rPr>
        <w:t xml:space="preserve">growing salience </w:t>
      </w:r>
      <w:r>
        <w:rPr>
          <w:rFonts w:cstheme="minorHAnsi"/>
          <w:lang w:val="en-US"/>
        </w:rPr>
        <w:t>and visibility of a policy</w:t>
      </w:r>
      <w:r w:rsidRPr="0055253B">
        <w:rPr>
          <w:rFonts w:cstheme="minorHAnsi"/>
          <w:lang w:val="en-US"/>
        </w:rPr>
        <w:t>, (ii) an increasing polarization of opinions</w:t>
      </w:r>
      <w:r>
        <w:rPr>
          <w:rFonts w:cstheme="minorHAnsi"/>
          <w:lang w:val="en-US"/>
        </w:rPr>
        <w:t xml:space="preserve"> in this field</w:t>
      </w:r>
      <w:r w:rsidRPr="0055253B">
        <w:rPr>
          <w:rFonts w:cstheme="minorHAnsi"/>
          <w:lang w:val="en-US"/>
        </w:rPr>
        <w:t>, and (iii) an expansion of the number of actors and audiences involved in decision-making</w:t>
      </w:r>
      <w:r>
        <w:rPr>
          <w:rFonts w:cstheme="minorHAnsi"/>
          <w:lang w:val="en-US"/>
        </w:rPr>
        <w:t xml:space="preserve"> </w:t>
      </w:r>
      <w:r w:rsidR="00973583">
        <w:rPr>
          <w:rFonts w:cstheme="minorHAnsi"/>
          <w:lang w:val="en-US"/>
        </w:rPr>
        <w:t xml:space="preserve">processes </w:t>
      </w:r>
      <w:r>
        <w:rPr>
          <w:rFonts w:cstheme="minorHAnsi"/>
          <w:lang w:val="en-US"/>
        </w:rPr>
        <w:t>o</w:t>
      </w:r>
      <w:r w:rsidR="00973583">
        <w:rPr>
          <w:rFonts w:cstheme="minorHAnsi"/>
          <w:lang w:val="en-US"/>
        </w:rPr>
        <w:t>n</w:t>
      </w:r>
      <w:r>
        <w:rPr>
          <w:rFonts w:cstheme="minorHAnsi"/>
          <w:lang w:val="en-US"/>
        </w:rPr>
        <w:t xml:space="preserve"> this policy (for a</w:t>
      </w:r>
      <w:r w:rsidR="009141BA">
        <w:rPr>
          <w:rFonts w:cstheme="minorHAnsi"/>
          <w:lang w:val="en-US"/>
        </w:rPr>
        <w:t xml:space="preserve"> similar conceptualization, see</w:t>
      </w:r>
      <w:r>
        <w:rPr>
          <w:rFonts w:cstheme="minorHAnsi"/>
          <w:lang w:val="en-US"/>
        </w:rPr>
        <w:t>: Hutter et.al.</w:t>
      </w:r>
      <w:r w:rsidR="004A1C09">
        <w:rPr>
          <w:rFonts w:cstheme="minorHAnsi"/>
          <w:lang w:val="en-US"/>
        </w:rPr>
        <w:t>, 2016, p.</w:t>
      </w:r>
      <w:r>
        <w:rPr>
          <w:rFonts w:cstheme="minorHAnsi"/>
          <w:lang w:val="en-US"/>
        </w:rPr>
        <w:t xml:space="preserve"> 8)</w:t>
      </w:r>
      <w:r w:rsidRPr="0055253B">
        <w:rPr>
          <w:rFonts w:cstheme="minorHAnsi"/>
          <w:lang w:val="en-US"/>
        </w:rPr>
        <w:t>. In its most basic meaning, thus, politicization refers to a situation in which a policy field that was previously subject to almost exclusively technocratic and elite-driven policy-making</w:t>
      </w:r>
      <w:r>
        <w:rPr>
          <w:rFonts w:cstheme="minorHAnsi"/>
          <w:lang w:val="en-US"/>
        </w:rPr>
        <w:t xml:space="preserve"> with limited public controversy</w:t>
      </w:r>
      <w:r w:rsidRPr="0055253B">
        <w:rPr>
          <w:rFonts w:cstheme="minorHAnsi"/>
          <w:lang w:val="en-US"/>
        </w:rPr>
        <w:t xml:space="preserve"> becomes subject of public debate and polarization (De Wilde</w:t>
      </w:r>
      <w:r w:rsidR="00A90FE7">
        <w:rPr>
          <w:rFonts w:cstheme="minorHAnsi"/>
          <w:lang w:val="en-US"/>
        </w:rPr>
        <w:t xml:space="preserve"> et.al</w:t>
      </w:r>
      <w:r w:rsidR="004A1C09">
        <w:rPr>
          <w:rFonts w:cstheme="minorHAnsi"/>
          <w:lang w:val="en-US"/>
        </w:rPr>
        <w:t>.,</w:t>
      </w:r>
      <w:r w:rsidR="00A90FE7">
        <w:rPr>
          <w:rFonts w:cstheme="minorHAnsi"/>
          <w:lang w:val="en-US"/>
        </w:rPr>
        <w:t xml:space="preserve"> 2016</w:t>
      </w:r>
      <w:r w:rsidR="009141BA">
        <w:rPr>
          <w:rFonts w:cstheme="minorHAnsi"/>
          <w:lang w:val="en-US"/>
        </w:rPr>
        <w:t>). Politicization usually occurs</w:t>
      </w:r>
      <w:r w:rsidRPr="0055253B">
        <w:rPr>
          <w:rFonts w:cstheme="minorHAnsi"/>
          <w:lang w:val="en-US"/>
        </w:rPr>
        <w:t xml:space="preserve"> when civil society groups and, often forgotten, commercial groups vigorously pick up a topic trying to get strong public attention, when parties make it part of their p</w:t>
      </w:r>
      <w:r w:rsidR="004A1C09">
        <w:rPr>
          <w:rFonts w:cstheme="minorHAnsi"/>
          <w:lang w:val="en-US"/>
        </w:rPr>
        <w:t>latforms (Hooghe and Marks 2009, pp.</w:t>
      </w:r>
      <w:r w:rsidRPr="0055253B">
        <w:rPr>
          <w:rFonts w:cstheme="minorHAnsi"/>
          <w:lang w:val="en-US"/>
        </w:rPr>
        <w:t xml:space="preserve"> 18-19), </w:t>
      </w:r>
      <w:r>
        <w:rPr>
          <w:rFonts w:cstheme="minorHAnsi"/>
          <w:lang w:val="en-US"/>
        </w:rPr>
        <w:t>and/</w:t>
      </w:r>
      <w:r w:rsidRPr="0055253B">
        <w:rPr>
          <w:rFonts w:cstheme="minorHAnsi"/>
          <w:lang w:val="en-US"/>
        </w:rPr>
        <w:t xml:space="preserve">or when mainstream media outlets regularly publish on it. </w:t>
      </w:r>
      <w:r>
        <w:rPr>
          <w:rFonts w:cstheme="minorHAnsi"/>
          <w:lang w:val="en-US"/>
        </w:rPr>
        <w:t>Thus, a policy which</w:t>
      </w:r>
      <w:r w:rsidRPr="0055253B">
        <w:rPr>
          <w:rFonts w:cstheme="minorHAnsi"/>
          <w:lang w:val="en-US"/>
        </w:rPr>
        <w:t xml:space="preserve"> is characterized by an insider discourse, by insider bargaining and insider dealings without public debate</w:t>
      </w:r>
      <w:r>
        <w:rPr>
          <w:rFonts w:cstheme="minorHAnsi"/>
          <w:lang w:val="en-US"/>
        </w:rPr>
        <w:t xml:space="preserve"> is </w:t>
      </w:r>
      <w:r w:rsidR="009141BA">
        <w:rPr>
          <w:rFonts w:cstheme="minorHAnsi"/>
          <w:lang w:val="en-US"/>
        </w:rPr>
        <w:t>being transformed</w:t>
      </w:r>
      <w:r w:rsidRPr="0055253B">
        <w:rPr>
          <w:rFonts w:cstheme="minorHAnsi"/>
          <w:lang w:val="en-US"/>
        </w:rPr>
        <w:t>.</w:t>
      </w:r>
      <w:r>
        <w:rPr>
          <w:rFonts w:cstheme="minorHAnsi"/>
          <w:lang w:val="en-US"/>
        </w:rPr>
        <w:t xml:space="preserve"> This </w:t>
      </w:r>
      <w:r w:rsidR="009141BA">
        <w:rPr>
          <w:rFonts w:cstheme="minorHAnsi"/>
          <w:lang w:val="en-US"/>
        </w:rPr>
        <w:t xml:space="preserve">definition </w:t>
      </w:r>
      <w:r>
        <w:rPr>
          <w:rFonts w:cstheme="minorHAnsi"/>
          <w:lang w:val="en-US"/>
        </w:rPr>
        <w:t>unavoidably</w:t>
      </w:r>
      <w:r w:rsidRPr="0055253B">
        <w:rPr>
          <w:rFonts w:cstheme="minorHAnsi"/>
          <w:lang w:val="en-US"/>
        </w:rPr>
        <w:t xml:space="preserve"> begs the question as to </w:t>
      </w:r>
      <w:r>
        <w:rPr>
          <w:rFonts w:cstheme="minorHAnsi"/>
          <w:lang w:val="en-US"/>
        </w:rPr>
        <w:t>when the threshold is</w:t>
      </w:r>
      <w:r w:rsidRPr="00517AFC">
        <w:rPr>
          <w:rFonts w:cstheme="minorHAnsi"/>
          <w:lang w:val="en-US"/>
        </w:rPr>
        <w:t xml:space="preserve"> reached</w:t>
      </w:r>
      <w:r w:rsidRPr="0055253B">
        <w:rPr>
          <w:rFonts w:cstheme="minorHAnsi"/>
          <w:lang w:val="en-US"/>
        </w:rPr>
        <w:t xml:space="preserve"> at which a previously non-politicized issue becomes politicized. As Faber and Orbie (2007), for example, noted, trade policy always involved a variety of actors and was</w:t>
      </w:r>
      <w:r>
        <w:rPr>
          <w:rFonts w:cstheme="minorHAnsi"/>
          <w:lang w:val="en-US"/>
        </w:rPr>
        <w:t xml:space="preserve"> debated </w:t>
      </w:r>
      <w:r w:rsidRPr="0055253B">
        <w:rPr>
          <w:rFonts w:cstheme="minorHAnsi"/>
          <w:lang w:val="en-US"/>
        </w:rPr>
        <w:t>int</w:t>
      </w:r>
      <w:r>
        <w:rPr>
          <w:rFonts w:cstheme="minorHAnsi"/>
          <w:lang w:val="en-US"/>
        </w:rPr>
        <w:t>ensely among them</w:t>
      </w:r>
      <w:r w:rsidRPr="0055253B">
        <w:rPr>
          <w:rFonts w:cstheme="minorHAnsi"/>
          <w:lang w:val="en-US"/>
        </w:rPr>
        <w:t xml:space="preserve">. It is also possible that some </w:t>
      </w:r>
      <w:r w:rsidRPr="0055253B">
        <w:rPr>
          <w:rFonts w:cstheme="minorHAnsi"/>
          <w:lang w:val="en-US"/>
        </w:rPr>
        <w:lastRenderedPageBreak/>
        <w:t xml:space="preserve">aspects of an issue are contested </w:t>
      </w:r>
      <w:r>
        <w:rPr>
          <w:rFonts w:cstheme="minorHAnsi"/>
          <w:lang w:val="en-US"/>
        </w:rPr>
        <w:t>strong</w:t>
      </w:r>
      <w:r w:rsidRPr="0055253B">
        <w:rPr>
          <w:rFonts w:cstheme="minorHAnsi"/>
          <w:lang w:val="en-US"/>
        </w:rPr>
        <w:t xml:space="preserve">ly (see the investor-state dispute settlement in TTIP) whereas most of it is still dealt with behind closed doors. </w:t>
      </w:r>
      <w:r>
        <w:rPr>
          <w:rFonts w:cstheme="minorHAnsi"/>
          <w:lang w:val="en-US"/>
        </w:rPr>
        <w:t xml:space="preserve">Such an uneven pattern of politicization also seems to characterize the CFP </w:t>
      </w:r>
      <w:r w:rsidR="00C01B34">
        <w:rPr>
          <w:rFonts w:cstheme="minorHAnsi"/>
          <w:lang w:val="en-US"/>
        </w:rPr>
        <w:t>and its external dimension. The CFP</w:t>
      </w:r>
      <w:r>
        <w:rPr>
          <w:rFonts w:cstheme="minorHAnsi"/>
          <w:lang w:val="en-US"/>
        </w:rPr>
        <w:t xml:space="preserve"> is certainly not an issue that regularly captures the headlines. At the same time, undoubtedly, </w:t>
      </w:r>
      <w:r w:rsidR="00C01B34">
        <w:rPr>
          <w:rFonts w:cstheme="minorHAnsi"/>
          <w:lang w:val="en-US"/>
        </w:rPr>
        <w:t>it</w:t>
      </w:r>
      <w:r>
        <w:rPr>
          <w:rFonts w:cstheme="minorHAnsi"/>
          <w:lang w:val="en-US"/>
        </w:rPr>
        <w:t xml:space="preserve"> has become more controversial and, despite the </w:t>
      </w:r>
      <w:r w:rsidR="00C01B34">
        <w:rPr>
          <w:rFonts w:cstheme="minorHAnsi"/>
          <w:lang w:val="en-US"/>
        </w:rPr>
        <w:t xml:space="preserve">comprehensive </w:t>
      </w:r>
      <w:r>
        <w:rPr>
          <w:rFonts w:cstheme="minorHAnsi"/>
          <w:lang w:val="en-US"/>
        </w:rPr>
        <w:t xml:space="preserve">2013 reform, </w:t>
      </w:r>
      <w:r w:rsidR="00973583">
        <w:rPr>
          <w:rFonts w:cstheme="minorHAnsi"/>
          <w:lang w:val="en-US"/>
        </w:rPr>
        <w:t xml:space="preserve">usually </w:t>
      </w:r>
      <w:r>
        <w:rPr>
          <w:rFonts w:cstheme="minorHAnsi"/>
          <w:lang w:val="en-US"/>
        </w:rPr>
        <w:t xml:space="preserve">has </w:t>
      </w:r>
      <w:r w:rsidR="00973583">
        <w:rPr>
          <w:rFonts w:cstheme="minorHAnsi"/>
          <w:lang w:val="en-US"/>
        </w:rPr>
        <w:t xml:space="preserve">a </w:t>
      </w:r>
      <w:r>
        <w:rPr>
          <w:rFonts w:cstheme="minorHAnsi"/>
          <w:lang w:val="en-US"/>
        </w:rPr>
        <w:t xml:space="preserve">negative press.  Using the three </w:t>
      </w:r>
      <w:r w:rsidR="00304850">
        <w:rPr>
          <w:rFonts w:cstheme="minorHAnsi"/>
          <w:lang w:val="en-US"/>
        </w:rPr>
        <w:t>generally accepted</w:t>
      </w:r>
      <w:r>
        <w:rPr>
          <w:rFonts w:cstheme="minorHAnsi"/>
          <w:lang w:val="en-US"/>
        </w:rPr>
        <w:t xml:space="preserve"> dimensions </w:t>
      </w:r>
      <w:r w:rsidR="00304850">
        <w:rPr>
          <w:rFonts w:cstheme="minorHAnsi"/>
          <w:lang w:val="en-US"/>
        </w:rPr>
        <w:t xml:space="preserve">of politicization </w:t>
      </w:r>
      <w:r w:rsidR="00C01B34">
        <w:rPr>
          <w:rFonts w:cstheme="minorHAnsi"/>
          <w:lang w:val="en-US"/>
        </w:rPr>
        <w:t>mentioned above, I will</w:t>
      </w:r>
      <w:r>
        <w:rPr>
          <w:rFonts w:cstheme="minorHAnsi"/>
          <w:lang w:val="en-US"/>
        </w:rPr>
        <w:t xml:space="preserve"> take a closer look at the development of the CFP, with particular atte</w:t>
      </w:r>
      <w:r w:rsidR="00C01B34">
        <w:rPr>
          <w:rFonts w:cstheme="minorHAnsi"/>
          <w:lang w:val="en-US"/>
        </w:rPr>
        <w:t>ntion to its external dimension, identifying a hybrid pattern which I will then try to capture with the concept of ‘layered politicization’.</w:t>
      </w:r>
    </w:p>
    <w:p w:rsidR="00040F98" w:rsidRDefault="008E13C5" w:rsidP="008E13C5">
      <w:pPr>
        <w:spacing w:after="0" w:line="360" w:lineRule="auto"/>
        <w:jc w:val="both"/>
        <w:rPr>
          <w:rFonts w:cstheme="minorHAnsi"/>
          <w:lang w:val="en-US"/>
        </w:rPr>
      </w:pPr>
      <w:r>
        <w:rPr>
          <w:rFonts w:cstheme="minorHAnsi"/>
          <w:lang w:val="en-US"/>
        </w:rPr>
        <w:t xml:space="preserve">I will also briefly discuss the effects of </w:t>
      </w:r>
      <w:r w:rsidR="00CB7235">
        <w:rPr>
          <w:rFonts w:cstheme="minorHAnsi"/>
          <w:lang w:val="en-US"/>
        </w:rPr>
        <w:t>this development</w:t>
      </w:r>
      <w:r>
        <w:rPr>
          <w:rFonts w:cstheme="minorHAnsi"/>
          <w:lang w:val="en-US"/>
        </w:rPr>
        <w:t xml:space="preserve">. Basically, the literature has identified </w:t>
      </w:r>
      <w:r w:rsidR="003108F9">
        <w:rPr>
          <w:rFonts w:cstheme="minorHAnsi"/>
          <w:lang w:val="en-US"/>
        </w:rPr>
        <w:t>two broad sets of consequences</w:t>
      </w:r>
      <w:r w:rsidR="00CB7235">
        <w:rPr>
          <w:rFonts w:cstheme="minorHAnsi"/>
          <w:lang w:val="en-US"/>
        </w:rPr>
        <w:t xml:space="preserve"> of politicization</w:t>
      </w:r>
      <w:r w:rsidR="003108F9">
        <w:rPr>
          <w:rFonts w:cstheme="minorHAnsi"/>
          <w:lang w:val="en-US"/>
        </w:rPr>
        <w:t xml:space="preserve">. </w:t>
      </w:r>
      <w:r w:rsidR="004A1C09">
        <w:rPr>
          <w:rFonts w:cstheme="minorHAnsi"/>
          <w:lang w:val="en-US"/>
        </w:rPr>
        <w:t>Zürn (2014, pp.</w:t>
      </w:r>
      <w:r w:rsidRPr="0055253B">
        <w:rPr>
          <w:rFonts w:cstheme="minorHAnsi"/>
          <w:lang w:val="en-US"/>
        </w:rPr>
        <w:t xml:space="preserve"> 58-9) </w:t>
      </w:r>
      <w:r w:rsidR="003108F9">
        <w:rPr>
          <w:rFonts w:cstheme="minorHAnsi"/>
          <w:lang w:val="en-US"/>
        </w:rPr>
        <w:t xml:space="preserve">and others </w:t>
      </w:r>
      <w:r w:rsidRPr="0055253B">
        <w:rPr>
          <w:rFonts w:cstheme="minorHAnsi"/>
          <w:lang w:val="en-US"/>
        </w:rPr>
        <w:t>stated that politicized policy fields are less prone to be captured by special interests and more responsive to broader societal concerns and diffuse interests, imposing losses on particular lobbies.</w:t>
      </w:r>
      <w:r w:rsidR="003108F9">
        <w:rPr>
          <w:rFonts w:cstheme="minorHAnsi"/>
          <w:lang w:val="en-US"/>
        </w:rPr>
        <w:t xml:space="preserve"> This</w:t>
      </w:r>
      <w:r w:rsidR="003108F9" w:rsidRPr="0055253B">
        <w:rPr>
          <w:rFonts w:cstheme="minorHAnsi"/>
          <w:lang w:val="en-US"/>
        </w:rPr>
        <w:t xml:space="preserve"> lead</w:t>
      </w:r>
      <w:r w:rsidR="003108F9">
        <w:rPr>
          <w:rFonts w:cstheme="minorHAnsi"/>
          <w:lang w:val="en-US"/>
        </w:rPr>
        <w:t>s</w:t>
      </w:r>
      <w:r w:rsidR="003108F9" w:rsidRPr="0055253B">
        <w:rPr>
          <w:rFonts w:cstheme="minorHAnsi"/>
          <w:lang w:val="en-US"/>
        </w:rPr>
        <w:t xml:space="preserve"> to more transparency and better access for societal groups.</w:t>
      </w:r>
      <w:r w:rsidRPr="0055253B">
        <w:rPr>
          <w:rFonts w:cstheme="minorHAnsi"/>
          <w:lang w:val="en-US"/>
        </w:rPr>
        <w:t xml:space="preserve">  </w:t>
      </w:r>
      <w:r>
        <w:rPr>
          <w:rFonts w:cstheme="minorHAnsi"/>
          <w:lang w:val="en-US"/>
        </w:rPr>
        <w:t>The flipside is</w:t>
      </w:r>
      <w:r w:rsidRPr="0055253B">
        <w:rPr>
          <w:rFonts w:cstheme="minorHAnsi"/>
          <w:lang w:val="en-US"/>
        </w:rPr>
        <w:t xml:space="preserve"> less efficient policy-making in terms of output, with a significantly higher rate of ratification failures </w:t>
      </w:r>
      <w:r w:rsidR="003108F9">
        <w:rPr>
          <w:rFonts w:cstheme="minorHAnsi"/>
          <w:lang w:val="en-US"/>
        </w:rPr>
        <w:t>(Hooghe/Marks</w:t>
      </w:r>
      <w:r w:rsidR="004A1C09">
        <w:rPr>
          <w:rFonts w:cstheme="minorHAnsi"/>
          <w:lang w:val="en-US"/>
        </w:rPr>
        <w:t>,</w:t>
      </w:r>
      <w:r w:rsidR="003108F9">
        <w:rPr>
          <w:rFonts w:cstheme="minorHAnsi"/>
          <w:lang w:val="en-US"/>
        </w:rPr>
        <w:t xml:space="preserve"> 2009). Can these effects be observed in a politicized CFP, too?</w:t>
      </w:r>
    </w:p>
    <w:p w:rsidR="003108F9" w:rsidRPr="0055253B" w:rsidRDefault="003108F9" w:rsidP="008E13C5">
      <w:pPr>
        <w:spacing w:after="0" w:line="360" w:lineRule="auto"/>
        <w:jc w:val="both"/>
        <w:rPr>
          <w:rFonts w:cstheme="minorHAnsi"/>
          <w:lang w:val="en-US"/>
        </w:rPr>
      </w:pPr>
    </w:p>
    <w:p w:rsidR="00517AFC" w:rsidRPr="004A1C09" w:rsidRDefault="004A1C09" w:rsidP="00517AFC">
      <w:pPr>
        <w:spacing w:after="0" w:line="360" w:lineRule="auto"/>
        <w:jc w:val="both"/>
        <w:rPr>
          <w:rFonts w:cstheme="minorHAnsi"/>
          <w:b/>
          <w:lang w:val="en-US"/>
        </w:rPr>
      </w:pPr>
      <w:r w:rsidRPr="004A1C09">
        <w:rPr>
          <w:rFonts w:cstheme="minorHAnsi"/>
          <w:b/>
          <w:lang w:val="en-US"/>
        </w:rPr>
        <w:t>2.</w:t>
      </w:r>
      <w:r w:rsidR="00877C46" w:rsidRPr="004A1C09">
        <w:rPr>
          <w:rFonts w:cstheme="minorHAnsi"/>
          <w:b/>
          <w:lang w:val="en-US"/>
        </w:rPr>
        <w:t xml:space="preserve"> </w:t>
      </w:r>
      <w:r w:rsidR="00E220F8" w:rsidRPr="004A1C09">
        <w:rPr>
          <w:rFonts w:cstheme="minorHAnsi"/>
          <w:b/>
          <w:lang w:val="en-US"/>
        </w:rPr>
        <w:t xml:space="preserve">Politicization of </w:t>
      </w:r>
      <w:r w:rsidR="00877C46" w:rsidRPr="004A1C09">
        <w:rPr>
          <w:rFonts w:cstheme="minorHAnsi"/>
          <w:b/>
          <w:lang w:val="en-US"/>
        </w:rPr>
        <w:t xml:space="preserve">Fisheries </w:t>
      </w:r>
      <w:r w:rsidR="00E220F8" w:rsidRPr="004A1C09">
        <w:rPr>
          <w:rFonts w:cstheme="minorHAnsi"/>
          <w:b/>
          <w:lang w:val="en-US"/>
        </w:rPr>
        <w:t>Policy in the EU</w:t>
      </w:r>
      <w:r w:rsidR="006349E1" w:rsidRPr="004A1C09">
        <w:rPr>
          <w:rFonts w:cstheme="minorHAnsi"/>
          <w:b/>
          <w:lang w:val="en-US"/>
        </w:rPr>
        <w:t>?</w:t>
      </w:r>
      <w:r w:rsidR="00517AFC" w:rsidRPr="004A1C09">
        <w:rPr>
          <w:rFonts w:cstheme="minorHAnsi"/>
          <w:b/>
          <w:lang w:val="en-US"/>
        </w:rPr>
        <w:t xml:space="preserve"> </w:t>
      </w:r>
    </w:p>
    <w:p w:rsidR="00101ABD" w:rsidRDefault="00E71EC3" w:rsidP="002405F6">
      <w:pPr>
        <w:spacing w:after="0" w:line="360" w:lineRule="auto"/>
        <w:jc w:val="both"/>
        <w:rPr>
          <w:rFonts w:cstheme="minorHAnsi"/>
          <w:lang w:val="en-US"/>
        </w:rPr>
      </w:pPr>
      <w:r>
        <w:rPr>
          <w:rFonts w:cstheme="minorHAnsi"/>
          <w:lang w:val="en-US"/>
        </w:rPr>
        <w:t>For decades, fisheries was a neglected part of European integration</w:t>
      </w:r>
      <w:r w:rsidR="00681BAF">
        <w:rPr>
          <w:rFonts w:cstheme="minorHAnsi"/>
          <w:lang w:val="en-US"/>
        </w:rPr>
        <w:t xml:space="preserve">, and </w:t>
      </w:r>
      <w:r w:rsidR="00E70F86">
        <w:rPr>
          <w:rFonts w:cstheme="minorHAnsi"/>
          <w:lang w:val="en-US"/>
        </w:rPr>
        <w:t xml:space="preserve">to this </w:t>
      </w:r>
      <w:r w:rsidR="00681BAF">
        <w:rPr>
          <w:rFonts w:cstheme="minorHAnsi"/>
          <w:lang w:val="en-US"/>
        </w:rPr>
        <w:t xml:space="preserve">day it </w:t>
      </w:r>
      <w:r w:rsidR="00101ABD">
        <w:rPr>
          <w:rFonts w:cstheme="minorHAnsi"/>
          <w:lang w:val="en-US"/>
        </w:rPr>
        <w:t xml:space="preserve">has almost no place </w:t>
      </w:r>
      <w:r w:rsidR="00681BAF">
        <w:rPr>
          <w:rFonts w:cstheme="minorHAnsi"/>
          <w:lang w:val="en-US"/>
        </w:rPr>
        <w:t xml:space="preserve">in most textbooks on the EU. Barely registered in the Rome treaties, </w:t>
      </w:r>
      <w:r w:rsidR="00E17E46">
        <w:rPr>
          <w:rFonts w:cstheme="minorHAnsi"/>
          <w:lang w:val="en-US"/>
        </w:rPr>
        <w:t>the Common</w:t>
      </w:r>
      <w:r w:rsidR="00AD3400">
        <w:rPr>
          <w:rFonts w:cstheme="minorHAnsi"/>
          <w:lang w:val="en-US"/>
        </w:rPr>
        <w:t xml:space="preserve"> Fisheries Policy (CFP)</w:t>
      </w:r>
      <w:r>
        <w:rPr>
          <w:rFonts w:cstheme="minorHAnsi"/>
          <w:lang w:val="en-US"/>
        </w:rPr>
        <w:t xml:space="preserve"> was considered </w:t>
      </w:r>
      <w:r w:rsidR="00F46BFB">
        <w:rPr>
          <w:rFonts w:cstheme="minorHAnsi"/>
          <w:lang w:val="en-US"/>
        </w:rPr>
        <w:t xml:space="preserve">part of </w:t>
      </w:r>
      <w:r>
        <w:rPr>
          <w:rFonts w:cstheme="minorHAnsi"/>
          <w:lang w:val="en-US"/>
        </w:rPr>
        <w:t xml:space="preserve">the </w:t>
      </w:r>
      <w:r w:rsidR="00F46BFB">
        <w:rPr>
          <w:rFonts w:cstheme="minorHAnsi"/>
          <w:lang w:val="en-US"/>
        </w:rPr>
        <w:t>C</w:t>
      </w:r>
      <w:r>
        <w:rPr>
          <w:rFonts w:cstheme="minorHAnsi"/>
          <w:lang w:val="en-US"/>
        </w:rPr>
        <w:t xml:space="preserve">ommon </w:t>
      </w:r>
      <w:r w:rsidR="00F46BFB">
        <w:rPr>
          <w:rFonts w:cstheme="minorHAnsi"/>
          <w:lang w:val="en-US"/>
        </w:rPr>
        <w:t>A</w:t>
      </w:r>
      <w:r>
        <w:rPr>
          <w:rFonts w:cstheme="minorHAnsi"/>
          <w:lang w:val="en-US"/>
        </w:rPr>
        <w:t xml:space="preserve">gricultural </w:t>
      </w:r>
      <w:r w:rsidR="00F46BFB">
        <w:rPr>
          <w:rFonts w:cstheme="minorHAnsi"/>
          <w:lang w:val="en-US"/>
        </w:rPr>
        <w:t>P</w:t>
      </w:r>
      <w:r>
        <w:rPr>
          <w:rFonts w:cstheme="minorHAnsi"/>
          <w:lang w:val="en-US"/>
        </w:rPr>
        <w:t>olicy</w:t>
      </w:r>
      <w:r w:rsidR="00304850">
        <w:rPr>
          <w:rFonts w:cstheme="minorHAnsi"/>
          <w:lang w:val="en-US"/>
        </w:rPr>
        <w:t xml:space="preserve"> (CAP)</w:t>
      </w:r>
      <w:r>
        <w:rPr>
          <w:rFonts w:cstheme="minorHAnsi"/>
          <w:lang w:val="en-US"/>
        </w:rPr>
        <w:t>, and thus subject to supranational governance</w:t>
      </w:r>
      <w:r w:rsidR="00F46BFB">
        <w:rPr>
          <w:rFonts w:cstheme="minorHAnsi"/>
          <w:lang w:val="en-US"/>
        </w:rPr>
        <w:t xml:space="preserve">. </w:t>
      </w:r>
      <w:r w:rsidR="00202257">
        <w:rPr>
          <w:rFonts w:cstheme="minorHAnsi"/>
          <w:lang w:val="en-US"/>
        </w:rPr>
        <w:t xml:space="preserve">However, only with the accession </w:t>
      </w:r>
      <w:r w:rsidR="009D766C">
        <w:rPr>
          <w:rFonts w:cstheme="minorHAnsi"/>
          <w:lang w:val="en-US"/>
        </w:rPr>
        <w:t xml:space="preserve">to the European Community </w:t>
      </w:r>
      <w:r w:rsidR="00202257">
        <w:rPr>
          <w:rFonts w:cstheme="minorHAnsi"/>
          <w:lang w:val="en-US"/>
        </w:rPr>
        <w:t>of important fishing nations</w:t>
      </w:r>
      <w:r w:rsidR="00973583">
        <w:rPr>
          <w:rFonts w:cstheme="minorHAnsi"/>
          <w:lang w:val="en-US"/>
        </w:rPr>
        <w:t xml:space="preserve">, such as the UK, Spain or Portugal, </w:t>
      </w:r>
      <w:r w:rsidR="00202257">
        <w:rPr>
          <w:rFonts w:cstheme="minorHAnsi"/>
          <w:lang w:val="en-US"/>
        </w:rPr>
        <w:t xml:space="preserve">did fisheries become an issue of concern for European politics. </w:t>
      </w:r>
      <w:r w:rsidR="00101ABD">
        <w:rPr>
          <w:rFonts w:cstheme="minorHAnsi"/>
          <w:lang w:val="en-US"/>
        </w:rPr>
        <w:t>T</w:t>
      </w:r>
      <w:r w:rsidR="004D0F28">
        <w:rPr>
          <w:rFonts w:cstheme="minorHAnsi"/>
          <w:lang w:val="en-US"/>
        </w:rPr>
        <w:t xml:space="preserve">he principles of the CAP were used in the first regulations, providing for a common market </w:t>
      </w:r>
      <w:r w:rsidR="00304850">
        <w:rPr>
          <w:rFonts w:cstheme="minorHAnsi"/>
          <w:lang w:val="en-US"/>
        </w:rPr>
        <w:t xml:space="preserve">in fisheries products </w:t>
      </w:r>
      <w:r w:rsidR="004D0F28">
        <w:rPr>
          <w:rFonts w:cstheme="minorHAnsi"/>
          <w:lang w:val="en-US"/>
        </w:rPr>
        <w:t>and structural aid for fishing regions (Penas-Lado</w:t>
      </w:r>
      <w:r w:rsidR="00304850">
        <w:rPr>
          <w:rFonts w:cstheme="minorHAnsi"/>
          <w:lang w:val="en-US"/>
        </w:rPr>
        <w:t xml:space="preserve"> 2016</w:t>
      </w:r>
      <w:r w:rsidR="004A1C09">
        <w:rPr>
          <w:rFonts w:cstheme="minorHAnsi"/>
          <w:lang w:val="en-US"/>
        </w:rPr>
        <w:t>, p.</w:t>
      </w:r>
      <w:r w:rsidR="004D0F28">
        <w:rPr>
          <w:rFonts w:cstheme="minorHAnsi"/>
          <w:lang w:val="en-US"/>
        </w:rPr>
        <w:t xml:space="preserve"> 22)</w:t>
      </w:r>
      <w:r w:rsidR="00E70F86">
        <w:rPr>
          <w:rFonts w:cstheme="minorHAnsi"/>
          <w:lang w:val="en-US"/>
        </w:rPr>
        <w:t>.</w:t>
      </w:r>
      <w:r w:rsidR="00E70F86" w:rsidRPr="00E70F86">
        <w:rPr>
          <w:rFonts w:cstheme="minorHAnsi"/>
          <w:lang w:val="en-US"/>
        </w:rPr>
        <w:t xml:space="preserve"> </w:t>
      </w:r>
      <w:r w:rsidR="00304850">
        <w:rPr>
          <w:rFonts w:cstheme="minorHAnsi"/>
          <w:lang w:val="en-US"/>
        </w:rPr>
        <w:t xml:space="preserve">With regard to the external </w:t>
      </w:r>
      <w:r w:rsidR="004A6ED7">
        <w:rPr>
          <w:rFonts w:cstheme="minorHAnsi"/>
          <w:lang w:val="en-US"/>
        </w:rPr>
        <w:t xml:space="preserve">dimension, there were few rules </w:t>
      </w:r>
      <w:r w:rsidR="00973583">
        <w:rPr>
          <w:rFonts w:cstheme="minorHAnsi"/>
          <w:lang w:val="en-US"/>
        </w:rPr>
        <w:t>that</w:t>
      </w:r>
      <w:r w:rsidR="004A6ED7">
        <w:rPr>
          <w:rFonts w:cstheme="minorHAnsi"/>
          <w:lang w:val="en-US"/>
        </w:rPr>
        <w:t xml:space="preserve"> governed the activities of EU vessels. </w:t>
      </w:r>
      <w:r w:rsidR="00E70F86">
        <w:rPr>
          <w:rFonts w:cstheme="minorHAnsi"/>
          <w:lang w:val="en-US"/>
        </w:rPr>
        <w:t xml:space="preserve">In </w:t>
      </w:r>
      <w:r w:rsidR="00E70F86">
        <w:rPr>
          <w:lang w:val="en-US"/>
        </w:rPr>
        <w:t xml:space="preserve">1982, </w:t>
      </w:r>
      <w:r w:rsidR="004A6ED7">
        <w:rPr>
          <w:lang w:val="en-US"/>
        </w:rPr>
        <w:t xml:space="preserve">however, </w:t>
      </w:r>
      <w:r w:rsidR="00E70F86">
        <w:rPr>
          <w:lang w:val="en-US"/>
        </w:rPr>
        <w:t>the</w:t>
      </w:r>
      <w:r w:rsidR="00E70F86" w:rsidRPr="00AD3400">
        <w:rPr>
          <w:lang w:val="en-US"/>
        </w:rPr>
        <w:t xml:space="preserve"> </w:t>
      </w:r>
      <w:r w:rsidR="00E70F86" w:rsidRPr="00714AB7">
        <w:rPr>
          <w:lang w:val="en-US"/>
        </w:rPr>
        <w:t>United Nations Convention on the Law of t</w:t>
      </w:r>
      <w:r w:rsidR="00973583">
        <w:rPr>
          <w:lang w:val="en-US"/>
        </w:rPr>
        <w:t>he Sea (UNCLOS) was signed and</w:t>
      </w:r>
      <w:r w:rsidR="00E70F86" w:rsidRPr="00714AB7">
        <w:rPr>
          <w:lang w:val="en-US"/>
        </w:rPr>
        <w:t xml:space="preserve"> gave marine states jurisdiction</w:t>
      </w:r>
      <w:r w:rsidR="00E70F86">
        <w:rPr>
          <w:lang w:val="en-US"/>
        </w:rPr>
        <w:t xml:space="preserve"> over an exclusive economic zo</w:t>
      </w:r>
      <w:r w:rsidR="00E70F86" w:rsidRPr="00714AB7">
        <w:rPr>
          <w:lang w:val="en-US"/>
        </w:rPr>
        <w:t>ne (EEZ) stretching 200 </w:t>
      </w:r>
      <w:hyperlink r:id="rId6" w:tooltip="Nautical mile" w:history="1">
        <w:r w:rsidR="00E70F86" w:rsidRPr="00714AB7">
          <w:rPr>
            <w:lang w:val="en-US"/>
          </w:rPr>
          <w:t>nautical miles</w:t>
        </w:r>
      </w:hyperlink>
      <w:r w:rsidR="00E70F86" w:rsidRPr="00AD3400">
        <w:rPr>
          <w:lang w:val="en-US"/>
        </w:rPr>
        <w:t xml:space="preserve"> </w:t>
      </w:r>
      <w:r w:rsidR="00E70F86">
        <w:rPr>
          <w:lang w:val="en-US"/>
        </w:rPr>
        <w:t xml:space="preserve">from the shoreline. </w:t>
      </w:r>
      <w:r w:rsidR="002908D2">
        <w:rPr>
          <w:lang w:val="en-US"/>
        </w:rPr>
        <w:t xml:space="preserve">Partly as a reaction, the EU in </w:t>
      </w:r>
      <w:r w:rsidR="002908D2">
        <w:rPr>
          <w:rFonts w:cstheme="minorHAnsi"/>
          <w:lang w:val="en-US"/>
        </w:rPr>
        <w:t>1983 forma</w:t>
      </w:r>
      <w:r w:rsidR="008A01F5">
        <w:rPr>
          <w:rFonts w:cstheme="minorHAnsi"/>
          <w:lang w:val="en-US"/>
        </w:rPr>
        <w:t>l</w:t>
      </w:r>
      <w:r w:rsidR="002908D2">
        <w:rPr>
          <w:rFonts w:cstheme="minorHAnsi"/>
          <w:lang w:val="en-US"/>
        </w:rPr>
        <w:t>l</w:t>
      </w:r>
      <w:r w:rsidR="008A01F5">
        <w:rPr>
          <w:rFonts w:cstheme="minorHAnsi"/>
          <w:lang w:val="en-US"/>
        </w:rPr>
        <w:t>y</w:t>
      </w:r>
      <w:r w:rsidR="002908D2">
        <w:rPr>
          <w:rFonts w:cstheme="minorHAnsi"/>
          <w:lang w:val="en-US"/>
        </w:rPr>
        <w:t xml:space="preserve"> adopted the CFP.</w:t>
      </w:r>
      <w:r w:rsidR="002908D2" w:rsidRPr="002405F6">
        <w:rPr>
          <w:lang w:val="en-US"/>
        </w:rPr>
        <w:t xml:space="preserve"> </w:t>
      </w:r>
      <w:r w:rsidR="00E70F86">
        <w:rPr>
          <w:lang w:val="en-US"/>
        </w:rPr>
        <w:t>Since</w:t>
      </w:r>
      <w:r w:rsidR="00E70F86" w:rsidRPr="00E70F86">
        <w:rPr>
          <w:lang w:val="en-US"/>
        </w:rPr>
        <w:t xml:space="preserve"> a</w:t>
      </w:r>
      <w:r w:rsidR="00F655A2">
        <w:rPr>
          <w:lang w:val="en-US"/>
        </w:rPr>
        <w:t>bout a</w:t>
      </w:r>
      <w:r w:rsidR="00E70F86" w:rsidRPr="00E70F86">
        <w:rPr>
          <w:lang w:val="en-US"/>
        </w:rPr>
        <w:t xml:space="preserve"> quarter of </w:t>
      </w:r>
      <w:r w:rsidR="00E70F86">
        <w:rPr>
          <w:lang w:val="en-US"/>
        </w:rPr>
        <w:t xml:space="preserve">the </w:t>
      </w:r>
      <w:r w:rsidR="00E70F86" w:rsidRPr="00E70F86">
        <w:rPr>
          <w:lang w:val="en-US"/>
        </w:rPr>
        <w:t xml:space="preserve">fish taken by EU vessels </w:t>
      </w:r>
      <w:r w:rsidR="008A01F5">
        <w:rPr>
          <w:lang w:val="en-US"/>
        </w:rPr>
        <w:t>came</w:t>
      </w:r>
      <w:r w:rsidR="00E70F86" w:rsidRPr="00E70F86">
        <w:rPr>
          <w:lang w:val="en-US"/>
        </w:rPr>
        <w:t xml:space="preserve"> from waters outside the EU, international policies and agreements </w:t>
      </w:r>
      <w:r w:rsidR="008A01F5">
        <w:rPr>
          <w:lang w:val="en-US"/>
        </w:rPr>
        <w:t>were</w:t>
      </w:r>
      <w:r w:rsidR="00E70F86" w:rsidRPr="00E70F86">
        <w:rPr>
          <w:lang w:val="en-US"/>
        </w:rPr>
        <w:t xml:space="preserve"> of vital importance.</w:t>
      </w:r>
      <w:r w:rsidR="00E70F86">
        <w:rPr>
          <w:lang w:val="en-US"/>
        </w:rPr>
        <w:t xml:space="preserve"> </w:t>
      </w:r>
      <w:r w:rsidR="008A01F5">
        <w:rPr>
          <w:lang w:val="en-US"/>
        </w:rPr>
        <w:t>Since the 1990s</w:t>
      </w:r>
      <w:r w:rsidR="00F655A2">
        <w:rPr>
          <w:lang w:val="en-US"/>
        </w:rPr>
        <w:t xml:space="preserve">, the </w:t>
      </w:r>
      <w:r w:rsidR="00F655A2">
        <w:rPr>
          <w:rFonts w:cstheme="minorHAnsi"/>
          <w:lang w:val="en-US"/>
        </w:rPr>
        <w:t xml:space="preserve">EU has intensified the external dimension of its fisheries policies by negotiating access rights via so-called partnership agreements and </w:t>
      </w:r>
      <w:r w:rsidR="008A01F5">
        <w:rPr>
          <w:rFonts w:cstheme="minorHAnsi"/>
          <w:lang w:val="en-US"/>
        </w:rPr>
        <w:t>by participating</w:t>
      </w:r>
      <w:r w:rsidR="00F655A2">
        <w:rPr>
          <w:rFonts w:cstheme="minorHAnsi"/>
          <w:lang w:val="en-US"/>
        </w:rPr>
        <w:t xml:space="preserve"> in international fisheries management organization</w:t>
      </w:r>
      <w:r w:rsidR="00101ABD">
        <w:rPr>
          <w:rFonts w:cstheme="minorHAnsi"/>
          <w:lang w:val="en-US"/>
        </w:rPr>
        <w:t>s</w:t>
      </w:r>
      <w:r w:rsidR="00F655A2">
        <w:rPr>
          <w:rFonts w:cstheme="minorHAnsi"/>
          <w:lang w:val="en-US"/>
        </w:rPr>
        <w:t xml:space="preserve">. </w:t>
      </w:r>
    </w:p>
    <w:p w:rsidR="00101ABD" w:rsidRDefault="00101ABD" w:rsidP="00101ABD">
      <w:pPr>
        <w:spacing w:after="0" w:line="360" w:lineRule="auto"/>
        <w:jc w:val="both"/>
        <w:rPr>
          <w:rFonts w:cstheme="minorHAnsi"/>
          <w:lang w:val="en-US"/>
        </w:rPr>
      </w:pPr>
      <w:r>
        <w:rPr>
          <w:rFonts w:cstheme="minorHAnsi"/>
          <w:lang w:val="en-US"/>
        </w:rPr>
        <w:t>The</w:t>
      </w:r>
      <w:r w:rsidR="003B4CED">
        <w:rPr>
          <w:rFonts w:cstheme="minorHAnsi"/>
          <w:lang w:val="en-US"/>
        </w:rPr>
        <w:t xml:space="preserve"> </w:t>
      </w:r>
      <w:r w:rsidR="00713447">
        <w:rPr>
          <w:rFonts w:cstheme="minorHAnsi"/>
          <w:lang w:val="en-US"/>
        </w:rPr>
        <w:t xml:space="preserve">early </w:t>
      </w:r>
      <w:r w:rsidR="003B4CED">
        <w:rPr>
          <w:rFonts w:cstheme="minorHAnsi"/>
          <w:lang w:val="en-US"/>
        </w:rPr>
        <w:t>CFP</w:t>
      </w:r>
      <w:r w:rsidR="00973583">
        <w:rPr>
          <w:rFonts w:cstheme="minorHAnsi"/>
          <w:lang w:val="en-US"/>
        </w:rPr>
        <w:t xml:space="preserve"> </w:t>
      </w:r>
      <w:r>
        <w:rPr>
          <w:rFonts w:cstheme="minorHAnsi"/>
          <w:lang w:val="en-US"/>
        </w:rPr>
        <w:t>was governed by</w:t>
      </w:r>
      <w:r w:rsidR="003B4CED">
        <w:rPr>
          <w:rFonts w:cstheme="minorHAnsi"/>
          <w:lang w:val="en-US"/>
        </w:rPr>
        <w:t xml:space="preserve"> </w:t>
      </w:r>
      <w:r w:rsidR="00E71EC3">
        <w:rPr>
          <w:rFonts w:cstheme="minorHAnsi"/>
          <w:lang w:val="en-US"/>
        </w:rPr>
        <w:t xml:space="preserve">a marine-industrial complex </w:t>
      </w:r>
      <w:r w:rsidR="00A06E5A">
        <w:rPr>
          <w:rFonts w:cstheme="minorHAnsi"/>
          <w:lang w:val="en-US"/>
        </w:rPr>
        <w:t>in which</w:t>
      </w:r>
      <w:r>
        <w:rPr>
          <w:rFonts w:cstheme="minorHAnsi"/>
          <w:lang w:val="en-US"/>
        </w:rPr>
        <w:t xml:space="preserve"> </w:t>
      </w:r>
      <w:r w:rsidR="00E71EC3">
        <w:rPr>
          <w:rFonts w:cstheme="minorHAnsi"/>
          <w:lang w:val="en-US"/>
        </w:rPr>
        <w:t>the distribution of</w:t>
      </w:r>
      <w:r w:rsidR="0093229C">
        <w:rPr>
          <w:rFonts w:cstheme="minorHAnsi"/>
          <w:lang w:val="en-US"/>
        </w:rPr>
        <w:t xml:space="preserve"> quotas and the </w:t>
      </w:r>
      <w:r>
        <w:rPr>
          <w:rFonts w:cstheme="minorHAnsi"/>
          <w:lang w:val="en-US"/>
        </w:rPr>
        <w:t>writing</w:t>
      </w:r>
      <w:r w:rsidR="003B4CED">
        <w:rPr>
          <w:rFonts w:cstheme="minorHAnsi"/>
          <w:lang w:val="en-US"/>
        </w:rPr>
        <w:t xml:space="preserve"> of the </w:t>
      </w:r>
      <w:r w:rsidR="00D15070">
        <w:rPr>
          <w:rFonts w:cstheme="minorHAnsi"/>
          <w:lang w:val="en-US"/>
        </w:rPr>
        <w:t xml:space="preserve">complicated </w:t>
      </w:r>
      <w:r w:rsidR="0093229C">
        <w:rPr>
          <w:rFonts w:cstheme="minorHAnsi"/>
          <w:lang w:val="en-US"/>
        </w:rPr>
        <w:t>regulations</w:t>
      </w:r>
      <w:r>
        <w:rPr>
          <w:rFonts w:cstheme="minorHAnsi"/>
          <w:lang w:val="en-US"/>
        </w:rPr>
        <w:t xml:space="preserve"> </w:t>
      </w:r>
      <w:r w:rsidR="00A06E5A">
        <w:rPr>
          <w:rFonts w:cstheme="minorHAnsi"/>
          <w:lang w:val="en-US"/>
        </w:rPr>
        <w:t xml:space="preserve">was negotiated behind closed doors </w:t>
      </w:r>
      <w:r>
        <w:rPr>
          <w:rFonts w:cstheme="minorHAnsi"/>
          <w:lang w:val="en-US"/>
        </w:rPr>
        <w:t>(Lövin</w:t>
      </w:r>
      <w:r w:rsidR="004A1C09">
        <w:rPr>
          <w:rFonts w:cstheme="minorHAnsi"/>
          <w:lang w:val="en-US"/>
        </w:rPr>
        <w:t>,</w:t>
      </w:r>
      <w:r>
        <w:rPr>
          <w:rFonts w:cstheme="minorHAnsi"/>
          <w:lang w:val="en-US"/>
        </w:rPr>
        <w:t xml:space="preserve"> </w:t>
      </w:r>
      <w:r w:rsidR="00973583">
        <w:rPr>
          <w:rFonts w:cstheme="minorHAnsi"/>
          <w:lang w:val="en-US"/>
        </w:rPr>
        <w:t>2012</w:t>
      </w:r>
      <w:r w:rsidR="004A1C09">
        <w:rPr>
          <w:rFonts w:cstheme="minorHAnsi"/>
          <w:lang w:val="en-US"/>
        </w:rPr>
        <w:t>; Wakefield, 2016, pp.</w:t>
      </w:r>
      <w:r w:rsidR="006513DB">
        <w:rPr>
          <w:rFonts w:cstheme="minorHAnsi"/>
          <w:lang w:val="en-US"/>
        </w:rPr>
        <w:t xml:space="preserve"> 55-7</w:t>
      </w:r>
      <w:r>
        <w:rPr>
          <w:rFonts w:cstheme="minorHAnsi"/>
          <w:lang w:val="en-US"/>
        </w:rPr>
        <w:t>)</w:t>
      </w:r>
      <w:r w:rsidR="00E71EC3">
        <w:rPr>
          <w:rFonts w:cstheme="minorHAnsi"/>
          <w:lang w:val="en-US"/>
        </w:rPr>
        <w:t xml:space="preserve">. </w:t>
      </w:r>
      <w:r w:rsidR="00713447">
        <w:rPr>
          <w:rFonts w:cstheme="minorHAnsi"/>
          <w:lang w:val="en-US"/>
        </w:rPr>
        <w:t>This</w:t>
      </w:r>
      <w:r w:rsidR="00D15070">
        <w:rPr>
          <w:rFonts w:cstheme="minorHAnsi"/>
          <w:lang w:val="en-US"/>
        </w:rPr>
        <w:t xml:space="preserve"> </w:t>
      </w:r>
      <w:r w:rsidR="0093229C">
        <w:rPr>
          <w:rFonts w:cstheme="minorHAnsi"/>
          <w:lang w:val="en-US"/>
        </w:rPr>
        <w:t>was dominated by the core fishing nations of the EU in the Council</w:t>
      </w:r>
      <w:r>
        <w:rPr>
          <w:rFonts w:cstheme="minorHAnsi"/>
          <w:lang w:val="en-US"/>
        </w:rPr>
        <w:t xml:space="preserve">, particularly </w:t>
      </w:r>
      <w:r>
        <w:rPr>
          <w:rFonts w:cstheme="minorHAnsi"/>
          <w:lang w:val="en-US"/>
        </w:rPr>
        <w:lastRenderedPageBreak/>
        <w:t>Spain and France</w:t>
      </w:r>
      <w:r w:rsidR="0093229C">
        <w:rPr>
          <w:rFonts w:cstheme="minorHAnsi"/>
          <w:lang w:val="en-US"/>
        </w:rPr>
        <w:t>.</w:t>
      </w:r>
      <w:r w:rsidR="003B4CED">
        <w:rPr>
          <w:rFonts w:cstheme="minorHAnsi"/>
          <w:lang w:val="en-US"/>
        </w:rPr>
        <w:t xml:space="preserve"> B</w:t>
      </w:r>
      <w:r w:rsidR="002405F6" w:rsidRPr="0055253B">
        <w:rPr>
          <w:rFonts w:cstheme="minorHAnsi"/>
          <w:lang w:val="en-US"/>
        </w:rPr>
        <w:t>ig sector</w:t>
      </w:r>
      <w:r>
        <w:rPr>
          <w:rFonts w:cstheme="minorHAnsi"/>
          <w:lang w:val="en-US"/>
        </w:rPr>
        <w:t xml:space="preserve"> organizations like Europêche and</w:t>
      </w:r>
      <w:r w:rsidR="002405F6" w:rsidRPr="0055253B">
        <w:rPr>
          <w:rFonts w:cstheme="minorHAnsi"/>
          <w:lang w:val="en-US"/>
        </w:rPr>
        <w:t xml:space="preserve"> the Fre</w:t>
      </w:r>
      <w:r w:rsidR="00713447">
        <w:rPr>
          <w:rFonts w:cstheme="minorHAnsi"/>
          <w:lang w:val="en-US"/>
        </w:rPr>
        <w:t>nch and Spanish fisheries organization</w:t>
      </w:r>
      <w:r w:rsidR="002405F6" w:rsidRPr="0055253B">
        <w:rPr>
          <w:rFonts w:cstheme="minorHAnsi"/>
          <w:lang w:val="en-US"/>
        </w:rPr>
        <w:t xml:space="preserve">s </w:t>
      </w:r>
      <w:r w:rsidR="003B4CED">
        <w:rPr>
          <w:rFonts w:cstheme="minorHAnsi"/>
          <w:lang w:val="en-US"/>
        </w:rPr>
        <w:t xml:space="preserve">with their </w:t>
      </w:r>
      <w:r w:rsidR="002405F6" w:rsidRPr="0055253B">
        <w:rPr>
          <w:rFonts w:cstheme="minorHAnsi"/>
          <w:lang w:val="en-US"/>
        </w:rPr>
        <w:t>permanent representatives in Brussels</w:t>
      </w:r>
      <w:r w:rsidRPr="00101ABD">
        <w:rPr>
          <w:rFonts w:cstheme="minorHAnsi"/>
          <w:lang w:val="en-US"/>
        </w:rPr>
        <w:t xml:space="preserve"> </w:t>
      </w:r>
      <w:r>
        <w:rPr>
          <w:rFonts w:cstheme="minorHAnsi"/>
          <w:lang w:val="en-US"/>
        </w:rPr>
        <w:t>dominated lobbying</w:t>
      </w:r>
      <w:r w:rsidR="002405F6" w:rsidRPr="0055253B">
        <w:rPr>
          <w:rFonts w:cstheme="minorHAnsi"/>
          <w:lang w:val="en-US"/>
        </w:rPr>
        <w:t>, similarly to influential agricultural groups</w:t>
      </w:r>
      <w:r w:rsidR="003B4CED">
        <w:rPr>
          <w:rFonts w:cstheme="minorHAnsi"/>
          <w:lang w:val="en-US"/>
        </w:rPr>
        <w:t xml:space="preserve"> </w:t>
      </w:r>
      <w:r w:rsidR="00D7505B">
        <w:rPr>
          <w:rFonts w:cstheme="minorHAnsi"/>
          <w:lang w:val="en-US"/>
        </w:rPr>
        <w:t xml:space="preserve">in the CAP </w:t>
      </w:r>
      <w:r w:rsidR="003B4CED" w:rsidRPr="0055253B">
        <w:rPr>
          <w:rFonts w:cstheme="minorHAnsi"/>
          <w:lang w:val="en-US"/>
        </w:rPr>
        <w:t>(Griffin</w:t>
      </w:r>
      <w:r w:rsidR="004A1C09">
        <w:rPr>
          <w:rFonts w:cstheme="minorHAnsi"/>
          <w:lang w:val="en-US"/>
        </w:rPr>
        <w:t>,</w:t>
      </w:r>
      <w:r w:rsidR="003B4CED" w:rsidRPr="0055253B">
        <w:rPr>
          <w:rFonts w:cstheme="minorHAnsi"/>
          <w:lang w:val="en-US"/>
        </w:rPr>
        <w:t xml:space="preserve"> 2010; Payne</w:t>
      </w:r>
      <w:r w:rsidR="004A1C09">
        <w:rPr>
          <w:rFonts w:cstheme="minorHAnsi"/>
          <w:lang w:val="en-US"/>
        </w:rPr>
        <w:t>,</w:t>
      </w:r>
      <w:r w:rsidR="003B4CED" w:rsidRPr="0055253B">
        <w:rPr>
          <w:rFonts w:cstheme="minorHAnsi"/>
          <w:lang w:val="en-US"/>
        </w:rPr>
        <w:t xml:space="preserve"> 2000).</w:t>
      </w:r>
      <w:r w:rsidR="003B4CED">
        <w:rPr>
          <w:rFonts w:cstheme="minorHAnsi"/>
          <w:lang w:val="en-US"/>
        </w:rPr>
        <w:t xml:space="preserve"> Scientific advice was </w:t>
      </w:r>
      <w:r w:rsidR="00D7505B">
        <w:rPr>
          <w:rFonts w:cstheme="minorHAnsi"/>
          <w:lang w:val="en-US"/>
        </w:rPr>
        <w:t>requested</w:t>
      </w:r>
      <w:r>
        <w:rPr>
          <w:rFonts w:cstheme="minorHAnsi"/>
          <w:lang w:val="en-US"/>
        </w:rPr>
        <w:t xml:space="preserve">, but </w:t>
      </w:r>
      <w:r w:rsidR="00D7505B">
        <w:rPr>
          <w:rFonts w:cstheme="minorHAnsi"/>
          <w:lang w:val="en-US"/>
        </w:rPr>
        <w:t xml:space="preserve">the recommendations were </w:t>
      </w:r>
      <w:r w:rsidR="003B4CED">
        <w:rPr>
          <w:rFonts w:cstheme="minorHAnsi"/>
          <w:lang w:val="en-US"/>
        </w:rPr>
        <w:t>usually disregarded (Daw and Gray</w:t>
      </w:r>
      <w:r w:rsidR="004A1C09">
        <w:rPr>
          <w:rFonts w:cstheme="minorHAnsi"/>
          <w:lang w:val="en-US"/>
        </w:rPr>
        <w:t>,</w:t>
      </w:r>
      <w:r w:rsidR="003B4CED">
        <w:rPr>
          <w:rFonts w:cstheme="minorHAnsi"/>
          <w:lang w:val="en-US"/>
        </w:rPr>
        <w:t xml:space="preserve"> 2005).</w:t>
      </w:r>
      <w:r>
        <w:rPr>
          <w:rFonts w:cstheme="minorHAnsi"/>
          <w:lang w:val="en-US"/>
        </w:rPr>
        <w:t xml:space="preserve"> A</w:t>
      </w:r>
      <w:r w:rsidR="004A6ED7">
        <w:rPr>
          <w:rFonts w:cstheme="minorHAnsi"/>
          <w:lang w:val="en-US"/>
        </w:rPr>
        <w:t xml:space="preserve">part from a few episodes, </w:t>
      </w:r>
      <w:r w:rsidR="00D7505B">
        <w:rPr>
          <w:rFonts w:cstheme="minorHAnsi"/>
          <w:lang w:val="en-US"/>
        </w:rPr>
        <w:t xml:space="preserve">such as the Spanish-Canadian turbot war from 1994-96, </w:t>
      </w:r>
      <w:r w:rsidR="004A6ED7">
        <w:rPr>
          <w:rFonts w:cstheme="minorHAnsi"/>
          <w:lang w:val="en-US"/>
        </w:rPr>
        <w:t>the</w:t>
      </w:r>
      <w:r>
        <w:rPr>
          <w:rFonts w:cstheme="minorHAnsi"/>
          <w:lang w:val="en-US"/>
        </w:rPr>
        <w:t xml:space="preserve"> execution of the</w:t>
      </w:r>
      <w:r w:rsidR="004A6ED7">
        <w:rPr>
          <w:rFonts w:cstheme="minorHAnsi"/>
          <w:lang w:val="en-US"/>
        </w:rPr>
        <w:t xml:space="preserve"> CFP </w:t>
      </w:r>
      <w:r>
        <w:rPr>
          <w:rFonts w:cstheme="minorHAnsi"/>
          <w:lang w:val="en-US"/>
        </w:rPr>
        <w:t>was characterized by</w:t>
      </w:r>
      <w:r w:rsidR="004A6ED7">
        <w:rPr>
          <w:rFonts w:cstheme="minorHAnsi"/>
          <w:lang w:val="en-US"/>
        </w:rPr>
        <w:t xml:space="preserve"> low public salience and </w:t>
      </w:r>
      <w:r w:rsidR="006513DB">
        <w:rPr>
          <w:rFonts w:cstheme="minorHAnsi"/>
          <w:lang w:val="en-US"/>
        </w:rPr>
        <w:t xml:space="preserve">it was </w:t>
      </w:r>
      <w:r>
        <w:rPr>
          <w:rFonts w:cstheme="minorHAnsi"/>
          <w:lang w:val="en-US"/>
        </w:rPr>
        <w:t xml:space="preserve">subject to control by </w:t>
      </w:r>
      <w:r w:rsidR="004A6ED7">
        <w:rPr>
          <w:rFonts w:cstheme="minorHAnsi"/>
          <w:lang w:val="en-US"/>
        </w:rPr>
        <w:t xml:space="preserve">a limited number of decision makers. Conflicts were usually dealt with </w:t>
      </w:r>
      <w:r>
        <w:rPr>
          <w:rFonts w:cstheme="minorHAnsi"/>
          <w:lang w:val="en-US"/>
        </w:rPr>
        <w:t>in the Council</w:t>
      </w:r>
      <w:r w:rsidR="000B049B" w:rsidRPr="000B049B">
        <w:rPr>
          <w:rFonts w:cstheme="minorHAnsi"/>
          <w:lang w:val="en-US"/>
        </w:rPr>
        <w:t xml:space="preserve"> </w:t>
      </w:r>
      <w:r w:rsidR="00A06E5A">
        <w:rPr>
          <w:rFonts w:cstheme="minorHAnsi"/>
          <w:lang w:val="en-US"/>
        </w:rPr>
        <w:t>without significant public involvement</w:t>
      </w:r>
      <w:r w:rsidR="004A6ED7">
        <w:rPr>
          <w:rFonts w:cstheme="minorHAnsi"/>
          <w:lang w:val="en-US"/>
        </w:rPr>
        <w:t>.</w:t>
      </w:r>
      <w:r>
        <w:rPr>
          <w:rFonts w:cstheme="minorHAnsi"/>
          <w:lang w:val="en-US"/>
        </w:rPr>
        <w:t xml:space="preserve"> </w:t>
      </w:r>
      <w:r w:rsidR="006513DB">
        <w:rPr>
          <w:rFonts w:cstheme="minorHAnsi"/>
          <w:lang w:val="en-US"/>
        </w:rPr>
        <w:t>Despite clear signs of mismanagement and unsustainable exploitation,</w:t>
      </w:r>
      <w:r w:rsidR="000B049B">
        <w:rPr>
          <w:rFonts w:cstheme="minorHAnsi"/>
          <w:lang w:val="en-US"/>
        </w:rPr>
        <w:t xml:space="preserve"> no substantial change happened until the turn of the millennium</w:t>
      </w:r>
      <w:r w:rsidR="00A06E5A">
        <w:rPr>
          <w:rFonts w:cstheme="minorHAnsi"/>
          <w:lang w:val="en-US"/>
        </w:rPr>
        <w:t>.</w:t>
      </w:r>
    </w:p>
    <w:p w:rsidR="004A6ED7" w:rsidRDefault="004A6ED7" w:rsidP="00101ABD">
      <w:pPr>
        <w:spacing w:after="0" w:line="360" w:lineRule="auto"/>
        <w:jc w:val="both"/>
        <w:rPr>
          <w:rFonts w:cstheme="minorHAnsi"/>
          <w:lang w:val="en-US"/>
        </w:rPr>
      </w:pPr>
    </w:p>
    <w:p w:rsidR="004D0F28" w:rsidRDefault="006513DB" w:rsidP="002405F6">
      <w:pPr>
        <w:spacing w:after="0" w:line="360" w:lineRule="auto"/>
        <w:jc w:val="both"/>
        <w:rPr>
          <w:lang w:val="en-US"/>
        </w:rPr>
      </w:pPr>
      <w:r>
        <w:rPr>
          <w:lang w:val="en-US"/>
        </w:rPr>
        <w:t>The 2002 CFP reform acknowledged the</w:t>
      </w:r>
      <w:r w:rsidR="00713447">
        <w:rPr>
          <w:lang w:val="en-US"/>
        </w:rPr>
        <w:t xml:space="preserve"> grave</w:t>
      </w:r>
      <w:r>
        <w:rPr>
          <w:lang w:val="en-US"/>
        </w:rPr>
        <w:t xml:space="preserve"> problems for first time head on. The agent of this</w:t>
      </w:r>
      <w:r w:rsidR="000B049B">
        <w:rPr>
          <w:lang w:val="en-US"/>
        </w:rPr>
        <w:t xml:space="preserve"> new emphasis on sustainability</w:t>
      </w:r>
      <w:r>
        <w:rPr>
          <w:lang w:val="en-US"/>
        </w:rPr>
        <w:t xml:space="preserve"> was not the public but rather the European Commission</w:t>
      </w:r>
      <w:r w:rsidR="000B049B">
        <w:rPr>
          <w:lang w:val="en-US"/>
        </w:rPr>
        <w:t>, although it</w:t>
      </w:r>
      <w:r w:rsidR="00713447">
        <w:rPr>
          <w:lang w:val="en-US"/>
        </w:rPr>
        <w:t>s new-found enthusiasm</w:t>
      </w:r>
      <w:r w:rsidR="000B049B">
        <w:rPr>
          <w:lang w:val="en-US"/>
        </w:rPr>
        <w:t xml:space="preserve"> clearly reflected the rise of environmental parties and civil </w:t>
      </w:r>
      <w:r w:rsidR="009611FF">
        <w:rPr>
          <w:lang w:val="en-US"/>
        </w:rPr>
        <w:t>society organiz</w:t>
      </w:r>
      <w:r w:rsidR="000B049B">
        <w:rPr>
          <w:lang w:val="en-US"/>
        </w:rPr>
        <w:t>ations in the EU</w:t>
      </w:r>
      <w:r>
        <w:rPr>
          <w:lang w:val="en-US"/>
        </w:rPr>
        <w:t xml:space="preserve">. </w:t>
      </w:r>
      <w:r w:rsidR="00713447">
        <w:rPr>
          <w:lang w:val="en-US"/>
        </w:rPr>
        <w:t>Starting with the</w:t>
      </w:r>
      <w:r w:rsidR="000B049B">
        <w:rPr>
          <w:lang w:val="en-US"/>
        </w:rPr>
        <w:t xml:space="preserve"> </w:t>
      </w:r>
      <w:r w:rsidR="002405F6" w:rsidRPr="0055253B">
        <w:rPr>
          <w:lang w:val="en-US"/>
        </w:rPr>
        <w:t>reform of 2002, the EU</w:t>
      </w:r>
      <w:r w:rsidR="000B049B">
        <w:rPr>
          <w:lang w:val="en-US"/>
        </w:rPr>
        <w:t xml:space="preserve"> claimed to switch</w:t>
      </w:r>
      <w:r w:rsidR="002405F6" w:rsidRPr="0055253B">
        <w:rPr>
          <w:lang w:val="en-US"/>
        </w:rPr>
        <w:t xml:space="preserve"> the focus of its agreements with foreign partners</w:t>
      </w:r>
      <w:r w:rsidR="000B049B">
        <w:rPr>
          <w:lang w:val="en-US"/>
        </w:rPr>
        <w:t>, now re-branded as fisheries partnership agreements,</w:t>
      </w:r>
      <w:r w:rsidR="002405F6" w:rsidRPr="0055253B">
        <w:rPr>
          <w:lang w:val="en-US"/>
        </w:rPr>
        <w:t xml:space="preserve"> from a pure concern with access rights to a broader agenda encompassing structural and logistical aid for partner countries as well as environmenta</w:t>
      </w:r>
      <w:r w:rsidR="004A1C09">
        <w:rPr>
          <w:lang w:val="en-US"/>
        </w:rPr>
        <w:t>l considerations (Witbooi, 2008, Witbooi,</w:t>
      </w:r>
      <w:r w:rsidR="002405F6" w:rsidRPr="0055253B">
        <w:rPr>
          <w:lang w:val="en-US"/>
        </w:rPr>
        <w:t xml:space="preserve"> 2012). </w:t>
      </w:r>
      <w:r w:rsidR="002908D2">
        <w:rPr>
          <w:lang w:val="en-US"/>
        </w:rPr>
        <w:t xml:space="preserve">It also created so-called Regional Advisory Councils to allow for a greater involvement of diverse stakeholders. </w:t>
      </w:r>
      <w:r w:rsidR="002405F6" w:rsidRPr="0055253B">
        <w:rPr>
          <w:lang w:val="en-US"/>
        </w:rPr>
        <w:t>Howev</w:t>
      </w:r>
      <w:r w:rsidR="00101ABD">
        <w:rPr>
          <w:lang w:val="en-US"/>
        </w:rPr>
        <w:t>er, while the narrative of the</w:t>
      </w:r>
      <w:r w:rsidR="002405F6" w:rsidRPr="0055253B">
        <w:rPr>
          <w:lang w:val="en-US"/>
        </w:rPr>
        <w:t xml:space="preserve"> negotiations changed substantially</w:t>
      </w:r>
      <w:r w:rsidR="002908D2">
        <w:rPr>
          <w:lang w:val="en-US"/>
        </w:rPr>
        <w:t xml:space="preserve"> and the number of involved actors increased</w:t>
      </w:r>
      <w:r w:rsidR="002405F6" w:rsidRPr="0055253B">
        <w:rPr>
          <w:lang w:val="en-US"/>
        </w:rPr>
        <w:t xml:space="preserve">, the actual content of the agreements and the activities of the EU fishing industry did not </w:t>
      </w:r>
      <w:r w:rsidR="00E735DF">
        <w:rPr>
          <w:lang w:val="en-US"/>
        </w:rPr>
        <w:t xml:space="preserve">yet </w:t>
      </w:r>
      <w:r w:rsidR="002405F6" w:rsidRPr="0055253B">
        <w:rPr>
          <w:lang w:val="en-US"/>
        </w:rPr>
        <w:t>reflect this</w:t>
      </w:r>
      <w:r w:rsidR="00713447">
        <w:rPr>
          <w:lang w:val="en-US"/>
        </w:rPr>
        <w:t xml:space="preserve"> (Daw and Gray</w:t>
      </w:r>
      <w:r w:rsidR="004A1C09">
        <w:rPr>
          <w:lang w:val="en-US"/>
        </w:rPr>
        <w:t>,</w:t>
      </w:r>
      <w:r w:rsidR="00713447">
        <w:rPr>
          <w:lang w:val="en-US"/>
        </w:rPr>
        <w:t xml:space="preserve"> 2005; Gegout</w:t>
      </w:r>
      <w:r w:rsidR="004A1C09">
        <w:rPr>
          <w:lang w:val="en-US"/>
        </w:rPr>
        <w:t>,</w:t>
      </w:r>
      <w:r w:rsidR="00713447">
        <w:rPr>
          <w:lang w:val="en-US"/>
        </w:rPr>
        <w:t xml:space="preserve"> 2016)</w:t>
      </w:r>
      <w:r w:rsidR="002405F6" w:rsidRPr="0055253B">
        <w:rPr>
          <w:lang w:val="en-US"/>
        </w:rPr>
        <w:t>.</w:t>
      </w:r>
    </w:p>
    <w:p w:rsidR="00481C33" w:rsidRPr="00F57AB3" w:rsidRDefault="00F46BFB" w:rsidP="00F57AB3">
      <w:pPr>
        <w:pStyle w:val="Default"/>
        <w:spacing w:line="360" w:lineRule="auto"/>
        <w:jc w:val="both"/>
        <w:rPr>
          <w:rFonts w:asciiTheme="minorHAnsi" w:hAnsiTheme="minorHAnsi" w:cstheme="minorHAnsi"/>
          <w:sz w:val="22"/>
          <w:szCs w:val="22"/>
          <w:lang w:val="en-US"/>
        </w:rPr>
      </w:pPr>
      <w:r w:rsidRPr="0055253B">
        <w:rPr>
          <w:rFonts w:asciiTheme="minorHAnsi" w:hAnsiTheme="minorHAnsi" w:cstheme="minorHAnsi"/>
          <w:color w:val="auto"/>
          <w:sz w:val="22"/>
          <w:szCs w:val="22"/>
          <w:lang w:val="en-US"/>
        </w:rPr>
        <w:t xml:space="preserve">As complaints by NGOs and scientists about the exploitation of the seas </w:t>
      </w:r>
      <w:r w:rsidR="00CB7235">
        <w:rPr>
          <w:rFonts w:asciiTheme="minorHAnsi" w:hAnsiTheme="minorHAnsi" w:cstheme="minorHAnsi"/>
          <w:color w:val="auto"/>
          <w:sz w:val="22"/>
          <w:szCs w:val="22"/>
          <w:lang w:val="en-US"/>
        </w:rPr>
        <w:t xml:space="preserve">and the role of the EU </w:t>
      </w:r>
      <w:r w:rsidRPr="0055253B">
        <w:rPr>
          <w:rFonts w:asciiTheme="minorHAnsi" w:hAnsiTheme="minorHAnsi" w:cstheme="minorHAnsi"/>
          <w:color w:val="auto"/>
          <w:sz w:val="22"/>
          <w:szCs w:val="22"/>
          <w:lang w:val="en-US"/>
        </w:rPr>
        <w:t>became stronger</w:t>
      </w:r>
      <w:r w:rsidR="00101ABD">
        <w:rPr>
          <w:rFonts w:asciiTheme="minorHAnsi" w:hAnsiTheme="minorHAnsi" w:cstheme="minorHAnsi"/>
          <w:color w:val="auto"/>
          <w:sz w:val="22"/>
          <w:szCs w:val="22"/>
          <w:lang w:val="en-US"/>
        </w:rPr>
        <w:t xml:space="preserve"> and public alarm grew</w:t>
      </w:r>
      <w:r w:rsidRPr="0055253B">
        <w:rPr>
          <w:rFonts w:asciiTheme="minorHAnsi" w:hAnsiTheme="minorHAnsi" w:cstheme="minorHAnsi"/>
          <w:color w:val="auto"/>
          <w:sz w:val="22"/>
          <w:szCs w:val="22"/>
          <w:lang w:val="en-US"/>
        </w:rPr>
        <w:t xml:space="preserve">, </w:t>
      </w:r>
      <w:r w:rsidR="00E735DF">
        <w:rPr>
          <w:rFonts w:asciiTheme="minorHAnsi" w:hAnsiTheme="minorHAnsi" w:cstheme="minorHAnsi"/>
          <w:color w:val="auto"/>
          <w:sz w:val="22"/>
          <w:szCs w:val="22"/>
          <w:lang w:val="en-US"/>
        </w:rPr>
        <w:t>the Commission</w:t>
      </w:r>
      <w:r w:rsidRPr="0055253B">
        <w:rPr>
          <w:rFonts w:asciiTheme="minorHAnsi" w:hAnsiTheme="minorHAnsi" w:cstheme="minorHAnsi"/>
          <w:color w:val="auto"/>
          <w:sz w:val="22"/>
          <w:szCs w:val="22"/>
          <w:lang w:val="en-US"/>
        </w:rPr>
        <w:t xml:space="preserve"> increasingly sought to present itself as progressive force. In 2009, </w:t>
      </w:r>
      <w:r w:rsidR="00E735DF">
        <w:rPr>
          <w:rFonts w:asciiTheme="minorHAnsi" w:hAnsiTheme="minorHAnsi" w:cstheme="minorHAnsi"/>
          <w:color w:val="auto"/>
          <w:sz w:val="22"/>
          <w:szCs w:val="22"/>
          <w:lang w:val="en-US"/>
        </w:rPr>
        <w:t>it</w:t>
      </w:r>
      <w:r w:rsidRPr="0055253B">
        <w:rPr>
          <w:rFonts w:asciiTheme="minorHAnsi" w:hAnsiTheme="minorHAnsi" w:cstheme="minorHAnsi"/>
          <w:color w:val="auto"/>
          <w:sz w:val="22"/>
          <w:szCs w:val="22"/>
          <w:lang w:val="en-US"/>
        </w:rPr>
        <w:t xml:space="preserve"> initiated a public debate on the ref</w:t>
      </w:r>
      <w:r w:rsidR="00E735DF">
        <w:rPr>
          <w:rFonts w:asciiTheme="minorHAnsi" w:hAnsiTheme="minorHAnsi" w:cstheme="minorHAnsi"/>
          <w:color w:val="auto"/>
          <w:sz w:val="22"/>
          <w:szCs w:val="22"/>
          <w:lang w:val="en-US"/>
        </w:rPr>
        <w:t>orm of its fisheries policy. This</w:t>
      </w:r>
      <w:r w:rsidRPr="0055253B">
        <w:rPr>
          <w:rFonts w:asciiTheme="minorHAnsi" w:hAnsiTheme="minorHAnsi" w:cstheme="minorHAnsi"/>
          <w:color w:val="auto"/>
          <w:sz w:val="22"/>
          <w:szCs w:val="22"/>
          <w:lang w:val="en-US"/>
        </w:rPr>
        <w:t xml:space="preserve"> process led to a </w:t>
      </w:r>
      <w:r w:rsidR="00713447">
        <w:rPr>
          <w:rFonts w:asciiTheme="minorHAnsi" w:hAnsiTheme="minorHAnsi" w:cstheme="minorHAnsi"/>
          <w:color w:val="auto"/>
          <w:sz w:val="22"/>
          <w:szCs w:val="22"/>
          <w:lang w:val="en-US"/>
        </w:rPr>
        <w:t xml:space="preserve">widely-discussed </w:t>
      </w:r>
      <w:r w:rsidRPr="0055253B">
        <w:rPr>
          <w:rFonts w:asciiTheme="minorHAnsi" w:hAnsiTheme="minorHAnsi" w:cstheme="minorHAnsi"/>
          <w:color w:val="auto"/>
          <w:sz w:val="22"/>
          <w:szCs w:val="22"/>
          <w:lang w:val="en-US"/>
        </w:rPr>
        <w:t>Green Paper (COM(2009)163 final)</w:t>
      </w:r>
      <w:r w:rsidR="00713447">
        <w:rPr>
          <w:rFonts w:asciiTheme="minorHAnsi" w:hAnsiTheme="minorHAnsi" w:cstheme="minorHAnsi"/>
          <w:color w:val="auto"/>
          <w:sz w:val="22"/>
          <w:szCs w:val="22"/>
          <w:lang w:val="en-US"/>
        </w:rPr>
        <w:t>. O</w:t>
      </w:r>
      <w:r w:rsidR="00781B9C">
        <w:rPr>
          <w:rFonts w:asciiTheme="minorHAnsi" w:hAnsiTheme="minorHAnsi" w:cstheme="minorHAnsi"/>
          <w:color w:val="auto"/>
          <w:sz w:val="22"/>
          <w:szCs w:val="22"/>
          <w:lang w:val="en-US"/>
        </w:rPr>
        <w:t xml:space="preserve">n </w:t>
      </w:r>
      <w:r w:rsidR="002F2ACB">
        <w:rPr>
          <w:rFonts w:asciiTheme="minorHAnsi" w:hAnsiTheme="minorHAnsi" w:cstheme="minorHAnsi"/>
          <w:color w:val="auto"/>
          <w:sz w:val="22"/>
          <w:szCs w:val="22"/>
          <w:lang w:val="en-US"/>
        </w:rPr>
        <w:t xml:space="preserve">January </w:t>
      </w:r>
      <w:r w:rsidR="00781B9C">
        <w:rPr>
          <w:rFonts w:asciiTheme="minorHAnsi" w:hAnsiTheme="minorHAnsi" w:cstheme="minorHAnsi"/>
          <w:color w:val="auto"/>
          <w:sz w:val="22"/>
          <w:szCs w:val="22"/>
          <w:lang w:val="en-US"/>
        </w:rPr>
        <w:t xml:space="preserve">1, </w:t>
      </w:r>
      <w:r w:rsidR="002F2ACB">
        <w:rPr>
          <w:rFonts w:asciiTheme="minorHAnsi" w:hAnsiTheme="minorHAnsi" w:cstheme="minorHAnsi"/>
          <w:color w:val="auto"/>
          <w:sz w:val="22"/>
          <w:szCs w:val="22"/>
          <w:lang w:val="en-US"/>
        </w:rPr>
        <w:t>2014</w:t>
      </w:r>
      <w:r w:rsidRPr="0055253B">
        <w:rPr>
          <w:rFonts w:asciiTheme="minorHAnsi" w:hAnsiTheme="minorHAnsi" w:cstheme="minorHAnsi"/>
          <w:color w:val="auto"/>
          <w:sz w:val="22"/>
          <w:szCs w:val="22"/>
          <w:lang w:val="en-US"/>
        </w:rPr>
        <w:t xml:space="preserve"> a comprehensive reform which </w:t>
      </w:r>
      <w:r>
        <w:rPr>
          <w:rFonts w:asciiTheme="minorHAnsi" w:hAnsiTheme="minorHAnsi" w:cstheme="minorHAnsi"/>
          <w:color w:val="auto"/>
          <w:sz w:val="22"/>
          <w:szCs w:val="22"/>
          <w:lang w:val="en-US"/>
        </w:rPr>
        <w:t>stress</w:t>
      </w:r>
      <w:r w:rsidRPr="0055253B">
        <w:rPr>
          <w:rFonts w:asciiTheme="minorHAnsi" w:hAnsiTheme="minorHAnsi" w:cstheme="minorHAnsi"/>
          <w:color w:val="auto"/>
          <w:sz w:val="22"/>
          <w:szCs w:val="22"/>
          <w:lang w:val="en-US"/>
        </w:rPr>
        <w:t xml:space="preserve">ed the </w:t>
      </w:r>
      <w:r w:rsidRPr="00F57AB3">
        <w:rPr>
          <w:rFonts w:asciiTheme="minorHAnsi" w:hAnsiTheme="minorHAnsi" w:cstheme="minorHAnsi"/>
          <w:color w:val="auto"/>
          <w:sz w:val="22"/>
          <w:szCs w:val="22"/>
          <w:lang w:val="en-US"/>
        </w:rPr>
        <w:t>normative dimension of fisheries policies</w:t>
      </w:r>
      <w:r w:rsidR="002F2ACB">
        <w:rPr>
          <w:rFonts w:asciiTheme="minorHAnsi" w:hAnsiTheme="minorHAnsi" w:cstheme="minorHAnsi"/>
          <w:color w:val="auto"/>
          <w:sz w:val="22"/>
          <w:szCs w:val="22"/>
          <w:lang w:val="en-US"/>
        </w:rPr>
        <w:t xml:space="preserve"> became effective</w:t>
      </w:r>
      <w:r w:rsidRPr="00F57AB3">
        <w:rPr>
          <w:rFonts w:asciiTheme="minorHAnsi" w:hAnsiTheme="minorHAnsi" w:cstheme="minorHAnsi"/>
          <w:color w:val="auto"/>
          <w:sz w:val="22"/>
          <w:szCs w:val="22"/>
          <w:lang w:val="en-US"/>
        </w:rPr>
        <w:t>.</w:t>
      </w:r>
      <w:r w:rsidR="002405F6" w:rsidRPr="00F57AB3">
        <w:rPr>
          <w:rFonts w:asciiTheme="minorHAnsi" w:hAnsiTheme="minorHAnsi" w:cstheme="minorHAnsi"/>
          <w:color w:val="auto"/>
          <w:sz w:val="22"/>
          <w:szCs w:val="22"/>
          <w:lang w:val="en-US"/>
        </w:rPr>
        <w:t xml:space="preserve"> </w:t>
      </w:r>
      <w:r w:rsidR="002F2ACB">
        <w:rPr>
          <w:rFonts w:asciiTheme="minorHAnsi" w:hAnsiTheme="minorHAnsi" w:cstheme="minorHAnsi"/>
          <w:color w:val="auto"/>
          <w:sz w:val="22"/>
          <w:szCs w:val="22"/>
          <w:lang w:val="en-US"/>
        </w:rPr>
        <w:t>The FPAs were renamed Sustainable Fisheries Partnership Agreements (SFPAs). The</w:t>
      </w:r>
      <w:r w:rsidR="00101ABD" w:rsidRPr="00F57AB3">
        <w:rPr>
          <w:rFonts w:asciiTheme="minorHAnsi" w:hAnsiTheme="minorHAnsi" w:cstheme="minorHAnsi"/>
          <w:sz w:val="22"/>
          <w:szCs w:val="22"/>
          <w:lang w:val="en-US"/>
        </w:rPr>
        <w:t xml:space="preserve"> reform process was decisively shaped by a new </w:t>
      </w:r>
      <w:r w:rsidR="008F5CB4" w:rsidRPr="00F57AB3">
        <w:rPr>
          <w:rFonts w:asciiTheme="minorHAnsi" w:hAnsiTheme="minorHAnsi" w:cstheme="minorHAnsi"/>
          <w:sz w:val="22"/>
          <w:szCs w:val="22"/>
          <w:lang w:val="en-US"/>
        </w:rPr>
        <w:t>range of actors</w:t>
      </w:r>
      <w:r w:rsidR="009611FF">
        <w:rPr>
          <w:rFonts w:asciiTheme="minorHAnsi" w:hAnsiTheme="minorHAnsi" w:cstheme="minorHAnsi"/>
          <w:sz w:val="22"/>
          <w:szCs w:val="22"/>
          <w:lang w:val="en-US"/>
        </w:rPr>
        <w:t xml:space="preserve"> (Commission</w:t>
      </w:r>
      <w:r w:rsidR="004A1C09">
        <w:rPr>
          <w:rFonts w:asciiTheme="minorHAnsi" w:hAnsiTheme="minorHAnsi" w:cstheme="minorHAnsi"/>
          <w:sz w:val="22"/>
          <w:szCs w:val="22"/>
          <w:lang w:val="en-US"/>
        </w:rPr>
        <w:t>,</w:t>
      </w:r>
      <w:r w:rsidR="009611FF">
        <w:rPr>
          <w:rFonts w:asciiTheme="minorHAnsi" w:hAnsiTheme="minorHAnsi" w:cstheme="minorHAnsi"/>
          <w:sz w:val="22"/>
          <w:szCs w:val="22"/>
          <w:lang w:val="en-US"/>
        </w:rPr>
        <w:t xml:space="preserve"> 2010)</w:t>
      </w:r>
      <w:r w:rsidR="008F5CB4" w:rsidRPr="00F57AB3">
        <w:rPr>
          <w:rFonts w:asciiTheme="minorHAnsi" w:hAnsiTheme="minorHAnsi" w:cstheme="minorHAnsi"/>
          <w:sz w:val="22"/>
          <w:szCs w:val="22"/>
          <w:lang w:val="en-US"/>
        </w:rPr>
        <w:t>.</w:t>
      </w:r>
      <w:r w:rsidR="00481C33" w:rsidRPr="00F57AB3">
        <w:rPr>
          <w:rFonts w:asciiTheme="minorHAnsi" w:hAnsiTheme="minorHAnsi" w:cstheme="minorHAnsi"/>
          <w:sz w:val="22"/>
          <w:szCs w:val="22"/>
          <w:lang w:val="en-US"/>
        </w:rPr>
        <w:t xml:space="preserve"> </w:t>
      </w:r>
      <w:r w:rsidR="002405F6" w:rsidRPr="00F57AB3">
        <w:rPr>
          <w:rFonts w:asciiTheme="minorHAnsi" w:hAnsiTheme="minorHAnsi" w:cstheme="minorHAnsi"/>
          <w:sz w:val="22"/>
          <w:szCs w:val="22"/>
          <w:lang w:val="en-US"/>
        </w:rPr>
        <w:t xml:space="preserve">Most importantly, the </w:t>
      </w:r>
      <w:r w:rsidR="00E735DF">
        <w:rPr>
          <w:rFonts w:asciiTheme="minorHAnsi" w:hAnsiTheme="minorHAnsi" w:cstheme="minorHAnsi"/>
          <w:sz w:val="22"/>
          <w:szCs w:val="22"/>
          <w:lang w:val="en-US"/>
        </w:rPr>
        <w:t xml:space="preserve">Lisbon </w:t>
      </w:r>
      <w:r w:rsidR="002405F6" w:rsidRPr="00F57AB3">
        <w:rPr>
          <w:rFonts w:asciiTheme="minorHAnsi" w:hAnsiTheme="minorHAnsi" w:cstheme="minorHAnsi"/>
          <w:sz w:val="22"/>
          <w:szCs w:val="22"/>
          <w:lang w:val="en-US"/>
        </w:rPr>
        <w:t>treaty</w:t>
      </w:r>
      <w:r w:rsidR="00481C33" w:rsidRPr="00F57AB3">
        <w:rPr>
          <w:rFonts w:asciiTheme="minorHAnsi" w:hAnsiTheme="minorHAnsi" w:cstheme="minorHAnsi"/>
          <w:sz w:val="22"/>
          <w:szCs w:val="22"/>
          <w:lang w:val="en-US"/>
        </w:rPr>
        <w:t xml:space="preserve"> empowered the EP by giving it </w:t>
      </w:r>
      <w:r w:rsidR="00F57AB3">
        <w:rPr>
          <w:rFonts w:asciiTheme="minorHAnsi" w:hAnsiTheme="minorHAnsi" w:cstheme="minorHAnsi"/>
          <w:sz w:val="22"/>
          <w:szCs w:val="22"/>
          <w:lang w:val="en-US"/>
        </w:rPr>
        <w:t>co-decision</w:t>
      </w:r>
      <w:r w:rsidR="005F52AB">
        <w:rPr>
          <w:rFonts w:asciiTheme="minorHAnsi" w:hAnsiTheme="minorHAnsi" w:cstheme="minorHAnsi"/>
          <w:sz w:val="22"/>
          <w:szCs w:val="22"/>
          <w:lang w:val="en-US"/>
        </w:rPr>
        <w:t xml:space="preserve"> </w:t>
      </w:r>
      <w:r w:rsidR="00F57AB3">
        <w:rPr>
          <w:rFonts w:asciiTheme="minorHAnsi" w:hAnsiTheme="minorHAnsi" w:cstheme="minorHAnsi"/>
          <w:sz w:val="22"/>
          <w:szCs w:val="22"/>
          <w:lang w:val="en-US"/>
        </w:rPr>
        <w:t>making pow</w:t>
      </w:r>
      <w:r w:rsidR="005F52AB">
        <w:rPr>
          <w:rFonts w:asciiTheme="minorHAnsi" w:hAnsiTheme="minorHAnsi" w:cstheme="minorHAnsi"/>
          <w:sz w:val="22"/>
          <w:szCs w:val="22"/>
          <w:lang w:val="en-US"/>
        </w:rPr>
        <w:t>ers in the CFP. This encompassed</w:t>
      </w:r>
      <w:r w:rsidR="00F57AB3">
        <w:rPr>
          <w:rFonts w:asciiTheme="minorHAnsi" w:hAnsiTheme="minorHAnsi" w:cstheme="minorHAnsi"/>
          <w:sz w:val="22"/>
          <w:szCs w:val="22"/>
          <w:lang w:val="en-US"/>
        </w:rPr>
        <w:t xml:space="preserve"> the external dimension.</w:t>
      </w:r>
      <w:r w:rsidR="00481C33" w:rsidRPr="00F57AB3">
        <w:rPr>
          <w:rFonts w:asciiTheme="minorHAnsi" w:hAnsiTheme="minorHAnsi" w:cstheme="minorHAnsi"/>
          <w:sz w:val="22"/>
          <w:szCs w:val="22"/>
          <w:lang w:val="en-US"/>
        </w:rPr>
        <w:t xml:space="preserve"> </w:t>
      </w:r>
      <w:r w:rsidR="002405F6" w:rsidRPr="00F57AB3">
        <w:rPr>
          <w:rFonts w:asciiTheme="minorHAnsi" w:hAnsiTheme="minorHAnsi" w:cstheme="minorHAnsi"/>
          <w:sz w:val="22"/>
          <w:szCs w:val="22"/>
          <w:lang w:val="en-US"/>
        </w:rPr>
        <w:t>T</w:t>
      </w:r>
      <w:r w:rsidR="00481C33" w:rsidRPr="00F57AB3">
        <w:rPr>
          <w:rFonts w:asciiTheme="minorHAnsi" w:hAnsiTheme="minorHAnsi" w:cstheme="minorHAnsi"/>
          <w:sz w:val="22"/>
          <w:szCs w:val="22"/>
          <w:lang w:val="en-US"/>
        </w:rPr>
        <w:t xml:space="preserve">he EP </w:t>
      </w:r>
      <w:r w:rsidR="002405F6" w:rsidRPr="00F57AB3">
        <w:rPr>
          <w:rFonts w:asciiTheme="minorHAnsi" w:hAnsiTheme="minorHAnsi" w:cstheme="minorHAnsi"/>
          <w:sz w:val="22"/>
          <w:szCs w:val="22"/>
          <w:lang w:val="en-US"/>
        </w:rPr>
        <w:t xml:space="preserve">now </w:t>
      </w:r>
      <w:r w:rsidR="00481C33" w:rsidRPr="00F57AB3">
        <w:rPr>
          <w:rFonts w:asciiTheme="minorHAnsi" w:hAnsiTheme="minorHAnsi" w:cstheme="minorHAnsi"/>
          <w:sz w:val="22"/>
          <w:szCs w:val="22"/>
          <w:lang w:val="en-US"/>
        </w:rPr>
        <w:t>has to agree to any agreement according to the consent procedure, i.e. after a single reading it is given the option to accept or reject the results, but not to amend them. Prior to the vote in the plenary, the EP Fisheries Committee</w:t>
      </w:r>
      <w:r w:rsidR="002F2ACB">
        <w:rPr>
          <w:rFonts w:asciiTheme="minorHAnsi" w:hAnsiTheme="minorHAnsi" w:cstheme="minorHAnsi"/>
          <w:sz w:val="22"/>
          <w:szCs w:val="22"/>
          <w:lang w:val="en-US"/>
        </w:rPr>
        <w:t xml:space="preserve"> (PECH)</w:t>
      </w:r>
      <w:r w:rsidR="00481C33" w:rsidRPr="00F57AB3">
        <w:rPr>
          <w:rFonts w:asciiTheme="minorHAnsi" w:hAnsiTheme="minorHAnsi" w:cstheme="minorHAnsi"/>
          <w:sz w:val="22"/>
          <w:szCs w:val="22"/>
          <w:lang w:val="en-US"/>
        </w:rPr>
        <w:t xml:space="preserve"> discusses the draft agreement and gives its opinion. </w:t>
      </w:r>
      <w:r w:rsidR="002405F6" w:rsidRPr="00F57AB3">
        <w:rPr>
          <w:rFonts w:asciiTheme="minorHAnsi" w:hAnsiTheme="minorHAnsi" w:cstheme="minorHAnsi"/>
          <w:sz w:val="22"/>
          <w:szCs w:val="22"/>
          <w:lang w:val="en-US"/>
        </w:rPr>
        <w:t>I</w:t>
      </w:r>
      <w:r w:rsidR="00481C33" w:rsidRPr="00F57AB3">
        <w:rPr>
          <w:rFonts w:asciiTheme="minorHAnsi" w:hAnsiTheme="minorHAnsi" w:cstheme="minorHAnsi"/>
          <w:sz w:val="22"/>
          <w:szCs w:val="22"/>
          <w:lang w:val="en-US"/>
        </w:rPr>
        <w:t>n recent years</w:t>
      </w:r>
      <w:r w:rsidR="004810B1">
        <w:rPr>
          <w:rFonts w:asciiTheme="minorHAnsi" w:hAnsiTheme="minorHAnsi" w:cstheme="minorHAnsi"/>
          <w:sz w:val="22"/>
          <w:szCs w:val="22"/>
          <w:lang w:val="en-US"/>
        </w:rPr>
        <w:t>,</w:t>
      </w:r>
      <w:r w:rsidR="00481C33" w:rsidRPr="00F57AB3">
        <w:rPr>
          <w:rFonts w:asciiTheme="minorHAnsi" w:hAnsiTheme="minorHAnsi" w:cstheme="minorHAnsi"/>
          <w:sz w:val="22"/>
          <w:szCs w:val="22"/>
          <w:lang w:val="en-US"/>
        </w:rPr>
        <w:t xml:space="preserve"> there </w:t>
      </w:r>
      <w:r w:rsidR="005F52AB">
        <w:rPr>
          <w:rFonts w:asciiTheme="minorHAnsi" w:hAnsiTheme="minorHAnsi" w:cstheme="minorHAnsi"/>
          <w:sz w:val="22"/>
          <w:szCs w:val="22"/>
          <w:lang w:val="en-US"/>
        </w:rPr>
        <w:t>were</w:t>
      </w:r>
      <w:r w:rsidR="00481C33" w:rsidRPr="00F57AB3">
        <w:rPr>
          <w:rFonts w:asciiTheme="minorHAnsi" w:hAnsiTheme="minorHAnsi" w:cstheme="minorHAnsi"/>
          <w:sz w:val="22"/>
          <w:szCs w:val="22"/>
          <w:lang w:val="en-US"/>
        </w:rPr>
        <w:t xml:space="preserve"> often s</w:t>
      </w:r>
      <w:r w:rsidR="002405F6" w:rsidRPr="00F57AB3">
        <w:rPr>
          <w:rFonts w:asciiTheme="minorHAnsi" w:hAnsiTheme="minorHAnsi" w:cstheme="minorHAnsi"/>
          <w:sz w:val="22"/>
          <w:szCs w:val="22"/>
          <w:lang w:val="en-US"/>
        </w:rPr>
        <w:t>harp divisions in the Committee</w:t>
      </w:r>
      <w:r w:rsidR="00481C33" w:rsidRPr="00F57AB3">
        <w:rPr>
          <w:rFonts w:asciiTheme="minorHAnsi" w:hAnsiTheme="minorHAnsi" w:cstheme="minorHAnsi"/>
          <w:sz w:val="22"/>
          <w:szCs w:val="22"/>
          <w:lang w:val="en-US"/>
        </w:rPr>
        <w:t xml:space="preserve">. Other EP Committees, in particular those on Development and the Budget, usually also discuss the draft agreement and recommend </w:t>
      </w:r>
      <w:r w:rsidR="00481C33" w:rsidRPr="00F57AB3">
        <w:rPr>
          <w:rFonts w:asciiTheme="minorHAnsi" w:hAnsiTheme="minorHAnsi" w:cstheme="minorHAnsi"/>
          <w:sz w:val="22"/>
          <w:szCs w:val="22"/>
          <w:lang w:val="en-US"/>
        </w:rPr>
        <w:lastRenderedPageBreak/>
        <w:t>approval or disapproval. Once the EP gives it consent, the Council c</w:t>
      </w:r>
      <w:r w:rsidR="009D766C">
        <w:rPr>
          <w:rFonts w:asciiTheme="minorHAnsi" w:hAnsiTheme="minorHAnsi" w:cstheme="minorHAnsi"/>
          <w:sz w:val="22"/>
          <w:szCs w:val="22"/>
          <w:lang w:val="en-US"/>
        </w:rPr>
        <w:t>an ratify the agreement. L</w:t>
      </w:r>
      <w:r w:rsidR="00481C33" w:rsidRPr="00F57AB3">
        <w:rPr>
          <w:rFonts w:asciiTheme="minorHAnsi" w:hAnsiTheme="minorHAnsi" w:cstheme="minorHAnsi"/>
          <w:sz w:val="22"/>
          <w:szCs w:val="22"/>
          <w:lang w:val="en-US"/>
        </w:rPr>
        <w:t>ike in trade policy, both the EP and the Council have veto power in the ratification of agreements.</w:t>
      </w:r>
    </w:p>
    <w:p w:rsidR="00F57CB6" w:rsidRDefault="00481C33" w:rsidP="00481C33">
      <w:pPr>
        <w:spacing w:after="0" w:line="360" w:lineRule="auto"/>
        <w:jc w:val="both"/>
        <w:rPr>
          <w:lang w:val="en-US"/>
        </w:rPr>
      </w:pPr>
      <w:r>
        <w:rPr>
          <w:lang w:val="en-GB"/>
        </w:rPr>
        <w:t>After the Lisbon treaty was ratified, t</w:t>
      </w:r>
      <w:r>
        <w:rPr>
          <w:lang w:val="en-US"/>
        </w:rPr>
        <w:t xml:space="preserve">he EP </w:t>
      </w:r>
      <w:r w:rsidR="002F2ACB">
        <w:rPr>
          <w:lang w:val="en-US"/>
        </w:rPr>
        <w:t>immediately became very active in fisheries policy</w:t>
      </w:r>
      <w:r>
        <w:rPr>
          <w:lang w:val="en-US"/>
        </w:rPr>
        <w:t>.</w:t>
      </w:r>
      <w:r w:rsidR="00713447">
        <w:rPr>
          <w:lang w:val="en-US"/>
        </w:rPr>
        <w:t xml:space="preserve"> </w:t>
      </w:r>
      <w:r w:rsidR="004A1C09">
        <w:rPr>
          <w:lang w:val="en-US"/>
        </w:rPr>
        <w:t>Greene and Cross (2015, p.</w:t>
      </w:r>
      <w:r w:rsidR="00781B9C">
        <w:rPr>
          <w:lang w:val="en-US"/>
        </w:rPr>
        <w:t xml:space="preserve"> 8)</w:t>
      </w:r>
      <w:r w:rsidR="0019685C">
        <w:rPr>
          <w:lang w:val="en-US"/>
        </w:rPr>
        <w:t xml:space="preserve"> found that </w:t>
      </w:r>
      <w:r w:rsidR="009B32F5">
        <w:rPr>
          <w:lang w:val="en-US"/>
        </w:rPr>
        <w:t>plenary speeches</w:t>
      </w:r>
      <w:r w:rsidR="0019685C">
        <w:rPr>
          <w:lang w:val="en-US"/>
        </w:rPr>
        <w:t xml:space="preserve"> by MEPs on CFP topics rose strongly after the Green Paper was published by the Commission.</w:t>
      </w:r>
      <w:r w:rsidR="00713447">
        <w:rPr>
          <w:lang w:val="en-US"/>
        </w:rPr>
        <w:t xml:space="preserve"> </w:t>
      </w:r>
      <w:r>
        <w:rPr>
          <w:lang w:val="en-US"/>
        </w:rPr>
        <w:t xml:space="preserve"> </w:t>
      </w:r>
      <w:r w:rsidR="002F2ACB">
        <w:rPr>
          <w:lang w:val="en-US"/>
        </w:rPr>
        <w:t>In a</w:t>
      </w:r>
      <w:r w:rsidRPr="0055253B">
        <w:rPr>
          <w:lang w:val="en-US"/>
        </w:rPr>
        <w:t xml:space="preserve"> 2012 resolution on the external dimension of the CFP, the Parliament called on the Commission to negotiate not with the main objective of “obtaining fishing rights for EU vessels but [rather] ….with the aim of attaining comparable sustainable management rules as the EU in the third partner country” (European Parliament, 2012). In fact, in regulation 1380/2013 of December 11, 2013</w:t>
      </w:r>
      <w:r w:rsidR="004810B1">
        <w:rPr>
          <w:lang w:val="en-US"/>
        </w:rPr>
        <w:t>,</w:t>
      </w:r>
      <w:r w:rsidRPr="0055253B">
        <w:rPr>
          <w:lang w:val="en-US"/>
        </w:rPr>
        <w:t xml:space="preserve"> which codifies the reformed CFP, the Council and the EP stress their commitment to such objectives in partnership agreements (European Parliament and Council of the European Union, 2013).  The long deliberative process of the reform firmly entrenched sustainability as the dominant discourse in t</w:t>
      </w:r>
      <w:r w:rsidR="00B1144F">
        <w:rPr>
          <w:lang w:val="en-US"/>
        </w:rPr>
        <w:t xml:space="preserve">he EU’s CFP. </w:t>
      </w:r>
      <w:r w:rsidR="0019685C">
        <w:rPr>
          <w:lang w:val="en-US"/>
        </w:rPr>
        <w:t>This also reflected the public opinion in most EU countries</w:t>
      </w:r>
    </w:p>
    <w:p w:rsidR="00F45C71" w:rsidRDefault="00781B9C" w:rsidP="00517AFC">
      <w:pPr>
        <w:spacing w:after="0" w:line="360" w:lineRule="auto"/>
        <w:jc w:val="both"/>
        <w:rPr>
          <w:rFonts w:cstheme="minorHAnsi"/>
          <w:lang w:val="en-US"/>
        </w:rPr>
      </w:pPr>
      <w:r>
        <w:rPr>
          <w:lang w:val="en-US"/>
        </w:rPr>
        <w:t>(see, for example, Client Earth</w:t>
      </w:r>
      <w:r w:rsidR="004A1C09">
        <w:rPr>
          <w:lang w:val="en-US"/>
        </w:rPr>
        <w:t>,</w:t>
      </w:r>
      <w:r>
        <w:rPr>
          <w:lang w:val="en-US"/>
        </w:rPr>
        <w:t xml:space="preserve"> 2018). Given this</w:t>
      </w:r>
      <w:r w:rsidR="00B1144F">
        <w:rPr>
          <w:lang w:val="en-US"/>
        </w:rPr>
        <w:t xml:space="preserve"> external normative pressure, the Commission </w:t>
      </w:r>
      <w:r w:rsidR="009B32F5">
        <w:rPr>
          <w:lang w:val="en-US"/>
        </w:rPr>
        <w:t>began to closely coordinate negotiations with the EP (author</w:t>
      </w:r>
      <w:r w:rsidR="004A1C09">
        <w:rPr>
          <w:lang w:val="en-US"/>
        </w:rPr>
        <w:t>,</w:t>
      </w:r>
      <w:r w:rsidR="009B32F5">
        <w:rPr>
          <w:lang w:val="en-US"/>
        </w:rPr>
        <w:t xml:space="preserve"> 2015) and </w:t>
      </w:r>
      <w:r w:rsidR="00B1144F">
        <w:rPr>
          <w:lang w:val="en-US"/>
        </w:rPr>
        <w:t>systematically tried to enlist the legitimation resources of the EP (see Ros</w:t>
      </w:r>
      <w:r w:rsidR="00B1144F">
        <w:rPr>
          <w:rFonts w:eastAsia="Times New Roman" w:cstheme="minorHAnsi"/>
          <w:bCs/>
          <w:kern w:val="36"/>
          <w:lang w:val="en-US" w:eastAsia="de-DE"/>
        </w:rPr>
        <w:t>èn</w:t>
      </w:r>
      <w:r w:rsidR="004A1C09">
        <w:rPr>
          <w:rFonts w:eastAsia="Times New Roman" w:cstheme="minorHAnsi"/>
          <w:bCs/>
          <w:kern w:val="36"/>
          <w:lang w:val="en-US" w:eastAsia="de-DE"/>
        </w:rPr>
        <w:t>,</w:t>
      </w:r>
      <w:r w:rsidR="00B1144F">
        <w:rPr>
          <w:rFonts w:eastAsia="Times New Roman" w:cstheme="minorHAnsi"/>
          <w:bCs/>
          <w:kern w:val="36"/>
          <w:lang w:val="en-US" w:eastAsia="de-DE"/>
        </w:rPr>
        <w:t xml:space="preserve"> 2016).</w:t>
      </w:r>
      <w:r w:rsidR="00CB7235">
        <w:rPr>
          <w:rFonts w:eastAsia="Times New Roman" w:cstheme="minorHAnsi"/>
          <w:bCs/>
          <w:kern w:val="36"/>
          <w:lang w:val="en-US" w:eastAsia="de-DE"/>
        </w:rPr>
        <w:t xml:space="preserve"> </w:t>
      </w:r>
      <w:r w:rsidR="00F45C71" w:rsidRPr="0055253B">
        <w:rPr>
          <w:lang w:val="en-US"/>
        </w:rPr>
        <w:t xml:space="preserve">The Lisbon treaty </w:t>
      </w:r>
      <w:r w:rsidR="00F45C71">
        <w:rPr>
          <w:lang w:val="en-US"/>
        </w:rPr>
        <w:t xml:space="preserve">thus </w:t>
      </w:r>
      <w:r w:rsidR="00F45C71" w:rsidRPr="0055253B">
        <w:rPr>
          <w:lang w:val="en-US"/>
        </w:rPr>
        <w:t>ensured that rules guiding decision-making involved many diverse actors, precluding the former technocratic decision-making process</w:t>
      </w:r>
      <w:r w:rsidR="009B32F5">
        <w:rPr>
          <w:lang w:val="en-US"/>
        </w:rPr>
        <w:t>. The</w:t>
      </w:r>
      <w:r w:rsidR="00F45C71">
        <w:rPr>
          <w:lang w:val="en-US"/>
        </w:rPr>
        <w:t xml:space="preserve"> emergence of the EP as powerful actor </w:t>
      </w:r>
      <w:r w:rsidR="009B32F5">
        <w:rPr>
          <w:lang w:val="en-US"/>
        </w:rPr>
        <w:t>gave</w:t>
      </w:r>
      <w:r w:rsidR="00F45C71">
        <w:rPr>
          <w:lang w:val="en-US"/>
        </w:rPr>
        <w:t xml:space="preserve"> these</w:t>
      </w:r>
      <w:r w:rsidR="009B32F5">
        <w:rPr>
          <w:lang w:val="en-US"/>
        </w:rPr>
        <w:t xml:space="preserve"> actors a forum to make their voices heard</w:t>
      </w:r>
      <w:r w:rsidR="00F45C71" w:rsidRPr="0055253B">
        <w:rPr>
          <w:lang w:val="en-US"/>
        </w:rPr>
        <w:t>.</w:t>
      </w:r>
      <w:r w:rsidR="00F45C71" w:rsidRPr="0055253B">
        <w:rPr>
          <w:rFonts w:cstheme="minorHAnsi"/>
          <w:lang w:val="en-US"/>
        </w:rPr>
        <w:t xml:space="preserve"> </w:t>
      </w:r>
    </w:p>
    <w:p w:rsidR="00F45C71" w:rsidRDefault="00F45C71" w:rsidP="00517AFC">
      <w:pPr>
        <w:spacing w:after="0" w:line="360" w:lineRule="auto"/>
        <w:jc w:val="both"/>
        <w:rPr>
          <w:rFonts w:cstheme="minorHAnsi"/>
          <w:lang w:val="en-US"/>
        </w:rPr>
      </w:pPr>
      <w:r>
        <w:rPr>
          <w:rFonts w:cstheme="minorHAnsi"/>
          <w:lang w:val="en-US"/>
        </w:rPr>
        <w:t>Despite that</w:t>
      </w:r>
      <w:r w:rsidR="00E735DF">
        <w:rPr>
          <w:rFonts w:cstheme="minorHAnsi"/>
          <w:lang w:val="en-US"/>
        </w:rPr>
        <w:t xml:space="preserve">, the CFP and its external dimension only partly </w:t>
      </w:r>
      <w:r w:rsidR="009D766C">
        <w:rPr>
          <w:rFonts w:cstheme="minorHAnsi"/>
          <w:lang w:val="en-US"/>
        </w:rPr>
        <w:t xml:space="preserve">display </w:t>
      </w:r>
      <w:r w:rsidR="00E735DF">
        <w:rPr>
          <w:rFonts w:cstheme="minorHAnsi"/>
          <w:lang w:val="en-US"/>
        </w:rPr>
        <w:t xml:space="preserve">the characteristics of a politicized policy field. While there is clearly a continuous expansion of relevant actors in the decision-making process (criterium III) and </w:t>
      </w:r>
      <w:r w:rsidR="00086D21">
        <w:rPr>
          <w:rFonts w:cstheme="minorHAnsi"/>
          <w:lang w:val="en-US"/>
        </w:rPr>
        <w:t xml:space="preserve">there are sharp divisions among them, with </w:t>
      </w:r>
      <w:r w:rsidR="004810B1">
        <w:rPr>
          <w:rFonts w:cstheme="minorHAnsi"/>
          <w:lang w:val="en-US"/>
        </w:rPr>
        <w:t xml:space="preserve">the attendant </w:t>
      </w:r>
      <w:r w:rsidR="004D7781">
        <w:rPr>
          <w:rFonts w:cstheme="minorHAnsi"/>
          <w:lang w:val="en-US"/>
        </w:rPr>
        <w:t xml:space="preserve">strong </w:t>
      </w:r>
      <w:r w:rsidR="00086D21">
        <w:rPr>
          <w:rFonts w:cstheme="minorHAnsi"/>
          <w:lang w:val="en-US"/>
        </w:rPr>
        <w:t xml:space="preserve">contestation of the CFP and its components (criterium II), the public salience of the issue (criterium I) is still rather limited. </w:t>
      </w:r>
      <w:r>
        <w:rPr>
          <w:rFonts w:cstheme="minorHAnsi"/>
          <w:lang w:val="en-US"/>
        </w:rPr>
        <w:t>A Nexis search of English, German, French and Spanish language ne</w:t>
      </w:r>
      <w:r w:rsidR="009D766C">
        <w:rPr>
          <w:rFonts w:cstheme="minorHAnsi"/>
          <w:lang w:val="en-US"/>
        </w:rPr>
        <w:t xml:space="preserve">wspapers showed that the CFP </w:t>
      </w:r>
      <w:r>
        <w:rPr>
          <w:rFonts w:cstheme="minorHAnsi"/>
          <w:lang w:val="en-US"/>
        </w:rPr>
        <w:t xml:space="preserve">was not very frequently the object of articles (with a small spike during the debate about the CFP reform), and that this pattern remained constant until 2016. The precipitous rise in English-language papers after 2016 is due to Brexit (Figure 1). The same trend is visible if one searches only </w:t>
      </w:r>
      <w:r w:rsidR="00831F30">
        <w:rPr>
          <w:rFonts w:cstheme="minorHAnsi"/>
          <w:lang w:val="en-US"/>
        </w:rPr>
        <w:t>selected ‘</w:t>
      </w:r>
      <w:r>
        <w:rPr>
          <w:rFonts w:cstheme="minorHAnsi"/>
          <w:lang w:val="en-US"/>
        </w:rPr>
        <w:t>quality</w:t>
      </w:r>
      <w:r w:rsidR="00831F30">
        <w:rPr>
          <w:rFonts w:cstheme="minorHAnsi"/>
          <w:lang w:val="en-US"/>
        </w:rPr>
        <w:t>’</w:t>
      </w:r>
      <w:r>
        <w:rPr>
          <w:rFonts w:cstheme="minorHAnsi"/>
          <w:lang w:val="en-US"/>
        </w:rPr>
        <w:t xml:space="preserve"> journals (Figure 2).</w:t>
      </w:r>
    </w:p>
    <w:p w:rsidR="00CB7235" w:rsidRDefault="00CB7235" w:rsidP="00517AFC">
      <w:pPr>
        <w:spacing w:after="0" w:line="360" w:lineRule="auto"/>
        <w:jc w:val="both"/>
        <w:rPr>
          <w:rFonts w:cstheme="minorHAnsi"/>
          <w:lang w:val="en-US"/>
        </w:rPr>
      </w:pPr>
    </w:p>
    <w:p w:rsidR="00F45C71" w:rsidRDefault="00831F30" w:rsidP="00517AFC">
      <w:pPr>
        <w:spacing w:after="0" w:line="360" w:lineRule="auto"/>
        <w:jc w:val="both"/>
        <w:rPr>
          <w:rFonts w:cstheme="minorHAnsi"/>
          <w:lang w:val="en-US"/>
        </w:rPr>
      </w:pPr>
      <w:r w:rsidRPr="0075105A">
        <w:rPr>
          <w:noProof/>
          <w:lang w:eastAsia="de-DE"/>
        </w:rPr>
        <w:lastRenderedPageBreak/>
        <w:drawing>
          <wp:inline distT="0" distB="0" distL="0" distR="0" wp14:anchorId="55A8D97F" wp14:editId="49ACAFB5">
            <wp:extent cx="5382228" cy="2346419"/>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1917" cy="2363722"/>
                    </a:xfrm>
                    <a:prstGeom prst="rect">
                      <a:avLst/>
                    </a:prstGeom>
                    <a:noFill/>
                    <a:ln>
                      <a:noFill/>
                    </a:ln>
                  </pic:spPr>
                </pic:pic>
              </a:graphicData>
            </a:graphic>
          </wp:inline>
        </w:drawing>
      </w:r>
    </w:p>
    <w:p w:rsidR="00831F30" w:rsidRDefault="00831F30" w:rsidP="00517AFC">
      <w:pPr>
        <w:spacing w:after="0" w:line="360" w:lineRule="auto"/>
        <w:jc w:val="both"/>
        <w:rPr>
          <w:rFonts w:cstheme="minorHAnsi"/>
          <w:sz w:val="20"/>
          <w:lang w:val="en-US"/>
        </w:rPr>
      </w:pPr>
      <w:r w:rsidRPr="00135FAA">
        <w:rPr>
          <w:rFonts w:cstheme="minorHAnsi"/>
          <w:b/>
          <w:sz w:val="20"/>
          <w:lang w:val="en-US"/>
        </w:rPr>
        <w:t>Figure 1:</w:t>
      </w:r>
      <w:r w:rsidRPr="00831F30">
        <w:rPr>
          <w:rFonts w:cstheme="minorHAnsi"/>
          <w:sz w:val="20"/>
          <w:lang w:val="en-US"/>
        </w:rPr>
        <w:t xml:space="preserve"> Articles on CFP in all papers (Nexis search)</w:t>
      </w:r>
    </w:p>
    <w:p w:rsidR="00831F30" w:rsidRPr="00831F30" w:rsidRDefault="00831F30" w:rsidP="00517AFC">
      <w:pPr>
        <w:spacing w:after="0" w:line="360" w:lineRule="auto"/>
        <w:jc w:val="both"/>
        <w:rPr>
          <w:rFonts w:cstheme="minorHAnsi"/>
          <w:sz w:val="20"/>
          <w:lang w:val="en-US"/>
        </w:rPr>
      </w:pPr>
    </w:p>
    <w:p w:rsidR="00831F30" w:rsidRDefault="00831F30" w:rsidP="00517AFC">
      <w:pPr>
        <w:spacing w:after="0" w:line="360" w:lineRule="auto"/>
        <w:jc w:val="both"/>
        <w:rPr>
          <w:rFonts w:cstheme="minorHAnsi"/>
          <w:lang w:val="en-US"/>
        </w:rPr>
      </w:pPr>
      <w:r w:rsidRPr="0075105A">
        <w:rPr>
          <w:noProof/>
          <w:lang w:eastAsia="de-DE"/>
        </w:rPr>
        <w:drawing>
          <wp:inline distT="0" distB="0" distL="0" distR="0" wp14:anchorId="16D9C299" wp14:editId="3B0B2B3E">
            <wp:extent cx="5364866" cy="2322883"/>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5587" cy="2331855"/>
                    </a:xfrm>
                    <a:prstGeom prst="rect">
                      <a:avLst/>
                    </a:prstGeom>
                    <a:noFill/>
                    <a:ln>
                      <a:noFill/>
                    </a:ln>
                  </pic:spPr>
                </pic:pic>
              </a:graphicData>
            </a:graphic>
          </wp:inline>
        </w:drawing>
      </w:r>
    </w:p>
    <w:p w:rsidR="00831F30" w:rsidRDefault="00831F30" w:rsidP="00831F30">
      <w:pPr>
        <w:spacing w:after="0" w:line="240" w:lineRule="auto"/>
        <w:jc w:val="both"/>
        <w:rPr>
          <w:rFonts w:cstheme="minorHAnsi"/>
          <w:sz w:val="20"/>
          <w:lang w:val="en-US"/>
        </w:rPr>
      </w:pPr>
      <w:r w:rsidRPr="00135FAA">
        <w:rPr>
          <w:rFonts w:cstheme="minorHAnsi"/>
          <w:b/>
          <w:sz w:val="20"/>
          <w:lang w:val="en-US"/>
        </w:rPr>
        <w:t>Figure 2</w:t>
      </w:r>
      <w:r w:rsidRPr="00831F30">
        <w:rPr>
          <w:rFonts w:cstheme="minorHAnsi"/>
          <w:sz w:val="20"/>
          <w:lang w:val="en-US"/>
        </w:rPr>
        <w:t>: Articles on CFP in selected papers (</w:t>
      </w:r>
      <w:r w:rsidR="00135FAA">
        <w:rPr>
          <w:rFonts w:cstheme="minorHAnsi"/>
          <w:b/>
          <w:sz w:val="20"/>
          <w:lang w:val="en-US"/>
        </w:rPr>
        <w:t>German</w:t>
      </w:r>
      <w:r w:rsidRPr="00831F30">
        <w:rPr>
          <w:rFonts w:cstheme="minorHAnsi"/>
          <w:b/>
          <w:bCs/>
          <w:sz w:val="20"/>
          <w:lang w:val="en-US"/>
        </w:rPr>
        <w:t xml:space="preserve">:  </w:t>
      </w:r>
      <w:r>
        <w:rPr>
          <w:rFonts w:cstheme="minorHAnsi"/>
          <w:sz w:val="20"/>
          <w:lang w:val="en-US"/>
        </w:rPr>
        <w:t xml:space="preserve">FAZ.Net, </w:t>
      </w:r>
      <w:r w:rsidRPr="00831F30">
        <w:rPr>
          <w:rFonts w:cstheme="minorHAnsi"/>
          <w:sz w:val="20"/>
          <w:lang w:val="en-US"/>
        </w:rPr>
        <w:t>Tagesspie</w:t>
      </w:r>
      <w:r>
        <w:rPr>
          <w:rFonts w:cstheme="minorHAnsi"/>
          <w:sz w:val="20"/>
          <w:lang w:val="en-US"/>
        </w:rPr>
        <w:t xml:space="preserve">gel, taz, die tageszeitung, </w:t>
      </w:r>
      <w:r w:rsidRPr="00831F30">
        <w:rPr>
          <w:rFonts w:cstheme="minorHAnsi"/>
          <w:sz w:val="20"/>
          <w:lang w:val="en-US"/>
        </w:rPr>
        <w:t>Welt, Die ZEIT</w:t>
      </w:r>
      <w:r>
        <w:rPr>
          <w:rFonts w:cstheme="minorHAnsi"/>
          <w:sz w:val="20"/>
          <w:lang w:val="en-US"/>
        </w:rPr>
        <w:t xml:space="preserve">, </w:t>
      </w:r>
      <w:r w:rsidRPr="00831F30">
        <w:rPr>
          <w:rFonts w:cstheme="minorHAnsi"/>
          <w:sz w:val="20"/>
          <w:lang w:val="en-US"/>
        </w:rPr>
        <w:t xml:space="preserve">Welt am Sonntag; </w:t>
      </w:r>
      <w:r w:rsidRPr="00831F30">
        <w:rPr>
          <w:rFonts w:cstheme="minorHAnsi"/>
          <w:b/>
          <w:bCs/>
          <w:sz w:val="20"/>
          <w:lang w:val="en-US"/>
        </w:rPr>
        <w:t xml:space="preserve">English: </w:t>
      </w:r>
      <w:r w:rsidRPr="00831F30">
        <w:rPr>
          <w:rFonts w:cstheme="minorHAnsi"/>
          <w:sz w:val="20"/>
          <w:lang w:val="en-US"/>
        </w:rPr>
        <w:t xml:space="preserve">telegraph.co.uk, </w:t>
      </w:r>
      <w:r>
        <w:rPr>
          <w:rFonts w:cstheme="minorHAnsi"/>
          <w:sz w:val="20"/>
          <w:lang w:val="en-US"/>
        </w:rPr>
        <w:t>Daily Telegraph,  The Guardian, </w:t>
      </w:r>
      <w:r w:rsidRPr="00831F30">
        <w:rPr>
          <w:rFonts w:cstheme="minorHAnsi"/>
          <w:sz w:val="20"/>
          <w:lang w:val="en-US"/>
        </w:rPr>
        <w:t>Daily Mail</w:t>
      </w:r>
      <w:r>
        <w:rPr>
          <w:rFonts w:cstheme="minorHAnsi"/>
          <w:sz w:val="20"/>
          <w:lang w:val="en-US"/>
        </w:rPr>
        <w:t>, Sunday Telegraph, </w:t>
      </w:r>
      <w:r w:rsidRPr="00831F30">
        <w:rPr>
          <w:rFonts w:cstheme="minorHAnsi"/>
          <w:sz w:val="20"/>
          <w:lang w:val="en-US"/>
        </w:rPr>
        <w:t>New York Times</w:t>
      </w:r>
      <w:r>
        <w:rPr>
          <w:rFonts w:cstheme="minorHAnsi"/>
          <w:sz w:val="20"/>
          <w:lang w:val="en-US"/>
        </w:rPr>
        <w:t xml:space="preserve">; </w:t>
      </w:r>
      <w:r w:rsidR="004A1C09">
        <w:rPr>
          <w:rFonts w:cstheme="minorHAnsi"/>
          <w:b/>
          <w:bCs/>
          <w:sz w:val="20"/>
          <w:lang w:val="en-US"/>
        </w:rPr>
        <w:t>French</w:t>
      </w:r>
      <w:r w:rsidRPr="00831F30">
        <w:rPr>
          <w:rFonts w:cstheme="minorHAnsi"/>
          <w:b/>
          <w:bCs/>
          <w:sz w:val="20"/>
          <w:lang w:val="en-US"/>
        </w:rPr>
        <w:t xml:space="preserve">: </w:t>
      </w:r>
      <w:r w:rsidRPr="00831F30">
        <w:rPr>
          <w:rFonts w:cstheme="minorHAnsi"/>
          <w:sz w:val="20"/>
          <w:lang w:val="en-US"/>
        </w:rPr>
        <w:t>Le Monde, Le Figaro</w:t>
      </w:r>
      <w:r>
        <w:rPr>
          <w:rFonts w:cstheme="minorHAnsi"/>
          <w:sz w:val="20"/>
          <w:lang w:val="en-US"/>
        </w:rPr>
        <w:t xml:space="preserve">; </w:t>
      </w:r>
      <w:r w:rsidR="004A1C09">
        <w:rPr>
          <w:rFonts w:cstheme="minorHAnsi"/>
          <w:b/>
          <w:bCs/>
          <w:sz w:val="20"/>
          <w:lang w:val="en-US"/>
        </w:rPr>
        <w:t>Spanish</w:t>
      </w:r>
      <w:r w:rsidRPr="00831F30">
        <w:rPr>
          <w:rFonts w:cstheme="minorHAnsi"/>
          <w:b/>
          <w:bCs/>
          <w:sz w:val="20"/>
          <w:lang w:val="en-US"/>
        </w:rPr>
        <w:t xml:space="preserve">: </w:t>
      </w:r>
      <w:r w:rsidRPr="00831F30">
        <w:rPr>
          <w:rFonts w:cstheme="minorHAnsi"/>
          <w:sz w:val="20"/>
          <w:lang w:val="en-US"/>
        </w:rPr>
        <w:t>El Pais, El Mundo</w:t>
      </w:r>
      <w:r>
        <w:rPr>
          <w:rFonts w:cstheme="minorHAnsi"/>
          <w:sz w:val="20"/>
          <w:lang w:val="en-US"/>
        </w:rPr>
        <w:t xml:space="preserve">); </w:t>
      </w:r>
      <w:r w:rsidRPr="004A1C09">
        <w:rPr>
          <w:rFonts w:cstheme="minorHAnsi"/>
          <w:b/>
          <w:sz w:val="20"/>
          <w:lang w:val="en-US"/>
        </w:rPr>
        <w:t>Nexis search.</w:t>
      </w:r>
    </w:p>
    <w:p w:rsidR="009B32F5" w:rsidRDefault="009B32F5" w:rsidP="00831F30">
      <w:pPr>
        <w:spacing w:after="0" w:line="360" w:lineRule="auto"/>
        <w:jc w:val="both"/>
        <w:rPr>
          <w:rFonts w:cstheme="minorHAnsi"/>
          <w:lang w:val="en-US"/>
        </w:rPr>
      </w:pPr>
    </w:p>
    <w:p w:rsidR="00E735DF" w:rsidRDefault="004D7781" w:rsidP="00831F30">
      <w:pPr>
        <w:spacing w:after="0" w:line="360" w:lineRule="auto"/>
        <w:jc w:val="both"/>
        <w:rPr>
          <w:rFonts w:cstheme="minorHAnsi"/>
          <w:lang w:val="en-US"/>
        </w:rPr>
      </w:pPr>
      <w:r>
        <w:rPr>
          <w:rFonts w:cstheme="minorHAnsi"/>
          <w:lang w:val="en-US"/>
        </w:rPr>
        <w:t xml:space="preserve">There is no sustained public debate in EU countries on </w:t>
      </w:r>
      <w:r w:rsidR="009D766C">
        <w:rPr>
          <w:rFonts w:cstheme="minorHAnsi"/>
          <w:lang w:val="en-US"/>
        </w:rPr>
        <w:t>fisheries</w:t>
      </w:r>
      <w:r>
        <w:rPr>
          <w:rFonts w:cstheme="minorHAnsi"/>
          <w:lang w:val="en-US"/>
        </w:rPr>
        <w:t>, nor do parties pick up the question and make it part of their electoral platform</w:t>
      </w:r>
      <w:r w:rsidR="0060324E">
        <w:rPr>
          <w:rFonts w:cstheme="minorHAnsi"/>
          <w:lang w:val="en-US"/>
        </w:rPr>
        <w:t xml:space="preserve"> (only the Greens briefly mention fisheries in their 2019 manifesto)</w:t>
      </w:r>
      <w:r>
        <w:rPr>
          <w:rFonts w:cstheme="minorHAnsi"/>
          <w:lang w:val="en-US"/>
        </w:rPr>
        <w:t xml:space="preserve">. Thus, the picture remains unclear. </w:t>
      </w:r>
      <w:r w:rsidR="00086D21">
        <w:rPr>
          <w:rFonts w:cstheme="minorHAnsi"/>
          <w:lang w:val="en-US"/>
        </w:rPr>
        <w:t>Does this mean that an analysis of the CFP and its external dimension through the lens of politicization is bound to yield few benefits?</w:t>
      </w:r>
    </w:p>
    <w:p w:rsidR="002E5185" w:rsidRPr="004A1C09" w:rsidRDefault="002E5185" w:rsidP="00517AFC">
      <w:pPr>
        <w:spacing w:after="0" w:line="360" w:lineRule="auto"/>
        <w:jc w:val="both"/>
        <w:rPr>
          <w:rFonts w:cstheme="minorHAnsi"/>
          <w:b/>
          <w:lang w:val="en-US"/>
        </w:rPr>
      </w:pPr>
    </w:p>
    <w:p w:rsidR="00E220F8" w:rsidRPr="004A1C09" w:rsidRDefault="004A1C09" w:rsidP="00517AFC">
      <w:pPr>
        <w:spacing w:after="0" w:line="360" w:lineRule="auto"/>
        <w:jc w:val="both"/>
        <w:rPr>
          <w:rFonts w:cstheme="minorHAnsi"/>
          <w:b/>
          <w:lang w:val="en-US"/>
        </w:rPr>
      </w:pPr>
      <w:r w:rsidRPr="004A1C09">
        <w:rPr>
          <w:rFonts w:cstheme="minorHAnsi"/>
          <w:b/>
          <w:lang w:val="en-US"/>
        </w:rPr>
        <w:t>3.</w:t>
      </w:r>
      <w:r w:rsidR="008F5CB4" w:rsidRPr="004A1C09">
        <w:rPr>
          <w:rFonts w:cstheme="minorHAnsi"/>
          <w:b/>
          <w:lang w:val="en-US"/>
        </w:rPr>
        <w:t xml:space="preserve"> </w:t>
      </w:r>
      <w:r w:rsidR="00E220F8" w:rsidRPr="004A1C09">
        <w:rPr>
          <w:rFonts w:cstheme="minorHAnsi"/>
          <w:b/>
          <w:lang w:val="en-US"/>
        </w:rPr>
        <w:t>The ‘Layered Politicization’ of the CFP</w:t>
      </w:r>
    </w:p>
    <w:p w:rsidR="00AA496F" w:rsidRDefault="00C37601" w:rsidP="00AA496F">
      <w:pPr>
        <w:pStyle w:val="Default"/>
        <w:spacing w:line="360" w:lineRule="auto"/>
        <w:jc w:val="both"/>
        <w:rPr>
          <w:rFonts w:asciiTheme="minorHAnsi" w:hAnsiTheme="minorHAnsi" w:cstheme="minorHAnsi"/>
          <w:color w:val="auto"/>
          <w:sz w:val="22"/>
          <w:szCs w:val="22"/>
          <w:lang w:val="en-US"/>
        </w:rPr>
      </w:pPr>
      <w:r w:rsidRPr="0055253B">
        <w:rPr>
          <w:rFonts w:asciiTheme="minorHAnsi" w:hAnsiTheme="minorHAnsi" w:cstheme="minorHAnsi"/>
          <w:color w:val="auto"/>
          <w:sz w:val="22"/>
          <w:szCs w:val="22"/>
          <w:lang w:val="en-US"/>
        </w:rPr>
        <w:t>The</w:t>
      </w:r>
      <w:r w:rsidR="004810B1">
        <w:rPr>
          <w:rFonts w:asciiTheme="minorHAnsi" w:hAnsiTheme="minorHAnsi" w:cstheme="minorHAnsi"/>
          <w:color w:val="auto"/>
          <w:sz w:val="22"/>
          <w:szCs w:val="22"/>
          <w:lang w:val="en-US"/>
        </w:rPr>
        <w:t xml:space="preserve"> short review of the development</w:t>
      </w:r>
      <w:r w:rsidR="0091344C">
        <w:rPr>
          <w:rFonts w:asciiTheme="minorHAnsi" w:hAnsiTheme="minorHAnsi" w:cstheme="minorHAnsi"/>
          <w:color w:val="auto"/>
          <w:sz w:val="22"/>
          <w:szCs w:val="22"/>
          <w:lang w:val="en-US"/>
        </w:rPr>
        <w:t xml:space="preserve"> of the CFP has sh</w:t>
      </w:r>
      <w:r w:rsidR="004810B1">
        <w:rPr>
          <w:rFonts w:asciiTheme="minorHAnsi" w:hAnsiTheme="minorHAnsi" w:cstheme="minorHAnsi"/>
          <w:color w:val="auto"/>
          <w:sz w:val="22"/>
          <w:szCs w:val="22"/>
          <w:lang w:val="en-US"/>
        </w:rPr>
        <w:t>own</w:t>
      </w:r>
      <w:r w:rsidR="0091344C">
        <w:rPr>
          <w:rFonts w:asciiTheme="minorHAnsi" w:hAnsiTheme="minorHAnsi" w:cstheme="minorHAnsi"/>
          <w:color w:val="auto"/>
          <w:sz w:val="22"/>
          <w:szCs w:val="22"/>
          <w:lang w:val="en-US"/>
        </w:rPr>
        <w:t xml:space="preserve"> </w:t>
      </w:r>
      <w:r w:rsidR="006427AB">
        <w:rPr>
          <w:rFonts w:asciiTheme="minorHAnsi" w:hAnsiTheme="minorHAnsi" w:cstheme="minorHAnsi"/>
          <w:color w:val="auto"/>
          <w:sz w:val="22"/>
          <w:szCs w:val="22"/>
          <w:lang w:val="en-US"/>
        </w:rPr>
        <w:t>that</w:t>
      </w:r>
      <w:r w:rsidRPr="0055253B">
        <w:rPr>
          <w:rFonts w:asciiTheme="minorHAnsi" w:hAnsiTheme="minorHAnsi" w:cstheme="minorHAnsi"/>
          <w:color w:val="auto"/>
          <w:sz w:val="22"/>
          <w:szCs w:val="22"/>
          <w:lang w:val="en-US"/>
        </w:rPr>
        <w:t xml:space="preserve"> the description and analysis of the politicization of </w:t>
      </w:r>
      <w:r w:rsidR="001E7E30">
        <w:rPr>
          <w:rFonts w:asciiTheme="minorHAnsi" w:hAnsiTheme="minorHAnsi" w:cstheme="minorHAnsi"/>
          <w:color w:val="auto"/>
          <w:sz w:val="22"/>
          <w:szCs w:val="22"/>
          <w:lang w:val="en-US"/>
        </w:rPr>
        <w:t xml:space="preserve">less prominent </w:t>
      </w:r>
      <w:r w:rsidR="004810B1">
        <w:rPr>
          <w:rFonts w:asciiTheme="minorHAnsi" w:hAnsiTheme="minorHAnsi" w:cstheme="minorHAnsi"/>
          <w:color w:val="auto"/>
          <w:sz w:val="22"/>
          <w:szCs w:val="22"/>
          <w:lang w:val="en-US"/>
        </w:rPr>
        <w:t xml:space="preserve">areas of </w:t>
      </w:r>
      <w:r w:rsidRPr="0055253B">
        <w:rPr>
          <w:rFonts w:asciiTheme="minorHAnsi" w:hAnsiTheme="minorHAnsi" w:cstheme="minorHAnsi"/>
          <w:color w:val="auto"/>
          <w:sz w:val="22"/>
          <w:szCs w:val="22"/>
          <w:lang w:val="en-US"/>
        </w:rPr>
        <w:t xml:space="preserve">EU external policies </w:t>
      </w:r>
      <w:r w:rsidR="0091344C">
        <w:rPr>
          <w:rFonts w:asciiTheme="minorHAnsi" w:hAnsiTheme="minorHAnsi" w:cstheme="minorHAnsi"/>
          <w:color w:val="auto"/>
          <w:sz w:val="22"/>
          <w:szCs w:val="22"/>
          <w:lang w:val="en-US"/>
        </w:rPr>
        <w:t>is ambiguous</w:t>
      </w:r>
      <w:r w:rsidR="009B32F5">
        <w:rPr>
          <w:rFonts w:asciiTheme="minorHAnsi" w:hAnsiTheme="minorHAnsi" w:cstheme="minorHAnsi"/>
          <w:color w:val="auto"/>
          <w:sz w:val="22"/>
          <w:szCs w:val="22"/>
          <w:lang w:val="en-US"/>
        </w:rPr>
        <w:t>. A</w:t>
      </w:r>
      <w:r w:rsidR="0091344C">
        <w:rPr>
          <w:rFonts w:asciiTheme="minorHAnsi" w:hAnsiTheme="minorHAnsi" w:cstheme="minorHAnsi"/>
          <w:color w:val="auto"/>
          <w:sz w:val="22"/>
          <w:szCs w:val="22"/>
          <w:lang w:val="en-US"/>
        </w:rPr>
        <w:t xml:space="preserve"> more fine-grained conceptualization is necessary</w:t>
      </w:r>
      <w:r w:rsidR="005F1D83" w:rsidRPr="0055253B">
        <w:rPr>
          <w:rFonts w:asciiTheme="minorHAnsi" w:hAnsiTheme="minorHAnsi" w:cstheme="minorHAnsi"/>
          <w:color w:val="auto"/>
          <w:sz w:val="22"/>
          <w:szCs w:val="22"/>
          <w:lang w:val="en-US"/>
        </w:rPr>
        <w:t>. One way to move towards</w:t>
      </w:r>
      <w:r w:rsidRPr="0055253B">
        <w:rPr>
          <w:rFonts w:asciiTheme="minorHAnsi" w:hAnsiTheme="minorHAnsi" w:cstheme="minorHAnsi"/>
          <w:color w:val="auto"/>
          <w:sz w:val="22"/>
          <w:szCs w:val="22"/>
          <w:lang w:val="en-US"/>
        </w:rPr>
        <w:t xml:space="preserve"> that </w:t>
      </w:r>
      <w:r w:rsidR="005F1D83" w:rsidRPr="0055253B">
        <w:rPr>
          <w:rFonts w:asciiTheme="minorHAnsi" w:hAnsiTheme="minorHAnsi" w:cstheme="minorHAnsi"/>
          <w:color w:val="auto"/>
          <w:sz w:val="22"/>
          <w:szCs w:val="22"/>
          <w:lang w:val="en-US"/>
        </w:rPr>
        <w:t xml:space="preserve">goal </w:t>
      </w:r>
      <w:r w:rsidR="0091344C">
        <w:rPr>
          <w:rFonts w:asciiTheme="minorHAnsi" w:hAnsiTheme="minorHAnsi" w:cstheme="minorHAnsi"/>
          <w:color w:val="auto"/>
          <w:sz w:val="22"/>
          <w:szCs w:val="22"/>
          <w:lang w:val="en-US"/>
        </w:rPr>
        <w:t>is</w:t>
      </w:r>
      <w:r w:rsidRPr="0055253B">
        <w:rPr>
          <w:rFonts w:asciiTheme="minorHAnsi" w:hAnsiTheme="minorHAnsi" w:cstheme="minorHAnsi"/>
          <w:color w:val="auto"/>
          <w:sz w:val="22"/>
          <w:szCs w:val="22"/>
          <w:lang w:val="en-US"/>
        </w:rPr>
        <w:t xml:space="preserve"> to take recent advances in the literature on institutional change into account</w:t>
      </w:r>
      <w:r w:rsidR="006427AB">
        <w:rPr>
          <w:rFonts w:asciiTheme="minorHAnsi" w:hAnsiTheme="minorHAnsi" w:cstheme="minorHAnsi"/>
          <w:color w:val="auto"/>
          <w:sz w:val="22"/>
          <w:szCs w:val="22"/>
          <w:lang w:val="en-US"/>
        </w:rPr>
        <w:t xml:space="preserve"> which encompass</w:t>
      </w:r>
      <w:r w:rsidR="00532E07" w:rsidRPr="0055253B">
        <w:rPr>
          <w:rFonts w:asciiTheme="minorHAnsi" w:hAnsiTheme="minorHAnsi" w:cstheme="minorHAnsi"/>
          <w:color w:val="auto"/>
          <w:sz w:val="22"/>
          <w:szCs w:val="22"/>
          <w:lang w:val="en-US"/>
        </w:rPr>
        <w:t xml:space="preserve"> both the descriptive and prognostic dimensions of politi</w:t>
      </w:r>
      <w:r w:rsidR="00183DF7" w:rsidRPr="0055253B">
        <w:rPr>
          <w:rFonts w:asciiTheme="minorHAnsi" w:hAnsiTheme="minorHAnsi" w:cstheme="minorHAnsi"/>
          <w:color w:val="auto"/>
          <w:sz w:val="22"/>
          <w:szCs w:val="22"/>
          <w:lang w:val="en-US"/>
        </w:rPr>
        <w:t>cization (Rixen/Viola</w:t>
      </w:r>
      <w:r w:rsidR="004A1C09">
        <w:rPr>
          <w:rFonts w:asciiTheme="minorHAnsi" w:hAnsiTheme="minorHAnsi" w:cstheme="minorHAnsi"/>
          <w:color w:val="auto"/>
          <w:sz w:val="22"/>
          <w:szCs w:val="22"/>
          <w:lang w:val="en-US"/>
        </w:rPr>
        <w:t>,</w:t>
      </w:r>
      <w:r w:rsidR="00183DF7" w:rsidRPr="0055253B">
        <w:rPr>
          <w:rFonts w:asciiTheme="minorHAnsi" w:hAnsiTheme="minorHAnsi" w:cstheme="minorHAnsi"/>
          <w:color w:val="auto"/>
          <w:sz w:val="22"/>
          <w:szCs w:val="22"/>
          <w:lang w:val="en-US"/>
        </w:rPr>
        <w:t xml:space="preserve"> 2015; Streeck/Thelen</w:t>
      </w:r>
      <w:r w:rsidR="004A1C09">
        <w:rPr>
          <w:rFonts w:asciiTheme="minorHAnsi" w:hAnsiTheme="minorHAnsi" w:cstheme="minorHAnsi"/>
          <w:color w:val="auto"/>
          <w:sz w:val="22"/>
          <w:szCs w:val="22"/>
          <w:lang w:val="en-US"/>
        </w:rPr>
        <w:t>,</w:t>
      </w:r>
      <w:r w:rsidR="00183DF7" w:rsidRPr="0055253B">
        <w:rPr>
          <w:rFonts w:asciiTheme="minorHAnsi" w:hAnsiTheme="minorHAnsi" w:cstheme="minorHAnsi"/>
          <w:color w:val="auto"/>
          <w:sz w:val="22"/>
          <w:szCs w:val="22"/>
          <w:lang w:val="en-US"/>
        </w:rPr>
        <w:t xml:space="preserve"> 2005). While many conceptualization</w:t>
      </w:r>
      <w:r w:rsidR="005F1D83" w:rsidRPr="0055253B">
        <w:rPr>
          <w:rFonts w:asciiTheme="minorHAnsi" w:hAnsiTheme="minorHAnsi" w:cstheme="minorHAnsi"/>
          <w:color w:val="auto"/>
          <w:sz w:val="22"/>
          <w:szCs w:val="22"/>
          <w:lang w:val="en-US"/>
        </w:rPr>
        <w:t>s</w:t>
      </w:r>
      <w:r w:rsidR="00183DF7" w:rsidRPr="0055253B">
        <w:rPr>
          <w:rFonts w:asciiTheme="minorHAnsi" w:hAnsiTheme="minorHAnsi" w:cstheme="minorHAnsi"/>
          <w:color w:val="auto"/>
          <w:sz w:val="22"/>
          <w:szCs w:val="22"/>
          <w:lang w:val="en-US"/>
        </w:rPr>
        <w:t xml:space="preserve"> developed by the institutionalist literature </w:t>
      </w:r>
      <w:r w:rsidR="0003483B">
        <w:rPr>
          <w:rFonts w:asciiTheme="minorHAnsi" w:hAnsiTheme="minorHAnsi" w:cstheme="minorHAnsi"/>
          <w:color w:val="auto"/>
          <w:sz w:val="22"/>
          <w:szCs w:val="22"/>
          <w:lang w:val="en-US"/>
        </w:rPr>
        <w:t>are potentially useful</w:t>
      </w:r>
      <w:r w:rsidR="00183DF7" w:rsidRPr="0055253B">
        <w:rPr>
          <w:rFonts w:asciiTheme="minorHAnsi" w:hAnsiTheme="minorHAnsi" w:cstheme="minorHAnsi"/>
          <w:color w:val="auto"/>
          <w:sz w:val="22"/>
          <w:szCs w:val="22"/>
          <w:lang w:val="en-US"/>
        </w:rPr>
        <w:t xml:space="preserve">, the recent framework presented by </w:t>
      </w:r>
      <w:r w:rsidR="00183DF7" w:rsidRPr="0055253B">
        <w:rPr>
          <w:rFonts w:asciiTheme="minorHAnsi" w:hAnsiTheme="minorHAnsi" w:cstheme="minorHAnsi"/>
          <w:color w:val="auto"/>
          <w:sz w:val="22"/>
          <w:szCs w:val="22"/>
          <w:lang w:val="en-US"/>
        </w:rPr>
        <w:lastRenderedPageBreak/>
        <w:t xml:space="preserve">Lowndes and Roberts (2013) </w:t>
      </w:r>
      <w:r w:rsidR="006427AB">
        <w:rPr>
          <w:rFonts w:asciiTheme="minorHAnsi" w:hAnsiTheme="minorHAnsi" w:cstheme="minorHAnsi"/>
          <w:color w:val="auto"/>
          <w:sz w:val="22"/>
          <w:szCs w:val="22"/>
          <w:lang w:val="en-US"/>
        </w:rPr>
        <w:t>offer</w:t>
      </w:r>
      <w:r w:rsidR="00183DF7" w:rsidRPr="0055253B">
        <w:rPr>
          <w:rFonts w:asciiTheme="minorHAnsi" w:hAnsiTheme="minorHAnsi" w:cstheme="minorHAnsi"/>
          <w:color w:val="auto"/>
          <w:sz w:val="22"/>
          <w:szCs w:val="22"/>
          <w:lang w:val="en-US"/>
        </w:rPr>
        <w:t xml:space="preserve">s a good starting point. They see institutions as composed of </w:t>
      </w:r>
      <w:r w:rsidR="005F1D83" w:rsidRPr="0055253B">
        <w:rPr>
          <w:rFonts w:asciiTheme="minorHAnsi" w:hAnsiTheme="minorHAnsi" w:cstheme="minorHAnsi"/>
          <w:color w:val="auto"/>
          <w:sz w:val="22"/>
          <w:szCs w:val="22"/>
          <w:lang w:val="en-US"/>
        </w:rPr>
        <w:t xml:space="preserve">three layers: </w:t>
      </w:r>
      <w:r w:rsidR="00CB7235">
        <w:rPr>
          <w:rFonts w:asciiTheme="minorHAnsi" w:hAnsiTheme="minorHAnsi" w:cstheme="minorHAnsi"/>
          <w:color w:val="auto"/>
          <w:sz w:val="22"/>
          <w:szCs w:val="22"/>
          <w:lang w:val="en-US"/>
        </w:rPr>
        <w:t xml:space="preserve">narratives, rules and practices. </w:t>
      </w:r>
      <w:r w:rsidR="00774D08">
        <w:rPr>
          <w:rFonts w:asciiTheme="minorHAnsi" w:hAnsiTheme="minorHAnsi" w:cstheme="minorHAnsi"/>
          <w:color w:val="auto"/>
          <w:sz w:val="22"/>
          <w:szCs w:val="22"/>
          <w:lang w:val="en-US"/>
        </w:rPr>
        <w:t>This</w:t>
      </w:r>
      <w:r w:rsidR="00183DF7" w:rsidRPr="0055253B">
        <w:rPr>
          <w:rFonts w:asciiTheme="minorHAnsi" w:hAnsiTheme="minorHAnsi" w:cstheme="minorHAnsi"/>
          <w:color w:val="auto"/>
          <w:sz w:val="22"/>
          <w:szCs w:val="22"/>
          <w:lang w:val="en-US"/>
        </w:rPr>
        <w:t xml:space="preserve"> disaggregation makes institut</w:t>
      </w:r>
      <w:r w:rsidR="00C21ED8">
        <w:rPr>
          <w:rFonts w:asciiTheme="minorHAnsi" w:hAnsiTheme="minorHAnsi" w:cstheme="minorHAnsi"/>
          <w:color w:val="auto"/>
          <w:sz w:val="22"/>
          <w:szCs w:val="22"/>
          <w:lang w:val="en-US"/>
        </w:rPr>
        <w:t>ions not only more intelligible;</w:t>
      </w:r>
      <w:r w:rsidR="00183DF7" w:rsidRPr="0055253B">
        <w:rPr>
          <w:rFonts w:asciiTheme="minorHAnsi" w:hAnsiTheme="minorHAnsi" w:cstheme="minorHAnsi"/>
          <w:color w:val="auto"/>
          <w:sz w:val="22"/>
          <w:szCs w:val="22"/>
          <w:lang w:val="en-US"/>
        </w:rPr>
        <w:t xml:space="preserve"> it also helps to better understand their effects and their reaction to politicization (</w:t>
      </w:r>
      <w:r w:rsidR="00AD2517">
        <w:rPr>
          <w:rFonts w:asciiTheme="minorHAnsi" w:hAnsiTheme="minorHAnsi" w:cstheme="minorHAnsi"/>
          <w:color w:val="auto"/>
          <w:sz w:val="22"/>
          <w:szCs w:val="22"/>
          <w:lang w:val="en-US"/>
        </w:rPr>
        <w:t>Lowndes and Roberts, 2013, p.</w:t>
      </w:r>
      <w:r w:rsidR="00183DF7" w:rsidRPr="0055253B">
        <w:rPr>
          <w:rFonts w:asciiTheme="minorHAnsi" w:hAnsiTheme="minorHAnsi" w:cstheme="minorHAnsi"/>
          <w:color w:val="auto"/>
          <w:sz w:val="22"/>
          <w:szCs w:val="22"/>
          <w:lang w:val="en-US"/>
        </w:rPr>
        <w:t xml:space="preserve"> 63). Summarizing briefly, narratives </w:t>
      </w:r>
      <w:r w:rsidR="00C21ED8">
        <w:rPr>
          <w:rFonts w:asciiTheme="minorHAnsi" w:hAnsiTheme="minorHAnsi" w:cstheme="minorHAnsi"/>
          <w:color w:val="auto"/>
          <w:sz w:val="22"/>
          <w:szCs w:val="22"/>
          <w:lang w:val="en-US"/>
        </w:rPr>
        <w:t>designate</w:t>
      </w:r>
      <w:r w:rsidR="00183DF7" w:rsidRPr="0055253B">
        <w:rPr>
          <w:rFonts w:asciiTheme="minorHAnsi" w:hAnsiTheme="minorHAnsi" w:cstheme="minorHAnsi"/>
          <w:color w:val="auto"/>
          <w:sz w:val="22"/>
          <w:szCs w:val="22"/>
          <w:lang w:val="en-US"/>
        </w:rPr>
        <w:t xml:space="preserve"> the </w:t>
      </w:r>
      <w:r w:rsidR="009B32F5">
        <w:rPr>
          <w:rFonts w:asciiTheme="minorHAnsi" w:hAnsiTheme="minorHAnsi" w:cstheme="minorHAnsi"/>
          <w:color w:val="auto"/>
          <w:sz w:val="22"/>
          <w:szCs w:val="22"/>
          <w:lang w:val="en-US"/>
        </w:rPr>
        <w:t xml:space="preserve">most important </w:t>
      </w:r>
      <w:r w:rsidR="00183DF7" w:rsidRPr="0055253B">
        <w:rPr>
          <w:rFonts w:asciiTheme="minorHAnsi" w:hAnsiTheme="minorHAnsi" w:cstheme="minorHAnsi"/>
          <w:color w:val="auto"/>
          <w:sz w:val="22"/>
          <w:szCs w:val="22"/>
          <w:lang w:val="en-US"/>
        </w:rPr>
        <w:t>discourse</w:t>
      </w:r>
      <w:r w:rsidR="00C21ED8">
        <w:rPr>
          <w:rFonts w:asciiTheme="minorHAnsi" w:hAnsiTheme="minorHAnsi" w:cstheme="minorHAnsi"/>
          <w:color w:val="auto"/>
          <w:sz w:val="22"/>
          <w:szCs w:val="22"/>
          <w:lang w:val="en-US"/>
        </w:rPr>
        <w:t>s</w:t>
      </w:r>
      <w:r w:rsidR="00183DF7" w:rsidRPr="0055253B">
        <w:rPr>
          <w:rFonts w:asciiTheme="minorHAnsi" w:hAnsiTheme="minorHAnsi" w:cstheme="minorHAnsi"/>
          <w:color w:val="auto"/>
          <w:sz w:val="22"/>
          <w:szCs w:val="22"/>
          <w:lang w:val="en-US"/>
        </w:rPr>
        <w:t xml:space="preserve"> within an ins</w:t>
      </w:r>
      <w:r w:rsidR="00877C46">
        <w:rPr>
          <w:rFonts w:asciiTheme="minorHAnsi" w:hAnsiTheme="minorHAnsi" w:cstheme="minorHAnsi"/>
          <w:color w:val="auto"/>
          <w:sz w:val="22"/>
          <w:szCs w:val="22"/>
          <w:lang w:val="en-US"/>
        </w:rPr>
        <w:t xml:space="preserve">titution. </w:t>
      </w:r>
      <w:r w:rsidR="00AD0C45">
        <w:rPr>
          <w:rFonts w:asciiTheme="minorHAnsi" w:hAnsiTheme="minorHAnsi" w:cstheme="minorHAnsi"/>
          <w:color w:val="auto"/>
          <w:sz w:val="22"/>
          <w:szCs w:val="22"/>
          <w:lang w:val="en-US"/>
        </w:rPr>
        <w:t xml:space="preserve">Politicized narratives suggest a highly contested </w:t>
      </w:r>
      <w:r w:rsidR="00C21ED8">
        <w:rPr>
          <w:rFonts w:asciiTheme="minorHAnsi" w:hAnsiTheme="minorHAnsi" w:cstheme="minorHAnsi"/>
          <w:color w:val="auto"/>
          <w:sz w:val="22"/>
          <w:szCs w:val="22"/>
          <w:lang w:val="en-US"/>
        </w:rPr>
        <w:t>discourse</w:t>
      </w:r>
      <w:r w:rsidR="00AD0C45">
        <w:rPr>
          <w:rFonts w:asciiTheme="minorHAnsi" w:hAnsiTheme="minorHAnsi" w:cstheme="minorHAnsi"/>
          <w:color w:val="auto"/>
          <w:sz w:val="22"/>
          <w:szCs w:val="22"/>
          <w:lang w:val="en-US"/>
        </w:rPr>
        <w:t xml:space="preserve"> with conflicting interpretations about correct p</w:t>
      </w:r>
      <w:r w:rsidR="00774D08">
        <w:rPr>
          <w:rFonts w:asciiTheme="minorHAnsi" w:hAnsiTheme="minorHAnsi" w:cstheme="minorHAnsi"/>
          <w:color w:val="auto"/>
          <w:sz w:val="22"/>
          <w:szCs w:val="22"/>
          <w:lang w:val="en-US"/>
        </w:rPr>
        <w:t>olicies. Lowndes and Roberts conceptualise</w:t>
      </w:r>
      <w:r w:rsidR="00AD0C45">
        <w:rPr>
          <w:rFonts w:asciiTheme="minorHAnsi" w:hAnsiTheme="minorHAnsi" w:cstheme="minorHAnsi"/>
          <w:color w:val="auto"/>
          <w:sz w:val="22"/>
          <w:szCs w:val="22"/>
          <w:lang w:val="en-US"/>
        </w:rPr>
        <w:t xml:space="preserve"> rules as</w:t>
      </w:r>
      <w:r w:rsidR="00877C46">
        <w:rPr>
          <w:rFonts w:asciiTheme="minorHAnsi" w:hAnsiTheme="minorHAnsi" w:cstheme="minorHAnsi"/>
          <w:color w:val="auto"/>
          <w:sz w:val="22"/>
          <w:szCs w:val="22"/>
          <w:lang w:val="en-US"/>
        </w:rPr>
        <w:t xml:space="preserve"> written</w:t>
      </w:r>
      <w:r w:rsidR="00183DF7" w:rsidRPr="0055253B">
        <w:rPr>
          <w:rFonts w:asciiTheme="minorHAnsi" w:hAnsiTheme="minorHAnsi" w:cstheme="minorHAnsi"/>
          <w:color w:val="auto"/>
          <w:sz w:val="22"/>
          <w:szCs w:val="22"/>
          <w:lang w:val="en-US"/>
        </w:rPr>
        <w:t xml:space="preserve"> clauses, regulations and laws</w:t>
      </w:r>
      <w:r w:rsidR="00774D08">
        <w:rPr>
          <w:rFonts w:asciiTheme="minorHAnsi" w:hAnsiTheme="minorHAnsi" w:cstheme="minorHAnsi"/>
          <w:color w:val="auto"/>
          <w:sz w:val="22"/>
          <w:szCs w:val="22"/>
          <w:lang w:val="en-US"/>
        </w:rPr>
        <w:t>.</w:t>
      </w:r>
      <w:r w:rsidR="00C21ED8">
        <w:rPr>
          <w:rFonts w:asciiTheme="minorHAnsi" w:hAnsiTheme="minorHAnsi" w:cstheme="minorHAnsi"/>
          <w:color w:val="auto"/>
          <w:sz w:val="22"/>
          <w:szCs w:val="22"/>
          <w:lang w:val="en-US"/>
        </w:rPr>
        <w:t xml:space="preserve"> They structure the political process.</w:t>
      </w:r>
      <w:r w:rsidR="00774D08">
        <w:rPr>
          <w:rFonts w:asciiTheme="minorHAnsi" w:hAnsiTheme="minorHAnsi" w:cstheme="minorHAnsi"/>
          <w:color w:val="auto"/>
          <w:sz w:val="22"/>
          <w:szCs w:val="22"/>
          <w:lang w:val="en-US"/>
        </w:rPr>
        <w:t xml:space="preserve"> If </w:t>
      </w:r>
      <w:r w:rsidR="00C21ED8">
        <w:rPr>
          <w:rFonts w:asciiTheme="minorHAnsi" w:hAnsiTheme="minorHAnsi" w:cstheme="minorHAnsi"/>
          <w:color w:val="auto"/>
          <w:sz w:val="22"/>
          <w:szCs w:val="22"/>
          <w:lang w:val="en-US"/>
        </w:rPr>
        <w:t xml:space="preserve">the rules of decision-making have developed </w:t>
      </w:r>
      <w:r w:rsidR="00774D08">
        <w:rPr>
          <w:rFonts w:asciiTheme="minorHAnsi" w:hAnsiTheme="minorHAnsi" w:cstheme="minorHAnsi"/>
          <w:color w:val="auto"/>
          <w:sz w:val="22"/>
          <w:szCs w:val="22"/>
          <w:lang w:val="en-US"/>
        </w:rPr>
        <w:t xml:space="preserve">in such a way that they </w:t>
      </w:r>
      <w:r w:rsidR="00C21ED8">
        <w:rPr>
          <w:rFonts w:asciiTheme="minorHAnsi" w:hAnsiTheme="minorHAnsi" w:cstheme="minorHAnsi"/>
          <w:color w:val="auto"/>
          <w:sz w:val="22"/>
          <w:szCs w:val="22"/>
          <w:lang w:val="en-US"/>
        </w:rPr>
        <w:t xml:space="preserve">easily </w:t>
      </w:r>
      <w:r w:rsidR="00774D08">
        <w:rPr>
          <w:rFonts w:asciiTheme="minorHAnsi" w:hAnsiTheme="minorHAnsi" w:cstheme="minorHAnsi"/>
          <w:color w:val="auto"/>
          <w:sz w:val="22"/>
          <w:szCs w:val="22"/>
          <w:lang w:val="en-US"/>
        </w:rPr>
        <w:t xml:space="preserve">provoke intense political conflict and involve many potentially competing actors, we </w:t>
      </w:r>
      <w:r w:rsidR="00C21ED8">
        <w:rPr>
          <w:rFonts w:asciiTheme="minorHAnsi" w:hAnsiTheme="minorHAnsi" w:cstheme="minorHAnsi"/>
          <w:color w:val="auto"/>
          <w:sz w:val="22"/>
          <w:szCs w:val="22"/>
          <w:lang w:val="en-US"/>
        </w:rPr>
        <w:t>can</w:t>
      </w:r>
      <w:r w:rsidR="00774D08">
        <w:rPr>
          <w:rFonts w:asciiTheme="minorHAnsi" w:hAnsiTheme="minorHAnsi" w:cstheme="minorHAnsi"/>
          <w:color w:val="auto"/>
          <w:sz w:val="22"/>
          <w:szCs w:val="22"/>
          <w:lang w:val="en-US"/>
        </w:rPr>
        <w:t xml:space="preserve"> speak of politicized rules</w:t>
      </w:r>
      <w:r w:rsidR="00AD0C45">
        <w:rPr>
          <w:rFonts w:asciiTheme="minorHAnsi" w:hAnsiTheme="minorHAnsi" w:cstheme="minorHAnsi"/>
          <w:color w:val="auto"/>
          <w:sz w:val="22"/>
          <w:szCs w:val="22"/>
          <w:lang w:val="en-US"/>
        </w:rPr>
        <w:t>. P</w:t>
      </w:r>
      <w:r w:rsidR="00183DF7" w:rsidRPr="0055253B">
        <w:rPr>
          <w:rFonts w:asciiTheme="minorHAnsi" w:hAnsiTheme="minorHAnsi" w:cstheme="minorHAnsi"/>
          <w:color w:val="auto"/>
          <w:sz w:val="22"/>
          <w:szCs w:val="22"/>
          <w:lang w:val="en-US"/>
        </w:rPr>
        <w:t>ractices de</w:t>
      </w:r>
      <w:r w:rsidR="00C21ED8">
        <w:rPr>
          <w:rFonts w:asciiTheme="minorHAnsi" w:hAnsiTheme="minorHAnsi" w:cstheme="minorHAnsi"/>
          <w:color w:val="auto"/>
          <w:sz w:val="22"/>
          <w:szCs w:val="22"/>
          <w:lang w:val="en-US"/>
        </w:rPr>
        <w:t>scrib</w:t>
      </w:r>
      <w:r w:rsidR="00183DF7" w:rsidRPr="0055253B">
        <w:rPr>
          <w:rFonts w:asciiTheme="minorHAnsi" w:hAnsiTheme="minorHAnsi" w:cstheme="minorHAnsi"/>
          <w:color w:val="auto"/>
          <w:sz w:val="22"/>
          <w:szCs w:val="22"/>
          <w:lang w:val="en-US"/>
        </w:rPr>
        <w:t xml:space="preserve">e the conduct and policy-output of institutions. </w:t>
      </w:r>
      <w:r w:rsidR="00C21ED8">
        <w:rPr>
          <w:rFonts w:asciiTheme="minorHAnsi" w:hAnsiTheme="minorHAnsi" w:cstheme="minorHAnsi"/>
          <w:color w:val="auto"/>
          <w:sz w:val="22"/>
          <w:szCs w:val="22"/>
          <w:lang w:val="en-US"/>
        </w:rPr>
        <w:t xml:space="preserve">If the implementation of agreed policies is publicly contested, </w:t>
      </w:r>
      <w:r w:rsidR="00AA496F">
        <w:rPr>
          <w:rFonts w:asciiTheme="minorHAnsi" w:hAnsiTheme="minorHAnsi" w:cstheme="minorHAnsi"/>
          <w:color w:val="auto"/>
          <w:sz w:val="22"/>
          <w:szCs w:val="22"/>
          <w:lang w:val="en-US"/>
        </w:rPr>
        <w:t xml:space="preserve">politicized practices can be observed. </w:t>
      </w:r>
    </w:p>
    <w:p w:rsidR="00774D08" w:rsidRDefault="00774D08" w:rsidP="00795F69">
      <w:pPr>
        <w:pStyle w:val="Default"/>
        <w:spacing w:line="360" w:lineRule="auto"/>
        <w:jc w:val="both"/>
        <w:rPr>
          <w:rFonts w:asciiTheme="minorHAnsi" w:hAnsiTheme="minorHAnsi" w:cstheme="minorHAnsi"/>
          <w:color w:val="auto"/>
          <w:sz w:val="22"/>
          <w:szCs w:val="22"/>
          <w:lang w:val="en-US"/>
        </w:rPr>
      </w:pPr>
    </w:p>
    <w:p w:rsidR="00774D08" w:rsidRDefault="00AA496F"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Combining the</w:t>
      </w:r>
      <w:r w:rsidR="00774D08">
        <w:rPr>
          <w:rFonts w:asciiTheme="minorHAnsi" w:hAnsiTheme="minorHAnsi" w:cstheme="minorHAnsi"/>
          <w:color w:val="auto"/>
          <w:sz w:val="22"/>
          <w:szCs w:val="22"/>
          <w:lang w:val="en-US"/>
        </w:rPr>
        <w:t xml:space="preserve"> three </w:t>
      </w:r>
      <w:r>
        <w:rPr>
          <w:rFonts w:asciiTheme="minorHAnsi" w:hAnsiTheme="minorHAnsi" w:cstheme="minorHAnsi"/>
          <w:color w:val="auto"/>
          <w:sz w:val="22"/>
          <w:szCs w:val="22"/>
          <w:lang w:val="en-US"/>
        </w:rPr>
        <w:t xml:space="preserve">institutional </w:t>
      </w:r>
      <w:r w:rsidR="00774D08">
        <w:rPr>
          <w:rFonts w:asciiTheme="minorHAnsi" w:hAnsiTheme="minorHAnsi" w:cstheme="minorHAnsi"/>
          <w:color w:val="auto"/>
          <w:sz w:val="22"/>
          <w:szCs w:val="22"/>
          <w:lang w:val="en-US"/>
        </w:rPr>
        <w:t>layers with the dimensions of politicization cited by most of the relevant literature yields the following table</w:t>
      </w:r>
      <w:r w:rsidR="00C64A87">
        <w:rPr>
          <w:rFonts w:asciiTheme="minorHAnsi" w:hAnsiTheme="minorHAnsi" w:cstheme="minorHAnsi"/>
          <w:color w:val="auto"/>
          <w:sz w:val="22"/>
          <w:szCs w:val="22"/>
          <w:lang w:val="en-US"/>
        </w:rPr>
        <w:t>:</w:t>
      </w:r>
    </w:p>
    <w:p w:rsidR="00135FAA" w:rsidRDefault="00135FAA" w:rsidP="00135FAA">
      <w:pPr>
        <w:pStyle w:val="Default"/>
        <w:spacing w:line="360" w:lineRule="auto"/>
        <w:jc w:val="both"/>
        <w:rPr>
          <w:rFonts w:asciiTheme="minorHAnsi" w:hAnsiTheme="minorHAnsi" w:cstheme="minorHAnsi"/>
          <w:color w:val="auto"/>
          <w:sz w:val="22"/>
          <w:szCs w:val="22"/>
          <w:lang w:val="en-US"/>
        </w:rPr>
      </w:pPr>
      <w:r w:rsidRPr="00135FAA">
        <w:rPr>
          <w:rFonts w:asciiTheme="minorHAnsi" w:hAnsiTheme="minorHAnsi" w:cstheme="minorHAnsi"/>
          <w:b/>
          <w:color w:val="auto"/>
          <w:sz w:val="22"/>
          <w:szCs w:val="22"/>
          <w:lang w:val="en-US"/>
        </w:rPr>
        <w:t>Table 1:</w:t>
      </w:r>
      <w:r>
        <w:rPr>
          <w:rFonts w:asciiTheme="minorHAnsi" w:hAnsiTheme="minorHAnsi" w:cstheme="minorHAnsi"/>
          <w:color w:val="auto"/>
          <w:sz w:val="22"/>
          <w:szCs w:val="22"/>
          <w:lang w:val="en-US"/>
        </w:rPr>
        <w:t xml:space="preserve"> Layers of Politicization</w:t>
      </w:r>
    </w:p>
    <w:tbl>
      <w:tblPr>
        <w:tblStyle w:val="Tabellenraster"/>
        <w:tblW w:w="0" w:type="auto"/>
        <w:tblLook w:val="04A0" w:firstRow="1" w:lastRow="0" w:firstColumn="1" w:lastColumn="0" w:noHBand="0" w:noVBand="1"/>
      </w:tblPr>
      <w:tblGrid>
        <w:gridCol w:w="2265"/>
        <w:gridCol w:w="2265"/>
        <w:gridCol w:w="2266"/>
        <w:gridCol w:w="2266"/>
      </w:tblGrid>
      <w:tr w:rsidR="00C64A87" w:rsidTr="00C64A87">
        <w:trPr>
          <w:trHeight w:val="670"/>
        </w:trPr>
        <w:tc>
          <w:tcPr>
            <w:tcW w:w="2265" w:type="dxa"/>
            <w:vMerge w:val="restart"/>
          </w:tcPr>
          <w:p w:rsidR="00C64A87" w:rsidRPr="00135FAA" w:rsidRDefault="00C64A87" w:rsidP="00AA496F">
            <w:pPr>
              <w:pStyle w:val="Default"/>
              <w:rPr>
                <w:rFonts w:asciiTheme="minorHAnsi" w:hAnsiTheme="minorHAnsi" w:cstheme="minorHAnsi"/>
                <w:b/>
                <w:color w:val="auto"/>
                <w:sz w:val="22"/>
                <w:szCs w:val="22"/>
                <w:lang w:val="en-US"/>
              </w:rPr>
            </w:pPr>
            <w:r w:rsidRPr="00135FAA">
              <w:rPr>
                <w:rFonts w:asciiTheme="minorHAnsi" w:hAnsiTheme="minorHAnsi" w:cstheme="minorHAnsi"/>
                <w:b/>
                <w:color w:val="auto"/>
                <w:sz w:val="22"/>
                <w:szCs w:val="22"/>
                <w:lang w:val="en-US"/>
              </w:rPr>
              <w:t>Dimensions of politicization</w:t>
            </w:r>
          </w:p>
        </w:tc>
        <w:tc>
          <w:tcPr>
            <w:tcW w:w="6797" w:type="dxa"/>
            <w:gridSpan w:val="3"/>
          </w:tcPr>
          <w:p w:rsidR="00954B89" w:rsidRDefault="00954B89" w:rsidP="00795F69">
            <w:pPr>
              <w:pStyle w:val="Default"/>
              <w:spacing w:line="360" w:lineRule="auto"/>
              <w:jc w:val="both"/>
              <w:rPr>
                <w:rFonts w:asciiTheme="minorHAnsi" w:hAnsiTheme="minorHAnsi" w:cstheme="minorHAnsi"/>
                <w:color w:val="auto"/>
                <w:sz w:val="22"/>
                <w:szCs w:val="22"/>
                <w:lang w:val="en-US"/>
              </w:rPr>
            </w:pPr>
          </w:p>
          <w:p w:rsidR="00C64A87" w:rsidRPr="00135FAA" w:rsidRDefault="00C64A87" w:rsidP="00795F69">
            <w:pPr>
              <w:pStyle w:val="Default"/>
              <w:spacing w:line="360" w:lineRule="auto"/>
              <w:jc w:val="both"/>
              <w:rPr>
                <w:rFonts w:asciiTheme="minorHAnsi" w:hAnsiTheme="minorHAnsi" w:cstheme="minorHAnsi"/>
                <w:b/>
                <w:color w:val="auto"/>
                <w:sz w:val="22"/>
                <w:szCs w:val="22"/>
                <w:lang w:val="en-US"/>
              </w:rPr>
            </w:pPr>
            <w:r w:rsidRPr="00135FAA">
              <w:rPr>
                <w:rFonts w:asciiTheme="minorHAnsi" w:hAnsiTheme="minorHAnsi" w:cstheme="minorHAnsi"/>
                <w:b/>
                <w:color w:val="auto"/>
                <w:sz w:val="22"/>
                <w:szCs w:val="22"/>
                <w:lang w:val="en-US"/>
              </w:rPr>
              <w:t>Layers of Institutions</w:t>
            </w:r>
          </w:p>
        </w:tc>
      </w:tr>
      <w:tr w:rsidR="00C64A87" w:rsidTr="003B4AC0">
        <w:trPr>
          <w:trHeight w:val="670"/>
        </w:trPr>
        <w:tc>
          <w:tcPr>
            <w:tcW w:w="2265" w:type="dxa"/>
            <w:vMerge/>
          </w:tcPr>
          <w:p w:rsidR="00C64A87" w:rsidRDefault="00C64A87" w:rsidP="00795F69">
            <w:pPr>
              <w:pStyle w:val="Default"/>
              <w:spacing w:line="360" w:lineRule="auto"/>
              <w:jc w:val="both"/>
              <w:rPr>
                <w:rFonts w:asciiTheme="minorHAnsi" w:hAnsiTheme="minorHAnsi" w:cstheme="minorHAnsi"/>
                <w:color w:val="auto"/>
                <w:sz w:val="22"/>
                <w:szCs w:val="22"/>
                <w:lang w:val="en-US"/>
              </w:rPr>
            </w:pPr>
          </w:p>
        </w:tc>
        <w:tc>
          <w:tcPr>
            <w:tcW w:w="2265" w:type="dxa"/>
          </w:tcPr>
          <w:p w:rsidR="00C64A87" w:rsidRPr="00135FAA" w:rsidRDefault="00C64A87" w:rsidP="00795F69">
            <w:pPr>
              <w:pStyle w:val="Default"/>
              <w:spacing w:line="360" w:lineRule="auto"/>
              <w:jc w:val="both"/>
              <w:rPr>
                <w:rFonts w:asciiTheme="minorHAnsi" w:hAnsiTheme="minorHAnsi" w:cstheme="minorHAnsi"/>
                <w:i/>
                <w:color w:val="auto"/>
                <w:sz w:val="22"/>
                <w:szCs w:val="22"/>
                <w:lang w:val="en-US"/>
              </w:rPr>
            </w:pPr>
            <w:r w:rsidRPr="00135FAA">
              <w:rPr>
                <w:rFonts w:asciiTheme="minorHAnsi" w:hAnsiTheme="minorHAnsi" w:cstheme="minorHAnsi"/>
                <w:i/>
                <w:color w:val="auto"/>
                <w:sz w:val="22"/>
                <w:szCs w:val="22"/>
                <w:lang w:val="en-US"/>
              </w:rPr>
              <w:t>Narratives</w:t>
            </w:r>
          </w:p>
        </w:tc>
        <w:tc>
          <w:tcPr>
            <w:tcW w:w="2266" w:type="dxa"/>
          </w:tcPr>
          <w:p w:rsidR="00C64A87" w:rsidRPr="00135FAA" w:rsidRDefault="00C64A87" w:rsidP="00795F69">
            <w:pPr>
              <w:pStyle w:val="Default"/>
              <w:spacing w:line="360" w:lineRule="auto"/>
              <w:jc w:val="both"/>
              <w:rPr>
                <w:rFonts w:asciiTheme="minorHAnsi" w:hAnsiTheme="minorHAnsi" w:cstheme="minorHAnsi"/>
                <w:i/>
                <w:color w:val="auto"/>
                <w:sz w:val="22"/>
                <w:szCs w:val="22"/>
                <w:lang w:val="en-US"/>
              </w:rPr>
            </w:pPr>
            <w:r w:rsidRPr="00135FAA">
              <w:rPr>
                <w:rFonts w:asciiTheme="minorHAnsi" w:hAnsiTheme="minorHAnsi" w:cstheme="minorHAnsi"/>
                <w:i/>
                <w:color w:val="auto"/>
                <w:sz w:val="22"/>
                <w:szCs w:val="22"/>
                <w:lang w:val="en-US"/>
              </w:rPr>
              <w:t>Rules</w:t>
            </w:r>
          </w:p>
        </w:tc>
        <w:tc>
          <w:tcPr>
            <w:tcW w:w="2266" w:type="dxa"/>
          </w:tcPr>
          <w:p w:rsidR="00C64A87" w:rsidRPr="00135FAA" w:rsidRDefault="00C64A87" w:rsidP="00795F69">
            <w:pPr>
              <w:pStyle w:val="Default"/>
              <w:spacing w:line="360" w:lineRule="auto"/>
              <w:jc w:val="both"/>
              <w:rPr>
                <w:rFonts w:asciiTheme="minorHAnsi" w:hAnsiTheme="minorHAnsi" w:cstheme="minorHAnsi"/>
                <w:i/>
                <w:color w:val="auto"/>
                <w:sz w:val="22"/>
                <w:szCs w:val="22"/>
                <w:lang w:val="en-US"/>
              </w:rPr>
            </w:pPr>
            <w:r w:rsidRPr="00135FAA">
              <w:rPr>
                <w:rFonts w:asciiTheme="minorHAnsi" w:hAnsiTheme="minorHAnsi" w:cstheme="minorHAnsi"/>
                <w:i/>
                <w:color w:val="auto"/>
                <w:sz w:val="22"/>
                <w:szCs w:val="22"/>
                <w:lang w:val="en-US"/>
              </w:rPr>
              <w:t>Practices</w:t>
            </w:r>
          </w:p>
        </w:tc>
      </w:tr>
      <w:tr w:rsidR="00774D08" w:rsidTr="00774D08">
        <w:tc>
          <w:tcPr>
            <w:tcW w:w="2265" w:type="dxa"/>
          </w:tcPr>
          <w:p w:rsidR="00774D08" w:rsidRPr="00135FAA" w:rsidRDefault="00774D08" w:rsidP="00795F69">
            <w:pPr>
              <w:pStyle w:val="Default"/>
              <w:spacing w:line="360" w:lineRule="auto"/>
              <w:jc w:val="both"/>
              <w:rPr>
                <w:rFonts w:asciiTheme="minorHAnsi" w:hAnsiTheme="minorHAnsi" w:cstheme="minorHAnsi"/>
                <w:i/>
                <w:color w:val="auto"/>
                <w:sz w:val="22"/>
                <w:szCs w:val="22"/>
                <w:lang w:val="en-US"/>
              </w:rPr>
            </w:pPr>
            <w:r w:rsidRPr="00135FAA">
              <w:rPr>
                <w:rFonts w:asciiTheme="minorHAnsi" w:hAnsiTheme="minorHAnsi" w:cstheme="minorHAnsi"/>
                <w:i/>
                <w:color w:val="auto"/>
                <w:sz w:val="22"/>
                <w:szCs w:val="22"/>
                <w:lang w:val="en-US"/>
              </w:rPr>
              <w:t>Salience</w:t>
            </w:r>
            <w:r w:rsidR="005740A9" w:rsidRPr="00135FAA">
              <w:rPr>
                <w:rFonts w:asciiTheme="minorHAnsi" w:hAnsiTheme="minorHAnsi" w:cstheme="minorHAnsi"/>
                <w:i/>
                <w:color w:val="auto"/>
                <w:sz w:val="22"/>
                <w:szCs w:val="22"/>
                <w:lang w:val="en-US"/>
              </w:rPr>
              <w:t>/Visibility</w:t>
            </w:r>
          </w:p>
        </w:tc>
        <w:tc>
          <w:tcPr>
            <w:tcW w:w="2265" w:type="dxa"/>
          </w:tcPr>
          <w:p w:rsidR="00774D08" w:rsidRDefault="00954B89"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Salient Narrative</w:t>
            </w:r>
          </w:p>
        </w:tc>
        <w:tc>
          <w:tcPr>
            <w:tcW w:w="2266" w:type="dxa"/>
          </w:tcPr>
          <w:p w:rsidR="00774D08" w:rsidRDefault="00954B89"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Salient Rules</w:t>
            </w:r>
          </w:p>
        </w:tc>
        <w:tc>
          <w:tcPr>
            <w:tcW w:w="2266" w:type="dxa"/>
          </w:tcPr>
          <w:p w:rsidR="00774D08" w:rsidRDefault="00954B89"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Salient Practice</w:t>
            </w:r>
          </w:p>
        </w:tc>
      </w:tr>
      <w:tr w:rsidR="00774D08" w:rsidTr="00774D08">
        <w:tc>
          <w:tcPr>
            <w:tcW w:w="2265" w:type="dxa"/>
          </w:tcPr>
          <w:p w:rsidR="00774D08" w:rsidRPr="00135FAA" w:rsidRDefault="00774D08" w:rsidP="00795F69">
            <w:pPr>
              <w:pStyle w:val="Default"/>
              <w:spacing w:line="360" w:lineRule="auto"/>
              <w:jc w:val="both"/>
              <w:rPr>
                <w:rFonts w:asciiTheme="minorHAnsi" w:hAnsiTheme="minorHAnsi" w:cstheme="minorHAnsi"/>
                <w:i/>
                <w:color w:val="auto"/>
                <w:sz w:val="22"/>
                <w:szCs w:val="22"/>
                <w:lang w:val="en-US"/>
              </w:rPr>
            </w:pPr>
            <w:r w:rsidRPr="00135FAA">
              <w:rPr>
                <w:rFonts w:asciiTheme="minorHAnsi" w:hAnsiTheme="minorHAnsi" w:cstheme="minorHAnsi"/>
                <w:i/>
                <w:color w:val="auto"/>
                <w:sz w:val="22"/>
                <w:szCs w:val="22"/>
                <w:lang w:val="en-US"/>
              </w:rPr>
              <w:t>Polarization</w:t>
            </w:r>
          </w:p>
        </w:tc>
        <w:tc>
          <w:tcPr>
            <w:tcW w:w="2265" w:type="dxa"/>
          </w:tcPr>
          <w:p w:rsidR="00774D08" w:rsidRDefault="00954B89"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Polarized Narrative</w:t>
            </w:r>
          </w:p>
        </w:tc>
        <w:tc>
          <w:tcPr>
            <w:tcW w:w="2266" w:type="dxa"/>
          </w:tcPr>
          <w:p w:rsidR="00774D08" w:rsidRDefault="00954B89"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Polarized Rules</w:t>
            </w:r>
          </w:p>
        </w:tc>
        <w:tc>
          <w:tcPr>
            <w:tcW w:w="2266" w:type="dxa"/>
          </w:tcPr>
          <w:p w:rsidR="00774D08" w:rsidRDefault="00954B89"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Polarized Practice</w:t>
            </w:r>
          </w:p>
        </w:tc>
      </w:tr>
      <w:tr w:rsidR="00774D08" w:rsidTr="00774D08">
        <w:tc>
          <w:tcPr>
            <w:tcW w:w="2265" w:type="dxa"/>
          </w:tcPr>
          <w:p w:rsidR="00774D08" w:rsidRPr="00135FAA" w:rsidRDefault="00774D08" w:rsidP="00795F69">
            <w:pPr>
              <w:pStyle w:val="Default"/>
              <w:spacing w:line="360" w:lineRule="auto"/>
              <w:jc w:val="both"/>
              <w:rPr>
                <w:rFonts w:asciiTheme="minorHAnsi" w:hAnsiTheme="minorHAnsi" w:cstheme="minorHAnsi"/>
                <w:i/>
                <w:color w:val="auto"/>
                <w:sz w:val="22"/>
                <w:szCs w:val="22"/>
                <w:lang w:val="en-US"/>
              </w:rPr>
            </w:pPr>
            <w:r w:rsidRPr="00135FAA">
              <w:rPr>
                <w:rFonts w:asciiTheme="minorHAnsi" w:hAnsiTheme="minorHAnsi" w:cstheme="minorHAnsi"/>
                <w:i/>
                <w:color w:val="auto"/>
                <w:sz w:val="22"/>
                <w:szCs w:val="22"/>
                <w:lang w:val="en-US"/>
              </w:rPr>
              <w:t>Mobilization</w:t>
            </w:r>
          </w:p>
        </w:tc>
        <w:tc>
          <w:tcPr>
            <w:tcW w:w="2265" w:type="dxa"/>
          </w:tcPr>
          <w:p w:rsidR="00774D08" w:rsidRDefault="00954B89"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Mobilized Narrative</w:t>
            </w:r>
          </w:p>
        </w:tc>
        <w:tc>
          <w:tcPr>
            <w:tcW w:w="2266" w:type="dxa"/>
          </w:tcPr>
          <w:p w:rsidR="00774D08" w:rsidRDefault="00954B89"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Mobilized Rules</w:t>
            </w:r>
          </w:p>
        </w:tc>
        <w:tc>
          <w:tcPr>
            <w:tcW w:w="2266" w:type="dxa"/>
          </w:tcPr>
          <w:p w:rsidR="00774D08" w:rsidRDefault="00954B89"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Mobilized Practice</w:t>
            </w:r>
          </w:p>
        </w:tc>
      </w:tr>
    </w:tbl>
    <w:p w:rsidR="00A82E42" w:rsidRDefault="00A82E42" w:rsidP="00795F69">
      <w:pPr>
        <w:pStyle w:val="Default"/>
        <w:spacing w:line="360" w:lineRule="auto"/>
        <w:jc w:val="both"/>
        <w:rPr>
          <w:rFonts w:asciiTheme="minorHAnsi" w:hAnsiTheme="minorHAnsi" w:cstheme="minorHAnsi"/>
          <w:color w:val="auto"/>
          <w:sz w:val="22"/>
          <w:szCs w:val="22"/>
          <w:lang w:val="en-US"/>
        </w:rPr>
      </w:pPr>
    </w:p>
    <w:p w:rsidR="00774D08" w:rsidRDefault="009B32F5" w:rsidP="00795F69">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 xml:space="preserve">This table </w:t>
      </w:r>
      <w:r w:rsidR="00954B89">
        <w:rPr>
          <w:rFonts w:asciiTheme="minorHAnsi" w:hAnsiTheme="minorHAnsi" w:cstheme="minorHAnsi"/>
          <w:color w:val="auto"/>
          <w:sz w:val="22"/>
          <w:szCs w:val="22"/>
          <w:lang w:val="en-US"/>
        </w:rPr>
        <w:t xml:space="preserve">suggests the possibility of </w:t>
      </w:r>
      <w:r w:rsidR="005740A9">
        <w:rPr>
          <w:rFonts w:asciiTheme="minorHAnsi" w:hAnsiTheme="minorHAnsi" w:cstheme="minorHAnsi"/>
          <w:color w:val="auto"/>
          <w:sz w:val="22"/>
          <w:szCs w:val="22"/>
          <w:lang w:val="en-US"/>
        </w:rPr>
        <w:t xml:space="preserve">an </w:t>
      </w:r>
      <w:r w:rsidR="00954B89">
        <w:rPr>
          <w:rFonts w:asciiTheme="minorHAnsi" w:hAnsiTheme="minorHAnsi" w:cstheme="minorHAnsi"/>
          <w:color w:val="auto"/>
          <w:sz w:val="22"/>
          <w:szCs w:val="22"/>
          <w:lang w:val="en-US"/>
        </w:rPr>
        <w:t xml:space="preserve">‘incomplete’ or ‘layered’ politicization in which not all the boxes </w:t>
      </w:r>
      <w:r w:rsidR="00AA496F">
        <w:rPr>
          <w:rFonts w:asciiTheme="minorHAnsi" w:hAnsiTheme="minorHAnsi" w:cstheme="minorHAnsi"/>
          <w:color w:val="auto"/>
          <w:sz w:val="22"/>
          <w:szCs w:val="22"/>
          <w:lang w:val="en-US"/>
        </w:rPr>
        <w:t>will</w:t>
      </w:r>
      <w:r w:rsidR="00954B89">
        <w:rPr>
          <w:rFonts w:asciiTheme="minorHAnsi" w:hAnsiTheme="minorHAnsi" w:cstheme="minorHAnsi"/>
          <w:color w:val="auto"/>
          <w:sz w:val="22"/>
          <w:szCs w:val="22"/>
          <w:lang w:val="en-US"/>
        </w:rPr>
        <w:t xml:space="preserve"> be ticked. Narratives might be highly polarized </w:t>
      </w:r>
      <w:r w:rsidR="003B4AC0">
        <w:rPr>
          <w:rFonts w:asciiTheme="minorHAnsi" w:hAnsiTheme="minorHAnsi" w:cstheme="minorHAnsi"/>
          <w:color w:val="auto"/>
          <w:sz w:val="22"/>
          <w:szCs w:val="22"/>
          <w:lang w:val="en-US"/>
        </w:rPr>
        <w:t xml:space="preserve">and visible, whiles rules and practices might </w:t>
      </w:r>
      <w:r w:rsidR="005740A9">
        <w:rPr>
          <w:rFonts w:asciiTheme="minorHAnsi" w:hAnsiTheme="minorHAnsi" w:cstheme="minorHAnsi"/>
          <w:color w:val="auto"/>
          <w:sz w:val="22"/>
          <w:szCs w:val="22"/>
          <w:lang w:val="en-US"/>
        </w:rPr>
        <w:t>remain</w:t>
      </w:r>
      <w:r w:rsidR="003B4AC0">
        <w:rPr>
          <w:rFonts w:asciiTheme="minorHAnsi" w:hAnsiTheme="minorHAnsi" w:cstheme="minorHAnsi"/>
          <w:color w:val="auto"/>
          <w:sz w:val="22"/>
          <w:szCs w:val="22"/>
          <w:lang w:val="en-US"/>
        </w:rPr>
        <w:t xml:space="preserve"> quite technocratic. It is also possible to imagine a policy field with a highly politicized narrative and mobilized rules (a wide array of actors) which are however not very salient overall and therefore do</w:t>
      </w:r>
      <w:r w:rsidR="005740A9">
        <w:rPr>
          <w:rFonts w:asciiTheme="minorHAnsi" w:hAnsiTheme="minorHAnsi" w:cstheme="minorHAnsi"/>
          <w:color w:val="auto"/>
          <w:sz w:val="22"/>
          <w:szCs w:val="22"/>
          <w:lang w:val="en-US"/>
        </w:rPr>
        <w:t xml:space="preserve"> not generate a lot of m</w:t>
      </w:r>
      <w:r w:rsidR="00B132E9">
        <w:rPr>
          <w:rFonts w:asciiTheme="minorHAnsi" w:hAnsiTheme="minorHAnsi" w:cstheme="minorHAnsi"/>
          <w:color w:val="auto"/>
          <w:sz w:val="22"/>
          <w:szCs w:val="22"/>
          <w:lang w:val="en-US"/>
        </w:rPr>
        <w:t>edia attention.</w:t>
      </w:r>
      <w:r w:rsidR="00AA496F">
        <w:rPr>
          <w:rFonts w:asciiTheme="minorHAnsi" w:hAnsiTheme="minorHAnsi" w:cstheme="minorHAnsi"/>
          <w:color w:val="auto"/>
          <w:sz w:val="22"/>
          <w:szCs w:val="22"/>
          <w:lang w:val="en-US"/>
        </w:rPr>
        <w:t xml:space="preserve"> This is </w:t>
      </w:r>
      <w:r w:rsidR="00CB7235">
        <w:rPr>
          <w:rFonts w:asciiTheme="minorHAnsi" w:hAnsiTheme="minorHAnsi" w:cstheme="minorHAnsi"/>
          <w:color w:val="auto"/>
          <w:sz w:val="22"/>
          <w:szCs w:val="22"/>
          <w:lang w:val="en-US"/>
        </w:rPr>
        <w:t>apparent</w:t>
      </w:r>
      <w:r w:rsidR="00AA496F">
        <w:rPr>
          <w:rFonts w:asciiTheme="minorHAnsi" w:hAnsiTheme="minorHAnsi" w:cstheme="minorHAnsi"/>
          <w:color w:val="auto"/>
          <w:sz w:val="22"/>
          <w:szCs w:val="22"/>
          <w:lang w:val="en-US"/>
        </w:rPr>
        <w:t>ly the case of the CFP.</w:t>
      </w:r>
      <w:r w:rsidR="00B132E9">
        <w:rPr>
          <w:rFonts w:asciiTheme="minorHAnsi" w:hAnsiTheme="minorHAnsi" w:cstheme="minorHAnsi"/>
          <w:color w:val="auto"/>
          <w:sz w:val="22"/>
          <w:szCs w:val="22"/>
          <w:lang w:val="en-US"/>
        </w:rPr>
        <w:t xml:space="preserve"> </w:t>
      </w:r>
    </w:p>
    <w:p w:rsidR="00502EF1" w:rsidRDefault="00183DF7" w:rsidP="00795F69">
      <w:pPr>
        <w:pStyle w:val="Default"/>
        <w:spacing w:line="360" w:lineRule="auto"/>
        <w:jc w:val="both"/>
        <w:rPr>
          <w:rFonts w:asciiTheme="minorHAnsi" w:hAnsiTheme="minorHAnsi" w:cstheme="minorHAnsi"/>
          <w:color w:val="auto"/>
          <w:sz w:val="22"/>
          <w:szCs w:val="22"/>
          <w:lang w:val="en-US"/>
        </w:rPr>
      </w:pPr>
      <w:r w:rsidRPr="0055253B">
        <w:rPr>
          <w:rFonts w:asciiTheme="minorHAnsi" w:hAnsiTheme="minorHAnsi" w:cstheme="minorHAnsi"/>
          <w:color w:val="auto"/>
          <w:sz w:val="22"/>
          <w:szCs w:val="22"/>
          <w:lang w:val="en-US"/>
        </w:rPr>
        <w:t xml:space="preserve">Confronting this </w:t>
      </w:r>
      <w:r w:rsidR="005F1D83" w:rsidRPr="0055253B">
        <w:rPr>
          <w:rFonts w:asciiTheme="minorHAnsi" w:hAnsiTheme="minorHAnsi" w:cstheme="minorHAnsi"/>
          <w:color w:val="auto"/>
          <w:sz w:val="22"/>
          <w:szCs w:val="22"/>
          <w:lang w:val="en-US"/>
        </w:rPr>
        <w:t xml:space="preserve">framework </w:t>
      </w:r>
      <w:r w:rsidR="006427AB">
        <w:rPr>
          <w:rFonts w:asciiTheme="minorHAnsi" w:hAnsiTheme="minorHAnsi" w:cstheme="minorHAnsi"/>
          <w:color w:val="auto"/>
          <w:sz w:val="22"/>
          <w:szCs w:val="22"/>
          <w:lang w:val="en-US"/>
        </w:rPr>
        <w:t>with the effects of politicization</w:t>
      </w:r>
      <w:r w:rsidRPr="0055253B">
        <w:rPr>
          <w:rFonts w:asciiTheme="minorHAnsi" w:hAnsiTheme="minorHAnsi" w:cstheme="minorHAnsi"/>
          <w:color w:val="auto"/>
          <w:sz w:val="22"/>
          <w:szCs w:val="22"/>
          <w:lang w:val="en-US"/>
        </w:rPr>
        <w:t xml:space="preserve"> </w:t>
      </w:r>
      <w:r w:rsidR="005F1D83" w:rsidRPr="0055253B">
        <w:rPr>
          <w:rFonts w:asciiTheme="minorHAnsi" w:hAnsiTheme="minorHAnsi" w:cstheme="minorHAnsi"/>
          <w:color w:val="auto"/>
          <w:sz w:val="22"/>
          <w:szCs w:val="22"/>
          <w:lang w:val="en-US"/>
        </w:rPr>
        <w:t>yields various propositions</w:t>
      </w:r>
      <w:r w:rsidRPr="0055253B">
        <w:rPr>
          <w:rFonts w:asciiTheme="minorHAnsi" w:hAnsiTheme="minorHAnsi" w:cstheme="minorHAnsi"/>
          <w:color w:val="auto"/>
          <w:sz w:val="22"/>
          <w:szCs w:val="22"/>
          <w:lang w:val="en-US"/>
        </w:rPr>
        <w:t>. F</w:t>
      </w:r>
      <w:r w:rsidR="00AA496F">
        <w:rPr>
          <w:rFonts w:asciiTheme="minorHAnsi" w:hAnsiTheme="minorHAnsi" w:cstheme="minorHAnsi"/>
          <w:color w:val="auto"/>
          <w:sz w:val="22"/>
          <w:szCs w:val="22"/>
          <w:lang w:val="en-US"/>
        </w:rPr>
        <w:t>or example, it is possible that despite a politicized narrative,</w:t>
      </w:r>
      <w:r w:rsidRPr="0055253B">
        <w:rPr>
          <w:rFonts w:asciiTheme="minorHAnsi" w:hAnsiTheme="minorHAnsi" w:cstheme="minorHAnsi"/>
          <w:color w:val="auto"/>
          <w:sz w:val="22"/>
          <w:szCs w:val="22"/>
          <w:lang w:val="en-US"/>
        </w:rPr>
        <w:t xml:space="preserve"> policy output remains technocratic, because decision-making rules </w:t>
      </w:r>
      <w:r w:rsidR="00AA496F">
        <w:rPr>
          <w:rFonts w:asciiTheme="minorHAnsi" w:hAnsiTheme="minorHAnsi" w:cstheme="minorHAnsi"/>
          <w:color w:val="auto"/>
          <w:sz w:val="22"/>
          <w:szCs w:val="22"/>
          <w:lang w:val="en-US"/>
        </w:rPr>
        <w:t>are</w:t>
      </w:r>
      <w:r w:rsidRPr="0055253B">
        <w:rPr>
          <w:rFonts w:asciiTheme="minorHAnsi" w:hAnsiTheme="minorHAnsi" w:cstheme="minorHAnsi"/>
          <w:color w:val="auto"/>
          <w:sz w:val="22"/>
          <w:szCs w:val="22"/>
          <w:lang w:val="en-US"/>
        </w:rPr>
        <w:t xml:space="preserve"> strongly path-dependent or empower </w:t>
      </w:r>
      <w:r w:rsidR="006427AB">
        <w:rPr>
          <w:rFonts w:asciiTheme="minorHAnsi" w:hAnsiTheme="minorHAnsi" w:cstheme="minorHAnsi"/>
          <w:color w:val="auto"/>
          <w:sz w:val="22"/>
          <w:szCs w:val="22"/>
          <w:lang w:val="en-US"/>
        </w:rPr>
        <w:t>important</w:t>
      </w:r>
      <w:r w:rsidRPr="0055253B">
        <w:rPr>
          <w:rFonts w:asciiTheme="minorHAnsi" w:hAnsiTheme="minorHAnsi" w:cstheme="minorHAnsi"/>
          <w:color w:val="auto"/>
          <w:sz w:val="22"/>
          <w:szCs w:val="22"/>
          <w:lang w:val="en-US"/>
        </w:rPr>
        <w:t xml:space="preserve"> veto-players.</w:t>
      </w:r>
      <w:r w:rsidR="005F1D83" w:rsidRPr="0055253B">
        <w:rPr>
          <w:rFonts w:asciiTheme="minorHAnsi" w:hAnsiTheme="minorHAnsi" w:cstheme="minorHAnsi"/>
          <w:color w:val="auto"/>
          <w:sz w:val="22"/>
          <w:szCs w:val="22"/>
          <w:lang w:val="en-US"/>
        </w:rPr>
        <w:t xml:space="preserve"> Thorough politicization</w:t>
      </w:r>
      <w:r w:rsidR="00AA496F">
        <w:rPr>
          <w:rFonts w:asciiTheme="minorHAnsi" w:hAnsiTheme="minorHAnsi" w:cstheme="minorHAnsi"/>
          <w:color w:val="auto"/>
          <w:sz w:val="22"/>
          <w:szCs w:val="22"/>
          <w:lang w:val="en-US"/>
        </w:rPr>
        <w:t>, in contrast,</w:t>
      </w:r>
      <w:r w:rsidR="005F1D83" w:rsidRPr="0055253B">
        <w:rPr>
          <w:rFonts w:asciiTheme="minorHAnsi" w:hAnsiTheme="minorHAnsi" w:cstheme="minorHAnsi"/>
          <w:color w:val="auto"/>
          <w:sz w:val="22"/>
          <w:szCs w:val="22"/>
          <w:lang w:val="en-US"/>
        </w:rPr>
        <w:t xml:space="preserve"> would </w:t>
      </w:r>
      <w:r w:rsidR="006427AB">
        <w:rPr>
          <w:rFonts w:asciiTheme="minorHAnsi" w:hAnsiTheme="minorHAnsi" w:cstheme="minorHAnsi"/>
          <w:color w:val="auto"/>
          <w:sz w:val="22"/>
          <w:szCs w:val="22"/>
          <w:lang w:val="en-US"/>
        </w:rPr>
        <w:t>shape</w:t>
      </w:r>
      <w:r w:rsidR="005F1D83" w:rsidRPr="0055253B">
        <w:rPr>
          <w:rFonts w:asciiTheme="minorHAnsi" w:hAnsiTheme="minorHAnsi" w:cstheme="minorHAnsi"/>
          <w:color w:val="auto"/>
          <w:sz w:val="22"/>
          <w:szCs w:val="22"/>
          <w:lang w:val="en-US"/>
        </w:rPr>
        <w:t xml:space="preserve"> not only politicized narratives, but also </w:t>
      </w:r>
      <w:r w:rsidR="006427AB">
        <w:rPr>
          <w:rFonts w:asciiTheme="minorHAnsi" w:hAnsiTheme="minorHAnsi" w:cstheme="minorHAnsi"/>
          <w:color w:val="auto"/>
          <w:sz w:val="22"/>
          <w:szCs w:val="22"/>
          <w:lang w:val="en-US"/>
        </w:rPr>
        <w:t xml:space="preserve">result in </w:t>
      </w:r>
      <w:r w:rsidR="005F1D83" w:rsidRPr="0055253B">
        <w:rPr>
          <w:rFonts w:asciiTheme="minorHAnsi" w:hAnsiTheme="minorHAnsi" w:cstheme="minorHAnsi"/>
          <w:color w:val="auto"/>
          <w:sz w:val="22"/>
          <w:szCs w:val="22"/>
          <w:lang w:val="en-US"/>
        </w:rPr>
        <w:t>a process in which decisions are made in a</w:t>
      </w:r>
      <w:r w:rsidR="00426191" w:rsidRPr="0055253B">
        <w:rPr>
          <w:rFonts w:asciiTheme="minorHAnsi" w:hAnsiTheme="minorHAnsi" w:cstheme="minorHAnsi"/>
          <w:color w:val="auto"/>
          <w:sz w:val="22"/>
          <w:szCs w:val="22"/>
          <w:lang w:val="en-US"/>
        </w:rPr>
        <w:t>n</w:t>
      </w:r>
      <w:r w:rsidR="005F1D83" w:rsidRPr="0055253B">
        <w:rPr>
          <w:rFonts w:asciiTheme="minorHAnsi" w:hAnsiTheme="minorHAnsi" w:cstheme="minorHAnsi"/>
          <w:color w:val="auto"/>
          <w:sz w:val="22"/>
          <w:szCs w:val="22"/>
          <w:lang w:val="en-US"/>
        </w:rPr>
        <w:t xml:space="preserve"> openly political </w:t>
      </w:r>
      <w:r w:rsidR="006427AB">
        <w:rPr>
          <w:rFonts w:asciiTheme="minorHAnsi" w:hAnsiTheme="minorHAnsi" w:cstheme="minorHAnsi"/>
          <w:color w:val="auto"/>
          <w:sz w:val="22"/>
          <w:szCs w:val="22"/>
          <w:lang w:val="en-US"/>
        </w:rPr>
        <w:t>contest</w:t>
      </w:r>
      <w:r w:rsidR="005F1D83" w:rsidRPr="0055253B">
        <w:rPr>
          <w:rFonts w:asciiTheme="minorHAnsi" w:hAnsiTheme="minorHAnsi" w:cstheme="minorHAnsi"/>
          <w:color w:val="auto"/>
          <w:sz w:val="22"/>
          <w:szCs w:val="22"/>
          <w:lang w:val="en-US"/>
        </w:rPr>
        <w:t xml:space="preserve"> within politicized institutions</w:t>
      </w:r>
      <w:r w:rsidR="00426191" w:rsidRPr="0055253B">
        <w:rPr>
          <w:rFonts w:asciiTheme="minorHAnsi" w:hAnsiTheme="minorHAnsi" w:cstheme="minorHAnsi"/>
          <w:color w:val="auto"/>
          <w:sz w:val="22"/>
          <w:szCs w:val="22"/>
          <w:lang w:val="en-US"/>
        </w:rPr>
        <w:t xml:space="preserve"> (such as parliaments but not necessarily parliamentary committees)</w:t>
      </w:r>
      <w:r w:rsidR="005F1D83" w:rsidRPr="0055253B">
        <w:rPr>
          <w:rFonts w:asciiTheme="minorHAnsi" w:hAnsiTheme="minorHAnsi" w:cstheme="minorHAnsi"/>
          <w:color w:val="auto"/>
          <w:sz w:val="22"/>
          <w:szCs w:val="22"/>
          <w:lang w:val="en-US"/>
        </w:rPr>
        <w:t xml:space="preserve">, leading to </w:t>
      </w:r>
      <w:r w:rsidR="00426191" w:rsidRPr="0055253B">
        <w:rPr>
          <w:rFonts w:asciiTheme="minorHAnsi" w:hAnsiTheme="minorHAnsi" w:cstheme="minorHAnsi"/>
          <w:color w:val="auto"/>
          <w:sz w:val="22"/>
          <w:szCs w:val="22"/>
          <w:lang w:val="en-US"/>
        </w:rPr>
        <w:t>practices and results that are different from those of a purely technocratic environment.</w:t>
      </w:r>
      <w:r w:rsidRPr="0055253B">
        <w:rPr>
          <w:rFonts w:asciiTheme="minorHAnsi" w:hAnsiTheme="minorHAnsi" w:cstheme="minorHAnsi"/>
          <w:color w:val="auto"/>
          <w:sz w:val="22"/>
          <w:szCs w:val="22"/>
          <w:lang w:val="en-US"/>
        </w:rPr>
        <w:t xml:space="preserve"> </w:t>
      </w:r>
    </w:p>
    <w:p w:rsidR="00976EA8" w:rsidRDefault="005A3D28" w:rsidP="00976EA8">
      <w:pPr>
        <w:pStyle w:val="Default"/>
        <w:spacing w:line="360"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lastRenderedPageBreak/>
        <w:t xml:space="preserve">To </w:t>
      </w:r>
      <w:r w:rsidR="00A82E42">
        <w:rPr>
          <w:rFonts w:asciiTheme="minorHAnsi" w:hAnsiTheme="minorHAnsi" w:cstheme="minorHAnsi"/>
          <w:color w:val="auto"/>
          <w:sz w:val="22"/>
          <w:szCs w:val="22"/>
          <w:lang w:val="en-US"/>
        </w:rPr>
        <w:t>detect</w:t>
      </w:r>
      <w:r>
        <w:rPr>
          <w:rFonts w:asciiTheme="minorHAnsi" w:hAnsiTheme="minorHAnsi" w:cstheme="minorHAnsi"/>
          <w:color w:val="auto"/>
          <w:sz w:val="22"/>
          <w:szCs w:val="22"/>
          <w:lang w:val="en-US"/>
        </w:rPr>
        <w:t xml:space="preserve"> </w:t>
      </w:r>
      <w:r w:rsidR="002764B7">
        <w:rPr>
          <w:rFonts w:asciiTheme="minorHAnsi" w:hAnsiTheme="minorHAnsi" w:cstheme="minorHAnsi"/>
          <w:color w:val="auto"/>
          <w:sz w:val="22"/>
          <w:szCs w:val="22"/>
          <w:lang w:val="en-US"/>
        </w:rPr>
        <w:t xml:space="preserve">layered </w:t>
      </w:r>
      <w:r>
        <w:rPr>
          <w:rFonts w:asciiTheme="minorHAnsi" w:hAnsiTheme="minorHAnsi" w:cstheme="minorHAnsi"/>
          <w:color w:val="auto"/>
          <w:sz w:val="22"/>
          <w:szCs w:val="22"/>
          <w:lang w:val="en-US"/>
        </w:rPr>
        <w:t>p</w:t>
      </w:r>
      <w:r w:rsidR="00502EF1">
        <w:rPr>
          <w:rFonts w:asciiTheme="minorHAnsi" w:hAnsiTheme="minorHAnsi" w:cstheme="minorHAnsi"/>
          <w:color w:val="auto"/>
          <w:sz w:val="22"/>
          <w:szCs w:val="22"/>
          <w:lang w:val="en-US"/>
        </w:rPr>
        <w:t>oliticization</w:t>
      </w:r>
      <w:r>
        <w:rPr>
          <w:rFonts w:asciiTheme="minorHAnsi" w:hAnsiTheme="minorHAnsi" w:cstheme="minorHAnsi"/>
          <w:color w:val="auto"/>
          <w:sz w:val="22"/>
          <w:szCs w:val="22"/>
          <w:lang w:val="en-US"/>
        </w:rPr>
        <w:t xml:space="preserve"> in the external dimension of the CFP, </w:t>
      </w:r>
      <w:r w:rsidR="00AD0C45">
        <w:rPr>
          <w:rFonts w:asciiTheme="minorHAnsi" w:hAnsiTheme="minorHAnsi" w:cstheme="minorHAnsi"/>
          <w:color w:val="auto"/>
          <w:sz w:val="22"/>
          <w:szCs w:val="22"/>
          <w:lang w:val="en-US"/>
        </w:rPr>
        <w:t>I will trace</w:t>
      </w:r>
      <w:r>
        <w:rPr>
          <w:rFonts w:asciiTheme="minorHAnsi" w:hAnsiTheme="minorHAnsi" w:cstheme="minorHAnsi"/>
          <w:color w:val="auto"/>
          <w:sz w:val="22"/>
          <w:szCs w:val="22"/>
          <w:lang w:val="en-US"/>
        </w:rPr>
        <w:t xml:space="preserve"> the process of recent negotiations of </w:t>
      </w:r>
      <w:r w:rsidR="00AD0C45">
        <w:rPr>
          <w:rFonts w:asciiTheme="minorHAnsi" w:hAnsiTheme="minorHAnsi" w:cstheme="minorHAnsi"/>
          <w:color w:val="auto"/>
          <w:sz w:val="22"/>
          <w:szCs w:val="22"/>
          <w:lang w:val="en-US"/>
        </w:rPr>
        <w:t xml:space="preserve">important </w:t>
      </w:r>
      <w:r>
        <w:rPr>
          <w:rFonts w:asciiTheme="minorHAnsi" w:hAnsiTheme="minorHAnsi" w:cstheme="minorHAnsi"/>
          <w:color w:val="auto"/>
          <w:sz w:val="22"/>
          <w:szCs w:val="22"/>
          <w:lang w:val="en-US"/>
        </w:rPr>
        <w:t xml:space="preserve">SFPAs </w:t>
      </w:r>
      <w:r w:rsidR="00AD0C45">
        <w:rPr>
          <w:rFonts w:asciiTheme="minorHAnsi" w:hAnsiTheme="minorHAnsi" w:cstheme="minorHAnsi"/>
          <w:color w:val="auto"/>
          <w:sz w:val="22"/>
          <w:szCs w:val="22"/>
          <w:lang w:val="en-US"/>
        </w:rPr>
        <w:t>to see</w:t>
      </w:r>
      <w:r>
        <w:rPr>
          <w:rFonts w:asciiTheme="minorHAnsi" w:hAnsiTheme="minorHAnsi" w:cstheme="minorHAnsi"/>
          <w:color w:val="auto"/>
          <w:sz w:val="22"/>
          <w:szCs w:val="22"/>
          <w:lang w:val="en-US"/>
        </w:rPr>
        <w:t xml:space="preserve"> whether these have become more controversial</w:t>
      </w:r>
      <w:r w:rsidR="002764B7">
        <w:rPr>
          <w:rFonts w:asciiTheme="minorHAnsi" w:hAnsiTheme="minorHAnsi" w:cstheme="minorHAnsi"/>
          <w:color w:val="auto"/>
          <w:sz w:val="22"/>
          <w:szCs w:val="22"/>
          <w:lang w:val="en-US"/>
        </w:rPr>
        <w:t>, in particular as a consequence of the involvement of the EP</w:t>
      </w:r>
      <w:r w:rsidR="009B32F5">
        <w:rPr>
          <w:rFonts w:asciiTheme="minorHAnsi" w:hAnsiTheme="minorHAnsi" w:cstheme="minorHAnsi"/>
          <w:color w:val="auto"/>
          <w:sz w:val="22"/>
          <w:szCs w:val="22"/>
          <w:lang w:val="en-US"/>
        </w:rPr>
        <w:t>. T</w:t>
      </w:r>
      <w:r>
        <w:rPr>
          <w:rFonts w:asciiTheme="minorHAnsi" w:hAnsiTheme="minorHAnsi" w:cstheme="minorHAnsi"/>
          <w:color w:val="auto"/>
          <w:sz w:val="22"/>
          <w:szCs w:val="22"/>
          <w:lang w:val="en-US"/>
        </w:rPr>
        <w:t>his will also allow</w:t>
      </w:r>
      <w:r w:rsidR="00AD0C45">
        <w:rPr>
          <w:rFonts w:asciiTheme="minorHAnsi" w:hAnsiTheme="minorHAnsi" w:cstheme="minorHAnsi"/>
          <w:color w:val="auto"/>
          <w:sz w:val="22"/>
          <w:szCs w:val="22"/>
          <w:lang w:val="en-US"/>
        </w:rPr>
        <w:t xml:space="preserve"> me</w:t>
      </w:r>
      <w:r w:rsidR="009B32F5">
        <w:rPr>
          <w:rFonts w:asciiTheme="minorHAnsi" w:hAnsiTheme="minorHAnsi" w:cstheme="minorHAnsi"/>
          <w:color w:val="auto"/>
          <w:sz w:val="22"/>
          <w:szCs w:val="22"/>
          <w:lang w:val="en-US"/>
        </w:rPr>
        <w:t>, second,</w:t>
      </w:r>
      <w:r>
        <w:rPr>
          <w:rFonts w:asciiTheme="minorHAnsi" w:hAnsiTheme="minorHAnsi" w:cstheme="minorHAnsi"/>
          <w:color w:val="auto"/>
          <w:sz w:val="22"/>
          <w:szCs w:val="22"/>
          <w:lang w:val="en-US"/>
        </w:rPr>
        <w:t xml:space="preserve"> to identify a potentially larger set of actors t</w:t>
      </w:r>
      <w:r w:rsidR="00AD0C45">
        <w:rPr>
          <w:rFonts w:asciiTheme="minorHAnsi" w:hAnsiTheme="minorHAnsi" w:cstheme="minorHAnsi"/>
          <w:color w:val="auto"/>
          <w:sz w:val="22"/>
          <w:szCs w:val="22"/>
          <w:lang w:val="en-US"/>
        </w:rPr>
        <w:t xml:space="preserve">hat are involved </w:t>
      </w:r>
      <w:r>
        <w:rPr>
          <w:rFonts w:asciiTheme="minorHAnsi" w:hAnsiTheme="minorHAnsi" w:cstheme="minorHAnsi"/>
          <w:color w:val="auto"/>
          <w:sz w:val="22"/>
          <w:szCs w:val="22"/>
          <w:lang w:val="en-US"/>
        </w:rPr>
        <w:t xml:space="preserve">in the decision-making process. </w:t>
      </w:r>
      <w:r w:rsidR="0086729B">
        <w:rPr>
          <w:rFonts w:asciiTheme="minorHAnsi" w:hAnsiTheme="minorHAnsi" w:cstheme="minorHAnsi"/>
          <w:color w:val="auto"/>
          <w:sz w:val="22"/>
          <w:szCs w:val="22"/>
          <w:lang w:val="en-US"/>
        </w:rPr>
        <w:t>Similarly to the above, a search on Nexis regarding the external dimension of the CFP has been undertaken.</w:t>
      </w:r>
    </w:p>
    <w:p w:rsidR="00976EA8" w:rsidRDefault="00976EA8" w:rsidP="00795F69">
      <w:pPr>
        <w:pStyle w:val="Default"/>
        <w:spacing w:line="360" w:lineRule="auto"/>
        <w:jc w:val="both"/>
        <w:rPr>
          <w:rFonts w:asciiTheme="minorHAnsi" w:hAnsiTheme="minorHAnsi" w:cstheme="minorHAnsi"/>
          <w:color w:val="auto"/>
          <w:sz w:val="22"/>
          <w:szCs w:val="22"/>
          <w:lang w:val="en-US"/>
        </w:rPr>
      </w:pPr>
    </w:p>
    <w:p w:rsidR="00B93541" w:rsidRPr="004A1C09" w:rsidRDefault="004A1C09" w:rsidP="00795F69">
      <w:pPr>
        <w:pStyle w:val="Default"/>
        <w:spacing w:line="360" w:lineRule="auto"/>
        <w:jc w:val="both"/>
        <w:rPr>
          <w:rFonts w:asciiTheme="minorHAnsi" w:hAnsiTheme="minorHAnsi" w:cstheme="minorHAnsi"/>
          <w:b/>
          <w:color w:val="auto"/>
          <w:sz w:val="22"/>
          <w:szCs w:val="22"/>
          <w:lang w:val="en-US"/>
        </w:rPr>
      </w:pPr>
      <w:r>
        <w:rPr>
          <w:rFonts w:asciiTheme="minorHAnsi" w:hAnsiTheme="minorHAnsi" w:cstheme="minorHAnsi"/>
          <w:b/>
          <w:color w:val="auto"/>
          <w:sz w:val="22"/>
          <w:szCs w:val="22"/>
          <w:lang w:val="en-US"/>
        </w:rPr>
        <w:t>4.</w:t>
      </w:r>
      <w:r w:rsidR="00F46BFB" w:rsidRPr="004A1C09">
        <w:rPr>
          <w:rFonts w:asciiTheme="minorHAnsi" w:hAnsiTheme="minorHAnsi" w:cstheme="minorHAnsi"/>
          <w:b/>
          <w:color w:val="auto"/>
          <w:sz w:val="22"/>
          <w:szCs w:val="22"/>
          <w:lang w:val="en-US"/>
        </w:rPr>
        <w:t xml:space="preserve"> </w:t>
      </w:r>
      <w:r w:rsidR="00E220F8" w:rsidRPr="004A1C09">
        <w:rPr>
          <w:rFonts w:asciiTheme="minorHAnsi" w:hAnsiTheme="minorHAnsi" w:cstheme="minorHAnsi"/>
          <w:b/>
          <w:color w:val="auto"/>
          <w:sz w:val="22"/>
          <w:szCs w:val="22"/>
          <w:lang w:val="en-US"/>
        </w:rPr>
        <w:t>Layered Politicization and SFPAS</w:t>
      </w:r>
    </w:p>
    <w:p w:rsidR="0055253B" w:rsidRPr="0055253B" w:rsidRDefault="002764B7" w:rsidP="00795F69">
      <w:pPr>
        <w:spacing w:after="0" w:line="360" w:lineRule="auto"/>
        <w:jc w:val="both"/>
        <w:rPr>
          <w:rFonts w:cstheme="minorHAnsi"/>
          <w:lang w:val="en-US"/>
        </w:rPr>
      </w:pPr>
      <w:r>
        <w:rPr>
          <w:rFonts w:cstheme="minorHAnsi"/>
          <w:lang w:val="en-US"/>
        </w:rPr>
        <w:t xml:space="preserve">The EU has signed </w:t>
      </w:r>
      <w:r w:rsidR="003706FB">
        <w:rPr>
          <w:rFonts w:cstheme="minorHAnsi"/>
          <w:lang w:val="en-US"/>
        </w:rPr>
        <w:t xml:space="preserve">more than twenty </w:t>
      </w:r>
      <w:r>
        <w:rPr>
          <w:rFonts w:cstheme="minorHAnsi"/>
          <w:lang w:val="en-US"/>
        </w:rPr>
        <w:t xml:space="preserve">bilateral </w:t>
      </w:r>
      <w:r w:rsidR="005074BB">
        <w:rPr>
          <w:rFonts w:cstheme="minorHAnsi"/>
          <w:lang w:val="en-US"/>
        </w:rPr>
        <w:t xml:space="preserve">agreements </w:t>
      </w:r>
      <w:r w:rsidR="0095119A">
        <w:rPr>
          <w:rFonts w:cstheme="minorHAnsi"/>
          <w:lang w:val="en-US"/>
        </w:rPr>
        <w:t xml:space="preserve">with third countries </w:t>
      </w:r>
      <w:r>
        <w:rPr>
          <w:rFonts w:cstheme="minorHAnsi"/>
          <w:lang w:val="en-US"/>
        </w:rPr>
        <w:t>that deal with the access of</w:t>
      </w:r>
      <w:r w:rsidR="0095119A">
        <w:rPr>
          <w:rFonts w:cstheme="minorHAnsi"/>
          <w:lang w:val="en-US"/>
        </w:rPr>
        <w:t xml:space="preserve"> EU vessels to the EEZ of these countries. </w:t>
      </w:r>
      <w:r w:rsidR="005074BB">
        <w:rPr>
          <w:rFonts w:cstheme="minorHAnsi"/>
          <w:lang w:val="en-US"/>
        </w:rPr>
        <w:t>The protocols implementing the agreements are renegotiated periodically</w:t>
      </w:r>
      <w:r>
        <w:rPr>
          <w:rFonts w:cstheme="minorHAnsi"/>
          <w:lang w:val="en-US"/>
        </w:rPr>
        <w:t>; almost half of them are currently dormant</w:t>
      </w:r>
      <w:r w:rsidR="005074BB">
        <w:rPr>
          <w:rFonts w:cstheme="minorHAnsi"/>
          <w:lang w:val="en-US"/>
        </w:rPr>
        <w:t xml:space="preserve">. </w:t>
      </w:r>
      <w:r w:rsidR="0095119A">
        <w:rPr>
          <w:rFonts w:cstheme="minorHAnsi"/>
          <w:lang w:val="en-US"/>
        </w:rPr>
        <w:t xml:space="preserve">The EU pays a fee for access and </w:t>
      </w:r>
      <w:r>
        <w:rPr>
          <w:rFonts w:cstheme="minorHAnsi"/>
          <w:lang w:val="en-US"/>
        </w:rPr>
        <w:t xml:space="preserve">its fishing industry </w:t>
      </w:r>
      <w:r w:rsidR="0095119A">
        <w:rPr>
          <w:rFonts w:cstheme="minorHAnsi"/>
          <w:lang w:val="en-US"/>
        </w:rPr>
        <w:t>is allowed to take the surplus yield.</w:t>
      </w:r>
      <w:r w:rsidR="000D43F0">
        <w:rPr>
          <w:rFonts w:cstheme="minorHAnsi"/>
          <w:lang w:val="en-US"/>
        </w:rPr>
        <w:t xml:space="preserve"> According to the EU</w:t>
      </w:r>
      <w:r w:rsidR="005074BB">
        <w:rPr>
          <w:rFonts w:cstheme="minorHAnsi"/>
          <w:lang w:val="en-US"/>
        </w:rPr>
        <w:t>,</w:t>
      </w:r>
      <w:r w:rsidR="000D43F0">
        <w:rPr>
          <w:rFonts w:cstheme="minorHAnsi"/>
          <w:lang w:val="en-US"/>
        </w:rPr>
        <w:t xml:space="preserve"> these agreements set the standard for international fisheries</w:t>
      </w:r>
      <w:r>
        <w:rPr>
          <w:rFonts w:cstheme="minorHAnsi"/>
          <w:lang w:val="en-US"/>
        </w:rPr>
        <w:t xml:space="preserve"> in terms of sustainability, benefits for the local population and transparency</w:t>
      </w:r>
      <w:r w:rsidR="003706FB">
        <w:rPr>
          <w:rFonts w:cstheme="minorHAnsi"/>
          <w:lang w:val="en-US"/>
        </w:rPr>
        <w:t xml:space="preserve">. </w:t>
      </w:r>
      <w:r w:rsidR="005074BB">
        <w:rPr>
          <w:rFonts w:cstheme="minorHAnsi"/>
          <w:lang w:val="en-US"/>
        </w:rPr>
        <w:t>Nonetheless, they are often depicted as exploitative, and overall contestation against some of the agreements has risen considerably in the past decade. The follo</w:t>
      </w:r>
      <w:r>
        <w:rPr>
          <w:rFonts w:cstheme="minorHAnsi"/>
          <w:lang w:val="en-US"/>
        </w:rPr>
        <w:t>wing case studies will trace this</w:t>
      </w:r>
      <w:r w:rsidR="005074BB">
        <w:rPr>
          <w:rFonts w:cstheme="minorHAnsi"/>
          <w:lang w:val="en-US"/>
        </w:rPr>
        <w:t xml:space="preserve"> pattern of politicization, using the framework established in the preceding paragraph. I will then assess the</w:t>
      </w:r>
      <w:r w:rsidR="005074BB">
        <w:rPr>
          <w:rFonts w:cstheme="minorHAnsi"/>
          <w:color w:val="000000"/>
          <w:lang w:val="en-US"/>
        </w:rPr>
        <w:t xml:space="preserve"> impact of politicization</w:t>
      </w:r>
      <w:r w:rsidR="0055253B">
        <w:rPr>
          <w:rFonts w:cstheme="minorHAnsi"/>
          <w:color w:val="000000"/>
          <w:lang w:val="en-US"/>
        </w:rPr>
        <w:t xml:space="preserve"> on</w:t>
      </w:r>
      <w:r w:rsidR="005074BB">
        <w:rPr>
          <w:rFonts w:cstheme="minorHAnsi"/>
          <w:lang w:val="en-US"/>
        </w:rPr>
        <w:t xml:space="preserve"> the negotiation of SFPAs. Probably the most important and most contested EU fisheries agreements</w:t>
      </w:r>
      <w:r w:rsidR="0055253B">
        <w:rPr>
          <w:rFonts w:cstheme="minorHAnsi"/>
          <w:lang w:val="en-US"/>
        </w:rPr>
        <w:t xml:space="preserve"> </w:t>
      </w:r>
      <w:r w:rsidR="005074BB">
        <w:rPr>
          <w:rFonts w:cstheme="minorHAnsi"/>
          <w:lang w:val="en-US"/>
        </w:rPr>
        <w:t>are those concluded with</w:t>
      </w:r>
      <w:r w:rsidR="0055253B" w:rsidRPr="0055253B">
        <w:rPr>
          <w:rFonts w:eastAsia="Times New Roman" w:cstheme="minorHAnsi"/>
          <w:b/>
          <w:bCs/>
          <w:lang w:val="en-US" w:eastAsia="de-DE"/>
        </w:rPr>
        <w:t xml:space="preserve"> </w:t>
      </w:r>
      <w:r w:rsidR="0055253B" w:rsidRPr="0055253B">
        <w:rPr>
          <w:rFonts w:eastAsia="Times New Roman" w:cstheme="minorHAnsi"/>
          <w:bCs/>
          <w:lang w:val="en-US" w:eastAsia="de-DE"/>
        </w:rPr>
        <w:t>Morocco</w:t>
      </w:r>
      <w:r w:rsidR="0055253B">
        <w:rPr>
          <w:rFonts w:eastAsia="Times New Roman" w:cstheme="minorHAnsi"/>
          <w:bCs/>
          <w:lang w:val="en-US" w:eastAsia="de-DE"/>
        </w:rPr>
        <w:t xml:space="preserve"> </w:t>
      </w:r>
      <w:r w:rsidR="005074BB">
        <w:rPr>
          <w:rFonts w:eastAsia="Times New Roman" w:cstheme="minorHAnsi"/>
          <w:bCs/>
          <w:lang w:val="en-US" w:eastAsia="de-DE"/>
        </w:rPr>
        <w:t>and</w:t>
      </w:r>
      <w:r w:rsidR="0055253B">
        <w:rPr>
          <w:rFonts w:eastAsia="Times New Roman" w:cstheme="minorHAnsi"/>
          <w:bCs/>
          <w:lang w:val="en-US" w:eastAsia="de-DE"/>
        </w:rPr>
        <w:t xml:space="preserve"> Mauritania</w:t>
      </w:r>
      <w:r w:rsidR="005074BB">
        <w:rPr>
          <w:rFonts w:eastAsia="Times New Roman" w:cstheme="minorHAnsi"/>
          <w:bCs/>
          <w:lang w:val="en-US" w:eastAsia="de-DE"/>
        </w:rPr>
        <w:t>, which therefore will be used as case studies</w:t>
      </w:r>
      <w:r w:rsidR="001456EE">
        <w:rPr>
          <w:rFonts w:eastAsia="Times New Roman" w:cstheme="minorHAnsi"/>
          <w:bCs/>
          <w:lang w:val="en-US" w:eastAsia="de-DE"/>
        </w:rPr>
        <w:t>.</w:t>
      </w:r>
    </w:p>
    <w:p w:rsidR="00D10E5E" w:rsidRDefault="00D10E5E" w:rsidP="00795F69">
      <w:pPr>
        <w:spacing w:after="0" w:line="360" w:lineRule="auto"/>
        <w:jc w:val="both"/>
        <w:rPr>
          <w:rFonts w:cstheme="minorHAnsi"/>
          <w:i/>
          <w:lang w:val="en-US"/>
        </w:rPr>
      </w:pPr>
    </w:p>
    <w:p w:rsidR="00D10E5E" w:rsidRPr="00D10E5E" w:rsidRDefault="004A1C09" w:rsidP="00795F69">
      <w:pPr>
        <w:spacing w:after="0" w:line="360" w:lineRule="auto"/>
        <w:jc w:val="both"/>
        <w:rPr>
          <w:rFonts w:cstheme="minorHAnsi"/>
          <w:i/>
          <w:lang w:val="en-US"/>
        </w:rPr>
      </w:pPr>
      <w:r>
        <w:rPr>
          <w:rFonts w:cstheme="minorHAnsi"/>
          <w:i/>
          <w:lang w:val="en-US"/>
        </w:rPr>
        <w:t xml:space="preserve">4.1 </w:t>
      </w:r>
      <w:r w:rsidR="00D10E5E">
        <w:rPr>
          <w:rFonts w:cstheme="minorHAnsi"/>
          <w:i/>
          <w:lang w:val="en-US"/>
        </w:rPr>
        <w:t>Morocco</w:t>
      </w:r>
    </w:p>
    <w:p w:rsidR="00CE7439" w:rsidRDefault="00882EAB" w:rsidP="00795F69">
      <w:pPr>
        <w:spacing w:after="0" w:line="360" w:lineRule="auto"/>
        <w:jc w:val="both"/>
        <w:rPr>
          <w:lang w:val="en-US"/>
        </w:rPr>
      </w:pPr>
      <w:r>
        <w:rPr>
          <w:rFonts w:cstheme="minorHAnsi"/>
          <w:lang w:val="en-US"/>
        </w:rPr>
        <w:t xml:space="preserve">Morocco used to be a reliable </w:t>
      </w:r>
      <w:r w:rsidR="00D10E5E">
        <w:rPr>
          <w:rFonts w:cstheme="minorHAnsi"/>
          <w:lang w:val="en-US"/>
        </w:rPr>
        <w:t>fishing ground for the EU</w:t>
      </w:r>
      <w:r w:rsidR="00243989">
        <w:rPr>
          <w:rFonts w:cstheme="minorHAnsi"/>
          <w:lang w:val="en-US"/>
        </w:rPr>
        <w:t>, particularly for Spanish and Portuguese vessels</w:t>
      </w:r>
      <w:r w:rsidR="00D10E5E">
        <w:rPr>
          <w:rFonts w:cstheme="minorHAnsi"/>
          <w:lang w:val="en-US"/>
        </w:rPr>
        <w:t>. T</w:t>
      </w:r>
      <w:r>
        <w:rPr>
          <w:rFonts w:cstheme="minorHAnsi"/>
          <w:lang w:val="en-US"/>
        </w:rPr>
        <w:t xml:space="preserve">he early </w:t>
      </w:r>
      <w:r w:rsidR="00665E9D">
        <w:rPr>
          <w:rFonts w:cstheme="minorHAnsi"/>
          <w:lang w:val="en-US"/>
        </w:rPr>
        <w:t>fisheries</w:t>
      </w:r>
      <w:r>
        <w:rPr>
          <w:rFonts w:cstheme="minorHAnsi"/>
          <w:lang w:val="en-US"/>
        </w:rPr>
        <w:t xml:space="preserve"> agreements were uncontroversial</w:t>
      </w:r>
      <w:r w:rsidR="00FA1C97">
        <w:rPr>
          <w:rFonts w:cstheme="minorHAnsi"/>
          <w:lang w:val="en-US"/>
        </w:rPr>
        <w:t>. In</w:t>
      </w:r>
      <w:r>
        <w:rPr>
          <w:rFonts w:cstheme="minorHAnsi"/>
          <w:lang w:val="en-US"/>
        </w:rPr>
        <w:t xml:space="preserve"> 1999</w:t>
      </w:r>
      <w:r w:rsidR="00FA1C97">
        <w:rPr>
          <w:rFonts w:cstheme="minorHAnsi"/>
          <w:lang w:val="en-US"/>
        </w:rPr>
        <w:t>, however,</w:t>
      </w:r>
      <w:r>
        <w:rPr>
          <w:rFonts w:cstheme="minorHAnsi"/>
          <w:lang w:val="en-US"/>
        </w:rPr>
        <w:t xml:space="preserve"> Morocco refused to sign a new </w:t>
      </w:r>
      <w:r w:rsidR="00101E5C">
        <w:rPr>
          <w:rFonts w:cstheme="minorHAnsi"/>
          <w:lang w:val="en-US"/>
        </w:rPr>
        <w:t>protocol</w:t>
      </w:r>
      <w:r w:rsidR="00243989">
        <w:rPr>
          <w:rFonts w:cstheme="minorHAnsi"/>
          <w:lang w:val="en-US"/>
        </w:rPr>
        <w:t xml:space="preserve">, citing the exhaustion of fish stocks. Despite </w:t>
      </w:r>
      <w:r w:rsidR="00FA1C97">
        <w:rPr>
          <w:rFonts w:cstheme="minorHAnsi"/>
          <w:lang w:val="en-US"/>
        </w:rPr>
        <w:t>strong</w:t>
      </w:r>
      <w:r w:rsidR="00243989">
        <w:rPr>
          <w:rFonts w:cstheme="minorHAnsi"/>
          <w:lang w:val="en-US"/>
        </w:rPr>
        <w:t xml:space="preserve"> efforts by the Commission, a </w:t>
      </w:r>
      <w:r w:rsidR="00101E5C">
        <w:rPr>
          <w:rFonts w:cstheme="minorHAnsi"/>
          <w:lang w:val="en-US"/>
        </w:rPr>
        <w:t>follow-up protocol</w:t>
      </w:r>
      <w:r w:rsidR="00243989">
        <w:rPr>
          <w:rFonts w:cstheme="minorHAnsi"/>
          <w:lang w:val="en-US"/>
        </w:rPr>
        <w:t xml:space="preserve"> proved elusive until 2007. Following</w:t>
      </w:r>
      <w:r>
        <w:rPr>
          <w:rFonts w:cstheme="minorHAnsi"/>
          <w:lang w:val="en-US"/>
        </w:rPr>
        <w:t xml:space="preserve"> intense lobbying by the fishing industry, the Commission </w:t>
      </w:r>
      <w:r w:rsidR="00665E9D">
        <w:rPr>
          <w:rFonts w:cstheme="minorHAnsi"/>
          <w:lang w:val="en-US"/>
        </w:rPr>
        <w:t xml:space="preserve">finally </w:t>
      </w:r>
      <w:r>
        <w:rPr>
          <w:rFonts w:cstheme="minorHAnsi"/>
          <w:lang w:val="en-US"/>
        </w:rPr>
        <w:t xml:space="preserve">presented a new </w:t>
      </w:r>
      <w:r w:rsidR="00101E5C">
        <w:rPr>
          <w:rFonts w:cstheme="minorHAnsi"/>
          <w:lang w:val="en-US"/>
        </w:rPr>
        <w:t>draf</w:t>
      </w:r>
      <w:r>
        <w:rPr>
          <w:rFonts w:cstheme="minorHAnsi"/>
          <w:lang w:val="en-US"/>
        </w:rPr>
        <w:t>t</w:t>
      </w:r>
      <w:r w:rsidR="00FA1C97">
        <w:rPr>
          <w:rFonts w:cstheme="minorHAnsi"/>
          <w:lang w:val="en-US"/>
        </w:rPr>
        <w:t xml:space="preserve"> agreement</w:t>
      </w:r>
      <w:r w:rsidR="00CE7439">
        <w:rPr>
          <w:rFonts w:cstheme="minorHAnsi"/>
          <w:lang w:val="en-US"/>
        </w:rPr>
        <w:t>.</w:t>
      </w:r>
      <w:r w:rsidR="0055253B">
        <w:rPr>
          <w:rFonts w:cstheme="minorHAnsi"/>
          <w:lang w:val="en-US"/>
        </w:rPr>
        <w:t xml:space="preserve"> </w:t>
      </w:r>
      <w:r w:rsidR="00243989">
        <w:rPr>
          <w:rFonts w:cstheme="minorHAnsi"/>
          <w:lang w:val="en-US"/>
        </w:rPr>
        <w:t xml:space="preserve">This </w:t>
      </w:r>
      <w:r w:rsidR="00FA1C97">
        <w:rPr>
          <w:rFonts w:cstheme="minorHAnsi"/>
          <w:lang w:val="en-US"/>
        </w:rPr>
        <w:t>draft provoked</w:t>
      </w:r>
      <w:r w:rsidR="00243989">
        <w:rPr>
          <w:rFonts w:cstheme="minorHAnsi"/>
          <w:lang w:val="en-US"/>
        </w:rPr>
        <w:t xml:space="preserve"> </w:t>
      </w:r>
      <w:r w:rsidR="00FA1C97">
        <w:rPr>
          <w:rFonts w:cstheme="minorHAnsi"/>
          <w:lang w:val="en-US"/>
        </w:rPr>
        <w:t xml:space="preserve">some </w:t>
      </w:r>
      <w:r w:rsidR="00243989">
        <w:rPr>
          <w:rFonts w:cstheme="minorHAnsi"/>
          <w:lang w:val="en-US"/>
        </w:rPr>
        <w:t xml:space="preserve">controversy in the Council. The reason was not </w:t>
      </w:r>
      <w:r w:rsidR="00101E5C">
        <w:rPr>
          <w:rFonts w:cstheme="minorHAnsi"/>
          <w:lang w:val="en-US"/>
        </w:rPr>
        <w:t>the</w:t>
      </w:r>
      <w:r w:rsidR="00243989">
        <w:rPr>
          <w:rFonts w:cstheme="minorHAnsi"/>
          <w:lang w:val="en-US"/>
        </w:rPr>
        <w:t xml:space="preserve"> economic or environmental dimension</w:t>
      </w:r>
      <w:r w:rsidR="00101E5C">
        <w:rPr>
          <w:rFonts w:cstheme="minorHAnsi"/>
          <w:lang w:val="en-US"/>
        </w:rPr>
        <w:t xml:space="preserve"> of the protocol</w:t>
      </w:r>
      <w:r w:rsidR="00243989">
        <w:rPr>
          <w:rFonts w:cstheme="minorHAnsi"/>
          <w:lang w:val="en-US"/>
        </w:rPr>
        <w:t>, but rather the very political problem of the inclusion of the waters of the Western Sahara. This territory</w:t>
      </w:r>
      <w:r w:rsidR="00665E9D">
        <w:rPr>
          <w:rFonts w:cstheme="minorHAnsi"/>
          <w:lang w:val="en-US"/>
        </w:rPr>
        <w:t>,</w:t>
      </w:r>
      <w:r w:rsidR="00243989">
        <w:rPr>
          <w:rFonts w:cstheme="minorHAnsi"/>
          <w:lang w:val="en-US"/>
        </w:rPr>
        <w:t xml:space="preserve"> formerly occupied by Spain</w:t>
      </w:r>
      <w:r w:rsidR="00665E9D">
        <w:rPr>
          <w:rFonts w:cstheme="minorHAnsi"/>
          <w:lang w:val="en-US"/>
        </w:rPr>
        <w:t>,</w:t>
      </w:r>
      <w:r w:rsidR="00243989">
        <w:rPr>
          <w:rFonts w:cstheme="minorHAnsi"/>
          <w:lang w:val="en-US"/>
        </w:rPr>
        <w:t xml:space="preserve"> has been governed by Morocco </w:t>
      </w:r>
      <w:r w:rsidR="00FA1C97">
        <w:rPr>
          <w:rFonts w:cstheme="minorHAnsi"/>
          <w:lang w:val="en-US"/>
        </w:rPr>
        <w:t>since 1975, against strong</w:t>
      </w:r>
      <w:r w:rsidR="00243989">
        <w:rPr>
          <w:rFonts w:cstheme="minorHAnsi"/>
          <w:lang w:val="en-US"/>
        </w:rPr>
        <w:t xml:space="preserve"> resistanc</w:t>
      </w:r>
      <w:r w:rsidR="00FA1C97">
        <w:rPr>
          <w:rFonts w:cstheme="minorHAnsi"/>
          <w:lang w:val="en-US"/>
        </w:rPr>
        <w:t>e by the local population</w:t>
      </w:r>
      <w:r w:rsidR="00D10E5E">
        <w:rPr>
          <w:rFonts w:cstheme="minorHAnsi"/>
          <w:lang w:val="en-US"/>
        </w:rPr>
        <w:t xml:space="preserve">. </w:t>
      </w:r>
      <w:r>
        <w:rPr>
          <w:rFonts w:cstheme="minorHAnsi"/>
          <w:lang w:val="en-US"/>
        </w:rPr>
        <w:t xml:space="preserve">The EU is internally divided </w:t>
      </w:r>
      <w:r w:rsidR="001456EE">
        <w:rPr>
          <w:rFonts w:cstheme="minorHAnsi"/>
          <w:lang w:val="en-US"/>
        </w:rPr>
        <w:t xml:space="preserve">on </w:t>
      </w:r>
      <w:r>
        <w:rPr>
          <w:rFonts w:cstheme="minorHAnsi"/>
          <w:lang w:val="en-US"/>
        </w:rPr>
        <w:t>whether Morocco</w:t>
      </w:r>
      <w:r w:rsidR="00CE7439">
        <w:rPr>
          <w:rFonts w:cstheme="minorHAnsi"/>
          <w:lang w:val="en-US"/>
        </w:rPr>
        <w:t>’</w:t>
      </w:r>
      <w:r>
        <w:rPr>
          <w:rFonts w:cstheme="minorHAnsi"/>
          <w:lang w:val="en-US"/>
        </w:rPr>
        <w:t xml:space="preserve">s </w:t>
      </w:r>
      <w:r w:rsidR="001456EE">
        <w:rPr>
          <w:rFonts w:cstheme="minorHAnsi"/>
          <w:lang w:val="en-US"/>
        </w:rPr>
        <w:t xml:space="preserve">often </w:t>
      </w:r>
      <w:r>
        <w:rPr>
          <w:rFonts w:cstheme="minorHAnsi"/>
          <w:lang w:val="en-US"/>
        </w:rPr>
        <w:t>brutally enforce</w:t>
      </w:r>
      <w:r w:rsidR="00D8464A">
        <w:rPr>
          <w:rFonts w:cstheme="minorHAnsi"/>
          <w:lang w:val="en-US"/>
        </w:rPr>
        <w:t>d ann</w:t>
      </w:r>
      <w:r w:rsidR="00665E9D">
        <w:rPr>
          <w:rFonts w:cstheme="minorHAnsi"/>
          <w:lang w:val="en-US"/>
        </w:rPr>
        <w:t>exation should be condoned. T</w:t>
      </w:r>
      <w:r w:rsidR="00D8464A">
        <w:rPr>
          <w:rFonts w:cstheme="minorHAnsi"/>
          <w:lang w:val="en-US"/>
        </w:rPr>
        <w:t>hese d</w:t>
      </w:r>
      <w:r w:rsidR="0055253B" w:rsidRPr="00946FED">
        <w:rPr>
          <w:rFonts w:cstheme="minorHAnsi"/>
          <w:lang w:val="en-US"/>
        </w:rPr>
        <w:t>ivision</w:t>
      </w:r>
      <w:r w:rsidR="0055253B">
        <w:rPr>
          <w:rFonts w:cstheme="minorHAnsi"/>
          <w:lang w:val="en-US"/>
        </w:rPr>
        <w:t>s</w:t>
      </w:r>
      <w:r w:rsidR="0055253B" w:rsidRPr="00946FED">
        <w:rPr>
          <w:rFonts w:cstheme="minorHAnsi"/>
          <w:lang w:val="en-US"/>
        </w:rPr>
        <w:t xml:space="preserve"> are clearly shown by the convoluted moniker given in EU official language to the region</w:t>
      </w:r>
      <w:r>
        <w:rPr>
          <w:rFonts w:cstheme="minorHAnsi"/>
          <w:lang w:val="en-US"/>
        </w:rPr>
        <w:t>:</w:t>
      </w:r>
      <w:r w:rsidR="0055253B" w:rsidRPr="00946FED">
        <w:rPr>
          <w:rFonts w:cstheme="minorHAnsi"/>
          <w:lang w:val="en-US"/>
        </w:rPr>
        <w:t xml:space="preserve"> </w:t>
      </w:r>
      <w:r w:rsidR="0055253B" w:rsidRPr="0055253B">
        <w:rPr>
          <w:rFonts w:cstheme="minorHAnsi"/>
          <w:lang w:val="en-US"/>
        </w:rPr>
        <w:t>a “non-self-governing territory ‘de facto’ administered by the Kingdom of Morocco”.</w:t>
      </w:r>
      <w:r w:rsidR="0055253B" w:rsidRPr="00946FED">
        <w:rPr>
          <w:rFonts w:cstheme="minorHAnsi"/>
          <w:lang w:val="en-US"/>
        </w:rPr>
        <w:t xml:space="preserve"> </w:t>
      </w:r>
      <w:r>
        <w:rPr>
          <w:lang w:val="en-US"/>
        </w:rPr>
        <w:t>Unfortunately, t</w:t>
      </w:r>
      <w:r w:rsidR="0055253B">
        <w:rPr>
          <w:lang w:val="en-US"/>
        </w:rPr>
        <w:t xml:space="preserve">his </w:t>
      </w:r>
      <w:r w:rsidR="001456EE">
        <w:rPr>
          <w:lang w:val="en-US"/>
        </w:rPr>
        <w:t xml:space="preserve">strange </w:t>
      </w:r>
      <w:r w:rsidR="0055253B">
        <w:rPr>
          <w:lang w:val="en-US"/>
        </w:rPr>
        <w:t xml:space="preserve">territory </w:t>
      </w:r>
      <w:r w:rsidR="00D10E5E">
        <w:rPr>
          <w:lang w:val="en-US"/>
        </w:rPr>
        <w:t xml:space="preserve">also </w:t>
      </w:r>
      <w:r w:rsidR="0055253B">
        <w:rPr>
          <w:lang w:val="en-US"/>
        </w:rPr>
        <w:t xml:space="preserve">contains the best fishing grounds (since the coastal waters of Morocco are already quite empty). Many member states and NGOs </w:t>
      </w:r>
      <w:r w:rsidR="0055253B" w:rsidRPr="00774551">
        <w:rPr>
          <w:lang w:val="en-US"/>
        </w:rPr>
        <w:t>(</w:t>
      </w:r>
      <w:r w:rsidR="0055253B">
        <w:rPr>
          <w:lang w:val="en-US"/>
        </w:rPr>
        <w:t>such as</w:t>
      </w:r>
      <w:r w:rsidR="0055253B" w:rsidRPr="00774551">
        <w:rPr>
          <w:lang w:val="en-US"/>
        </w:rPr>
        <w:t xml:space="preserve"> Fishelsewhere.com</w:t>
      </w:r>
      <w:r w:rsidR="00D8464A">
        <w:rPr>
          <w:lang w:val="en-US"/>
        </w:rPr>
        <w:t>, founded in 2006 by Western Sahara activists</w:t>
      </w:r>
      <w:r w:rsidR="0055253B" w:rsidRPr="00774551">
        <w:rPr>
          <w:lang w:val="en-US"/>
        </w:rPr>
        <w:t xml:space="preserve">) </w:t>
      </w:r>
      <w:r w:rsidR="001456EE">
        <w:rPr>
          <w:lang w:val="en-US"/>
        </w:rPr>
        <w:t>claim</w:t>
      </w:r>
      <w:r w:rsidR="0055253B">
        <w:rPr>
          <w:lang w:val="en-US"/>
        </w:rPr>
        <w:t xml:space="preserve"> that the </w:t>
      </w:r>
      <w:r>
        <w:rPr>
          <w:lang w:val="en-US"/>
        </w:rPr>
        <w:t xml:space="preserve">EU’s fisheries partnership </w:t>
      </w:r>
      <w:r w:rsidR="0055253B">
        <w:rPr>
          <w:lang w:val="en-US"/>
        </w:rPr>
        <w:t>agreement</w:t>
      </w:r>
      <w:r>
        <w:rPr>
          <w:lang w:val="en-US"/>
        </w:rPr>
        <w:t>s implicitly recognize</w:t>
      </w:r>
      <w:r w:rsidR="0055253B">
        <w:rPr>
          <w:lang w:val="en-US"/>
        </w:rPr>
        <w:t xml:space="preserve"> Morocco’s sovereignty over the territory and lead to the </w:t>
      </w:r>
      <w:r w:rsidR="0055253B">
        <w:rPr>
          <w:lang w:val="en-US"/>
        </w:rPr>
        <w:lastRenderedPageBreak/>
        <w:t>exploitation of marine resources to the detriment of the inhabitants of Western Sahara, the Saharawis.</w:t>
      </w:r>
      <w:r w:rsidR="00D10E5E">
        <w:rPr>
          <w:lang w:val="en-US"/>
        </w:rPr>
        <w:t xml:space="preserve"> </w:t>
      </w:r>
      <w:r w:rsidR="00D8464A">
        <w:rPr>
          <w:lang w:val="en-US"/>
        </w:rPr>
        <w:t xml:space="preserve">As a result, </w:t>
      </w:r>
      <w:r w:rsidR="00D8464A">
        <w:rPr>
          <w:rFonts w:cstheme="minorHAnsi"/>
          <w:lang w:val="en-US"/>
        </w:rPr>
        <w:t xml:space="preserve">Sweden voted against the Commission’s draft in the Council because </w:t>
      </w:r>
      <w:r w:rsidR="00665E9D">
        <w:rPr>
          <w:rFonts w:cstheme="minorHAnsi"/>
          <w:lang w:val="en-US"/>
        </w:rPr>
        <w:t>of this problem. O</w:t>
      </w:r>
      <w:r w:rsidR="00D8464A">
        <w:rPr>
          <w:rFonts w:cstheme="minorHAnsi"/>
          <w:lang w:val="en-US"/>
        </w:rPr>
        <w:t xml:space="preserve">ther countries </w:t>
      </w:r>
      <w:r w:rsidR="00665E9D">
        <w:rPr>
          <w:rFonts w:cstheme="minorHAnsi"/>
          <w:lang w:val="en-US"/>
        </w:rPr>
        <w:t xml:space="preserve">at least </w:t>
      </w:r>
      <w:r w:rsidR="00D8464A">
        <w:rPr>
          <w:rFonts w:cstheme="minorHAnsi"/>
          <w:lang w:val="en-US"/>
        </w:rPr>
        <w:t>voiced their concerns. Nonetheless</w:t>
      </w:r>
      <w:r w:rsidR="00CE7439">
        <w:rPr>
          <w:lang w:val="en-US"/>
        </w:rPr>
        <w:t xml:space="preserve">, the 2007 </w:t>
      </w:r>
      <w:r w:rsidR="00101E5C">
        <w:rPr>
          <w:lang w:val="en-US"/>
        </w:rPr>
        <w:t>protocol</w:t>
      </w:r>
      <w:r w:rsidR="00CE7439">
        <w:rPr>
          <w:lang w:val="en-US"/>
        </w:rPr>
        <w:t xml:space="preserve"> was ratified</w:t>
      </w:r>
      <w:r w:rsidR="00D10E5E">
        <w:rPr>
          <w:lang w:val="en-US"/>
        </w:rPr>
        <w:t xml:space="preserve"> quite smoothly</w:t>
      </w:r>
      <w:r w:rsidR="009F5EF1">
        <w:rPr>
          <w:lang w:val="en-US"/>
        </w:rPr>
        <w:t>, reflecting a low level of public salience and a technocratic decision-making process</w:t>
      </w:r>
      <w:r w:rsidR="00CE7439">
        <w:rPr>
          <w:lang w:val="en-US"/>
        </w:rPr>
        <w:t>.</w:t>
      </w:r>
    </w:p>
    <w:p w:rsidR="0055253B" w:rsidRDefault="0055253B" w:rsidP="00795F69">
      <w:pPr>
        <w:spacing w:after="0" w:line="360" w:lineRule="auto"/>
        <w:jc w:val="both"/>
        <w:rPr>
          <w:lang w:val="en-US"/>
        </w:rPr>
      </w:pPr>
      <w:r>
        <w:rPr>
          <w:lang w:val="en-US"/>
        </w:rPr>
        <w:t xml:space="preserve"> </w:t>
      </w:r>
    </w:p>
    <w:p w:rsidR="0055253B" w:rsidRPr="00D12A27" w:rsidRDefault="00CE7439" w:rsidP="00795F69">
      <w:pPr>
        <w:spacing w:after="0" w:line="360" w:lineRule="auto"/>
        <w:jc w:val="both"/>
        <w:rPr>
          <w:lang w:val="en-US"/>
        </w:rPr>
      </w:pPr>
      <w:r>
        <w:rPr>
          <w:lang w:val="en-US"/>
        </w:rPr>
        <w:t xml:space="preserve">When </w:t>
      </w:r>
      <w:r w:rsidR="009F5EF1">
        <w:rPr>
          <w:lang w:val="en-US"/>
        </w:rPr>
        <w:t>the agreement</w:t>
      </w:r>
      <w:r w:rsidR="00101E5C">
        <w:rPr>
          <w:lang w:val="en-US"/>
        </w:rPr>
        <w:t xml:space="preserve"> was about to expire in 2011</w:t>
      </w:r>
      <w:r>
        <w:rPr>
          <w:lang w:val="en-US"/>
        </w:rPr>
        <w:t xml:space="preserve">, Spain lobbied hard for an extension. However, </w:t>
      </w:r>
      <w:r w:rsidR="00101E5C">
        <w:rPr>
          <w:lang w:val="en-US"/>
        </w:rPr>
        <w:t>scientific evaluations of the previous protocol rated its record in terms of sustainability very poorly</w:t>
      </w:r>
      <w:r w:rsidRPr="00D12A27">
        <w:rPr>
          <w:lang w:val="en-US"/>
        </w:rPr>
        <w:t xml:space="preserve"> (Oc</w:t>
      </w:r>
      <w:r>
        <w:rPr>
          <w:lang w:val="en-US"/>
        </w:rPr>
        <w:t>e</w:t>
      </w:r>
      <w:r w:rsidRPr="00D12A27">
        <w:rPr>
          <w:lang w:val="en-US"/>
        </w:rPr>
        <w:t>anic Développement, 201</w:t>
      </w:r>
      <w:r>
        <w:rPr>
          <w:lang w:val="en-US"/>
        </w:rPr>
        <w:t>0</w:t>
      </w:r>
      <w:r w:rsidRPr="00D12A27">
        <w:rPr>
          <w:lang w:val="en-US"/>
        </w:rPr>
        <w:t xml:space="preserve">). </w:t>
      </w:r>
      <w:r w:rsidR="009F5EF1">
        <w:rPr>
          <w:lang w:val="en-US"/>
        </w:rPr>
        <w:t>The Commission had just published its Green Paper on the sorry state of the CFP and it tried to</w:t>
      </w:r>
      <w:r w:rsidR="00101E5C">
        <w:rPr>
          <w:lang w:val="en-US"/>
        </w:rPr>
        <w:t xml:space="preserve"> gain time for a new approach</w:t>
      </w:r>
      <w:r>
        <w:rPr>
          <w:lang w:val="en-US"/>
        </w:rPr>
        <w:t xml:space="preserve">, </w:t>
      </w:r>
      <w:r w:rsidR="009F5EF1">
        <w:rPr>
          <w:lang w:val="en-US"/>
        </w:rPr>
        <w:t>by</w:t>
      </w:r>
      <w:r>
        <w:rPr>
          <w:lang w:val="en-US"/>
        </w:rPr>
        <w:t xml:space="preserve"> request</w:t>
      </w:r>
      <w:r w:rsidR="009F5EF1">
        <w:rPr>
          <w:lang w:val="en-US"/>
        </w:rPr>
        <w:t>ing</w:t>
      </w:r>
      <w:r>
        <w:rPr>
          <w:lang w:val="en-US"/>
        </w:rPr>
        <w:t xml:space="preserve"> an extension</w:t>
      </w:r>
      <w:r w:rsidR="00101E5C">
        <w:rPr>
          <w:lang w:val="en-US"/>
        </w:rPr>
        <w:t xml:space="preserve"> for just one year. </w:t>
      </w:r>
      <w:r w:rsidR="009F5EF1">
        <w:rPr>
          <w:lang w:val="en-US"/>
        </w:rPr>
        <w:t xml:space="preserve">Opinions in the Commission were divided: </w:t>
      </w:r>
      <w:r w:rsidRPr="00D12A27">
        <w:rPr>
          <w:lang w:val="en-US"/>
        </w:rPr>
        <w:t>DG Mare</w:t>
      </w:r>
      <w:r>
        <w:rPr>
          <w:lang w:val="en-US"/>
        </w:rPr>
        <w:t xml:space="preserve"> </w:t>
      </w:r>
      <w:r w:rsidR="009F5EF1">
        <w:rPr>
          <w:lang w:val="en-US"/>
        </w:rPr>
        <w:t xml:space="preserve">argued </w:t>
      </w:r>
      <w:r w:rsidR="00101E5C">
        <w:rPr>
          <w:lang w:val="en-US"/>
        </w:rPr>
        <w:t>that the waters of the Western Sahara should be excluded while other DGs stressed the overall importance of relations with Morocco</w:t>
      </w:r>
      <w:r w:rsidR="00F3169E">
        <w:rPr>
          <w:lang w:val="en-US"/>
        </w:rPr>
        <w:t xml:space="preserve"> (Jönsson, 2012, p.</w:t>
      </w:r>
      <w:r w:rsidRPr="00D12A27">
        <w:rPr>
          <w:lang w:val="en-US"/>
        </w:rPr>
        <w:t xml:space="preserve">29). A similar division appeared in </w:t>
      </w:r>
      <w:r>
        <w:rPr>
          <w:lang w:val="en-US"/>
        </w:rPr>
        <w:t xml:space="preserve">the </w:t>
      </w:r>
      <w:r w:rsidRPr="00D12A27">
        <w:rPr>
          <w:lang w:val="en-US"/>
        </w:rPr>
        <w:t>C</w:t>
      </w:r>
      <w:r>
        <w:rPr>
          <w:lang w:val="en-US"/>
        </w:rPr>
        <w:t>ommittee of Permanent Representatives (COREPER), which prepares Council meetings.</w:t>
      </w:r>
      <w:r w:rsidRPr="00D12A27">
        <w:rPr>
          <w:lang w:val="en-US"/>
        </w:rPr>
        <w:t xml:space="preserve"> </w:t>
      </w:r>
      <w:r>
        <w:rPr>
          <w:lang w:val="en-US"/>
        </w:rPr>
        <w:t xml:space="preserve">Despite the </w:t>
      </w:r>
      <w:r w:rsidR="009F5EF1">
        <w:rPr>
          <w:lang w:val="en-US"/>
        </w:rPr>
        <w:t>divisions</w:t>
      </w:r>
      <w:r w:rsidRPr="00D12A27">
        <w:rPr>
          <w:lang w:val="en-US"/>
        </w:rPr>
        <w:t xml:space="preserve">, the Council gave the Commission a mandate to open negotiations to avoid </w:t>
      </w:r>
      <w:r w:rsidR="00101E5C">
        <w:rPr>
          <w:lang w:val="en-US"/>
        </w:rPr>
        <w:t>a</w:t>
      </w:r>
      <w:r w:rsidRPr="00D12A27">
        <w:rPr>
          <w:lang w:val="en-US"/>
        </w:rPr>
        <w:t xml:space="preserve"> disruption of EU fishing activities. </w:t>
      </w:r>
      <w:r w:rsidR="0055253B" w:rsidRPr="00D12A27">
        <w:rPr>
          <w:lang w:val="en-US"/>
        </w:rPr>
        <w:t xml:space="preserve">On this basis, the Commission </w:t>
      </w:r>
      <w:r w:rsidR="0055253B">
        <w:rPr>
          <w:lang w:val="en-US"/>
        </w:rPr>
        <w:t xml:space="preserve">in February 2011 </w:t>
      </w:r>
      <w:r w:rsidR="0055253B" w:rsidRPr="00D12A27">
        <w:rPr>
          <w:lang w:val="en-US"/>
        </w:rPr>
        <w:t>quickly reached an agreement with the Moroccan government</w:t>
      </w:r>
      <w:r w:rsidR="0055253B">
        <w:rPr>
          <w:lang w:val="en-US"/>
        </w:rPr>
        <w:t xml:space="preserve"> that included the Western Sahara</w:t>
      </w:r>
      <w:r w:rsidR="0055253B" w:rsidRPr="00D12A27">
        <w:rPr>
          <w:lang w:val="en-US"/>
        </w:rPr>
        <w:t>. The Council approved the result with a narrow majority</w:t>
      </w:r>
      <w:r w:rsidR="0055253B">
        <w:rPr>
          <w:lang w:val="en-US"/>
        </w:rPr>
        <w:t xml:space="preserve"> in June</w:t>
      </w:r>
      <w:r w:rsidR="009F5EF1">
        <w:rPr>
          <w:lang w:val="en-US"/>
        </w:rPr>
        <w:t xml:space="preserve"> 2011</w:t>
      </w:r>
      <w:r w:rsidR="0055253B" w:rsidRPr="00D12A27">
        <w:rPr>
          <w:lang w:val="en-US"/>
        </w:rPr>
        <w:t xml:space="preserve">. </w:t>
      </w:r>
      <w:r w:rsidR="009F5EF1">
        <w:rPr>
          <w:lang w:val="en-US"/>
        </w:rPr>
        <w:t xml:space="preserve">However, the Lisbon treaty had entered into force in December 2009 and </w:t>
      </w:r>
      <w:r w:rsidR="00101E5C">
        <w:rPr>
          <w:lang w:val="en-US"/>
        </w:rPr>
        <w:t xml:space="preserve">the EP </w:t>
      </w:r>
      <w:r w:rsidR="009F5EF1">
        <w:rPr>
          <w:lang w:val="en-US"/>
        </w:rPr>
        <w:t>now had to give its consent</w:t>
      </w:r>
      <w:r w:rsidR="00101E5C">
        <w:rPr>
          <w:lang w:val="en-US"/>
        </w:rPr>
        <w:t xml:space="preserve">. </w:t>
      </w:r>
      <w:r w:rsidR="009F5EF1">
        <w:rPr>
          <w:lang w:val="en-US"/>
        </w:rPr>
        <w:t xml:space="preserve">The Fisheries Committee was still </w:t>
      </w:r>
      <w:r w:rsidR="0055253B" w:rsidRPr="00D12A27">
        <w:rPr>
          <w:lang w:val="en-US"/>
        </w:rPr>
        <w:t>dominated by Spanish and French Representatives</w:t>
      </w:r>
      <w:r w:rsidR="0055253B">
        <w:rPr>
          <w:lang w:val="en-US"/>
        </w:rPr>
        <w:t>,</w:t>
      </w:r>
      <w:r w:rsidR="00101E5C">
        <w:rPr>
          <w:lang w:val="en-US"/>
        </w:rPr>
        <w:t xml:space="preserve"> </w:t>
      </w:r>
      <w:r w:rsidR="009F5EF1">
        <w:rPr>
          <w:lang w:val="en-US"/>
        </w:rPr>
        <w:t xml:space="preserve">and </w:t>
      </w:r>
      <w:r w:rsidR="00F3169E">
        <w:rPr>
          <w:lang w:val="en-US"/>
        </w:rPr>
        <w:t>it</w:t>
      </w:r>
      <w:r w:rsidR="009F5EF1">
        <w:rPr>
          <w:lang w:val="en-US"/>
        </w:rPr>
        <w:t xml:space="preserve"> sided with the Commission and the Council. T</w:t>
      </w:r>
      <w:r w:rsidR="0055253B" w:rsidRPr="00D12A27">
        <w:rPr>
          <w:lang w:val="en-US"/>
        </w:rPr>
        <w:t>he Bu</w:t>
      </w:r>
      <w:r w:rsidR="009F5EF1">
        <w:rPr>
          <w:lang w:val="en-US"/>
        </w:rPr>
        <w:t xml:space="preserve">dget and Development Committees, however, </w:t>
      </w:r>
      <w:r w:rsidR="0055253B" w:rsidRPr="00D12A27">
        <w:rPr>
          <w:lang w:val="en-US"/>
        </w:rPr>
        <w:t>recommended that the EP with</w:t>
      </w:r>
      <w:r w:rsidR="00F3169E">
        <w:rPr>
          <w:lang w:val="en-US"/>
        </w:rPr>
        <w:t>held its consent (Jönsson, 2012, p.</w:t>
      </w:r>
      <w:r w:rsidR="0055253B" w:rsidRPr="00D12A27">
        <w:rPr>
          <w:lang w:val="en-US"/>
        </w:rPr>
        <w:t xml:space="preserve">42). </w:t>
      </w:r>
      <w:r w:rsidR="009F5EF1">
        <w:rPr>
          <w:lang w:val="en-US"/>
        </w:rPr>
        <w:t>The controversy on the self-determination of the Sawara</w:t>
      </w:r>
      <w:r w:rsidR="007E2613">
        <w:rPr>
          <w:lang w:val="en-US"/>
        </w:rPr>
        <w:t xml:space="preserve">his, </w:t>
      </w:r>
      <w:r w:rsidR="009F5EF1">
        <w:rPr>
          <w:lang w:val="en-US"/>
        </w:rPr>
        <w:t xml:space="preserve">the ecological </w:t>
      </w:r>
      <w:r w:rsidR="007E2613">
        <w:rPr>
          <w:lang w:val="en-US"/>
        </w:rPr>
        <w:t xml:space="preserve">consequences </w:t>
      </w:r>
      <w:r w:rsidR="00F3169E">
        <w:rPr>
          <w:lang w:val="en-US"/>
        </w:rPr>
        <w:t xml:space="preserve">of large-scale fishing in Western African waters </w:t>
      </w:r>
      <w:r w:rsidR="007E2613">
        <w:rPr>
          <w:lang w:val="en-US"/>
        </w:rPr>
        <w:t>and the developmental implications of the agreements became much more visible with the mobilization of the EP. The polarized narrative which had been stifled by technocratic rules</w:t>
      </w:r>
      <w:r w:rsidR="00F3169E">
        <w:rPr>
          <w:lang w:val="en-US"/>
        </w:rPr>
        <w:t xml:space="preserve"> until then</w:t>
      </w:r>
      <w:r w:rsidR="00F80DF8">
        <w:rPr>
          <w:lang w:val="en-US"/>
        </w:rPr>
        <w:t>,</w:t>
      </w:r>
      <w:r w:rsidR="007E2613">
        <w:rPr>
          <w:lang w:val="en-US"/>
        </w:rPr>
        <w:t xml:space="preserve"> </w:t>
      </w:r>
      <w:r w:rsidR="00F80DF8">
        <w:rPr>
          <w:lang w:val="en-US"/>
        </w:rPr>
        <w:t>was given voice and critical groups had an institutional target</w:t>
      </w:r>
      <w:r>
        <w:rPr>
          <w:lang w:val="en-US"/>
        </w:rPr>
        <w:t xml:space="preserve">. </w:t>
      </w:r>
      <w:r w:rsidR="0055253B">
        <w:rPr>
          <w:lang w:val="en-US"/>
        </w:rPr>
        <w:t xml:space="preserve"> </w:t>
      </w:r>
      <w:r>
        <w:rPr>
          <w:lang w:val="en-US"/>
        </w:rPr>
        <w:t>Indeed</w:t>
      </w:r>
      <w:r w:rsidR="0055253B" w:rsidRPr="00D12A27">
        <w:rPr>
          <w:lang w:val="en-US"/>
        </w:rPr>
        <w:t>, in December 2011, the</w:t>
      </w:r>
      <w:r w:rsidR="007E2613">
        <w:rPr>
          <w:lang w:val="en-US"/>
        </w:rPr>
        <w:t xml:space="preserve"> plenary of the</w:t>
      </w:r>
      <w:r w:rsidR="0055253B" w:rsidRPr="00D12A27">
        <w:rPr>
          <w:lang w:val="en-US"/>
        </w:rPr>
        <w:t xml:space="preserve"> EP rejected the extension </w:t>
      </w:r>
      <w:r w:rsidR="00F80DF8">
        <w:rPr>
          <w:lang w:val="en-US"/>
        </w:rPr>
        <w:t xml:space="preserve">of the agreement </w:t>
      </w:r>
      <w:r w:rsidR="0055253B">
        <w:rPr>
          <w:lang w:val="en-US"/>
        </w:rPr>
        <w:t>arguing that</w:t>
      </w:r>
      <w:r w:rsidR="0055253B" w:rsidRPr="00D12A27">
        <w:rPr>
          <w:lang w:val="en-US"/>
        </w:rPr>
        <w:t xml:space="preserve"> the Commission had not demonstrated that the agreement was ecologically sustainable, economically viable, and beneficial to the Saharawis. </w:t>
      </w:r>
      <w:r w:rsidR="00C10ED0">
        <w:rPr>
          <w:lang w:val="en-US"/>
        </w:rPr>
        <w:t xml:space="preserve">The EP demanded that any new protocol should respect international law, </w:t>
      </w:r>
      <w:r w:rsidR="00F3169E">
        <w:rPr>
          <w:lang w:val="en-US"/>
        </w:rPr>
        <w:t xml:space="preserve">that it should </w:t>
      </w:r>
      <w:r w:rsidR="00C10ED0">
        <w:rPr>
          <w:lang w:val="en-US"/>
        </w:rPr>
        <w:t xml:space="preserve">be sustainable, both in economic and ecological terms, and </w:t>
      </w:r>
      <w:r w:rsidR="00F3169E">
        <w:rPr>
          <w:lang w:val="en-US"/>
        </w:rPr>
        <w:t xml:space="preserve">that </w:t>
      </w:r>
      <w:r w:rsidR="00C10ED0">
        <w:rPr>
          <w:lang w:val="en-US"/>
        </w:rPr>
        <w:t>the uses of EU funds should be made transparent (Passos</w:t>
      </w:r>
      <w:r w:rsidR="00F3169E">
        <w:rPr>
          <w:lang w:val="en-US"/>
        </w:rPr>
        <w:t>,</w:t>
      </w:r>
      <w:r w:rsidR="00C10ED0">
        <w:rPr>
          <w:lang w:val="en-US"/>
        </w:rPr>
        <w:t xml:space="preserve"> </w:t>
      </w:r>
      <w:r w:rsidR="00005649">
        <w:rPr>
          <w:lang w:val="en-US"/>
        </w:rPr>
        <w:t>2016</w:t>
      </w:r>
      <w:r w:rsidR="00F3169E">
        <w:rPr>
          <w:lang w:val="en-US"/>
        </w:rPr>
        <w:t xml:space="preserve">, p. </w:t>
      </w:r>
      <w:r w:rsidR="00C10ED0">
        <w:rPr>
          <w:lang w:val="en-US"/>
        </w:rPr>
        <w:t>93)</w:t>
      </w:r>
      <w:r w:rsidR="00F3169E">
        <w:rPr>
          <w:lang w:val="en-US"/>
        </w:rPr>
        <w:t>.</w:t>
      </w:r>
    </w:p>
    <w:p w:rsidR="009F2C37" w:rsidRDefault="009F2C37" w:rsidP="00795F69">
      <w:pPr>
        <w:spacing w:after="0" w:line="360" w:lineRule="auto"/>
        <w:jc w:val="both"/>
        <w:rPr>
          <w:lang w:val="en-US"/>
        </w:rPr>
      </w:pPr>
    </w:p>
    <w:p w:rsidR="00CE7439" w:rsidRDefault="0055253B" w:rsidP="00795F69">
      <w:pPr>
        <w:spacing w:after="0" w:line="360" w:lineRule="auto"/>
        <w:jc w:val="both"/>
        <w:rPr>
          <w:lang w:val="en-US"/>
        </w:rPr>
      </w:pPr>
      <w:r w:rsidRPr="00D12A27">
        <w:rPr>
          <w:lang w:val="en-US"/>
        </w:rPr>
        <w:t xml:space="preserve">As a result of the EP vote, </w:t>
      </w:r>
      <w:r w:rsidR="00F80DF8">
        <w:rPr>
          <w:lang w:val="en-US"/>
        </w:rPr>
        <w:t xml:space="preserve">Morocco closed its fishing grounds to all </w:t>
      </w:r>
      <w:r w:rsidRPr="00D12A27">
        <w:rPr>
          <w:lang w:val="en-US"/>
        </w:rPr>
        <w:t xml:space="preserve">EU vessels. </w:t>
      </w:r>
      <w:r w:rsidR="00A07043">
        <w:rPr>
          <w:lang w:val="en-US"/>
        </w:rPr>
        <w:t>After loud protests by the fishermen and the governments representing them</w:t>
      </w:r>
      <w:r w:rsidRPr="00D12A27">
        <w:rPr>
          <w:lang w:val="en-US"/>
        </w:rPr>
        <w:t xml:space="preserve">, the Council authorized the Commission to continue the talks and try to achieve a better agreement, in particular with respect to </w:t>
      </w:r>
      <w:r w:rsidR="00005649">
        <w:rPr>
          <w:lang w:val="en-US"/>
        </w:rPr>
        <w:t>the</w:t>
      </w:r>
      <w:r w:rsidRPr="00D12A27">
        <w:rPr>
          <w:lang w:val="en-US"/>
        </w:rPr>
        <w:t xml:space="preserve"> concerns</w:t>
      </w:r>
      <w:r w:rsidR="00005649">
        <w:rPr>
          <w:lang w:val="en-US"/>
        </w:rPr>
        <w:t xml:space="preserve"> expressed by the EP</w:t>
      </w:r>
      <w:r w:rsidRPr="00D12A27">
        <w:rPr>
          <w:lang w:val="en-US"/>
        </w:rPr>
        <w:t>. The Commiss</w:t>
      </w:r>
      <w:r w:rsidR="00C10ED0">
        <w:rPr>
          <w:lang w:val="en-US"/>
        </w:rPr>
        <w:t>ion then drafted a new protocol with</w:t>
      </w:r>
      <w:r w:rsidRPr="00D12A27">
        <w:rPr>
          <w:lang w:val="en-US"/>
        </w:rPr>
        <w:t xml:space="preserve"> more detailed provisions on how the money would be distributed within Morocco, specifically to the Sawarahis (Interview with </w:t>
      </w:r>
      <w:r w:rsidRPr="00D12A27">
        <w:rPr>
          <w:lang w:val="en-US"/>
        </w:rPr>
        <w:lastRenderedPageBreak/>
        <w:t>Commission Official</w:t>
      </w:r>
      <w:r w:rsidR="00101C30">
        <w:rPr>
          <w:lang w:val="en-US"/>
        </w:rPr>
        <w:t>; European Parliament 2013</w:t>
      </w:r>
      <w:r w:rsidRPr="00D12A27">
        <w:rPr>
          <w:lang w:val="en-US"/>
        </w:rPr>
        <w:t xml:space="preserve">). The Council </w:t>
      </w:r>
      <w:r w:rsidR="00A07043">
        <w:rPr>
          <w:lang w:val="en-US"/>
        </w:rPr>
        <w:t>discussed</w:t>
      </w:r>
      <w:r w:rsidRPr="00D12A27">
        <w:rPr>
          <w:lang w:val="en-US"/>
        </w:rPr>
        <w:t xml:space="preserve"> the draft agreement in early November</w:t>
      </w:r>
      <w:r w:rsidR="009F2C37">
        <w:rPr>
          <w:lang w:val="en-US"/>
        </w:rPr>
        <w:t xml:space="preserve"> 2013</w:t>
      </w:r>
      <w:r w:rsidRPr="00D12A27">
        <w:rPr>
          <w:lang w:val="en-US"/>
        </w:rPr>
        <w:t xml:space="preserve">. </w:t>
      </w:r>
      <w:r w:rsidR="00536DD4">
        <w:rPr>
          <w:lang w:val="en-US"/>
        </w:rPr>
        <w:t>Sweden and Denmark</w:t>
      </w:r>
      <w:r w:rsidRPr="00D12A27">
        <w:rPr>
          <w:lang w:val="en-US"/>
        </w:rPr>
        <w:t xml:space="preserve"> voted against, while the UK, Netherlands </w:t>
      </w:r>
      <w:r>
        <w:rPr>
          <w:lang w:val="en-US"/>
        </w:rPr>
        <w:t xml:space="preserve">and Finland abstained. </w:t>
      </w:r>
      <w:r w:rsidR="00A07043">
        <w:rPr>
          <w:lang w:val="en-US"/>
        </w:rPr>
        <w:t xml:space="preserve">This was enough for a qualified majority. </w:t>
      </w:r>
      <w:r w:rsidR="00CE7439" w:rsidRPr="00D12A27">
        <w:rPr>
          <w:lang w:val="en-US"/>
        </w:rPr>
        <w:t xml:space="preserve">On 10 December 2013, </w:t>
      </w:r>
      <w:r w:rsidR="00F3169E">
        <w:rPr>
          <w:lang w:val="en-US"/>
        </w:rPr>
        <w:t xml:space="preserve">after controversial debate, </w:t>
      </w:r>
      <w:r w:rsidR="00CE7439" w:rsidRPr="00D12A27">
        <w:rPr>
          <w:lang w:val="en-US"/>
        </w:rPr>
        <w:t>the EP voted for the agreement with 310 votes against 204 no-votes and 49 abstentions</w:t>
      </w:r>
      <w:r w:rsidR="00005649">
        <w:rPr>
          <w:lang w:val="en-US"/>
        </w:rPr>
        <w:t>, mainly from the Greens and ALDE</w:t>
      </w:r>
      <w:r w:rsidR="00CE7439" w:rsidRPr="00D12A27">
        <w:rPr>
          <w:lang w:val="en-US"/>
        </w:rPr>
        <w:t>.</w:t>
      </w:r>
      <w:r w:rsidR="00005649">
        <w:rPr>
          <w:lang w:val="en-US"/>
        </w:rPr>
        <w:t xml:space="preserve"> In its resolution, the EP demanded participation in the implementation of the agreement, for example by sending observer</w:t>
      </w:r>
      <w:r w:rsidR="00F3169E">
        <w:rPr>
          <w:lang w:val="en-US"/>
        </w:rPr>
        <w:t>s</w:t>
      </w:r>
      <w:r w:rsidR="00005649">
        <w:rPr>
          <w:lang w:val="en-US"/>
        </w:rPr>
        <w:t xml:space="preserve"> to the EU-Moroccan joint committees set up by the protocol (Resolution 2013).</w:t>
      </w:r>
      <w:r w:rsidR="00CE7439" w:rsidRPr="00D12A27">
        <w:rPr>
          <w:lang w:val="en-US"/>
        </w:rPr>
        <w:t xml:space="preserve"> The fishing industry was of course happy to get access to Morocco at all. Opponents to the agreement, such as </w:t>
      </w:r>
      <w:r w:rsidR="00CE7439">
        <w:rPr>
          <w:lang w:val="en-US"/>
        </w:rPr>
        <w:t xml:space="preserve">the Greens in the EP and NGOs supporting the cause of the Saharawis, nonetheless denounced the vote as shameful. </w:t>
      </w:r>
      <w:r w:rsidR="00793E06">
        <w:rPr>
          <w:lang w:val="en-US"/>
        </w:rPr>
        <w:t>The episode showed that rules and practices in th</w:t>
      </w:r>
      <w:r w:rsidR="00F3169E">
        <w:rPr>
          <w:lang w:val="en-US"/>
        </w:rPr>
        <w:t>e negotiation of this agreement</w:t>
      </w:r>
      <w:r w:rsidR="00793E06">
        <w:rPr>
          <w:lang w:val="en-US"/>
        </w:rPr>
        <w:t xml:space="preserve"> </w:t>
      </w:r>
      <w:r w:rsidR="00F3169E">
        <w:rPr>
          <w:lang w:val="en-US"/>
        </w:rPr>
        <w:t>had become polarized and how an</w:t>
      </w:r>
      <w:r w:rsidR="00793E06">
        <w:rPr>
          <w:lang w:val="en-US"/>
        </w:rPr>
        <w:t xml:space="preserve"> increasing number of actors were mobilized during policy process. The days of the permissive consensus in the negotiation of fisheries agreements with Morocco were over.</w:t>
      </w:r>
    </w:p>
    <w:p w:rsidR="0055253B" w:rsidRDefault="00CE7439" w:rsidP="00795F69">
      <w:pPr>
        <w:spacing w:after="0" w:line="360" w:lineRule="auto"/>
        <w:jc w:val="both"/>
        <w:rPr>
          <w:lang w:val="en-US"/>
        </w:rPr>
      </w:pPr>
      <w:r>
        <w:rPr>
          <w:lang w:val="en-US"/>
        </w:rPr>
        <w:t xml:space="preserve">The </w:t>
      </w:r>
      <w:r w:rsidR="00793E06">
        <w:rPr>
          <w:lang w:val="en-US"/>
        </w:rPr>
        <w:t xml:space="preserve">following years underlined this. </w:t>
      </w:r>
      <w:r w:rsidR="001456EE">
        <w:rPr>
          <w:lang w:val="en-US"/>
        </w:rPr>
        <w:t>In 2014</w:t>
      </w:r>
      <w:r w:rsidR="00D62BE9">
        <w:rPr>
          <w:lang w:val="en-US"/>
        </w:rPr>
        <w:t xml:space="preserve">, the Frente Polisario, Western Sahara’s liberation movement, launched a case at the European Court of Justice to </w:t>
      </w:r>
      <w:r w:rsidR="004953A3">
        <w:rPr>
          <w:lang w:val="en-US"/>
        </w:rPr>
        <w:t>contest</w:t>
      </w:r>
      <w:r w:rsidR="00D62BE9">
        <w:rPr>
          <w:lang w:val="en-US"/>
        </w:rPr>
        <w:t xml:space="preserve"> </w:t>
      </w:r>
      <w:r w:rsidR="00614AAE">
        <w:rPr>
          <w:lang w:val="en-US"/>
        </w:rPr>
        <w:t>a separate</w:t>
      </w:r>
      <w:r w:rsidR="00D62BE9">
        <w:rPr>
          <w:lang w:val="en-US"/>
        </w:rPr>
        <w:t xml:space="preserve"> agr</w:t>
      </w:r>
      <w:r w:rsidR="00614AAE">
        <w:rPr>
          <w:lang w:val="en-US"/>
        </w:rPr>
        <w:t xml:space="preserve">eement on trade </w:t>
      </w:r>
      <w:r w:rsidR="004953A3">
        <w:rPr>
          <w:lang w:val="en-US"/>
        </w:rPr>
        <w:t>in agricultural products</w:t>
      </w:r>
      <w:r w:rsidR="00614AAE">
        <w:rPr>
          <w:lang w:val="en-US"/>
        </w:rPr>
        <w:t>. In December 2015</w:t>
      </w:r>
      <w:r w:rsidR="00CD7325">
        <w:rPr>
          <w:lang w:val="en-US"/>
        </w:rPr>
        <w:t xml:space="preserve">, the Court ruled that </w:t>
      </w:r>
      <w:r w:rsidR="00D62BE9">
        <w:rPr>
          <w:lang w:val="en-US"/>
        </w:rPr>
        <w:t>trade agreement</w:t>
      </w:r>
      <w:r w:rsidR="001456EE">
        <w:rPr>
          <w:lang w:val="en-US"/>
        </w:rPr>
        <w:t>s</w:t>
      </w:r>
      <w:r w:rsidR="00D62BE9">
        <w:rPr>
          <w:lang w:val="en-US"/>
        </w:rPr>
        <w:t xml:space="preserve"> </w:t>
      </w:r>
      <w:r w:rsidR="00CD7325">
        <w:rPr>
          <w:lang w:val="en-US"/>
        </w:rPr>
        <w:t xml:space="preserve">with Morocco could </w:t>
      </w:r>
      <w:r w:rsidR="00D62BE9">
        <w:rPr>
          <w:lang w:val="en-US"/>
        </w:rPr>
        <w:t>not apply to the Western Sahara</w:t>
      </w:r>
      <w:r w:rsidR="00614AAE">
        <w:rPr>
          <w:lang w:val="en-US"/>
        </w:rPr>
        <w:t xml:space="preserve">, </w:t>
      </w:r>
      <w:r w:rsidR="00CD7325">
        <w:rPr>
          <w:lang w:val="en-US"/>
        </w:rPr>
        <w:t>caus</w:t>
      </w:r>
      <w:r w:rsidR="00614AAE">
        <w:rPr>
          <w:lang w:val="en-US"/>
        </w:rPr>
        <w:t>ing Morocco to freeze its relations with the EU. The Council appealed against the decision and won the case recently (CJEU 2016)</w:t>
      </w:r>
      <w:r w:rsidR="00D62BE9">
        <w:rPr>
          <w:lang w:val="en-US"/>
        </w:rPr>
        <w:t>.</w:t>
      </w:r>
      <w:r w:rsidR="00614AAE">
        <w:rPr>
          <w:lang w:val="en-US"/>
        </w:rPr>
        <w:t xml:space="preserve"> </w:t>
      </w:r>
      <w:r w:rsidR="00CD7325">
        <w:rPr>
          <w:lang w:val="en-US"/>
        </w:rPr>
        <w:t>NGOs fighting for the recognition of the rights of the Sawarahis</w:t>
      </w:r>
      <w:r w:rsidR="004953A3">
        <w:rPr>
          <w:lang w:val="en-US"/>
        </w:rPr>
        <w:t>, however, were encouraged and</w:t>
      </w:r>
      <w:r w:rsidR="00CD7325">
        <w:rPr>
          <w:lang w:val="en-US"/>
        </w:rPr>
        <w:t xml:space="preserve"> also challenged the fisheries agreements at the Court. </w:t>
      </w:r>
      <w:r w:rsidR="00B132E9">
        <w:rPr>
          <w:lang w:val="en-US"/>
        </w:rPr>
        <w:t xml:space="preserve">In </w:t>
      </w:r>
      <w:r w:rsidR="00CD7325">
        <w:rPr>
          <w:lang w:val="en-US"/>
        </w:rPr>
        <w:t xml:space="preserve">fact, in </w:t>
      </w:r>
      <w:r w:rsidR="00B132E9">
        <w:rPr>
          <w:lang w:val="en-US"/>
        </w:rPr>
        <w:t>February 2018, the Court published a</w:t>
      </w:r>
      <w:r w:rsidR="00CD7325">
        <w:rPr>
          <w:lang w:val="en-US"/>
        </w:rPr>
        <w:t>nother</w:t>
      </w:r>
      <w:r w:rsidR="00B132E9">
        <w:rPr>
          <w:lang w:val="en-US"/>
        </w:rPr>
        <w:t xml:space="preserve"> resolution</w:t>
      </w:r>
      <w:r w:rsidR="004C3438">
        <w:rPr>
          <w:lang w:val="en-US"/>
        </w:rPr>
        <w:t xml:space="preserve"> saying that a new agreement could not </w:t>
      </w:r>
      <w:r w:rsidR="00CD7325">
        <w:rPr>
          <w:lang w:val="en-US"/>
        </w:rPr>
        <w:t>cover</w:t>
      </w:r>
      <w:r w:rsidR="004C3438">
        <w:rPr>
          <w:lang w:val="en-US"/>
        </w:rPr>
        <w:t xml:space="preserve"> the waters</w:t>
      </w:r>
      <w:r w:rsidR="00F3169E">
        <w:rPr>
          <w:lang w:val="en-US"/>
        </w:rPr>
        <w:t xml:space="preserve"> adjacent to the Western Sahara, although t</w:t>
      </w:r>
      <w:r w:rsidR="003066F8">
        <w:rPr>
          <w:lang w:val="en-US"/>
        </w:rPr>
        <w:t>he fisheries industry</w:t>
      </w:r>
      <w:r w:rsidR="00E46CB8">
        <w:rPr>
          <w:lang w:val="en-US"/>
        </w:rPr>
        <w:t xml:space="preserve"> and Morocco claimed that a large part of the benefits</w:t>
      </w:r>
      <w:r w:rsidR="00F3169E">
        <w:rPr>
          <w:lang w:val="en-US"/>
        </w:rPr>
        <w:t xml:space="preserve"> of the agreement</w:t>
      </w:r>
      <w:r w:rsidR="00E46CB8">
        <w:rPr>
          <w:lang w:val="en-US"/>
        </w:rPr>
        <w:t xml:space="preserve"> accrued to the population of the disputed territory. </w:t>
      </w:r>
      <w:r w:rsidR="004C3438">
        <w:rPr>
          <w:lang w:val="en-US"/>
        </w:rPr>
        <w:t xml:space="preserve"> As a consequence, the EU tried to broaden the negotiations by consulting representatives of all the concerned territories. However, the Polisario declined to participate.</w:t>
      </w:r>
      <w:r w:rsidR="0035547D">
        <w:rPr>
          <w:lang w:val="en-US"/>
        </w:rPr>
        <w:t xml:space="preserve"> Nonethe</w:t>
      </w:r>
      <w:r w:rsidR="00F74F73">
        <w:rPr>
          <w:lang w:val="en-US"/>
        </w:rPr>
        <w:t>less, the Commission and the Mo</w:t>
      </w:r>
      <w:r w:rsidR="0035547D">
        <w:rPr>
          <w:lang w:val="en-US"/>
        </w:rPr>
        <w:t>roccan government went ahead with a new agreement</w:t>
      </w:r>
      <w:r w:rsidR="00F3169E">
        <w:rPr>
          <w:lang w:val="en-US"/>
        </w:rPr>
        <w:t>, after consultations with as many local representatives as possible under the circumstances</w:t>
      </w:r>
      <w:r w:rsidR="0035547D">
        <w:rPr>
          <w:lang w:val="en-US"/>
        </w:rPr>
        <w:t xml:space="preserve">. When it came to a vote in the EP, the Greens demanded that the text should be referred </w:t>
      </w:r>
      <w:r w:rsidR="003066F8">
        <w:rPr>
          <w:lang w:val="en-US"/>
        </w:rPr>
        <w:t>to the ECJ</w:t>
      </w:r>
      <w:r w:rsidR="00F3169E">
        <w:rPr>
          <w:lang w:val="en-US"/>
        </w:rPr>
        <w:t xml:space="preserve"> once more. However, o</w:t>
      </w:r>
      <w:r w:rsidR="00B132E9">
        <w:rPr>
          <w:lang w:val="en-US"/>
        </w:rPr>
        <w:t>n February 2, 2019</w:t>
      </w:r>
      <w:r w:rsidR="004953A3">
        <w:rPr>
          <w:lang w:val="en-US"/>
        </w:rPr>
        <w:t>,</w:t>
      </w:r>
      <w:r w:rsidR="00B132E9">
        <w:rPr>
          <w:lang w:val="en-US"/>
        </w:rPr>
        <w:t xml:space="preserve"> the Parliament finally gave consent to a new 4 year agreement, allowing about 130 EU vessels for a sum of €208m to fish in the waters of Morocco, including the Western Sahara territory. </w:t>
      </w:r>
      <w:r w:rsidR="00CD7325">
        <w:rPr>
          <w:lang w:val="en-US"/>
        </w:rPr>
        <w:t>415 MEPs voted for the deal, with 189 against and 49 abstentions</w:t>
      </w:r>
      <w:r w:rsidR="00D0468F">
        <w:rPr>
          <w:lang w:val="en-US"/>
        </w:rPr>
        <w:t>, despite vociferous protests by NGOs</w:t>
      </w:r>
      <w:r w:rsidR="00CD7325">
        <w:rPr>
          <w:lang w:val="en-US"/>
        </w:rPr>
        <w:t xml:space="preserve"> (EUobserver 2019). </w:t>
      </w:r>
      <w:r w:rsidR="00B132E9">
        <w:rPr>
          <w:lang w:val="en-US"/>
        </w:rPr>
        <w:t xml:space="preserve">The </w:t>
      </w:r>
      <w:r w:rsidR="00CD7325">
        <w:rPr>
          <w:lang w:val="en-US"/>
        </w:rPr>
        <w:t xml:space="preserve">majority of the </w:t>
      </w:r>
      <w:r w:rsidR="00B132E9">
        <w:rPr>
          <w:lang w:val="en-US"/>
        </w:rPr>
        <w:t>EP maintained that the agreement would not constitute the recognition of Moroccan sovereignty over Western Sahara.</w:t>
      </w:r>
      <w:r w:rsidR="004C3438">
        <w:rPr>
          <w:lang w:val="en-US"/>
        </w:rPr>
        <w:t xml:space="preserve"> On March 4, the Council gave its consent with a similar statement.</w:t>
      </w:r>
    </w:p>
    <w:p w:rsidR="004953A3" w:rsidRPr="009F2C37" w:rsidRDefault="00CE652C" w:rsidP="00795F69">
      <w:pPr>
        <w:spacing w:after="0" w:line="360" w:lineRule="auto"/>
        <w:jc w:val="both"/>
        <w:rPr>
          <w:lang w:val="en-US"/>
        </w:rPr>
      </w:pPr>
      <w:r>
        <w:rPr>
          <w:lang w:val="en-US"/>
        </w:rPr>
        <w:t xml:space="preserve">The case study shows how political contestation and the number of actors dealing with the negotiations rose continuously in the past decade. The role of the EP was crucial in this respect. The involvement of the Court is particularly noteworthy. Despite that, the public salience of the issue </w:t>
      </w:r>
      <w:r>
        <w:rPr>
          <w:lang w:val="en-US"/>
        </w:rPr>
        <w:lastRenderedPageBreak/>
        <w:t>remains limited. A similar search of newspapers indexed in Nexis from 1998-2017 showed that fisheries partnership agreements were discussed only in very few articles. Most of the debate happens in specialized internet publications, mostly driven by NGOs.</w:t>
      </w:r>
    </w:p>
    <w:p w:rsidR="00F74F73" w:rsidRDefault="00F74F73" w:rsidP="00795F69">
      <w:pPr>
        <w:spacing w:after="0" w:line="360" w:lineRule="auto"/>
        <w:jc w:val="both"/>
        <w:rPr>
          <w:rFonts w:cstheme="minorHAnsi"/>
          <w:i/>
          <w:lang w:val="en-US"/>
        </w:rPr>
      </w:pPr>
    </w:p>
    <w:p w:rsidR="00CE7439" w:rsidRPr="00CE7439" w:rsidRDefault="004A1C09" w:rsidP="00795F69">
      <w:pPr>
        <w:spacing w:after="0" w:line="360" w:lineRule="auto"/>
        <w:jc w:val="both"/>
        <w:rPr>
          <w:rFonts w:cstheme="minorHAnsi"/>
          <w:i/>
          <w:lang w:val="en-US"/>
        </w:rPr>
      </w:pPr>
      <w:r>
        <w:rPr>
          <w:rFonts w:cstheme="minorHAnsi"/>
          <w:i/>
          <w:lang w:val="en-US"/>
        </w:rPr>
        <w:t xml:space="preserve">4.2 </w:t>
      </w:r>
      <w:r w:rsidR="00CE7439" w:rsidRPr="00CE7439">
        <w:rPr>
          <w:rFonts w:cstheme="minorHAnsi"/>
          <w:i/>
          <w:lang w:val="en-US"/>
        </w:rPr>
        <w:t>Mauritania</w:t>
      </w:r>
    </w:p>
    <w:p w:rsidR="00927FAD" w:rsidRPr="00D12A27" w:rsidRDefault="00927FAD" w:rsidP="00795F69">
      <w:pPr>
        <w:spacing w:after="0" w:line="360" w:lineRule="auto"/>
        <w:jc w:val="both"/>
        <w:rPr>
          <w:lang w:val="en-US"/>
        </w:rPr>
      </w:pPr>
      <w:r>
        <w:rPr>
          <w:lang w:val="en-US"/>
        </w:rPr>
        <w:t>The agreement</w:t>
      </w:r>
      <w:r w:rsidRPr="00D12A27">
        <w:rPr>
          <w:lang w:val="en-US"/>
        </w:rPr>
        <w:t xml:space="preserve"> with Mauritania </w:t>
      </w:r>
      <w:r>
        <w:rPr>
          <w:lang w:val="en-US"/>
        </w:rPr>
        <w:t>i</w:t>
      </w:r>
      <w:r w:rsidRPr="00D12A27">
        <w:rPr>
          <w:lang w:val="en-US"/>
        </w:rPr>
        <w:t xml:space="preserve">s the EU’s most important </w:t>
      </w:r>
      <w:r w:rsidR="005F0FF0">
        <w:rPr>
          <w:lang w:val="en-US"/>
        </w:rPr>
        <w:t xml:space="preserve">SFPA </w:t>
      </w:r>
      <w:r w:rsidRPr="00D12A27">
        <w:rPr>
          <w:lang w:val="en-US"/>
        </w:rPr>
        <w:t xml:space="preserve">in terms of volume and financial contribution. Thus, the </w:t>
      </w:r>
      <w:r w:rsidR="005F0FF0">
        <w:rPr>
          <w:lang w:val="en-US"/>
        </w:rPr>
        <w:t>rene</w:t>
      </w:r>
      <w:r w:rsidR="001360D6">
        <w:rPr>
          <w:lang w:val="en-US"/>
        </w:rPr>
        <w:t>wal</w:t>
      </w:r>
      <w:r w:rsidR="005F0FF0">
        <w:rPr>
          <w:lang w:val="en-US"/>
        </w:rPr>
        <w:t xml:space="preserve"> of the protocols</w:t>
      </w:r>
      <w:r w:rsidRPr="00D12A27">
        <w:rPr>
          <w:lang w:val="en-US"/>
        </w:rPr>
        <w:t xml:space="preserve"> att</w:t>
      </w:r>
      <w:r w:rsidR="005F0FF0">
        <w:rPr>
          <w:lang w:val="en-US"/>
        </w:rPr>
        <w:t xml:space="preserve">racted particular attention from the fishing industry, </w:t>
      </w:r>
      <w:r w:rsidRPr="00D12A27">
        <w:rPr>
          <w:lang w:val="en-US"/>
        </w:rPr>
        <w:t>NGOs</w:t>
      </w:r>
      <w:r w:rsidR="005F0FF0">
        <w:rPr>
          <w:lang w:val="en-US"/>
        </w:rPr>
        <w:t xml:space="preserve"> and the EP</w:t>
      </w:r>
      <w:r w:rsidR="001360D6">
        <w:rPr>
          <w:lang w:val="en-US"/>
        </w:rPr>
        <w:t xml:space="preserve">. It did so, </w:t>
      </w:r>
      <w:r w:rsidR="00381138">
        <w:rPr>
          <w:lang w:val="en-US"/>
        </w:rPr>
        <w:t>however,</w:t>
      </w:r>
      <w:r w:rsidR="001360D6">
        <w:rPr>
          <w:lang w:val="en-US"/>
        </w:rPr>
        <w:t xml:space="preserve"> only in the last decade. T</w:t>
      </w:r>
      <w:r w:rsidRPr="00D12A27">
        <w:rPr>
          <w:lang w:val="en-US"/>
        </w:rPr>
        <w:t xml:space="preserve">he </w:t>
      </w:r>
      <w:r w:rsidR="00FC7660">
        <w:rPr>
          <w:lang w:val="en-US"/>
        </w:rPr>
        <w:t xml:space="preserve">2012 </w:t>
      </w:r>
      <w:r w:rsidRPr="00D12A27">
        <w:rPr>
          <w:lang w:val="en-US"/>
        </w:rPr>
        <w:t xml:space="preserve">renegotiation of the 2006 </w:t>
      </w:r>
      <w:r>
        <w:rPr>
          <w:lang w:val="en-US"/>
        </w:rPr>
        <w:t>protocol</w:t>
      </w:r>
      <w:r w:rsidR="005F0FF0">
        <w:rPr>
          <w:lang w:val="en-US"/>
        </w:rPr>
        <w:t xml:space="preserve"> </w:t>
      </w:r>
      <w:r w:rsidR="00381138">
        <w:rPr>
          <w:lang w:val="en-US"/>
        </w:rPr>
        <w:t>turned out to be very conflictual</w:t>
      </w:r>
      <w:r w:rsidRPr="00D12A27">
        <w:rPr>
          <w:lang w:val="en-US"/>
        </w:rPr>
        <w:t xml:space="preserve"> and resulted in a compromise </w:t>
      </w:r>
      <w:r w:rsidR="00381138">
        <w:rPr>
          <w:lang w:val="en-US"/>
        </w:rPr>
        <w:t>that</w:t>
      </w:r>
      <w:r w:rsidRPr="00D12A27">
        <w:rPr>
          <w:lang w:val="en-US"/>
        </w:rPr>
        <w:t xml:space="preserve"> was rejected by the EU fishing industry and their allies in EU institutions. </w:t>
      </w:r>
      <w:r w:rsidR="001360D6">
        <w:rPr>
          <w:lang w:val="en-US"/>
        </w:rPr>
        <w:t xml:space="preserve">The normative discourse </w:t>
      </w:r>
      <w:r w:rsidR="00381138">
        <w:rPr>
          <w:lang w:val="en-US"/>
        </w:rPr>
        <w:t>established during the run-up to the 2013 CFP reform and the empowerment of the EP</w:t>
      </w:r>
      <w:r w:rsidR="001360D6">
        <w:rPr>
          <w:lang w:val="en-US"/>
        </w:rPr>
        <w:t xml:space="preserve"> strongly influenced the decision-making process. </w:t>
      </w:r>
      <w:r w:rsidR="00381138">
        <w:rPr>
          <w:lang w:val="en-US"/>
        </w:rPr>
        <w:t xml:space="preserve">This gave </w:t>
      </w:r>
      <w:r w:rsidR="00F3169E">
        <w:rPr>
          <w:lang w:val="en-US"/>
        </w:rPr>
        <w:t xml:space="preserve">particular clout to </w:t>
      </w:r>
      <w:r w:rsidR="00381138">
        <w:rPr>
          <w:lang w:val="en-US"/>
        </w:rPr>
        <w:t>s</w:t>
      </w:r>
      <w:r w:rsidR="001360D6">
        <w:rPr>
          <w:lang w:val="en-US"/>
        </w:rPr>
        <w:t>cientific</w:t>
      </w:r>
      <w:r w:rsidR="00491852">
        <w:rPr>
          <w:lang w:val="en-US"/>
        </w:rPr>
        <w:t xml:space="preserve"> </w:t>
      </w:r>
      <w:r w:rsidR="00381138">
        <w:rPr>
          <w:lang w:val="en-US"/>
        </w:rPr>
        <w:t>evaluations that</w:t>
      </w:r>
      <w:r w:rsidR="001360D6">
        <w:rPr>
          <w:lang w:val="en-US"/>
        </w:rPr>
        <w:t xml:space="preserve"> argued</w:t>
      </w:r>
      <w:r w:rsidR="00491852">
        <w:rPr>
          <w:lang w:val="en-US"/>
        </w:rPr>
        <w:t xml:space="preserve"> that previous protocols had caused depleted fish </w:t>
      </w:r>
      <w:r w:rsidR="001360D6">
        <w:rPr>
          <w:lang w:val="en-US"/>
        </w:rPr>
        <w:t xml:space="preserve">stocks to the detriment of </w:t>
      </w:r>
      <w:r w:rsidR="00381138">
        <w:rPr>
          <w:lang w:val="en-US"/>
        </w:rPr>
        <w:t xml:space="preserve">the </w:t>
      </w:r>
      <w:r w:rsidR="001360D6">
        <w:rPr>
          <w:lang w:val="en-US"/>
        </w:rPr>
        <w:t>Mauritanian</w:t>
      </w:r>
      <w:r w:rsidR="00491852">
        <w:rPr>
          <w:lang w:val="en-US"/>
        </w:rPr>
        <w:t xml:space="preserve"> fish</w:t>
      </w:r>
      <w:r w:rsidR="00381138">
        <w:rPr>
          <w:lang w:val="en-US"/>
        </w:rPr>
        <w:t xml:space="preserve">ing sector </w:t>
      </w:r>
      <w:r w:rsidR="00491852">
        <w:rPr>
          <w:lang w:val="en-US"/>
        </w:rPr>
        <w:t>(Oceanic Déve</w:t>
      </w:r>
      <w:r w:rsidR="001360D6">
        <w:rPr>
          <w:lang w:val="en-US"/>
        </w:rPr>
        <w:t>loppement 2011). In</w:t>
      </w:r>
      <w:r w:rsidRPr="00D12A27">
        <w:rPr>
          <w:lang w:val="en-US"/>
        </w:rPr>
        <w:t xml:space="preserve"> May 2011</w:t>
      </w:r>
      <w:r w:rsidR="001360D6">
        <w:rPr>
          <w:lang w:val="en-US"/>
        </w:rPr>
        <w:t>, the EP adopted a</w:t>
      </w:r>
      <w:r w:rsidRPr="00D12A27">
        <w:rPr>
          <w:lang w:val="en-US"/>
        </w:rPr>
        <w:t xml:space="preserve"> resolution </w:t>
      </w:r>
      <w:r w:rsidR="001360D6">
        <w:rPr>
          <w:lang w:val="en-US"/>
        </w:rPr>
        <w:t>which</w:t>
      </w:r>
      <w:r w:rsidRPr="00D12A27">
        <w:rPr>
          <w:lang w:val="en-US"/>
        </w:rPr>
        <w:t xml:space="preserve"> demanded that the EU fleet should only target the surplus of fish, that is, the sustainable quantity above the level </w:t>
      </w:r>
      <w:r w:rsidR="00491852">
        <w:rPr>
          <w:lang w:val="en-US"/>
        </w:rPr>
        <w:t>that</w:t>
      </w:r>
      <w:r w:rsidR="00381138">
        <w:rPr>
          <w:lang w:val="en-US"/>
        </w:rPr>
        <w:t xml:space="preserve"> was reached</w:t>
      </w:r>
      <w:r w:rsidRPr="00D12A27">
        <w:rPr>
          <w:lang w:val="en-US"/>
        </w:rPr>
        <w:t xml:space="preserve"> by Mauritanian fishers. </w:t>
      </w:r>
      <w:r w:rsidR="001360D6">
        <w:rPr>
          <w:lang w:val="en-US"/>
        </w:rPr>
        <w:t>The most valuable species,</w:t>
      </w:r>
      <w:r w:rsidRPr="00D12A27">
        <w:rPr>
          <w:lang w:val="en-US"/>
        </w:rPr>
        <w:t xml:space="preserve"> octopus</w:t>
      </w:r>
      <w:r w:rsidR="00491852">
        <w:rPr>
          <w:lang w:val="en-US"/>
        </w:rPr>
        <w:t xml:space="preserve">, </w:t>
      </w:r>
      <w:r w:rsidR="00381138">
        <w:rPr>
          <w:lang w:val="en-US"/>
        </w:rPr>
        <w:t>the EP argued, should</w:t>
      </w:r>
      <w:r w:rsidR="001360D6">
        <w:rPr>
          <w:lang w:val="en-US"/>
        </w:rPr>
        <w:t xml:space="preserve"> be excluded from the new </w:t>
      </w:r>
      <w:r w:rsidRPr="00D12A27">
        <w:rPr>
          <w:lang w:val="en-US"/>
        </w:rPr>
        <w:t>pr</w:t>
      </w:r>
      <w:r w:rsidR="00F3169E">
        <w:rPr>
          <w:lang w:val="en-US"/>
        </w:rPr>
        <w:t xml:space="preserve">otocol (Corten, 2014, p. </w:t>
      </w:r>
      <w:r w:rsidRPr="00D12A27">
        <w:rPr>
          <w:lang w:val="en-US"/>
        </w:rPr>
        <w:t xml:space="preserve">3). </w:t>
      </w:r>
      <w:r w:rsidR="001360D6">
        <w:rPr>
          <w:lang w:val="en-US"/>
        </w:rPr>
        <w:t xml:space="preserve">Negotiations with Mauritania </w:t>
      </w:r>
      <w:r>
        <w:rPr>
          <w:lang w:val="en-US"/>
        </w:rPr>
        <w:t>started in June 2011 and quickly became</w:t>
      </w:r>
      <w:r w:rsidRPr="00D12A27">
        <w:rPr>
          <w:lang w:val="en-US"/>
        </w:rPr>
        <w:t xml:space="preserve"> protracted</w:t>
      </w:r>
      <w:r w:rsidR="001360D6">
        <w:rPr>
          <w:lang w:val="en-US"/>
        </w:rPr>
        <w:t xml:space="preserve"> as the Mauritanians seized </w:t>
      </w:r>
      <w:r w:rsidR="00E22C92">
        <w:rPr>
          <w:lang w:val="en-US"/>
        </w:rPr>
        <w:t>o</w:t>
      </w:r>
      <w:r w:rsidR="00381138">
        <w:rPr>
          <w:lang w:val="en-US"/>
        </w:rPr>
        <w:t>n the new mood and ramped up their</w:t>
      </w:r>
      <w:r w:rsidR="00E22C92">
        <w:rPr>
          <w:lang w:val="en-US"/>
        </w:rPr>
        <w:t xml:space="preserve"> </w:t>
      </w:r>
      <w:r w:rsidRPr="00D12A27">
        <w:rPr>
          <w:lang w:val="en-US"/>
        </w:rPr>
        <w:t>demand</w:t>
      </w:r>
      <w:r w:rsidR="00E22C92">
        <w:rPr>
          <w:lang w:val="en-US"/>
        </w:rPr>
        <w:t>s.  They</w:t>
      </w:r>
      <w:r w:rsidR="00381138">
        <w:rPr>
          <w:lang w:val="en-US"/>
        </w:rPr>
        <w:t xml:space="preserve"> </w:t>
      </w:r>
      <w:r w:rsidRPr="00D12A27">
        <w:rPr>
          <w:lang w:val="en-US"/>
        </w:rPr>
        <w:t xml:space="preserve">were supported by </w:t>
      </w:r>
      <w:r w:rsidR="00E22C92">
        <w:rPr>
          <w:lang w:val="en-US"/>
        </w:rPr>
        <w:t xml:space="preserve">vocal </w:t>
      </w:r>
      <w:r w:rsidRPr="00D12A27">
        <w:rPr>
          <w:lang w:val="en-US"/>
        </w:rPr>
        <w:t xml:space="preserve">European and African NGOs (Nagel and Grey, 2012). </w:t>
      </w:r>
      <w:r w:rsidR="00E22C92">
        <w:rPr>
          <w:lang w:val="en-US"/>
        </w:rPr>
        <w:t>The fishing industry</w:t>
      </w:r>
      <w:r w:rsidRPr="00D12A27">
        <w:rPr>
          <w:lang w:val="en-US"/>
        </w:rPr>
        <w:t xml:space="preserve"> warned the Commission that </w:t>
      </w:r>
      <w:r w:rsidR="00E22C92">
        <w:rPr>
          <w:lang w:val="en-US"/>
        </w:rPr>
        <w:t xml:space="preserve">a </w:t>
      </w:r>
      <w:r>
        <w:rPr>
          <w:lang w:val="en-US"/>
        </w:rPr>
        <w:t xml:space="preserve">new protocol </w:t>
      </w:r>
      <w:r w:rsidR="00E22C92">
        <w:rPr>
          <w:lang w:val="en-US"/>
        </w:rPr>
        <w:t xml:space="preserve">in line with Mauritanian conditions </w:t>
      </w:r>
      <w:r>
        <w:rPr>
          <w:lang w:val="en-US"/>
        </w:rPr>
        <w:t>c</w:t>
      </w:r>
      <w:r w:rsidRPr="00D12A27">
        <w:rPr>
          <w:lang w:val="en-US"/>
        </w:rPr>
        <w:t>ould not be com</w:t>
      </w:r>
      <w:r w:rsidR="00F3169E">
        <w:rPr>
          <w:lang w:val="en-US"/>
        </w:rPr>
        <w:t xml:space="preserve">mercially viable (Corten, 2014, p. </w:t>
      </w:r>
      <w:r w:rsidRPr="00D12A27">
        <w:rPr>
          <w:lang w:val="en-US"/>
        </w:rPr>
        <w:t xml:space="preserve">4). In July 2012, </w:t>
      </w:r>
      <w:r>
        <w:rPr>
          <w:lang w:val="en-US"/>
        </w:rPr>
        <w:t xml:space="preserve">days before the expiration of the old protocol, </w:t>
      </w:r>
      <w:r w:rsidRPr="00D12A27">
        <w:rPr>
          <w:lang w:val="en-US"/>
        </w:rPr>
        <w:t xml:space="preserve">the Commission presented a provisional extension of the 2006 </w:t>
      </w:r>
      <w:r>
        <w:rPr>
          <w:lang w:val="en-US"/>
        </w:rPr>
        <w:t>protocol</w:t>
      </w:r>
      <w:r w:rsidRPr="00D12A27">
        <w:rPr>
          <w:lang w:val="en-US"/>
        </w:rPr>
        <w:t xml:space="preserve">, </w:t>
      </w:r>
      <w:r>
        <w:rPr>
          <w:lang w:val="en-US"/>
        </w:rPr>
        <w:t xml:space="preserve">pending consent of the EP. It went very far in meeting Mauritanian demands and </w:t>
      </w:r>
      <w:r w:rsidR="00E22C92">
        <w:rPr>
          <w:lang w:val="en-US"/>
        </w:rPr>
        <w:t>reflected the philosophy of the Green Paper</w:t>
      </w:r>
      <w:r>
        <w:rPr>
          <w:lang w:val="en-US"/>
        </w:rPr>
        <w:t xml:space="preserve">. </w:t>
      </w:r>
    </w:p>
    <w:p w:rsidR="00927FAD" w:rsidRPr="00D12A27" w:rsidRDefault="00927FAD" w:rsidP="00795F69">
      <w:pPr>
        <w:spacing w:after="0" w:line="360" w:lineRule="auto"/>
        <w:jc w:val="both"/>
        <w:rPr>
          <w:lang w:val="en-US"/>
        </w:rPr>
      </w:pPr>
      <w:r w:rsidRPr="00D12A27">
        <w:rPr>
          <w:lang w:val="en-US"/>
        </w:rPr>
        <w:t xml:space="preserve">As soon as the </w:t>
      </w:r>
      <w:r w:rsidR="00E22C92">
        <w:rPr>
          <w:lang w:val="en-US"/>
        </w:rPr>
        <w:t xml:space="preserve">provisional </w:t>
      </w:r>
      <w:r w:rsidRPr="00D12A27">
        <w:rPr>
          <w:lang w:val="en-US"/>
        </w:rPr>
        <w:t xml:space="preserve">text became known, protests arose. The </w:t>
      </w:r>
      <w:r w:rsidR="00C92F1B">
        <w:rPr>
          <w:lang w:val="en-US"/>
        </w:rPr>
        <w:t xml:space="preserve">EU </w:t>
      </w:r>
      <w:r w:rsidRPr="00D12A27">
        <w:rPr>
          <w:lang w:val="en-US"/>
        </w:rPr>
        <w:t>fisheries industry lambasted the agreement as commercially useless (cmrweb.nl</w:t>
      </w:r>
      <w:r>
        <w:rPr>
          <w:lang w:val="en-US"/>
        </w:rPr>
        <w:t>,</w:t>
      </w:r>
      <w:r w:rsidRPr="00D12A27">
        <w:rPr>
          <w:lang w:val="en-US"/>
        </w:rPr>
        <w:t xml:space="preserve"> 2014)</w:t>
      </w:r>
      <w:r w:rsidR="00C92F1B">
        <w:rPr>
          <w:lang w:val="en-US"/>
        </w:rPr>
        <w:t xml:space="preserve">. Subsequently, </w:t>
      </w:r>
      <w:r>
        <w:rPr>
          <w:lang w:val="en-US"/>
        </w:rPr>
        <w:t xml:space="preserve">most </w:t>
      </w:r>
      <w:r w:rsidR="00C92F1B">
        <w:rPr>
          <w:lang w:val="en-US"/>
        </w:rPr>
        <w:t xml:space="preserve">EU </w:t>
      </w:r>
      <w:r>
        <w:rPr>
          <w:lang w:val="en-US"/>
        </w:rPr>
        <w:t xml:space="preserve">vessels </w:t>
      </w:r>
      <w:r w:rsidRPr="00D12A27">
        <w:rPr>
          <w:lang w:val="en-US"/>
        </w:rPr>
        <w:t xml:space="preserve">in effect stopped fishing in the Mauritanian EEZ. Nonetheless, most member states, even some with fishing interests in Mauritania, supported the result, presumably responding to </w:t>
      </w:r>
      <w:r w:rsidR="00CE652C">
        <w:rPr>
          <w:lang w:val="en-US"/>
        </w:rPr>
        <w:t>pressure</w:t>
      </w:r>
      <w:r w:rsidRPr="00D12A27">
        <w:rPr>
          <w:lang w:val="en-US"/>
        </w:rPr>
        <w:t xml:space="preserve"> by NGOs in their countries (Corten, </w:t>
      </w:r>
      <w:r w:rsidR="00F3169E">
        <w:rPr>
          <w:lang w:val="en-US"/>
        </w:rPr>
        <w:t xml:space="preserve">2014, p. </w:t>
      </w:r>
      <w:r w:rsidRPr="00D12A27">
        <w:rPr>
          <w:lang w:val="en-US"/>
        </w:rPr>
        <w:t xml:space="preserve">7). Another factor influencing member states’ support for the agreement was the interest to stabilize Mauritania given the unrest </w:t>
      </w:r>
      <w:r w:rsidR="00F3169E">
        <w:rPr>
          <w:lang w:val="en-US"/>
        </w:rPr>
        <w:t>in Mali at the same time (</w:t>
      </w:r>
      <w:r w:rsidRPr="00D12A27">
        <w:rPr>
          <w:lang w:val="en-US"/>
        </w:rPr>
        <w:t>Interview with Commission official). Th</w:t>
      </w:r>
      <w:r>
        <w:rPr>
          <w:lang w:val="en-US"/>
        </w:rPr>
        <w:t>us, th</w:t>
      </w:r>
      <w:r w:rsidRPr="00D12A27">
        <w:rPr>
          <w:lang w:val="en-US"/>
        </w:rPr>
        <w:t xml:space="preserve">e Council signed the </w:t>
      </w:r>
      <w:r>
        <w:rPr>
          <w:lang w:val="en-US"/>
        </w:rPr>
        <w:t>protocol</w:t>
      </w:r>
      <w:r w:rsidRPr="00D12A27">
        <w:rPr>
          <w:lang w:val="en-US"/>
        </w:rPr>
        <w:t xml:space="preserve"> in December 2012 and agreed to its provisional application, until the EP gave its consent (European Parliament, 2013b). </w:t>
      </w:r>
    </w:p>
    <w:p w:rsidR="005E524F" w:rsidRDefault="00927FAD" w:rsidP="00795F69">
      <w:pPr>
        <w:spacing w:after="0" w:line="360" w:lineRule="auto"/>
        <w:jc w:val="both"/>
        <w:rPr>
          <w:rFonts w:cstheme="minorHAnsi"/>
          <w:lang w:val="en-US"/>
        </w:rPr>
      </w:pPr>
      <w:r>
        <w:rPr>
          <w:lang w:val="en-US"/>
        </w:rPr>
        <w:t>In February 2013, the EP Committee on Development recommended consent. H</w:t>
      </w:r>
      <w:r w:rsidRPr="00D12A27">
        <w:rPr>
          <w:lang w:val="en-US"/>
        </w:rPr>
        <w:t xml:space="preserve">owever, </w:t>
      </w:r>
      <w:r>
        <w:rPr>
          <w:lang w:val="en-US"/>
        </w:rPr>
        <w:t xml:space="preserve">three months later, </w:t>
      </w:r>
      <w:r w:rsidRPr="00D12A27">
        <w:rPr>
          <w:lang w:val="en-US"/>
        </w:rPr>
        <w:t xml:space="preserve">the Fisheries Committee under its Spanish rapporteur Gabriel Mato, recommended that the EP withheld its consent </w:t>
      </w:r>
      <w:r w:rsidR="00C92F1B">
        <w:rPr>
          <w:lang w:val="en-US"/>
        </w:rPr>
        <w:t>since</w:t>
      </w:r>
      <w:r w:rsidRPr="00D12A27">
        <w:rPr>
          <w:lang w:val="en-US"/>
        </w:rPr>
        <w:t xml:space="preserve"> the </w:t>
      </w:r>
      <w:r>
        <w:rPr>
          <w:lang w:val="en-US"/>
        </w:rPr>
        <w:t>protocol</w:t>
      </w:r>
      <w:r w:rsidRPr="00D12A27">
        <w:rPr>
          <w:lang w:val="en-US"/>
        </w:rPr>
        <w:t xml:space="preserve"> made no economic sense (European Parliament, 2013c). In the ensuing months, Spain initiated a strong campaign to convince MEPs to vote against the agreement </w:t>
      </w:r>
      <w:r w:rsidRPr="00D12A27">
        <w:rPr>
          <w:lang w:val="en-US"/>
        </w:rPr>
        <w:lastRenderedPageBreak/>
        <w:t xml:space="preserve">(CFP Reform Watch, 2013). However, numerous NGOs lobbied the parliamentarians, too, and in the end they carried the day easily (cmrweb.nl 2013).  In October 2013, the Parliament voted for the </w:t>
      </w:r>
      <w:r>
        <w:rPr>
          <w:lang w:val="en-US"/>
        </w:rPr>
        <w:t>protocol</w:t>
      </w:r>
      <w:r w:rsidR="00C9469C">
        <w:rPr>
          <w:lang w:val="en-US"/>
        </w:rPr>
        <w:t xml:space="preserve"> with 467 votes in favo</w:t>
      </w:r>
      <w:r w:rsidRPr="00D12A27">
        <w:rPr>
          <w:lang w:val="en-US"/>
        </w:rPr>
        <w:t xml:space="preserve">r and 154 votes, especially from the European People’s Party, against. </w:t>
      </w:r>
      <w:r>
        <w:rPr>
          <w:lang w:val="en-US"/>
        </w:rPr>
        <w:t>It was signed in November.</w:t>
      </w:r>
      <w:r w:rsidR="0086729B">
        <w:rPr>
          <w:lang w:val="en-US"/>
        </w:rPr>
        <w:t xml:space="preserve"> </w:t>
      </w:r>
      <w:r w:rsidR="00784858">
        <w:rPr>
          <w:lang w:val="en-US"/>
        </w:rPr>
        <w:t xml:space="preserve">The whole process underlined the ‘layered politicization’ </w:t>
      </w:r>
      <w:r w:rsidR="00F3169E">
        <w:rPr>
          <w:lang w:val="en-US"/>
        </w:rPr>
        <w:t xml:space="preserve">of </w:t>
      </w:r>
      <w:r w:rsidR="00784858">
        <w:rPr>
          <w:lang w:val="en-US"/>
        </w:rPr>
        <w:t xml:space="preserve">the external dimension of the CFP. </w:t>
      </w:r>
      <w:r w:rsidR="00C92F1B">
        <w:rPr>
          <w:lang w:val="en-US"/>
        </w:rPr>
        <w:t xml:space="preserve">The parliamentarization of SFPA negotiations mobilized new actors which were able to politicize the process. </w:t>
      </w:r>
      <w:r w:rsidR="00E23536">
        <w:rPr>
          <w:lang w:val="en-US"/>
        </w:rPr>
        <w:t xml:space="preserve">Conflicts within all three major EU organs emerged. </w:t>
      </w:r>
      <w:r w:rsidR="00952C1D">
        <w:rPr>
          <w:lang w:val="en-US"/>
        </w:rPr>
        <w:t>Evaluation of the media echo shows that the public resonance of the issue was still limited, though.</w:t>
      </w:r>
      <w:r w:rsidR="00FC7660" w:rsidRPr="005E524F">
        <w:rPr>
          <w:rFonts w:cstheme="minorHAnsi"/>
          <w:lang w:val="en-US"/>
        </w:rPr>
        <w:t xml:space="preserve"> </w:t>
      </w:r>
    </w:p>
    <w:p w:rsidR="002D7831" w:rsidRDefault="00FC7660" w:rsidP="00795F69">
      <w:pPr>
        <w:spacing w:after="0" w:line="360" w:lineRule="auto"/>
        <w:jc w:val="both"/>
        <w:rPr>
          <w:rFonts w:cstheme="minorHAnsi"/>
          <w:lang w:val="en-US"/>
        </w:rPr>
      </w:pPr>
      <w:r w:rsidRPr="005E524F">
        <w:rPr>
          <w:rFonts w:cstheme="minorHAnsi"/>
          <w:lang w:val="en-US"/>
        </w:rPr>
        <w:t xml:space="preserve">A similar pattern </w:t>
      </w:r>
      <w:r w:rsidR="00784858">
        <w:rPr>
          <w:rFonts w:cstheme="minorHAnsi"/>
          <w:lang w:val="en-US"/>
        </w:rPr>
        <w:t>could</w:t>
      </w:r>
      <w:r w:rsidRPr="005E524F">
        <w:rPr>
          <w:rFonts w:cstheme="minorHAnsi"/>
          <w:lang w:val="en-US"/>
        </w:rPr>
        <w:t xml:space="preserve"> be observed in the next round of negotiation which ended with a new protocol applicable since November 2015. </w:t>
      </w:r>
      <w:r w:rsidR="00784858">
        <w:rPr>
          <w:rFonts w:cstheme="minorHAnsi"/>
          <w:lang w:val="en-US"/>
        </w:rPr>
        <w:t>In the early stages of</w:t>
      </w:r>
      <w:r w:rsidR="006747E7" w:rsidRPr="005E524F">
        <w:rPr>
          <w:rFonts w:cstheme="minorHAnsi"/>
          <w:lang w:val="en-US"/>
        </w:rPr>
        <w:t xml:space="preserve"> </w:t>
      </w:r>
      <w:r w:rsidR="00784858">
        <w:rPr>
          <w:rFonts w:cstheme="minorHAnsi"/>
          <w:lang w:val="en-US"/>
        </w:rPr>
        <w:t>the negotiation of the protocol</w:t>
      </w:r>
      <w:r w:rsidR="006747E7" w:rsidRPr="005E524F">
        <w:rPr>
          <w:rFonts w:cstheme="minorHAnsi"/>
          <w:lang w:val="en-US"/>
        </w:rPr>
        <w:t xml:space="preserve">, the </w:t>
      </w:r>
      <w:r w:rsidR="00784858">
        <w:rPr>
          <w:rFonts w:cstheme="minorHAnsi"/>
          <w:lang w:val="en-US"/>
        </w:rPr>
        <w:t>EP</w:t>
      </w:r>
      <w:r w:rsidR="006747E7" w:rsidRPr="005E524F">
        <w:rPr>
          <w:rFonts w:cstheme="minorHAnsi"/>
          <w:lang w:val="en-US"/>
        </w:rPr>
        <w:t xml:space="preserve"> produced a </w:t>
      </w:r>
      <w:r w:rsidR="006747E7" w:rsidRPr="005E524F">
        <w:rPr>
          <w:rFonts w:cstheme="minorHAnsi"/>
          <w:iCs/>
          <w:lang w:val="en-US"/>
        </w:rPr>
        <w:t xml:space="preserve">resolution </w:t>
      </w:r>
      <w:r w:rsidRPr="005E524F">
        <w:rPr>
          <w:rFonts w:cstheme="minorHAnsi"/>
          <w:iCs/>
          <w:lang w:val="en-US"/>
        </w:rPr>
        <w:t xml:space="preserve">on the external dimension </w:t>
      </w:r>
      <w:r w:rsidR="00E23536">
        <w:rPr>
          <w:rFonts w:cstheme="minorHAnsi"/>
          <w:iCs/>
          <w:lang w:val="en-US"/>
        </w:rPr>
        <w:t>of the CFP</w:t>
      </w:r>
      <w:r w:rsidRPr="005E524F">
        <w:rPr>
          <w:rFonts w:cstheme="minorHAnsi"/>
          <w:i/>
          <w:iCs/>
          <w:lang w:val="en-US"/>
        </w:rPr>
        <w:t xml:space="preserve"> </w:t>
      </w:r>
      <w:r w:rsidR="006747E7" w:rsidRPr="005E524F">
        <w:rPr>
          <w:rFonts w:cstheme="minorHAnsi"/>
          <w:iCs/>
          <w:lang w:val="en-US"/>
        </w:rPr>
        <w:t xml:space="preserve">which promoted the Mauritania deal as potential role model </w:t>
      </w:r>
      <w:r w:rsidR="001061AA" w:rsidRPr="005E524F">
        <w:rPr>
          <w:rFonts w:cstheme="minorHAnsi"/>
          <w:iCs/>
          <w:lang w:val="en-US"/>
        </w:rPr>
        <w:t>(EP 2016</w:t>
      </w:r>
      <w:r w:rsidR="006747E7" w:rsidRPr="005E524F">
        <w:rPr>
          <w:rFonts w:cstheme="minorHAnsi"/>
          <w:iCs/>
          <w:lang w:val="en-US"/>
        </w:rPr>
        <w:t xml:space="preserve">). </w:t>
      </w:r>
      <w:r w:rsidR="001061AA" w:rsidRPr="005E524F">
        <w:rPr>
          <w:rFonts w:cstheme="minorHAnsi"/>
          <w:iCs/>
          <w:lang w:val="en-US"/>
        </w:rPr>
        <w:t>The resolution and the report on which it was based (European Parliament 2015) was strongly influenced by the results of a conference of the Long Distance Advisory Committee (LDAC), an advisory body, established by the Council and Commission in 2007. The LDAC combines representatives of the industry, NGOs, European states and member states. In its</w:t>
      </w:r>
      <w:r w:rsidR="001061AA" w:rsidRPr="005E524F">
        <w:rPr>
          <w:rFonts w:cstheme="minorHAnsi"/>
          <w:lang w:val="en-US"/>
        </w:rPr>
        <w:t xml:space="preserve"> </w:t>
      </w:r>
      <w:r w:rsidR="005E524F">
        <w:rPr>
          <w:rFonts w:cstheme="minorHAnsi"/>
          <w:lang w:val="en-US"/>
        </w:rPr>
        <w:t>recommendations it stated that “</w:t>
      </w:r>
      <w:r w:rsidR="001061AA" w:rsidRPr="005E524F">
        <w:rPr>
          <w:rFonts w:cstheme="minorHAnsi"/>
          <w:color w:val="000000"/>
          <w:lang w:val="en-US"/>
        </w:rPr>
        <w:t>the essence of the partnership between African countries and the European Union should be the joint promotion of sustainable environmental, social and economic development based on transparency and the participation of non-governmental stakeholders, especially the professionals who depend on fishing for their livelihood. The conservation of resources and the protection of the marine environment are essential in order to guarantee sustainable fishing for future generations</w:t>
      </w:r>
      <w:r w:rsidR="005E524F">
        <w:rPr>
          <w:rFonts w:cstheme="minorHAnsi"/>
          <w:color w:val="000000"/>
          <w:lang w:val="en-US"/>
        </w:rPr>
        <w:t>”</w:t>
      </w:r>
      <w:r w:rsidR="001061AA" w:rsidRPr="005E524F">
        <w:rPr>
          <w:rFonts w:cstheme="minorHAnsi"/>
          <w:color w:val="000000"/>
          <w:lang w:val="en-US"/>
        </w:rPr>
        <w:t xml:space="preserve"> (LDAC 2015)</w:t>
      </w:r>
      <w:r w:rsidR="005E524F">
        <w:rPr>
          <w:rFonts w:cstheme="minorHAnsi"/>
          <w:color w:val="000000"/>
          <w:lang w:val="en-US"/>
        </w:rPr>
        <w:t>.</w:t>
      </w:r>
      <w:r w:rsidR="00785AB2">
        <w:rPr>
          <w:rFonts w:cstheme="minorHAnsi"/>
          <w:color w:val="000000"/>
          <w:lang w:val="en-US"/>
        </w:rPr>
        <w:t xml:space="preserve"> This was reflected in the </w:t>
      </w:r>
      <w:r w:rsidR="00576145">
        <w:rPr>
          <w:rFonts w:cstheme="minorHAnsi"/>
          <w:color w:val="000000"/>
          <w:lang w:val="en-US"/>
        </w:rPr>
        <w:t>protocol</w:t>
      </w:r>
      <w:r w:rsidR="00E23536">
        <w:rPr>
          <w:rFonts w:cstheme="minorHAnsi"/>
          <w:color w:val="000000"/>
          <w:lang w:val="en-US"/>
        </w:rPr>
        <w:t>, despite strident protests by the fishing industry (North Africa Post 2015)</w:t>
      </w:r>
      <w:r w:rsidR="00785AB2">
        <w:rPr>
          <w:rFonts w:cstheme="minorHAnsi"/>
          <w:color w:val="000000"/>
          <w:lang w:val="en-US"/>
        </w:rPr>
        <w:t>.</w:t>
      </w:r>
      <w:r w:rsidR="00785AB2" w:rsidRPr="00785AB2">
        <w:rPr>
          <w:rFonts w:cstheme="minorHAnsi"/>
          <w:lang w:val="en-US"/>
        </w:rPr>
        <w:t xml:space="preserve"> </w:t>
      </w:r>
      <w:r w:rsidR="00785AB2">
        <w:rPr>
          <w:rFonts w:cstheme="minorHAnsi"/>
          <w:lang w:val="en-US"/>
        </w:rPr>
        <w:t>In addition</w:t>
      </w:r>
      <w:r w:rsidR="00785AB2" w:rsidRPr="005E524F">
        <w:rPr>
          <w:rFonts w:cstheme="minorHAnsi"/>
          <w:lang w:val="en-US"/>
        </w:rPr>
        <w:t xml:space="preserve"> to its strong normative content, the </w:t>
      </w:r>
      <w:r w:rsidR="00785AB2">
        <w:rPr>
          <w:rFonts w:cstheme="minorHAnsi"/>
          <w:lang w:val="en-US"/>
        </w:rPr>
        <w:t>SFPA</w:t>
      </w:r>
      <w:r w:rsidR="00785AB2" w:rsidRPr="005E524F">
        <w:rPr>
          <w:rFonts w:cstheme="minorHAnsi"/>
          <w:lang w:val="en-US"/>
        </w:rPr>
        <w:t xml:space="preserve"> </w:t>
      </w:r>
      <w:r w:rsidR="002D7831">
        <w:rPr>
          <w:rFonts w:cstheme="minorHAnsi"/>
          <w:lang w:val="en-US"/>
        </w:rPr>
        <w:t xml:space="preserve">again </w:t>
      </w:r>
      <w:r w:rsidR="00785AB2" w:rsidRPr="005E524F">
        <w:rPr>
          <w:rFonts w:cstheme="minorHAnsi"/>
          <w:lang w:val="en-US"/>
        </w:rPr>
        <w:t xml:space="preserve">contained a provision which obliged Mauritania to publish all agreements with other states or private entities which got access to its waters. This was to ensure that other agreements with lower standards would not undermine the objectives of the </w:t>
      </w:r>
      <w:r w:rsidR="00785AB2">
        <w:rPr>
          <w:rFonts w:cstheme="minorHAnsi"/>
          <w:lang w:val="en-US"/>
        </w:rPr>
        <w:t>EU SFPA</w:t>
      </w:r>
      <w:r w:rsidR="00785AB2" w:rsidRPr="005E524F">
        <w:rPr>
          <w:rFonts w:cstheme="minorHAnsi"/>
          <w:lang w:val="en-US"/>
        </w:rPr>
        <w:t xml:space="preserve"> and out-compete the EU.</w:t>
      </w:r>
      <w:r w:rsidR="00785AB2">
        <w:rPr>
          <w:rFonts w:cstheme="minorHAnsi"/>
          <w:lang w:val="en-US"/>
        </w:rPr>
        <w:t xml:space="preserve"> </w:t>
      </w:r>
      <w:r w:rsidR="00E23536">
        <w:rPr>
          <w:rFonts w:cstheme="minorHAnsi"/>
          <w:lang w:val="en-US"/>
        </w:rPr>
        <w:t>As a result, Russia launched a complaint at the WTO</w:t>
      </w:r>
      <w:r w:rsidR="002D7831">
        <w:rPr>
          <w:rFonts w:cstheme="minorHAnsi"/>
          <w:lang w:val="en-US"/>
        </w:rPr>
        <w:t>, opening another arena of contestation.</w:t>
      </w:r>
    </w:p>
    <w:p w:rsidR="00576145" w:rsidRPr="005E524F" w:rsidRDefault="002D7831" w:rsidP="00795F69">
      <w:pPr>
        <w:spacing w:after="0" w:line="360" w:lineRule="auto"/>
        <w:jc w:val="both"/>
        <w:rPr>
          <w:rFonts w:cstheme="minorHAnsi"/>
          <w:lang w:val="en-US"/>
        </w:rPr>
      </w:pPr>
      <w:r>
        <w:rPr>
          <w:rFonts w:cstheme="minorHAnsi"/>
          <w:lang w:val="en-US"/>
        </w:rPr>
        <w:t xml:space="preserve">Overall, the </w:t>
      </w:r>
      <w:r w:rsidR="00576145">
        <w:rPr>
          <w:rFonts w:cstheme="minorHAnsi"/>
          <w:lang w:val="en-US"/>
        </w:rPr>
        <w:t>process was less conflict-prone than the earlier renegotiation and the protocol</w:t>
      </w:r>
      <w:r>
        <w:rPr>
          <w:rFonts w:cstheme="minorHAnsi"/>
          <w:lang w:val="en-US"/>
        </w:rPr>
        <w:t xml:space="preserve"> passed the parliament with a comfortable margin, although it was again denounced by critical NGOs (AEFJN 2016).</w:t>
      </w:r>
      <w:r w:rsidR="00E23536">
        <w:rPr>
          <w:rFonts w:cstheme="minorHAnsi"/>
          <w:lang w:val="en-US"/>
        </w:rPr>
        <w:t xml:space="preserve"> </w:t>
      </w:r>
      <w:r>
        <w:rPr>
          <w:rFonts w:cstheme="minorHAnsi"/>
          <w:lang w:val="en-US"/>
        </w:rPr>
        <w:t xml:space="preserve">One reason </w:t>
      </w:r>
      <w:r w:rsidR="00576145">
        <w:rPr>
          <w:rFonts w:cstheme="minorHAnsi"/>
          <w:lang w:val="en-US"/>
        </w:rPr>
        <w:t xml:space="preserve">for the vote </w:t>
      </w:r>
      <w:r>
        <w:rPr>
          <w:rFonts w:cstheme="minorHAnsi"/>
          <w:lang w:val="en-US"/>
        </w:rPr>
        <w:t>might have been the refugee crisis of 2015</w:t>
      </w:r>
      <w:r w:rsidR="00576145">
        <w:rPr>
          <w:rFonts w:cstheme="minorHAnsi"/>
          <w:lang w:val="en-US"/>
        </w:rPr>
        <w:t xml:space="preserve"> which drew attention to the fact that Mauritania was a transit country and had a long common border with troubled Mali. This provides another opening for contested meanings that will be attached by different actors to the agreement. The up-coming renegotiation might once more become a partially politicized process.</w:t>
      </w:r>
    </w:p>
    <w:p w:rsidR="00C530EF" w:rsidRDefault="00C530EF" w:rsidP="00795F69">
      <w:pPr>
        <w:spacing w:after="0" w:line="360" w:lineRule="auto"/>
        <w:jc w:val="both"/>
        <w:rPr>
          <w:rFonts w:cstheme="minorHAnsi"/>
          <w:lang w:val="en-US"/>
        </w:rPr>
      </w:pPr>
    </w:p>
    <w:p w:rsidR="003A2BEC" w:rsidRPr="004A1C09" w:rsidRDefault="004A1C09" w:rsidP="00795F69">
      <w:pPr>
        <w:spacing w:after="0" w:line="360" w:lineRule="auto"/>
        <w:jc w:val="both"/>
        <w:outlineLvl w:val="1"/>
        <w:rPr>
          <w:rFonts w:eastAsia="Times New Roman" w:cstheme="minorHAnsi"/>
          <w:b/>
          <w:bCs/>
          <w:lang w:val="en-US" w:eastAsia="de-DE"/>
        </w:rPr>
      </w:pPr>
      <w:r>
        <w:rPr>
          <w:rFonts w:eastAsia="Times New Roman" w:cstheme="minorHAnsi"/>
          <w:b/>
          <w:bCs/>
          <w:lang w:val="en-US" w:eastAsia="de-DE"/>
        </w:rPr>
        <w:t>5. Conclusions</w:t>
      </w:r>
    </w:p>
    <w:p w:rsidR="00EC4E99" w:rsidRPr="00EC4E99" w:rsidRDefault="002D6172" w:rsidP="00795F69">
      <w:pPr>
        <w:spacing w:after="0" w:line="360" w:lineRule="auto"/>
        <w:jc w:val="both"/>
        <w:outlineLvl w:val="1"/>
        <w:rPr>
          <w:rFonts w:eastAsia="Times New Roman" w:cstheme="minorHAnsi"/>
          <w:bCs/>
          <w:lang w:val="en-US" w:eastAsia="de-DE"/>
        </w:rPr>
      </w:pPr>
      <w:r>
        <w:rPr>
          <w:rFonts w:eastAsia="Times New Roman" w:cstheme="minorHAnsi"/>
          <w:bCs/>
          <w:lang w:val="en-US" w:eastAsia="de-DE"/>
        </w:rPr>
        <w:t xml:space="preserve">In their comprehensive study on the politicization of European integration in the past 50 years, Hutter et.al. argued that there was no consistent pattern or trend towards </w:t>
      </w:r>
      <w:r w:rsidR="00075FC5">
        <w:rPr>
          <w:rFonts w:eastAsia="Times New Roman" w:cstheme="minorHAnsi"/>
          <w:bCs/>
          <w:lang w:val="en-US" w:eastAsia="de-DE"/>
        </w:rPr>
        <w:t xml:space="preserve">the </w:t>
      </w:r>
      <w:r>
        <w:rPr>
          <w:rFonts w:eastAsia="Times New Roman" w:cstheme="minorHAnsi"/>
          <w:bCs/>
          <w:lang w:val="en-US" w:eastAsia="de-DE"/>
        </w:rPr>
        <w:t>politicization</w:t>
      </w:r>
      <w:r w:rsidR="00075FC5">
        <w:rPr>
          <w:rFonts w:eastAsia="Times New Roman" w:cstheme="minorHAnsi"/>
          <w:bCs/>
          <w:lang w:val="en-US" w:eastAsia="de-DE"/>
        </w:rPr>
        <w:t xml:space="preserve"> of EU politics</w:t>
      </w:r>
      <w:r>
        <w:rPr>
          <w:rFonts w:eastAsia="Times New Roman" w:cstheme="minorHAnsi"/>
          <w:bCs/>
          <w:lang w:val="en-US" w:eastAsia="de-DE"/>
        </w:rPr>
        <w:t xml:space="preserve">.  </w:t>
      </w:r>
      <w:r>
        <w:rPr>
          <w:rFonts w:eastAsia="Times New Roman" w:cstheme="minorHAnsi"/>
          <w:bCs/>
          <w:lang w:val="en-US" w:eastAsia="de-DE"/>
        </w:rPr>
        <w:lastRenderedPageBreak/>
        <w:t xml:space="preserve">Instead, they observed significant variation across time and countries, and referred to this as ‘punctuated politicization’ (2016, p. 280). Since their research concentrated on the big turning points </w:t>
      </w:r>
      <w:r w:rsidR="00075FC5">
        <w:rPr>
          <w:rFonts w:eastAsia="Times New Roman" w:cstheme="minorHAnsi"/>
          <w:bCs/>
          <w:lang w:val="en-US" w:eastAsia="de-DE"/>
        </w:rPr>
        <w:t xml:space="preserve">and crises </w:t>
      </w:r>
      <w:r>
        <w:rPr>
          <w:rFonts w:eastAsia="Times New Roman" w:cstheme="minorHAnsi"/>
          <w:bCs/>
          <w:lang w:val="en-US" w:eastAsia="de-DE"/>
        </w:rPr>
        <w:t xml:space="preserve">of European integration, it is quite reasonable to expect that in a less prominent arena such as the CFP and its external dimension this pattern would be even more pronounced. </w:t>
      </w:r>
      <w:r w:rsidR="00075FC5">
        <w:rPr>
          <w:rFonts w:eastAsia="Times New Roman" w:cstheme="minorHAnsi"/>
          <w:bCs/>
          <w:lang w:val="en-US" w:eastAsia="de-DE"/>
        </w:rPr>
        <w:t xml:space="preserve">While in fact, as this research has demonstrated, some </w:t>
      </w:r>
      <w:r w:rsidR="00D42B12" w:rsidRPr="005E524F">
        <w:rPr>
          <w:rFonts w:eastAsia="Times New Roman" w:cstheme="minorHAnsi"/>
          <w:bCs/>
          <w:lang w:val="en-US" w:eastAsia="de-DE"/>
        </w:rPr>
        <w:t>dimension</w:t>
      </w:r>
      <w:r w:rsidR="00075FC5">
        <w:rPr>
          <w:rFonts w:eastAsia="Times New Roman" w:cstheme="minorHAnsi"/>
          <w:bCs/>
          <w:lang w:val="en-US" w:eastAsia="de-DE"/>
        </w:rPr>
        <w:t>s</w:t>
      </w:r>
      <w:r w:rsidR="00D42B12" w:rsidRPr="005E524F">
        <w:rPr>
          <w:rFonts w:eastAsia="Times New Roman" w:cstheme="minorHAnsi"/>
          <w:bCs/>
          <w:lang w:val="en-US" w:eastAsia="de-DE"/>
        </w:rPr>
        <w:t xml:space="preserve"> of </w:t>
      </w:r>
      <w:r w:rsidR="00075FC5">
        <w:rPr>
          <w:rFonts w:eastAsia="Times New Roman" w:cstheme="minorHAnsi"/>
          <w:bCs/>
          <w:lang w:val="en-US" w:eastAsia="de-DE"/>
        </w:rPr>
        <w:t xml:space="preserve">politicization can be identified in the </w:t>
      </w:r>
      <w:r w:rsidR="00D42B12" w:rsidRPr="005E524F">
        <w:rPr>
          <w:rFonts w:eastAsia="Times New Roman" w:cstheme="minorHAnsi"/>
          <w:bCs/>
          <w:lang w:val="en-US" w:eastAsia="de-DE"/>
        </w:rPr>
        <w:t>CFP</w:t>
      </w:r>
      <w:r w:rsidR="00075FC5">
        <w:rPr>
          <w:rFonts w:eastAsia="Times New Roman" w:cstheme="minorHAnsi"/>
          <w:bCs/>
          <w:lang w:val="en-US" w:eastAsia="de-DE"/>
        </w:rPr>
        <w:t>, it is far from consistent and has not yet mobilized a larger public.</w:t>
      </w:r>
      <w:r w:rsidR="001054B8">
        <w:rPr>
          <w:rFonts w:eastAsia="Times New Roman" w:cstheme="minorHAnsi"/>
          <w:bCs/>
          <w:lang w:val="en-US" w:eastAsia="de-DE"/>
        </w:rPr>
        <w:t xml:space="preserve"> </w:t>
      </w:r>
      <w:r w:rsidR="00CE51F2">
        <w:rPr>
          <w:rFonts w:eastAsia="Times New Roman" w:cstheme="minorHAnsi"/>
          <w:bCs/>
          <w:lang w:val="en-US" w:eastAsia="de-DE"/>
        </w:rPr>
        <w:t>To account for this incomplete pattern, the concept of ‘layered politicization’ has been used</w:t>
      </w:r>
      <w:r w:rsidR="00785AB2">
        <w:rPr>
          <w:rFonts w:eastAsia="Times New Roman" w:cstheme="minorHAnsi"/>
          <w:bCs/>
          <w:lang w:val="en-US" w:eastAsia="de-DE"/>
        </w:rPr>
        <w:t>. Two de</w:t>
      </w:r>
      <w:r w:rsidR="00CE51F2">
        <w:rPr>
          <w:rFonts w:eastAsia="Times New Roman" w:cstheme="minorHAnsi"/>
          <w:bCs/>
          <w:lang w:val="en-US" w:eastAsia="de-DE"/>
        </w:rPr>
        <w:t>cisive elements shape this</w:t>
      </w:r>
      <w:r w:rsidR="00B132E9">
        <w:rPr>
          <w:rFonts w:eastAsia="Times New Roman" w:cstheme="minorHAnsi"/>
          <w:bCs/>
          <w:lang w:val="en-US" w:eastAsia="de-DE"/>
        </w:rPr>
        <w:t xml:space="preserve"> ‘layered’ politicization</w:t>
      </w:r>
      <w:r w:rsidR="00785AB2">
        <w:rPr>
          <w:rFonts w:eastAsia="Times New Roman" w:cstheme="minorHAnsi"/>
          <w:bCs/>
          <w:lang w:val="en-US" w:eastAsia="de-DE"/>
        </w:rPr>
        <w:t>: the increasing prominence of a normative discourse on fisheries policy that was institutionalized with the reform of the CFP</w:t>
      </w:r>
      <w:r w:rsidR="008E0C54">
        <w:rPr>
          <w:rFonts w:eastAsia="Times New Roman" w:cstheme="minorHAnsi"/>
          <w:bCs/>
          <w:lang w:val="en-US" w:eastAsia="de-DE"/>
        </w:rPr>
        <w:t xml:space="preserve"> (layer of narratives)</w:t>
      </w:r>
      <w:r w:rsidR="00785AB2">
        <w:rPr>
          <w:rFonts w:eastAsia="Times New Roman" w:cstheme="minorHAnsi"/>
          <w:bCs/>
          <w:lang w:val="en-US" w:eastAsia="de-DE"/>
        </w:rPr>
        <w:t xml:space="preserve"> and the parliamentarization of the CFP as a consequence of the Lisbon treaty</w:t>
      </w:r>
      <w:r w:rsidR="008E0C54">
        <w:rPr>
          <w:rFonts w:eastAsia="Times New Roman" w:cstheme="minorHAnsi"/>
          <w:bCs/>
          <w:lang w:val="en-US" w:eastAsia="de-DE"/>
        </w:rPr>
        <w:t xml:space="preserve"> (layer of rules)</w:t>
      </w:r>
      <w:r w:rsidR="00785AB2">
        <w:rPr>
          <w:rFonts w:eastAsia="Times New Roman" w:cstheme="minorHAnsi"/>
          <w:bCs/>
          <w:lang w:val="en-US" w:eastAsia="de-DE"/>
        </w:rPr>
        <w:t xml:space="preserve">. </w:t>
      </w:r>
      <w:r w:rsidR="00B132E9">
        <w:rPr>
          <w:rFonts w:eastAsia="Times New Roman" w:cstheme="minorHAnsi"/>
          <w:bCs/>
          <w:lang w:val="en-US" w:eastAsia="de-DE"/>
        </w:rPr>
        <w:t>Parliamentarization allowed</w:t>
      </w:r>
      <w:r w:rsidR="008E0C54">
        <w:rPr>
          <w:rFonts w:eastAsia="Times New Roman" w:cstheme="minorHAnsi"/>
          <w:bCs/>
          <w:lang w:val="en-US" w:eastAsia="de-DE"/>
        </w:rPr>
        <w:t xml:space="preserve"> access for many more actors</w:t>
      </w:r>
      <w:r w:rsidR="00C9469C">
        <w:rPr>
          <w:rFonts w:eastAsia="Times New Roman" w:cstheme="minorHAnsi"/>
          <w:bCs/>
          <w:lang w:val="en-US" w:eastAsia="de-DE"/>
        </w:rPr>
        <w:t xml:space="preserve"> to the decision-making process</w:t>
      </w:r>
      <w:r w:rsidR="008E0C54">
        <w:rPr>
          <w:rFonts w:eastAsia="Times New Roman" w:cstheme="minorHAnsi"/>
          <w:bCs/>
          <w:lang w:val="en-US" w:eastAsia="de-DE"/>
        </w:rPr>
        <w:t>, such as expert committees and civil society groups</w:t>
      </w:r>
      <w:r w:rsidR="00B132E9">
        <w:rPr>
          <w:rFonts w:eastAsia="Times New Roman" w:cstheme="minorHAnsi"/>
          <w:bCs/>
          <w:lang w:val="en-US" w:eastAsia="de-DE"/>
        </w:rPr>
        <w:t>, and, crucially, it gave them much higher odds to influence outcomes</w:t>
      </w:r>
      <w:r w:rsidR="008E0C54">
        <w:rPr>
          <w:rFonts w:eastAsia="Times New Roman" w:cstheme="minorHAnsi"/>
          <w:bCs/>
          <w:lang w:val="en-US" w:eastAsia="de-DE"/>
        </w:rPr>
        <w:t xml:space="preserve">. </w:t>
      </w:r>
      <w:r w:rsidR="00785AB2">
        <w:rPr>
          <w:rFonts w:eastAsia="Times New Roman" w:cstheme="minorHAnsi"/>
          <w:bCs/>
          <w:lang w:val="en-US" w:eastAsia="de-DE"/>
        </w:rPr>
        <w:t xml:space="preserve">External fisheries policy has now become a contested </w:t>
      </w:r>
      <w:r w:rsidR="00795F69">
        <w:rPr>
          <w:rFonts w:eastAsia="Times New Roman" w:cstheme="minorHAnsi"/>
          <w:bCs/>
          <w:lang w:val="en-US" w:eastAsia="de-DE"/>
        </w:rPr>
        <w:t xml:space="preserve">policy field, and the parliament has become a core </w:t>
      </w:r>
      <w:r w:rsidR="00C9469C">
        <w:rPr>
          <w:rFonts w:eastAsia="Times New Roman" w:cstheme="minorHAnsi"/>
          <w:bCs/>
          <w:lang w:val="en-US" w:eastAsia="de-DE"/>
        </w:rPr>
        <w:t>arena</w:t>
      </w:r>
      <w:r w:rsidR="00795F69">
        <w:rPr>
          <w:rFonts w:eastAsia="Times New Roman" w:cstheme="minorHAnsi"/>
          <w:bCs/>
          <w:lang w:val="en-US" w:eastAsia="de-DE"/>
        </w:rPr>
        <w:t>. Faced with a divided council, its clout is considerable. This also allows the Commission to use the EP in a similar way as US trade negotiators use Congress: as potential veto-players in a two-level game with counterparts in international negotiations</w:t>
      </w:r>
      <w:r w:rsidR="00576145">
        <w:rPr>
          <w:rFonts w:eastAsia="Times New Roman" w:cstheme="minorHAnsi"/>
          <w:bCs/>
          <w:lang w:val="en-US" w:eastAsia="de-DE"/>
        </w:rPr>
        <w:t>, but also as a potentially legitimizing actor</w:t>
      </w:r>
      <w:r w:rsidR="00795F69">
        <w:rPr>
          <w:rFonts w:eastAsia="Times New Roman" w:cstheme="minorHAnsi"/>
          <w:bCs/>
          <w:lang w:val="en-US" w:eastAsia="de-DE"/>
        </w:rPr>
        <w:t>.</w:t>
      </w:r>
      <w:r w:rsidR="008E0C54">
        <w:rPr>
          <w:rFonts w:eastAsia="Times New Roman" w:cstheme="minorHAnsi"/>
          <w:bCs/>
          <w:lang w:val="en-US" w:eastAsia="de-DE"/>
        </w:rPr>
        <w:t xml:space="preserve"> As a consequence, negotiations also have become more complicated, with some fisheries protocols lapsing and EU counterparts getting increasingly upset about the intrusiveness of the agreements. W</w:t>
      </w:r>
      <w:r w:rsidR="00C9469C">
        <w:rPr>
          <w:rFonts w:eastAsia="Times New Roman" w:cstheme="minorHAnsi"/>
          <w:bCs/>
          <w:lang w:val="en-US" w:eastAsia="de-DE"/>
        </w:rPr>
        <w:t>hile many NGOs still see the EU’</w:t>
      </w:r>
      <w:r w:rsidR="008E0C54">
        <w:rPr>
          <w:rFonts w:eastAsia="Times New Roman" w:cstheme="minorHAnsi"/>
          <w:bCs/>
          <w:lang w:val="en-US" w:eastAsia="de-DE"/>
        </w:rPr>
        <w:t xml:space="preserve">s fisheries policy as exploitative, their inclusion in the process has made their arguments less </w:t>
      </w:r>
      <w:r w:rsidR="00CE652C">
        <w:rPr>
          <w:rFonts w:eastAsia="Times New Roman" w:cstheme="minorHAnsi"/>
          <w:bCs/>
          <w:lang w:val="en-US" w:eastAsia="de-DE"/>
        </w:rPr>
        <w:t>strident</w:t>
      </w:r>
      <w:r w:rsidR="00A90FE7">
        <w:rPr>
          <w:rFonts w:eastAsia="Times New Roman" w:cstheme="minorHAnsi"/>
          <w:bCs/>
          <w:lang w:val="en-US" w:eastAsia="de-DE"/>
        </w:rPr>
        <w:t xml:space="preserve">. The incomplete politicization of the external dimension of the CFP had the same effects that were identified for cases of comprehensive politicization: less efficiency, but more legitimacy. Using a more fine-grained concept of politicization might enable future research to link specific forms of politicization to different outcomes in a more systematic way. </w:t>
      </w:r>
      <w:r w:rsidR="008E0C54">
        <w:rPr>
          <w:rFonts w:eastAsia="Times New Roman" w:cstheme="minorHAnsi"/>
          <w:bCs/>
          <w:lang w:val="en-US" w:eastAsia="de-DE"/>
        </w:rPr>
        <w:t xml:space="preserve"> </w:t>
      </w:r>
    </w:p>
    <w:p w:rsidR="00362AD5" w:rsidRDefault="00362AD5" w:rsidP="00362AD5">
      <w:pPr>
        <w:pStyle w:val="Default"/>
        <w:rPr>
          <w:rFonts w:asciiTheme="minorHAnsi" w:hAnsiTheme="minorHAnsi" w:cstheme="minorHAnsi"/>
          <w:sz w:val="22"/>
          <w:szCs w:val="22"/>
          <w:lang w:val="en-US"/>
        </w:rPr>
      </w:pPr>
    </w:p>
    <w:p w:rsidR="00A82E42" w:rsidRPr="00532E07" w:rsidRDefault="00A82E42" w:rsidP="00362AD5">
      <w:pPr>
        <w:pStyle w:val="Default"/>
        <w:rPr>
          <w:rFonts w:asciiTheme="minorHAnsi" w:hAnsiTheme="minorHAnsi" w:cstheme="minorHAnsi"/>
          <w:sz w:val="22"/>
          <w:szCs w:val="22"/>
          <w:lang w:val="en-US"/>
        </w:rPr>
      </w:pPr>
    </w:p>
    <w:p w:rsidR="00362AD5" w:rsidRPr="00532E07" w:rsidRDefault="00362AD5" w:rsidP="00362AD5">
      <w:pPr>
        <w:pStyle w:val="Default"/>
        <w:rPr>
          <w:rFonts w:asciiTheme="minorHAnsi" w:hAnsiTheme="minorHAnsi" w:cstheme="minorHAnsi"/>
          <w:sz w:val="22"/>
          <w:szCs w:val="22"/>
          <w:lang w:val="en-US"/>
        </w:rPr>
      </w:pPr>
      <w:r w:rsidRPr="00532E07">
        <w:rPr>
          <w:rFonts w:asciiTheme="minorHAnsi" w:hAnsiTheme="minorHAnsi" w:cstheme="minorHAnsi"/>
          <w:sz w:val="22"/>
          <w:szCs w:val="22"/>
          <w:lang w:val="en-US"/>
        </w:rPr>
        <w:t>BIBLIOGRAPHY</w:t>
      </w:r>
    </w:p>
    <w:p w:rsidR="00A90FE7" w:rsidRDefault="00A90FE7" w:rsidP="00101C30">
      <w:pPr>
        <w:spacing w:after="0" w:line="240" w:lineRule="auto"/>
        <w:rPr>
          <w:rFonts w:eastAsiaTheme="minorEastAsia"/>
          <w:lang w:val="en-US" w:eastAsia="ja-JP"/>
        </w:rPr>
      </w:pPr>
    </w:p>
    <w:p w:rsidR="002D7831" w:rsidRPr="002D7831" w:rsidRDefault="002D7831" w:rsidP="002D7831">
      <w:pPr>
        <w:pStyle w:val="berschrift1"/>
        <w:rPr>
          <w:rFonts w:asciiTheme="minorHAnsi" w:eastAsiaTheme="minorEastAsia" w:hAnsiTheme="minorHAnsi" w:cstheme="minorHAnsi"/>
          <w:color w:val="auto"/>
          <w:sz w:val="22"/>
          <w:szCs w:val="22"/>
          <w:lang w:val="en-US" w:eastAsia="ja-JP"/>
        </w:rPr>
      </w:pPr>
      <w:r w:rsidRPr="002D7831">
        <w:rPr>
          <w:rFonts w:asciiTheme="minorHAnsi" w:eastAsiaTheme="minorEastAsia" w:hAnsiTheme="minorHAnsi" w:cstheme="minorHAnsi"/>
          <w:color w:val="auto"/>
          <w:sz w:val="22"/>
          <w:szCs w:val="22"/>
          <w:lang w:val="en-US" w:eastAsia="ja-JP"/>
        </w:rPr>
        <w:t xml:space="preserve">AEFJN (Africa Europe Faith and Justice Network), 2016. </w:t>
      </w:r>
      <w:r w:rsidRPr="002D7831">
        <w:rPr>
          <w:rFonts w:asciiTheme="minorHAnsi" w:eastAsia="Times New Roman" w:hAnsiTheme="minorHAnsi" w:cstheme="minorHAnsi"/>
          <w:bCs/>
          <w:color w:val="auto"/>
          <w:kern w:val="36"/>
          <w:sz w:val="22"/>
          <w:szCs w:val="22"/>
          <w:lang w:val="en-US" w:eastAsia="de-DE"/>
        </w:rPr>
        <w:t>EU Fishing deals in Africa: Scraping the Bottom of the Barrel</w:t>
      </w:r>
      <w:r>
        <w:rPr>
          <w:rFonts w:asciiTheme="minorHAnsi" w:eastAsia="Times New Roman" w:hAnsiTheme="minorHAnsi" w:cstheme="minorHAnsi"/>
          <w:bCs/>
          <w:color w:val="auto"/>
          <w:kern w:val="36"/>
          <w:sz w:val="22"/>
          <w:szCs w:val="22"/>
          <w:lang w:val="en-US" w:eastAsia="de-DE"/>
        </w:rPr>
        <w:t xml:space="preserve">; </w:t>
      </w:r>
      <w:r>
        <w:rPr>
          <w:rFonts w:asciiTheme="minorHAnsi" w:eastAsia="Times New Roman" w:hAnsiTheme="minorHAnsi" w:cstheme="minorHAnsi"/>
          <w:bCs/>
          <w:i/>
          <w:color w:val="auto"/>
          <w:kern w:val="36"/>
          <w:sz w:val="22"/>
          <w:szCs w:val="22"/>
          <w:lang w:val="en-US" w:eastAsia="de-DE"/>
        </w:rPr>
        <w:t xml:space="preserve">AEFJN.com; </w:t>
      </w:r>
      <w:r>
        <w:rPr>
          <w:rFonts w:asciiTheme="minorHAnsi" w:eastAsia="Times New Roman" w:hAnsiTheme="minorHAnsi" w:cstheme="minorHAnsi"/>
          <w:bCs/>
          <w:color w:val="auto"/>
          <w:kern w:val="36"/>
          <w:sz w:val="22"/>
          <w:szCs w:val="22"/>
          <w:lang w:val="en-US" w:eastAsia="de-DE"/>
        </w:rPr>
        <w:t xml:space="preserve">Retrieved from: </w:t>
      </w:r>
      <w:r w:rsidRPr="002D7831">
        <w:rPr>
          <w:rFonts w:asciiTheme="minorHAnsi" w:eastAsia="Times New Roman" w:hAnsiTheme="minorHAnsi" w:cstheme="minorHAnsi"/>
          <w:bCs/>
          <w:color w:val="auto"/>
          <w:kern w:val="36"/>
          <w:sz w:val="22"/>
          <w:szCs w:val="22"/>
          <w:lang w:val="en-US" w:eastAsia="de-DE"/>
        </w:rPr>
        <w:t>http://aefjn.org/en/eu-fishing-deals-in-africa-scraping-the-bottom-of-the-barrel/</w:t>
      </w:r>
      <w:r>
        <w:rPr>
          <w:rFonts w:asciiTheme="minorHAnsi" w:eastAsia="Times New Roman" w:hAnsiTheme="minorHAnsi" w:cstheme="minorHAnsi"/>
          <w:bCs/>
          <w:color w:val="auto"/>
          <w:kern w:val="36"/>
          <w:sz w:val="22"/>
          <w:szCs w:val="22"/>
          <w:lang w:val="en-US" w:eastAsia="de-DE"/>
        </w:rPr>
        <w:t>.</w:t>
      </w:r>
    </w:p>
    <w:p w:rsidR="002D7831" w:rsidRDefault="002D7831" w:rsidP="00101C30">
      <w:pPr>
        <w:spacing w:after="0" w:line="240" w:lineRule="auto"/>
        <w:rPr>
          <w:rFonts w:eastAsiaTheme="minorEastAsia"/>
          <w:lang w:val="en-US" w:eastAsia="ja-JP"/>
        </w:rPr>
      </w:pPr>
    </w:p>
    <w:p w:rsidR="00101C30" w:rsidRDefault="00101C30" w:rsidP="00101C30">
      <w:pPr>
        <w:spacing w:after="0" w:line="240" w:lineRule="auto"/>
        <w:rPr>
          <w:rFonts w:eastAsiaTheme="minorEastAsia"/>
          <w:lang w:val="en-US" w:eastAsia="ja-JP"/>
        </w:rPr>
      </w:pPr>
      <w:r w:rsidRPr="00DF563C">
        <w:rPr>
          <w:rFonts w:eastAsiaTheme="minorEastAsia"/>
          <w:lang w:val="en-US" w:eastAsia="ja-JP"/>
        </w:rPr>
        <w:t>CFP Reform Watch (2013)</w:t>
      </w:r>
      <w:r w:rsidR="00665E9D">
        <w:rPr>
          <w:rFonts w:eastAsiaTheme="minorEastAsia"/>
          <w:lang w:val="en-US" w:eastAsia="ja-JP"/>
        </w:rPr>
        <w:t>.</w:t>
      </w:r>
      <w:r w:rsidRPr="00DF563C">
        <w:rPr>
          <w:rFonts w:eastAsiaTheme="minorEastAsia"/>
          <w:lang w:val="en-US" w:eastAsia="ja-JP"/>
        </w:rPr>
        <w:t xml:space="preserve"> EU-Mauretania fisheries agreement will test MEPs’ adherence to the </w:t>
      </w:r>
      <w:r w:rsidR="002D7831">
        <w:rPr>
          <w:rFonts w:eastAsiaTheme="minorEastAsia"/>
          <w:lang w:val="en-US" w:eastAsia="ja-JP"/>
        </w:rPr>
        <w:t>principles of the new CF</w:t>
      </w:r>
      <w:r>
        <w:rPr>
          <w:rFonts w:eastAsiaTheme="minorEastAsia"/>
          <w:lang w:val="en-US" w:eastAsia="ja-JP"/>
        </w:rPr>
        <w:t xml:space="preserve">’, </w:t>
      </w:r>
      <w:r w:rsidR="002D7831">
        <w:rPr>
          <w:rFonts w:eastAsiaTheme="minorEastAsia"/>
          <w:i/>
          <w:lang w:val="en-US" w:eastAsia="ja-JP"/>
        </w:rPr>
        <w:t xml:space="preserve">cfp-reformwatch.eu. </w:t>
      </w:r>
      <w:r w:rsidR="00135FAA">
        <w:rPr>
          <w:rFonts w:eastAsiaTheme="minorEastAsia"/>
          <w:lang w:val="en-US" w:eastAsia="ja-JP"/>
        </w:rPr>
        <w:t>Retrieved from:</w:t>
      </w:r>
      <w:r w:rsidRPr="00DF563C">
        <w:rPr>
          <w:rFonts w:eastAsiaTheme="minorEastAsia"/>
          <w:lang w:val="en-US" w:eastAsia="ja-JP"/>
        </w:rPr>
        <w:t xml:space="preserve"> http://cfp-reformwatch.eu/2013/10/eu-mauritania-fisheries-agreement-will-test-meps-adherence-to-the-princip</w:t>
      </w:r>
      <w:r>
        <w:rPr>
          <w:rFonts w:eastAsiaTheme="minorEastAsia"/>
          <w:lang w:val="en-US" w:eastAsia="ja-JP"/>
        </w:rPr>
        <w:t xml:space="preserve">les-of-the-new-cfp/ (accessed </w:t>
      </w:r>
      <w:r w:rsidR="00781B9C">
        <w:rPr>
          <w:rFonts w:eastAsiaTheme="minorEastAsia"/>
          <w:lang w:val="en-US" w:eastAsia="ja-JP"/>
        </w:rPr>
        <w:t xml:space="preserve">1 </w:t>
      </w:r>
      <w:r w:rsidRPr="00DF563C">
        <w:rPr>
          <w:rFonts w:eastAsiaTheme="minorEastAsia"/>
          <w:lang w:val="en-US" w:eastAsia="ja-JP"/>
        </w:rPr>
        <w:t>June 2014).</w:t>
      </w:r>
    </w:p>
    <w:p w:rsidR="00781B9C" w:rsidRDefault="00781B9C" w:rsidP="00101C30">
      <w:pPr>
        <w:spacing w:after="0" w:line="240" w:lineRule="auto"/>
        <w:rPr>
          <w:rFonts w:eastAsiaTheme="minorEastAsia"/>
          <w:lang w:val="en-US" w:eastAsia="ja-JP"/>
        </w:rPr>
      </w:pPr>
    </w:p>
    <w:p w:rsidR="00781B9C" w:rsidRDefault="00781B9C" w:rsidP="00101C30">
      <w:pPr>
        <w:spacing w:after="0" w:line="240" w:lineRule="auto"/>
        <w:rPr>
          <w:lang w:val="en-US"/>
        </w:rPr>
      </w:pPr>
      <w:r>
        <w:rPr>
          <w:rFonts w:eastAsiaTheme="minorEastAsia"/>
          <w:lang w:val="en-US" w:eastAsia="ja-JP"/>
        </w:rPr>
        <w:t>Client Earth (2018), British Public overwhelmingly supports greater fisheries Protection,</w:t>
      </w:r>
      <w:r w:rsidRPr="00781B9C">
        <w:rPr>
          <w:lang w:val="en-US"/>
        </w:rPr>
        <w:t xml:space="preserve"> </w:t>
      </w:r>
      <w:r>
        <w:rPr>
          <w:lang w:val="en-US"/>
        </w:rPr>
        <w:t xml:space="preserve">April 16, 2018; </w:t>
      </w:r>
      <w:r w:rsidR="00135FAA">
        <w:rPr>
          <w:lang w:val="en-US"/>
        </w:rPr>
        <w:t xml:space="preserve">Retrieved from: </w:t>
      </w:r>
      <w:r w:rsidRPr="00135FAA">
        <w:rPr>
          <w:rStyle w:val="Hyperlink"/>
          <w:color w:val="auto"/>
          <w:u w:val="none"/>
          <w:lang w:val="en-US"/>
        </w:rPr>
        <w:t>https://www.clientearth.org/british-public-support-fisheries-protections-brexit/</w:t>
      </w:r>
      <w:r w:rsidRPr="00135FAA">
        <w:rPr>
          <w:lang w:val="en-US"/>
        </w:rPr>
        <w:t xml:space="preserve"> (</w:t>
      </w:r>
      <w:r>
        <w:rPr>
          <w:lang w:val="en-US"/>
        </w:rPr>
        <w:t>accessed 29 March 2019).</w:t>
      </w:r>
    </w:p>
    <w:p w:rsidR="00781B9C" w:rsidRDefault="00781B9C" w:rsidP="00101C30">
      <w:pPr>
        <w:spacing w:after="0" w:line="240" w:lineRule="auto"/>
        <w:rPr>
          <w:lang w:val="en-US"/>
        </w:rPr>
      </w:pPr>
    </w:p>
    <w:p w:rsidR="00101C30" w:rsidRPr="00DF563C" w:rsidRDefault="00101C30" w:rsidP="00101C30">
      <w:pPr>
        <w:spacing w:after="0" w:line="240" w:lineRule="auto"/>
        <w:rPr>
          <w:rFonts w:eastAsiaTheme="minorEastAsia"/>
          <w:lang w:val="en-US" w:eastAsia="ja-JP"/>
        </w:rPr>
      </w:pPr>
      <w:r>
        <w:rPr>
          <w:rFonts w:eastAsiaTheme="minorEastAsia"/>
          <w:lang w:val="en-US" w:eastAsia="ja-JP"/>
        </w:rPr>
        <w:lastRenderedPageBreak/>
        <w:t>C</w:t>
      </w:r>
      <w:r w:rsidRPr="00DF563C">
        <w:rPr>
          <w:rFonts w:eastAsiaTheme="minorEastAsia"/>
          <w:lang w:val="en-US" w:eastAsia="ja-JP"/>
        </w:rPr>
        <w:t>mrweb.nl (2013)</w:t>
      </w:r>
      <w:r w:rsidR="00665E9D">
        <w:rPr>
          <w:rFonts w:eastAsiaTheme="minorEastAsia"/>
          <w:lang w:val="en-US" w:eastAsia="ja-JP"/>
        </w:rPr>
        <w:t>.</w:t>
      </w:r>
      <w:r w:rsidR="00135FAA">
        <w:rPr>
          <w:rFonts w:eastAsiaTheme="minorEastAsia"/>
          <w:lang w:val="en-US" w:eastAsia="ja-JP"/>
        </w:rPr>
        <w:t xml:space="preserve"> </w:t>
      </w:r>
      <w:r w:rsidRPr="00DF563C">
        <w:rPr>
          <w:rFonts w:eastAsiaTheme="minorEastAsia"/>
          <w:lang w:val="en-US" w:eastAsia="ja-JP"/>
        </w:rPr>
        <w:t>Fisheries Partnership Agreement between the EU and Mauretania</w:t>
      </w:r>
      <w:r>
        <w:rPr>
          <w:rFonts w:eastAsiaTheme="minorEastAsia"/>
          <w:lang w:val="en-US" w:eastAsia="ja-JP"/>
        </w:rPr>
        <w:t xml:space="preserve">, </w:t>
      </w:r>
      <w:r w:rsidR="00135FAA">
        <w:rPr>
          <w:rFonts w:eastAsiaTheme="minorEastAsia"/>
          <w:lang w:val="en-US" w:eastAsia="ja-JP"/>
        </w:rPr>
        <w:t xml:space="preserve">Retrieved from: </w:t>
      </w:r>
      <w:r w:rsidRPr="00DF563C">
        <w:rPr>
          <w:rFonts w:eastAsiaTheme="minorEastAsia"/>
          <w:lang w:val="en-US" w:eastAsia="ja-JP"/>
        </w:rPr>
        <w:t xml:space="preserve">http://cmrweb.nl/Documents/2013-01.pdf (accessed </w:t>
      </w:r>
      <w:r>
        <w:rPr>
          <w:rFonts w:eastAsiaTheme="minorEastAsia"/>
          <w:lang w:val="en-US" w:eastAsia="ja-JP"/>
        </w:rPr>
        <w:t>May 2015</w:t>
      </w:r>
      <w:r w:rsidRPr="00DF563C">
        <w:rPr>
          <w:rFonts w:eastAsiaTheme="minorEastAsia"/>
          <w:lang w:val="en-US" w:eastAsia="ja-JP"/>
        </w:rPr>
        <w:t>).</w:t>
      </w:r>
    </w:p>
    <w:p w:rsidR="00101C30" w:rsidRDefault="00101C30" w:rsidP="00614AAE">
      <w:pPr>
        <w:pStyle w:val="Default"/>
        <w:rPr>
          <w:rStyle w:val="HTMLZitat"/>
          <w:rFonts w:asciiTheme="minorHAnsi" w:hAnsiTheme="minorHAnsi" w:cstheme="minorHAnsi"/>
          <w:sz w:val="22"/>
          <w:szCs w:val="22"/>
          <w:lang w:val="en-US"/>
        </w:rPr>
      </w:pPr>
    </w:p>
    <w:p w:rsidR="009611FF" w:rsidRDefault="00614AAE" w:rsidP="009611FF">
      <w:pPr>
        <w:rPr>
          <w:rFonts w:eastAsia="Times New Roman" w:cstheme="minorHAnsi"/>
          <w:lang w:val="en-US" w:eastAsia="de-DE"/>
        </w:rPr>
      </w:pPr>
      <w:r w:rsidRPr="009611FF">
        <w:rPr>
          <w:rStyle w:val="HTMLZitat"/>
          <w:rFonts w:cstheme="minorHAnsi"/>
          <w:i w:val="0"/>
          <w:lang w:val="en-US"/>
        </w:rPr>
        <w:t>CJEU (2016),</w:t>
      </w:r>
      <w:r w:rsidRPr="009611FF">
        <w:rPr>
          <w:rFonts w:cstheme="minorHAnsi"/>
          <w:lang w:val="en-US"/>
        </w:rPr>
        <w:t xml:space="preserve"> </w:t>
      </w:r>
      <w:r w:rsidRPr="009611FF">
        <w:rPr>
          <w:rFonts w:cstheme="minorHAnsi"/>
          <w:bCs/>
          <w:lang w:val="en-US"/>
        </w:rPr>
        <w:t>The Association and Liberalisation Agreements concluded between the EU and Morocco are not applicable to Western Sahara</w:t>
      </w:r>
      <w:r w:rsidR="00135FAA">
        <w:rPr>
          <w:rFonts w:cstheme="minorHAnsi"/>
          <w:bCs/>
          <w:lang w:val="en-US"/>
        </w:rPr>
        <w:t>;</w:t>
      </w:r>
      <w:r w:rsidRPr="009611FF">
        <w:rPr>
          <w:rFonts w:cstheme="minorHAnsi"/>
          <w:bCs/>
          <w:lang w:val="en-US"/>
        </w:rPr>
        <w:t xml:space="preserve"> </w:t>
      </w:r>
      <w:r w:rsidR="00135FAA">
        <w:rPr>
          <w:rFonts w:cstheme="minorHAnsi"/>
          <w:bCs/>
          <w:lang w:val="en-US"/>
        </w:rPr>
        <w:t xml:space="preserve">Retrieved from: </w:t>
      </w:r>
      <w:r w:rsidRPr="00135FAA">
        <w:rPr>
          <w:rStyle w:val="HTMLZitat"/>
          <w:rFonts w:cstheme="minorHAnsi"/>
          <w:i w:val="0"/>
          <w:lang w:val="en-US"/>
        </w:rPr>
        <w:t>curia.europa.eu/jcms/jcms/p1_268842/fr/</w:t>
      </w:r>
      <w:r w:rsidR="009611FF" w:rsidRPr="009611FF">
        <w:rPr>
          <w:rFonts w:eastAsia="Times New Roman" w:cstheme="minorHAnsi"/>
          <w:lang w:val="en-US" w:eastAsia="de-DE"/>
        </w:rPr>
        <w:t xml:space="preserve"> </w:t>
      </w:r>
      <w:r w:rsidR="009611FF">
        <w:rPr>
          <w:rFonts w:eastAsia="Times New Roman" w:cstheme="minorHAnsi"/>
          <w:lang w:val="en-US" w:eastAsia="de-DE"/>
        </w:rPr>
        <w:t xml:space="preserve"> [25 March 2019].</w:t>
      </w:r>
    </w:p>
    <w:p w:rsidR="009611FF" w:rsidRPr="009611FF" w:rsidRDefault="009611FF" w:rsidP="009611FF">
      <w:pPr>
        <w:spacing w:after="0" w:line="240" w:lineRule="auto"/>
        <w:rPr>
          <w:rFonts w:eastAsia="Times New Roman" w:cstheme="minorHAnsi"/>
          <w:lang w:val="en-US" w:eastAsia="de-DE"/>
        </w:rPr>
      </w:pPr>
      <w:r w:rsidRPr="009611FF">
        <w:rPr>
          <w:rFonts w:eastAsia="Times New Roman" w:cstheme="minorHAnsi"/>
          <w:lang w:val="en-US" w:eastAsia="de-DE"/>
        </w:rPr>
        <w:t>Commission (2010), Commission Staff Working Document: Synthesis of the Consultation on the Reform of the Common Fisheries Policy</w:t>
      </w:r>
      <w:r>
        <w:rPr>
          <w:rFonts w:eastAsia="Times New Roman" w:cstheme="minorHAnsi"/>
          <w:lang w:val="en-US" w:eastAsia="de-DE"/>
        </w:rPr>
        <w:t>,</w:t>
      </w:r>
      <w:r w:rsidRPr="009611FF">
        <w:rPr>
          <w:rFonts w:eastAsia="Times New Roman" w:cstheme="minorHAnsi"/>
          <w:lang w:val="en-US" w:eastAsia="de-DE"/>
        </w:rPr>
        <w:t xml:space="preserve"> </w:t>
      </w:r>
      <w:r>
        <w:rPr>
          <w:rFonts w:eastAsia="Times New Roman" w:cstheme="minorHAnsi"/>
          <w:lang w:val="en-US" w:eastAsia="de-DE"/>
        </w:rPr>
        <w:t xml:space="preserve">Brussels, 16.4.2010; </w:t>
      </w:r>
      <w:r w:rsidR="00135FAA">
        <w:rPr>
          <w:rFonts w:eastAsia="Times New Roman" w:cstheme="minorHAnsi"/>
          <w:lang w:val="en-US" w:eastAsia="de-DE"/>
        </w:rPr>
        <w:t xml:space="preserve">SEC(2010)428 final. Retrieved from: </w:t>
      </w:r>
      <w:r w:rsidRPr="009611FF">
        <w:rPr>
          <w:rFonts w:eastAsia="Times New Roman" w:cstheme="minorHAnsi"/>
          <w:lang w:val="en-US" w:eastAsia="de-DE"/>
        </w:rPr>
        <w:t>ec.europa.eu/fisheries/sites/fisheries/files/docs/body/sec%282010%290428_en.pdf</w:t>
      </w:r>
      <w:r>
        <w:rPr>
          <w:rFonts w:eastAsia="Times New Roman" w:cstheme="minorHAnsi"/>
          <w:lang w:val="en-US" w:eastAsia="de-DE"/>
        </w:rPr>
        <w:t xml:space="preserve"> [25.3.2019]</w:t>
      </w:r>
    </w:p>
    <w:p w:rsidR="009611FF" w:rsidRPr="009611FF" w:rsidRDefault="009611FF" w:rsidP="009611FF">
      <w:pPr>
        <w:spacing w:after="0" w:line="240" w:lineRule="auto"/>
        <w:rPr>
          <w:rFonts w:eastAsia="Times New Roman" w:cstheme="minorHAnsi"/>
          <w:lang w:val="en-US" w:eastAsia="de-DE"/>
        </w:rPr>
      </w:pPr>
    </w:p>
    <w:p w:rsidR="00101C30" w:rsidRPr="009611FF" w:rsidRDefault="00101C30" w:rsidP="00101C30">
      <w:pPr>
        <w:spacing w:after="0" w:line="240" w:lineRule="auto"/>
        <w:rPr>
          <w:rFonts w:eastAsiaTheme="minorEastAsia" w:cstheme="minorHAnsi"/>
          <w:lang w:val="en-US" w:eastAsia="ja-JP"/>
        </w:rPr>
      </w:pPr>
      <w:r w:rsidRPr="009611FF">
        <w:rPr>
          <w:rFonts w:eastAsiaTheme="minorEastAsia" w:cstheme="minorHAnsi"/>
          <w:lang w:val="en-US" w:eastAsia="ja-JP"/>
        </w:rPr>
        <w:t>Corten, A. (2014)</w:t>
      </w:r>
      <w:r w:rsidR="00665E9D">
        <w:rPr>
          <w:rFonts w:eastAsiaTheme="minorEastAsia" w:cstheme="minorHAnsi"/>
          <w:lang w:val="en-US" w:eastAsia="ja-JP"/>
        </w:rPr>
        <w:t xml:space="preserve">. </w:t>
      </w:r>
      <w:r w:rsidRPr="009611FF">
        <w:rPr>
          <w:rFonts w:eastAsiaTheme="minorEastAsia" w:cstheme="minorHAnsi"/>
          <w:lang w:val="en-US" w:eastAsia="ja-JP"/>
        </w:rPr>
        <w:t>EU Mauretania Fisheries Partnersh</w:t>
      </w:r>
      <w:r w:rsidR="00665E9D">
        <w:rPr>
          <w:rFonts w:eastAsiaTheme="minorEastAsia" w:cstheme="minorHAnsi"/>
          <w:lang w:val="en-US" w:eastAsia="ja-JP"/>
        </w:rPr>
        <w:t>ip in Need of More Transparency</w:t>
      </w:r>
      <w:r w:rsidRPr="009611FF">
        <w:rPr>
          <w:rFonts w:eastAsiaTheme="minorEastAsia" w:cstheme="minorHAnsi"/>
          <w:lang w:val="en-US" w:eastAsia="ja-JP"/>
        </w:rPr>
        <w:t xml:space="preserve">, </w:t>
      </w:r>
      <w:r w:rsidRPr="009611FF">
        <w:rPr>
          <w:rFonts w:eastAsiaTheme="minorEastAsia" w:cstheme="minorHAnsi"/>
          <w:i/>
          <w:lang w:val="en-US" w:eastAsia="ja-JP"/>
        </w:rPr>
        <w:t>Marine Policy</w:t>
      </w:r>
      <w:r w:rsidRPr="009611FF">
        <w:rPr>
          <w:rFonts w:eastAsiaTheme="minorEastAsia" w:cstheme="minorHAnsi"/>
          <w:lang w:val="en-US" w:eastAsia="ja-JP"/>
        </w:rPr>
        <w:t xml:space="preserve"> 49</w:t>
      </w:r>
      <w:r w:rsidR="00135FAA">
        <w:rPr>
          <w:rFonts w:eastAsiaTheme="minorEastAsia" w:cstheme="minorHAnsi"/>
          <w:lang w:val="en-US" w:eastAsia="ja-JP"/>
        </w:rPr>
        <w:t xml:space="preserve"> (1)</w:t>
      </w:r>
      <w:r w:rsidRPr="009611FF">
        <w:rPr>
          <w:rFonts w:eastAsiaTheme="minorEastAsia" w:cstheme="minorHAnsi"/>
          <w:lang w:val="en-US" w:eastAsia="ja-JP"/>
        </w:rPr>
        <w:t>: 1-11.</w:t>
      </w:r>
    </w:p>
    <w:p w:rsidR="00101C30" w:rsidRPr="009611FF" w:rsidRDefault="00101C30" w:rsidP="00101C30">
      <w:pPr>
        <w:spacing w:after="0" w:line="240" w:lineRule="auto"/>
        <w:rPr>
          <w:rFonts w:eastAsiaTheme="minorEastAsia" w:cstheme="minorHAnsi"/>
          <w:lang w:val="en-US" w:eastAsia="ja-JP"/>
        </w:rPr>
      </w:pPr>
    </w:p>
    <w:p w:rsidR="003B4CED" w:rsidRDefault="003B4CED" w:rsidP="00614AAE">
      <w:pPr>
        <w:pStyle w:val="Default"/>
        <w:rPr>
          <w:rFonts w:asciiTheme="minorHAnsi" w:hAnsiTheme="minorHAnsi" w:cstheme="minorHAnsi"/>
          <w:sz w:val="22"/>
          <w:szCs w:val="22"/>
          <w:lang w:val="fr-FR"/>
        </w:rPr>
      </w:pPr>
      <w:r>
        <w:rPr>
          <w:rFonts w:asciiTheme="minorHAnsi" w:hAnsiTheme="minorHAnsi" w:cstheme="minorHAnsi"/>
          <w:sz w:val="22"/>
          <w:szCs w:val="22"/>
          <w:lang w:val="fr-FR"/>
        </w:rPr>
        <w:t xml:space="preserve">Daw T. </w:t>
      </w:r>
      <w:r w:rsidR="00135FAA">
        <w:rPr>
          <w:rFonts w:asciiTheme="minorHAnsi" w:hAnsiTheme="minorHAnsi" w:cstheme="minorHAnsi"/>
          <w:sz w:val="22"/>
          <w:szCs w:val="22"/>
          <w:lang w:val="fr-FR"/>
        </w:rPr>
        <w:t>&amp;</w:t>
      </w:r>
      <w:r>
        <w:rPr>
          <w:rFonts w:asciiTheme="minorHAnsi" w:hAnsiTheme="minorHAnsi" w:cstheme="minorHAnsi"/>
          <w:sz w:val="22"/>
          <w:szCs w:val="22"/>
          <w:lang w:val="fr-FR"/>
        </w:rPr>
        <w:t xml:space="preserve"> Gray T. (2005), Fisheries Science and Sustainability in International Policy: A Study of Failure of the EU’s Common Fisheries Policy, </w:t>
      </w:r>
      <w:r w:rsidRPr="003B4CED">
        <w:rPr>
          <w:rFonts w:asciiTheme="minorHAnsi" w:hAnsiTheme="minorHAnsi" w:cstheme="minorHAnsi"/>
          <w:i/>
          <w:sz w:val="22"/>
          <w:szCs w:val="22"/>
          <w:lang w:val="fr-FR"/>
        </w:rPr>
        <w:t>Marine Policy</w:t>
      </w:r>
      <w:r>
        <w:rPr>
          <w:rFonts w:asciiTheme="minorHAnsi" w:hAnsiTheme="minorHAnsi" w:cstheme="minorHAnsi"/>
          <w:sz w:val="22"/>
          <w:szCs w:val="22"/>
          <w:lang w:val="fr-FR"/>
        </w:rPr>
        <w:t xml:space="preserve"> 29(3), 189-197.</w:t>
      </w:r>
    </w:p>
    <w:p w:rsidR="005E524F" w:rsidRDefault="005E524F" w:rsidP="00362AD5">
      <w:pPr>
        <w:pStyle w:val="Default"/>
        <w:rPr>
          <w:rFonts w:asciiTheme="minorHAnsi" w:hAnsiTheme="minorHAnsi" w:cstheme="minorHAnsi"/>
          <w:sz w:val="22"/>
          <w:szCs w:val="22"/>
          <w:lang w:val="en-US"/>
        </w:rPr>
      </w:pPr>
    </w:p>
    <w:p w:rsidR="00D42B12" w:rsidRPr="00614AAE" w:rsidRDefault="003C6434" w:rsidP="00362AD5">
      <w:pPr>
        <w:pStyle w:val="Default"/>
        <w:rPr>
          <w:rFonts w:asciiTheme="minorHAnsi" w:hAnsiTheme="minorHAnsi" w:cstheme="minorHAnsi"/>
          <w:sz w:val="22"/>
          <w:szCs w:val="22"/>
          <w:lang w:val="en-US"/>
        </w:rPr>
      </w:pPr>
      <w:r w:rsidRPr="00CD3547">
        <w:rPr>
          <w:rFonts w:asciiTheme="minorHAnsi" w:hAnsiTheme="minorHAnsi" w:cstheme="minorHAnsi"/>
          <w:sz w:val="22"/>
          <w:szCs w:val="22"/>
        </w:rPr>
        <w:t>De Wilde, P., Leupold, A., &amp; Schmidtke,</w:t>
      </w:r>
      <w:r w:rsidR="008D23AD" w:rsidRPr="00CD3547">
        <w:rPr>
          <w:rFonts w:asciiTheme="minorHAnsi" w:hAnsiTheme="minorHAnsi" w:cstheme="minorHAnsi"/>
          <w:sz w:val="22"/>
          <w:szCs w:val="22"/>
        </w:rPr>
        <w:t xml:space="preserve"> H. (2016</w:t>
      </w:r>
      <w:r w:rsidRPr="00CD3547">
        <w:rPr>
          <w:rFonts w:asciiTheme="minorHAnsi" w:hAnsiTheme="minorHAnsi" w:cstheme="minorHAnsi"/>
          <w:sz w:val="22"/>
          <w:szCs w:val="22"/>
        </w:rPr>
        <w:t xml:space="preserve">). </w:t>
      </w:r>
      <w:r w:rsidRPr="00614AAE">
        <w:rPr>
          <w:rFonts w:asciiTheme="minorHAnsi" w:hAnsiTheme="minorHAnsi" w:cstheme="minorHAnsi"/>
          <w:sz w:val="22"/>
          <w:szCs w:val="22"/>
          <w:lang w:val="en-US"/>
        </w:rPr>
        <w:t xml:space="preserve">Introduction: the differentiated politicisation of European governance. </w:t>
      </w:r>
      <w:r w:rsidRPr="00665E9D">
        <w:rPr>
          <w:rFonts w:asciiTheme="minorHAnsi" w:hAnsiTheme="minorHAnsi" w:cstheme="minorHAnsi"/>
          <w:i/>
          <w:sz w:val="22"/>
          <w:szCs w:val="22"/>
          <w:lang w:val="en-US"/>
        </w:rPr>
        <w:t>West European Politics</w:t>
      </w:r>
      <w:r w:rsidRPr="00614AAE">
        <w:rPr>
          <w:rFonts w:asciiTheme="minorHAnsi" w:hAnsiTheme="minorHAnsi" w:cstheme="minorHAnsi"/>
          <w:sz w:val="22"/>
          <w:szCs w:val="22"/>
          <w:lang w:val="en-US"/>
        </w:rPr>
        <w:t xml:space="preserve">, 39(1), 3-22. </w:t>
      </w:r>
    </w:p>
    <w:p w:rsidR="005E524F" w:rsidRDefault="005E524F" w:rsidP="00362AD5">
      <w:pPr>
        <w:pStyle w:val="Default"/>
        <w:rPr>
          <w:rFonts w:asciiTheme="minorHAnsi" w:hAnsiTheme="minorHAnsi" w:cstheme="minorHAnsi"/>
          <w:sz w:val="22"/>
          <w:szCs w:val="22"/>
          <w:lang w:val="en-US"/>
        </w:rPr>
      </w:pPr>
    </w:p>
    <w:p w:rsidR="009611FF" w:rsidRDefault="00CD7325" w:rsidP="00135FAA">
      <w:pPr>
        <w:spacing w:after="0" w:line="240" w:lineRule="auto"/>
        <w:rPr>
          <w:rFonts w:eastAsiaTheme="minorEastAsia"/>
          <w:lang w:val="en-US" w:eastAsia="ja-JP"/>
        </w:rPr>
      </w:pPr>
      <w:r w:rsidRPr="00D0468F">
        <w:rPr>
          <w:rFonts w:eastAsiaTheme="minorEastAsia"/>
          <w:lang w:val="en-US" w:eastAsia="ja-JP"/>
        </w:rPr>
        <w:t>EUobserver (2019),</w:t>
      </w:r>
      <w:r w:rsidR="00D0468F" w:rsidRPr="00D0468F">
        <w:rPr>
          <w:lang w:val="en-US" w:eastAsia="de-DE"/>
        </w:rPr>
        <w:t xml:space="preserve"> EU parliament backs Western Sahara fish deal with Morocco</w:t>
      </w:r>
      <w:r w:rsidR="00D0468F">
        <w:rPr>
          <w:lang w:val="en-US" w:eastAsia="de-DE"/>
        </w:rPr>
        <w:t xml:space="preserve">, Feb 12; </w:t>
      </w:r>
      <w:r w:rsidR="00135FAA">
        <w:rPr>
          <w:lang w:val="en-US" w:eastAsia="de-DE"/>
        </w:rPr>
        <w:t xml:space="preserve">Retrieved from: </w:t>
      </w:r>
      <w:r w:rsidRPr="00D0468F">
        <w:rPr>
          <w:rFonts w:eastAsiaTheme="minorEastAsia" w:cstheme="minorHAnsi"/>
          <w:lang w:val="en-US" w:eastAsia="ja-JP"/>
        </w:rPr>
        <w:t xml:space="preserve"> </w:t>
      </w:r>
      <w:hyperlink r:id="rId9" w:history="1">
        <w:r w:rsidR="00D0468F" w:rsidRPr="00913D85">
          <w:rPr>
            <w:rStyle w:val="Hyperlink"/>
            <w:rFonts w:eastAsiaTheme="minorEastAsia" w:cstheme="minorHAnsi"/>
            <w:lang w:val="en-US" w:eastAsia="ja-JP"/>
          </w:rPr>
          <w:t>https://euobserver.com/tickers/144148</w:t>
        </w:r>
      </w:hyperlink>
      <w:r w:rsidR="00D0468F">
        <w:rPr>
          <w:rFonts w:eastAsiaTheme="minorEastAsia" w:cstheme="minorHAnsi"/>
          <w:lang w:val="en-US" w:eastAsia="ja-JP"/>
        </w:rPr>
        <w:t>. [25 March 2019]</w:t>
      </w:r>
      <w:r w:rsidR="009611FF" w:rsidRPr="009611FF">
        <w:rPr>
          <w:rFonts w:eastAsiaTheme="minorEastAsia"/>
          <w:lang w:val="en-US" w:eastAsia="ja-JP"/>
        </w:rPr>
        <w:t xml:space="preserve"> </w:t>
      </w:r>
    </w:p>
    <w:p w:rsidR="00135FAA" w:rsidRDefault="00135FAA" w:rsidP="00135FAA">
      <w:pPr>
        <w:spacing w:after="0" w:line="240" w:lineRule="auto"/>
        <w:rPr>
          <w:rFonts w:eastAsiaTheme="minorEastAsia"/>
          <w:lang w:val="en-US" w:eastAsia="ja-JP"/>
        </w:rPr>
      </w:pPr>
    </w:p>
    <w:p w:rsidR="009611FF" w:rsidRPr="00100399" w:rsidRDefault="009611FF" w:rsidP="009611FF">
      <w:pPr>
        <w:spacing w:after="0" w:line="240" w:lineRule="auto"/>
        <w:rPr>
          <w:rFonts w:eastAsiaTheme="minorEastAsia"/>
          <w:lang w:val="en-US" w:eastAsia="ja-JP"/>
        </w:rPr>
      </w:pPr>
      <w:r w:rsidRPr="00100399">
        <w:rPr>
          <w:rFonts w:eastAsiaTheme="minorEastAsia"/>
          <w:lang w:val="en-US" w:eastAsia="ja-JP"/>
        </w:rPr>
        <w:t xml:space="preserve">European Parliament (2012) </w:t>
      </w:r>
      <w:r>
        <w:rPr>
          <w:rFonts w:eastAsiaTheme="minorEastAsia"/>
          <w:lang w:val="en-US" w:eastAsia="ja-JP"/>
        </w:rPr>
        <w:t>‘</w:t>
      </w:r>
      <w:r w:rsidRPr="00100399">
        <w:rPr>
          <w:rFonts w:eastAsiaTheme="minorEastAsia"/>
          <w:lang w:val="en-US" w:eastAsia="ja-JP"/>
        </w:rPr>
        <w:t>Resolution of 22 November on the External Dimension of t</w:t>
      </w:r>
      <w:r w:rsidR="00135FAA">
        <w:rPr>
          <w:rFonts w:eastAsiaTheme="minorEastAsia"/>
          <w:lang w:val="en-US" w:eastAsia="ja-JP"/>
        </w:rPr>
        <w:t>he Common Fisheries Policy’, Retrieved from</w:t>
      </w:r>
      <w:r>
        <w:rPr>
          <w:rFonts w:eastAsiaTheme="minorEastAsia"/>
          <w:lang w:val="en-US" w:eastAsia="ja-JP"/>
        </w:rPr>
        <w:t xml:space="preserve">: </w:t>
      </w:r>
      <w:r w:rsidRPr="00100399">
        <w:rPr>
          <w:rFonts w:eastAsiaTheme="minorEastAsia"/>
          <w:lang w:val="en-US" w:eastAsia="ja-JP"/>
        </w:rPr>
        <w:t>europarl.europa.eu/sides/getDoc.do?type=TA&amp;reference=P7-TA-2012-0461&amp;language=EN</w:t>
      </w:r>
      <w:r>
        <w:rPr>
          <w:rFonts w:eastAsiaTheme="minorEastAsia"/>
          <w:lang w:val="en-US" w:eastAsia="ja-JP"/>
        </w:rPr>
        <w:t>&amp;ring=A7-2012-0290 (25 March</w:t>
      </w:r>
      <w:r w:rsidRPr="00100399">
        <w:rPr>
          <w:rFonts w:eastAsiaTheme="minorEastAsia"/>
          <w:lang w:val="en-US" w:eastAsia="ja-JP"/>
        </w:rPr>
        <w:t xml:space="preserve"> 201</w:t>
      </w:r>
      <w:r>
        <w:rPr>
          <w:rFonts w:eastAsiaTheme="minorEastAsia"/>
          <w:lang w:val="en-US" w:eastAsia="ja-JP"/>
        </w:rPr>
        <w:t>9</w:t>
      </w:r>
      <w:r w:rsidRPr="00100399">
        <w:rPr>
          <w:rFonts w:eastAsiaTheme="minorEastAsia"/>
          <w:lang w:val="en-US" w:eastAsia="ja-JP"/>
        </w:rPr>
        <w:t>).</w:t>
      </w:r>
    </w:p>
    <w:p w:rsidR="00D0468F" w:rsidRDefault="00D0468F" w:rsidP="00101C30">
      <w:pPr>
        <w:spacing w:after="0" w:line="240" w:lineRule="auto"/>
        <w:rPr>
          <w:rFonts w:eastAsiaTheme="minorEastAsia" w:cstheme="minorHAnsi"/>
          <w:lang w:val="en-US" w:eastAsia="ja-JP"/>
        </w:rPr>
      </w:pPr>
    </w:p>
    <w:p w:rsidR="00101C30" w:rsidRDefault="00101C30" w:rsidP="00101C30">
      <w:pPr>
        <w:spacing w:after="0" w:line="240" w:lineRule="auto"/>
        <w:rPr>
          <w:rFonts w:eastAsiaTheme="minorEastAsia"/>
          <w:lang w:val="en-US" w:eastAsia="ja-JP"/>
        </w:rPr>
      </w:pPr>
      <w:r w:rsidRPr="00D0468F">
        <w:rPr>
          <w:rFonts w:eastAsiaTheme="minorEastAsia" w:cstheme="minorHAnsi"/>
          <w:lang w:val="en-US" w:eastAsia="ja-JP"/>
        </w:rPr>
        <w:t>European Parliament (2013) ‘European Parliament Research Service: Brief</w:t>
      </w:r>
      <w:r w:rsidR="00135FAA">
        <w:rPr>
          <w:rFonts w:eastAsiaTheme="minorEastAsia" w:cstheme="minorHAnsi"/>
          <w:lang w:val="en-US" w:eastAsia="ja-JP"/>
        </w:rPr>
        <w:t>ing, EU-Morocco FPA; Retrieved from</w:t>
      </w:r>
      <w:r w:rsidRPr="00D0468F">
        <w:rPr>
          <w:rFonts w:eastAsiaTheme="minorEastAsia" w:cstheme="minorHAnsi"/>
          <w:lang w:val="en-US" w:eastAsia="ja-JP"/>
        </w:rPr>
        <w:t>: www.europarl.europa.eu/RegData</w:t>
      </w:r>
      <w:r w:rsidRPr="00100399">
        <w:rPr>
          <w:rFonts w:eastAsiaTheme="minorEastAsia"/>
          <w:lang w:val="en-US" w:eastAsia="ja-JP"/>
        </w:rPr>
        <w:t>/bibliotheque/briefing/2013/130703/LDM_BRI%282013%</w:t>
      </w:r>
      <w:r>
        <w:rPr>
          <w:rFonts w:eastAsiaTheme="minorEastAsia"/>
          <w:lang w:val="en-US" w:eastAsia="ja-JP"/>
        </w:rPr>
        <w:t>29130703_REV1_EN.pdf (accessed May 2015</w:t>
      </w:r>
      <w:r w:rsidRPr="00100399">
        <w:rPr>
          <w:rFonts w:eastAsiaTheme="minorEastAsia"/>
          <w:lang w:val="en-US" w:eastAsia="ja-JP"/>
        </w:rPr>
        <w:t>).</w:t>
      </w:r>
    </w:p>
    <w:p w:rsidR="00101C30" w:rsidRPr="00100399" w:rsidRDefault="00101C30" w:rsidP="00101C30">
      <w:pPr>
        <w:spacing w:after="0" w:line="240" w:lineRule="auto"/>
        <w:rPr>
          <w:rFonts w:eastAsiaTheme="minorEastAsia"/>
          <w:lang w:val="en-US" w:eastAsia="ja-JP"/>
        </w:rPr>
      </w:pPr>
    </w:p>
    <w:p w:rsidR="001061AA" w:rsidRPr="001061AA" w:rsidRDefault="001061AA" w:rsidP="001061AA">
      <w:pPr>
        <w:autoSpaceDE w:val="0"/>
        <w:autoSpaceDN w:val="0"/>
        <w:adjustRightInd w:val="0"/>
        <w:spacing w:after="0" w:line="240" w:lineRule="auto"/>
        <w:rPr>
          <w:rFonts w:cstheme="minorHAnsi"/>
          <w:color w:val="000000"/>
          <w:lang w:val="en-US"/>
        </w:rPr>
      </w:pPr>
      <w:r>
        <w:rPr>
          <w:rFonts w:cstheme="minorHAnsi"/>
          <w:color w:val="000000"/>
          <w:lang w:val="en-US"/>
        </w:rPr>
        <w:t>European Parliament (2015),</w:t>
      </w:r>
      <w:r w:rsidRPr="001061AA">
        <w:rPr>
          <w:rFonts w:cstheme="minorHAnsi"/>
          <w:color w:val="000000"/>
          <w:lang w:val="en-US"/>
        </w:rPr>
        <w:t xml:space="preserve"> </w:t>
      </w:r>
      <w:r>
        <w:rPr>
          <w:rFonts w:cstheme="minorHAnsi"/>
          <w:bCs/>
          <w:color w:val="000000"/>
          <w:lang w:val="en-US"/>
        </w:rPr>
        <w:t xml:space="preserve">Report </w:t>
      </w:r>
      <w:r w:rsidRPr="001061AA">
        <w:rPr>
          <w:rFonts w:cstheme="minorHAnsi"/>
          <w:color w:val="000000"/>
          <w:lang w:val="en-US"/>
        </w:rPr>
        <w:t xml:space="preserve">on common rules in respect of application of the external </w:t>
      </w:r>
      <w:r>
        <w:rPr>
          <w:rFonts w:cstheme="minorHAnsi"/>
          <w:color w:val="000000"/>
          <w:lang w:val="en-US"/>
        </w:rPr>
        <w:t>d</w:t>
      </w:r>
      <w:r w:rsidRPr="001061AA">
        <w:rPr>
          <w:rFonts w:cstheme="minorHAnsi"/>
          <w:color w:val="000000"/>
          <w:lang w:val="en-US"/>
        </w:rPr>
        <w:t xml:space="preserve">imension of the CFP, including fisheries agreements (2015/2091(INI)) Committee on Fisheries </w:t>
      </w:r>
    </w:p>
    <w:p w:rsidR="009611FF" w:rsidRDefault="001061AA" w:rsidP="009611FF">
      <w:pPr>
        <w:spacing w:after="0" w:line="360" w:lineRule="auto"/>
        <w:rPr>
          <w:rFonts w:eastAsiaTheme="minorEastAsia"/>
          <w:lang w:val="en-US" w:eastAsia="ja-JP"/>
        </w:rPr>
      </w:pPr>
      <w:r>
        <w:rPr>
          <w:rFonts w:cstheme="minorHAnsi"/>
          <w:lang w:val="en-US"/>
        </w:rPr>
        <w:t>Rapporteur: L. Engström, March 10.</w:t>
      </w:r>
      <w:r w:rsidR="009611FF" w:rsidRPr="009611FF">
        <w:rPr>
          <w:rFonts w:eastAsiaTheme="minorEastAsia"/>
          <w:lang w:val="en-US" w:eastAsia="ja-JP"/>
        </w:rPr>
        <w:t xml:space="preserve"> </w:t>
      </w:r>
    </w:p>
    <w:p w:rsidR="009611FF" w:rsidRPr="00100399" w:rsidRDefault="009611FF" w:rsidP="009611FF">
      <w:pPr>
        <w:spacing w:after="0" w:line="240" w:lineRule="auto"/>
        <w:rPr>
          <w:rFonts w:eastAsiaTheme="minorEastAsia"/>
          <w:lang w:val="en-US" w:eastAsia="ja-JP"/>
        </w:rPr>
      </w:pPr>
      <w:r w:rsidRPr="00100399">
        <w:rPr>
          <w:rFonts w:eastAsiaTheme="minorEastAsia"/>
          <w:lang w:val="en-US" w:eastAsia="ja-JP"/>
        </w:rPr>
        <w:t xml:space="preserve">European Parliament and Council of the European Union (2013) Regulation (EU) No 1380/2013 of the </w:t>
      </w:r>
      <w:r>
        <w:rPr>
          <w:rFonts w:eastAsiaTheme="minorEastAsia"/>
          <w:lang w:val="en-US" w:eastAsia="ja-JP"/>
        </w:rPr>
        <w:t xml:space="preserve">EP </w:t>
      </w:r>
      <w:r w:rsidRPr="00100399">
        <w:rPr>
          <w:rFonts w:eastAsiaTheme="minorEastAsia"/>
          <w:lang w:val="en-US" w:eastAsia="ja-JP"/>
        </w:rPr>
        <w:t xml:space="preserve"> and of the Council of 11 December 2013 on the Common Fisherie</w:t>
      </w:r>
      <w:r>
        <w:rPr>
          <w:rFonts w:eastAsiaTheme="minorEastAsia"/>
          <w:lang w:val="en-US" w:eastAsia="ja-JP"/>
        </w:rPr>
        <w:t xml:space="preserve">s Policy. </w:t>
      </w:r>
      <w:r w:rsidR="00135FAA">
        <w:rPr>
          <w:rFonts w:eastAsiaTheme="minorEastAsia"/>
          <w:lang w:val="en-US" w:eastAsia="ja-JP"/>
        </w:rPr>
        <w:t>Retrieved from</w:t>
      </w:r>
      <w:r>
        <w:rPr>
          <w:rFonts w:eastAsiaTheme="minorEastAsia"/>
          <w:lang w:val="en-US" w:eastAsia="ja-JP"/>
        </w:rPr>
        <w:t xml:space="preserve">:  </w:t>
      </w:r>
      <w:r w:rsidRPr="00100399">
        <w:rPr>
          <w:rFonts w:eastAsiaTheme="minorEastAsia"/>
          <w:lang w:val="en-US" w:eastAsia="ja-JP"/>
        </w:rPr>
        <w:t>eur-lex.europa.eu/legal-content/EN/TXT/PDF/?uri=CELE</w:t>
      </w:r>
      <w:r>
        <w:rPr>
          <w:rFonts w:eastAsiaTheme="minorEastAsia"/>
          <w:lang w:val="en-US" w:eastAsia="ja-JP"/>
        </w:rPr>
        <w:t>X:32013R1380&amp;from=EN (accessed 7 May 2015</w:t>
      </w:r>
      <w:r w:rsidRPr="00100399">
        <w:rPr>
          <w:rFonts w:eastAsiaTheme="minorEastAsia"/>
          <w:lang w:val="en-US" w:eastAsia="ja-JP"/>
        </w:rPr>
        <w:t>).</w:t>
      </w:r>
    </w:p>
    <w:p w:rsidR="005E524F" w:rsidRPr="005E524F" w:rsidRDefault="005E524F" w:rsidP="00362AD5">
      <w:pPr>
        <w:spacing w:after="0" w:line="240" w:lineRule="auto"/>
        <w:rPr>
          <w:rFonts w:cstheme="minorHAnsi"/>
          <w:lang w:val="en-US"/>
        </w:rPr>
      </w:pPr>
    </w:p>
    <w:p w:rsidR="00BD1560" w:rsidRDefault="009611FF" w:rsidP="00362AD5">
      <w:pPr>
        <w:spacing w:after="0" w:line="240" w:lineRule="auto"/>
        <w:rPr>
          <w:rStyle w:val="pagerange"/>
          <w:lang w:val="en-US"/>
        </w:rPr>
      </w:pPr>
      <w:r>
        <w:rPr>
          <w:rStyle w:val="authors"/>
          <w:lang w:val="en-US"/>
        </w:rPr>
        <w:t>G</w:t>
      </w:r>
      <w:r w:rsidR="00BD1560" w:rsidRPr="00BD1560">
        <w:rPr>
          <w:rStyle w:val="authors"/>
          <w:lang w:val="en-US"/>
        </w:rPr>
        <w:t>egout</w:t>
      </w:r>
      <w:r w:rsidR="00BD1560" w:rsidRPr="00BD1560">
        <w:rPr>
          <w:lang w:val="en-US"/>
        </w:rPr>
        <w:t xml:space="preserve"> </w:t>
      </w:r>
      <w:r>
        <w:rPr>
          <w:lang w:val="en-US"/>
        </w:rPr>
        <w:t xml:space="preserve">C. </w:t>
      </w:r>
      <w:r w:rsidR="00BD1560" w:rsidRPr="00BD1560">
        <w:rPr>
          <w:rStyle w:val="Datum1"/>
          <w:lang w:val="en-US"/>
        </w:rPr>
        <w:t>(2016)</w:t>
      </w:r>
      <w:r w:rsidR="00BD1560" w:rsidRPr="00BD1560">
        <w:rPr>
          <w:lang w:val="en-US"/>
        </w:rPr>
        <w:t xml:space="preserve"> </w:t>
      </w:r>
      <w:r w:rsidR="00BD1560" w:rsidRPr="00BD1560">
        <w:rPr>
          <w:rStyle w:val="arttitle"/>
          <w:lang w:val="en-US"/>
        </w:rPr>
        <w:t>Unethical power Europe? Something fishy about EU trade and development policies,</w:t>
      </w:r>
      <w:r w:rsidR="00BD1560" w:rsidRPr="00BD1560">
        <w:rPr>
          <w:lang w:val="en-US"/>
        </w:rPr>
        <w:t xml:space="preserve"> </w:t>
      </w:r>
      <w:r w:rsidR="00BD1560" w:rsidRPr="00665E9D">
        <w:rPr>
          <w:rStyle w:val="serialtitle"/>
          <w:i/>
          <w:lang w:val="en-US"/>
        </w:rPr>
        <w:t>Third World Quarterly,</w:t>
      </w:r>
      <w:r w:rsidR="00BD1560" w:rsidRPr="00BD1560">
        <w:rPr>
          <w:lang w:val="en-US"/>
        </w:rPr>
        <w:t xml:space="preserve"> </w:t>
      </w:r>
      <w:r w:rsidR="00BD1560" w:rsidRPr="00BD1560">
        <w:rPr>
          <w:rStyle w:val="volumeissue"/>
          <w:lang w:val="en-US"/>
        </w:rPr>
        <w:t>37</w:t>
      </w:r>
      <w:r w:rsidR="00665E9D">
        <w:rPr>
          <w:rStyle w:val="volumeissue"/>
          <w:lang w:val="en-US"/>
        </w:rPr>
        <w:t xml:space="preserve"> (</w:t>
      </w:r>
      <w:r w:rsidR="00BD1560" w:rsidRPr="00BD1560">
        <w:rPr>
          <w:rStyle w:val="volumeissue"/>
          <w:lang w:val="en-US"/>
        </w:rPr>
        <w:t>12</w:t>
      </w:r>
      <w:r w:rsidR="00665E9D">
        <w:rPr>
          <w:rStyle w:val="volumeissue"/>
          <w:lang w:val="en-US"/>
        </w:rPr>
        <w:t>)</w:t>
      </w:r>
      <w:r w:rsidR="00BD1560" w:rsidRPr="00BD1560">
        <w:rPr>
          <w:rStyle w:val="volumeissue"/>
          <w:lang w:val="en-US"/>
        </w:rPr>
        <w:t>,</w:t>
      </w:r>
      <w:r w:rsidR="00BD1560" w:rsidRPr="00BD1560">
        <w:rPr>
          <w:lang w:val="en-US"/>
        </w:rPr>
        <w:t xml:space="preserve"> </w:t>
      </w:r>
      <w:r w:rsidR="00BD1560" w:rsidRPr="00BD1560">
        <w:rPr>
          <w:rStyle w:val="pagerange"/>
          <w:lang w:val="en-US"/>
        </w:rPr>
        <w:t>2192-2210</w:t>
      </w:r>
      <w:r w:rsidR="00665E9D">
        <w:rPr>
          <w:rStyle w:val="pagerange"/>
          <w:lang w:val="en-US"/>
        </w:rPr>
        <w:t>.</w:t>
      </w:r>
    </w:p>
    <w:p w:rsidR="005E524F" w:rsidRDefault="005E524F" w:rsidP="00362AD5">
      <w:pPr>
        <w:spacing w:after="0" w:line="240" w:lineRule="auto"/>
        <w:rPr>
          <w:rFonts w:cstheme="minorHAnsi"/>
          <w:lang w:val="en-US"/>
        </w:rPr>
      </w:pPr>
    </w:p>
    <w:p w:rsidR="00147E2A" w:rsidRPr="00135FAA" w:rsidRDefault="00147E2A" w:rsidP="00362AD5">
      <w:pPr>
        <w:spacing w:after="0" w:line="240" w:lineRule="auto"/>
        <w:rPr>
          <w:rStyle w:val="st"/>
          <w:lang w:val="en-US"/>
        </w:rPr>
      </w:pPr>
      <w:r w:rsidRPr="00147E2A">
        <w:rPr>
          <w:rStyle w:val="Hervorhebung"/>
          <w:i w:val="0"/>
          <w:lang w:val="en-US"/>
        </w:rPr>
        <w:t>Greene</w:t>
      </w:r>
      <w:r>
        <w:rPr>
          <w:rStyle w:val="st"/>
          <w:i/>
          <w:lang w:val="en-US"/>
        </w:rPr>
        <w:t xml:space="preserve"> </w:t>
      </w:r>
      <w:r>
        <w:rPr>
          <w:rStyle w:val="st"/>
          <w:lang w:val="en-US"/>
        </w:rPr>
        <w:t>D. and</w:t>
      </w:r>
      <w:r w:rsidRPr="00147E2A">
        <w:rPr>
          <w:rStyle w:val="st"/>
          <w:lang w:val="en-US"/>
        </w:rPr>
        <w:t xml:space="preserve"> </w:t>
      </w:r>
      <w:r w:rsidRPr="00147E2A">
        <w:rPr>
          <w:rStyle w:val="Hervorhebung"/>
          <w:i w:val="0"/>
          <w:lang w:val="en-US"/>
        </w:rPr>
        <w:t>Cross</w:t>
      </w:r>
      <w:r>
        <w:rPr>
          <w:rStyle w:val="st"/>
          <w:lang w:val="en-US"/>
        </w:rPr>
        <w:t xml:space="preserve"> J.P. (2015),</w:t>
      </w:r>
      <w:r w:rsidRPr="00147E2A">
        <w:rPr>
          <w:rStyle w:val="st"/>
          <w:i/>
          <w:lang w:val="en-US"/>
        </w:rPr>
        <w:t xml:space="preserve"> </w:t>
      </w:r>
      <w:r w:rsidRPr="00147E2A">
        <w:rPr>
          <w:rStyle w:val="Hervorhebung"/>
          <w:i w:val="0"/>
          <w:lang w:val="en-US"/>
        </w:rPr>
        <w:t>Unveiling</w:t>
      </w:r>
      <w:r w:rsidRPr="00147E2A">
        <w:rPr>
          <w:rStyle w:val="st"/>
          <w:i/>
          <w:lang w:val="en-US"/>
        </w:rPr>
        <w:t xml:space="preserve"> </w:t>
      </w:r>
      <w:r w:rsidRPr="00147E2A">
        <w:rPr>
          <w:rStyle w:val="st"/>
          <w:lang w:val="en-US"/>
        </w:rPr>
        <w:t>the</w:t>
      </w:r>
      <w:r w:rsidRPr="00147E2A">
        <w:rPr>
          <w:rStyle w:val="st"/>
          <w:i/>
          <w:lang w:val="en-US"/>
        </w:rPr>
        <w:t xml:space="preserve"> </w:t>
      </w:r>
      <w:r w:rsidRPr="00147E2A">
        <w:rPr>
          <w:rStyle w:val="Hervorhebung"/>
          <w:i w:val="0"/>
          <w:lang w:val="en-US"/>
        </w:rPr>
        <w:t>Political Agenda</w:t>
      </w:r>
      <w:r w:rsidRPr="00147E2A">
        <w:rPr>
          <w:rStyle w:val="st"/>
          <w:lang w:val="en-US"/>
        </w:rPr>
        <w:t xml:space="preserve"> of the European Parliament Plenary: A </w:t>
      </w:r>
      <w:r w:rsidRPr="00147E2A">
        <w:rPr>
          <w:rStyle w:val="Hervorhebung"/>
          <w:i w:val="0"/>
          <w:lang w:val="en-US"/>
        </w:rPr>
        <w:t>Topical</w:t>
      </w:r>
      <w:r w:rsidRPr="00147E2A">
        <w:rPr>
          <w:rStyle w:val="st"/>
          <w:i/>
          <w:lang w:val="en-US"/>
        </w:rPr>
        <w:t xml:space="preserve"> </w:t>
      </w:r>
      <w:r w:rsidRPr="00147E2A">
        <w:rPr>
          <w:rStyle w:val="st"/>
          <w:lang w:val="en-US"/>
        </w:rPr>
        <w:t xml:space="preserve">Analysis. </w:t>
      </w:r>
      <w:r>
        <w:rPr>
          <w:rStyle w:val="st"/>
          <w:lang w:val="en-US"/>
        </w:rPr>
        <w:t xml:space="preserve">Proceedings of the ACM Web Conference; </w:t>
      </w:r>
      <w:r w:rsidR="00135FAA">
        <w:rPr>
          <w:rStyle w:val="st"/>
          <w:lang w:val="en-US"/>
        </w:rPr>
        <w:t xml:space="preserve">Retrieved from: </w:t>
      </w:r>
      <w:r w:rsidRPr="00135FAA">
        <w:rPr>
          <w:rStyle w:val="Hyperlink"/>
          <w:color w:val="auto"/>
          <w:u w:val="none"/>
          <w:lang w:val="en-US"/>
        </w:rPr>
        <w:t>https://insight-centre.org/sites/default/files/publications/unveiling_the_political_agenda_</w:t>
      </w:r>
      <w:r w:rsidR="00135FAA">
        <w:rPr>
          <w:rStyle w:val="Hyperlink"/>
          <w:color w:val="auto"/>
          <w:u w:val="none"/>
          <w:lang w:val="en-US"/>
        </w:rPr>
        <w:t>of_the_european_parliament.pdf [</w:t>
      </w:r>
      <w:r w:rsidRPr="00135FAA">
        <w:rPr>
          <w:rStyle w:val="Hyperlink"/>
          <w:color w:val="auto"/>
          <w:u w:val="none"/>
          <w:lang w:val="en-US"/>
        </w:rPr>
        <w:t>29</w:t>
      </w:r>
      <w:r w:rsidRPr="00135FAA">
        <w:rPr>
          <w:rStyle w:val="st"/>
          <w:lang w:val="en-US"/>
        </w:rPr>
        <w:t xml:space="preserve"> March 2019].</w:t>
      </w:r>
    </w:p>
    <w:p w:rsidR="00147E2A" w:rsidRPr="00147E2A" w:rsidRDefault="00147E2A" w:rsidP="00362AD5">
      <w:pPr>
        <w:spacing w:after="0" w:line="240" w:lineRule="auto"/>
        <w:rPr>
          <w:rStyle w:val="st"/>
          <w:lang w:val="en-US"/>
        </w:rPr>
      </w:pPr>
    </w:p>
    <w:p w:rsidR="00FF242C" w:rsidRDefault="00701FF2" w:rsidP="00362AD5">
      <w:pPr>
        <w:spacing w:after="0" w:line="240" w:lineRule="auto"/>
        <w:rPr>
          <w:rFonts w:eastAsiaTheme="minorEastAsia" w:cstheme="minorHAnsi"/>
          <w:lang w:val="en-US" w:eastAsia="ja-JP"/>
        </w:rPr>
      </w:pPr>
      <w:r w:rsidRPr="005E524F">
        <w:rPr>
          <w:rFonts w:cstheme="minorHAnsi"/>
          <w:lang w:val="en-US"/>
        </w:rPr>
        <w:t xml:space="preserve">Griffin, Liza, 2013. </w:t>
      </w:r>
      <w:r w:rsidRPr="005E524F">
        <w:rPr>
          <w:rFonts w:cstheme="minorHAnsi"/>
          <w:i/>
          <w:iCs/>
          <w:lang w:val="en-US"/>
        </w:rPr>
        <w:t>Good Governance, Scale and Power: A Case Study of North Sea Fisheries</w:t>
      </w:r>
      <w:r w:rsidRPr="005E524F">
        <w:rPr>
          <w:rFonts w:cstheme="minorHAnsi"/>
          <w:lang w:val="en-US"/>
        </w:rPr>
        <w:t>. New York: Routledge.</w:t>
      </w:r>
      <w:r w:rsidR="00FF242C" w:rsidRPr="005E524F">
        <w:rPr>
          <w:rFonts w:eastAsiaTheme="minorEastAsia" w:cstheme="minorHAnsi"/>
          <w:lang w:val="en-US" w:eastAsia="ja-JP"/>
        </w:rPr>
        <w:t xml:space="preserve"> </w:t>
      </w:r>
    </w:p>
    <w:p w:rsidR="005E524F" w:rsidRPr="005E524F" w:rsidRDefault="005E524F" w:rsidP="00362AD5">
      <w:pPr>
        <w:spacing w:after="0" w:line="240" w:lineRule="auto"/>
        <w:rPr>
          <w:rFonts w:eastAsiaTheme="minorEastAsia" w:cstheme="minorHAnsi"/>
          <w:lang w:val="en-US" w:eastAsia="ja-JP"/>
        </w:rPr>
      </w:pPr>
    </w:p>
    <w:p w:rsidR="001061AA" w:rsidRPr="005E524F" w:rsidRDefault="00FF7FAB" w:rsidP="00362AD5">
      <w:pPr>
        <w:spacing w:after="0" w:line="240" w:lineRule="auto"/>
        <w:rPr>
          <w:rFonts w:cstheme="minorHAnsi"/>
          <w:lang w:val="en-US"/>
        </w:rPr>
      </w:pPr>
      <w:r w:rsidRPr="005E524F">
        <w:rPr>
          <w:rFonts w:cstheme="minorHAnsi"/>
          <w:lang w:val="en-US"/>
        </w:rPr>
        <w:t xml:space="preserve">Hooghe, L., &amp; Marks, G. (2009). A postfunctionalist theory of European integration: From permissive consensus to constraining dissensus. </w:t>
      </w:r>
      <w:r w:rsidRPr="00665E9D">
        <w:rPr>
          <w:rFonts w:cstheme="minorHAnsi"/>
          <w:i/>
          <w:lang w:val="en-US"/>
        </w:rPr>
        <w:t>British Journal of Political Science</w:t>
      </w:r>
      <w:r w:rsidRPr="005E524F">
        <w:rPr>
          <w:rFonts w:cstheme="minorHAnsi"/>
          <w:lang w:val="en-US"/>
        </w:rPr>
        <w:t xml:space="preserve">, 39(01), 1-23. </w:t>
      </w:r>
    </w:p>
    <w:p w:rsidR="005E524F" w:rsidRDefault="005E524F" w:rsidP="005E524F">
      <w:pPr>
        <w:pStyle w:val="Default"/>
        <w:rPr>
          <w:rFonts w:asciiTheme="minorHAnsi" w:hAnsiTheme="minorHAnsi" w:cstheme="minorHAnsi"/>
          <w:sz w:val="22"/>
          <w:szCs w:val="22"/>
          <w:lang w:val="en-US"/>
        </w:rPr>
      </w:pPr>
    </w:p>
    <w:p w:rsidR="00101C30" w:rsidRDefault="00101C30" w:rsidP="00101C30">
      <w:pPr>
        <w:spacing w:after="0" w:line="240" w:lineRule="auto"/>
        <w:rPr>
          <w:rFonts w:eastAsiaTheme="minorEastAsia"/>
          <w:lang w:val="en-US" w:eastAsia="ja-JP"/>
        </w:rPr>
      </w:pPr>
      <w:r w:rsidRPr="00100399">
        <w:rPr>
          <w:rFonts w:eastAsiaTheme="minorEastAsia"/>
          <w:lang w:val="en-US" w:eastAsia="ja-JP"/>
        </w:rPr>
        <w:t>Jönsson</w:t>
      </w:r>
      <w:r>
        <w:rPr>
          <w:rFonts w:eastAsiaTheme="minorEastAsia"/>
          <w:lang w:val="en-US" w:eastAsia="ja-JP"/>
        </w:rPr>
        <w:t>,</w:t>
      </w:r>
      <w:r w:rsidRPr="00100399">
        <w:rPr>
          <w:rFonts w:eastAsiaTheme="minorEastAsia"/>
          <w:lang w:val="en-US" w:eastAsia="ja-JP"/>
        </w:rPr>
        <w:t xml:space="preserve"> H</w:t>
      </w:r>
      <w:r>
        <w:rPr>
          <w:rFonts w:eastAsiaTheme="minorEastAsia"/>
          <w:lang w:val="en-US" w:eastAsia="ja-JP"/>
        </w:rPr>
        <w:t>.</w:t>
      </w:r>
      <w:r w:rsidRPr="00100399">
        <w:rPr>
          <w:rFonts w:eastAsiaTheme="minorEastAsia"/>
          <w:lang w:val="en-US" w:eastAsia="ja-JP"/>
        </w:rPr>
        <w:t xml:space="preserve"> (2012) </w:t>
      </w:r>
      <w:r w:rsidRPr="00380CFD">
        <w:rPr>
          <w:rFonts w:eastAsiaTheme="minorEastAsia"/>
          <w:i/>
          <w:lang w:val="en-US" w:eastAsia="ja-JP"/>
        </w:rPr>
        <w:t>The EU-Moroccan Fisheries Partnership Agreement. A process-tracing case study of the Potential Extension in 2011</w:t>
      </w:r>
      <w:r w:rsidRPr="00100399">
        <w:rPr>
          <w:rFonts w:eastAsiaTheme="minorEastAsia"/>
          <w:lang w:val="en-US" w:eastAsia="ja-JP"/>
        </w:rPr>
        <w:t xml:space="preserve">. Report, Lund University </w:t>
      </w:r>
      <w:r>
        <w:rPr>
          <w:rFonts w:eastAsiaTheme="minorEastAsia"/>
          <w:lang w:val="en-US" w:eastAsia="ja-JP"/>
        </w:rPr>
        <w:t>Department of Political Science</w:t>
      </w:r>
      <w:r w:rsidRPr="00100399">
        <w:rPr>
          <w:rFonts w:eastAsiaTheme="minorEastAsia"/>
          <w:lang w:val="en-US" w:eastAsia="ja-JP"/>
        </w:rPr>
        <w:t>.</w:t>
      </w:r>
    </w:p>
    <w:p w:rsidR="00101C30" w:rsidRPr="00100399" w:rsidRDefault="00101C30" w:rsidP="00101C30">
      <w:pPr>
        <w:spacing w:after="0" w:line="240" w:lineRule="auto"/>
        <w:rPr>
          <w:rFonts w:eastAsiaTheme="minorEastAsia"/>
          <w:lang w:val="en-US" w:eastAsia="ja-JP"/>
        </w:rPr>
      </w:pPr>
    </w:p>
    <w:p w:rsidR="005E524F" w:rsidRPr="005E524F" w:rsidRDefault="005E524F" w:rsidP="005E524F">
      <w:pPr>
        <w:pStyle w:val="Default"/>
        <w:rPr>
          <w:rFonts w:asciiTheme="minorHAnsi" w:hAnsiTheme="minorHAnsi" w:cstheme="minorHAnsi"/>
          <w:sz w:val="22"/>
          <w:szCs w:val="22"/>
          <w:lang w:val="en-US"/>
        </w:rPr>
      </w:pPr>
      <w:r>
        <w:rPr>
          <w:rFonts w:asciiTheme="minorHAnsi" w:hAnsiTheme="minorHAnsi" w:cstheme="minorHAnsi"/>
          <w:sz w:val="22"/>
          <w:szCs w:val="22"/>
          <w:lang w:val="en-US"/>
        </w:rPr>
        <w:t>LDAC (2015),</w:t>
      </w:r>
      <w:r w:rsidRPr="005E524F">
        <w:rPr>
          <w:rFonts w:asciiTheme="minorHAnsi" w:hAnsiTheme="minorHAnsi" w:cstheme="minorHAnsi"/>
          <w:sz w:val="22"/>
          <w:szCs w:val="22"/>
          <w:lang w:val="en-US"/>
        </w:rPr>
        <w:t xml:space="preserve"> </w:t>
      </w:r>
      <w:r w:rsidRPr="005E524F">
        <w:rPr>
          <w:rFonts w:asciiTheme="minorHAnsi" w:hAnsiTheme="minorHAnsi" w:cstheme="minorHAnsi"/>
          <w:bCs/>
          <w:sz w:val="22"/>
          <w:szCs w:val="22"/>
          <w:lang w:val="en-US"/>
        </w:rPr>
        <w:t>R</w:t>
      </w:r>
      <w:r>
        <w:rPr>
          <w:rFonts w:asciiTheme="minorHAnsi" w:hAnsiTheme="minorHAnsi" w:cstheme="minorHAnsi"/>
          <w:bCs/>
          <w:sz w:val="22"/>
          <w:szCs w:val="22"/>
          <w:lang w:val="en-US"/>
        </w:rPr>
        <w:t xml:space="preserve">ecommendations </w:t>
      </w:r>
      <w:r w:rsidRPr="005E524F">
        <w:rPr>
          <w:rFonts w:asciiTheme="minorHAnsi" w:hAnsiTheme="minorHAnsi" w:cstheme="minorHAnsi"/>
          <w:bCs/>
          <w:sz w:val="22"/>
          <w:szCs w:val="22"/>
          <w:lang w:val="en-US"/>
        </w:rPr>
        <w:t>LDAC C</w:t>
      </w:r>
      <w:r>
        <w:rPr>
          <w:rFonts w:asciiTheme="minorHAnsi" w:hAnsiTheme="minorHAnsi" w:cstheme="minorHAnsi"/>
          <w:bCs/>
          <w:sz w:val="22"/>
          <w:szCs w:val="22"/>
          <w:lang w:val="en-US"/>
        </w:rPr>
        <w:t>onference on External Dimension of the</w:t>
      </w:r>
      <w:r w:rsidRPr="005E524F">
        <w:rPr>
          <w:rFonts w:asciiTheme="minorHAnsi" w:hAnsiTheme="minorHAnsi" w:cstheme="minorHAnsi"/>
          <w:bCs/>
          <w:sz w:val="22"/>
          <w:szCs w:val="22"/>
          <w:lang w:val="en-US"/>
        </w:rPr>
        <w:t xml:space="preserve"> CFP</w:t>
      </w:r>
    </w:p>
    <w:p w:rsidR="00FF7FAB" w:rsidRPr="005E524F" w:rsidRDefault="005E524F" w:rsidP="005E524F">
      <w:pPr>
        <w:spacing w:after="0" w:line="240" w:lineRule="auto"/>
        <w:rPr>
          <w:rFonts w:cstheme="minorHAnsi"/>
          <w:i/>
          <w:lang w:val="en-US"/>
        </w:rPr>
      </w:pPr>
      <w:r>
        <w:rPr>
          <w:rFonts w:cstheme="minorHAnsi"/>
          <w:bCs/>
          <w:color w:val="000000"/>
          <w:lang w:val="en-US"/>
        </w:rPr>
        <w:t>Las Palmas</w:t>
      </w:r>
      <w:r w:rsidRPr="005E524F">
        <w:rPr>
          <w:rFonts w:cstheme="minorHAnsi"/>
          <w:bCs/>
          <w:color w:val="000000"/>
          <w:lang w:val="en-US"/>
        </w:rPr>
        <w:t>, 16-17 September2015</w:t>
      </w:r>
      <w:r w:rsidR="00CD3547">
        <w:rPr>
          <w:rStyle w:val="HTMLZitat"/>
          <w:rFonts w:cstheme="minorHAnsi"/>
          <w:i w:val="0"/>
          <w:lang w:val="en-US"/>
        </w:rPr>
        <w:t>;</w:t>
      </w:r>
      <w:r w:rsidRPr="005E524F">
        <w:rPr>
          <w:rStyle w:val="HTMLZitat"/>
          <w:rFonts w:cstheme="minorHAnsi"/>
          <w:i w:val="0"/>
          <w:lang w:val="en-US"/>
        </w:rPr>
        <w:t xml:space="preserve"> </w:t>
      </w:r>
      <w:r w:rsidR="00135FAA">
        <w:rPr>
          <w:rStyle w:val="HTMLZitat"/>
          <w:rFonts w:cstheme="minorHAnsi"/>
          <w:i w:val="0"/>
          <w:lang w:val="en-US"/>
        </w:rPr>
        <w:t xml:space="preserve">Retrieved from: </w:t>
      </w:r>
      <w:r w:rsidR="001061AA" w:rsidRPr="005E524F">
        <w:rPr>
          <w:rStyle w:val="HTMLZitat"/>
          <w:rFonts w:cstheme="minorHAnsi"/>
          <w:i w:val="0"/>
          <w:lang w:val="en-US"/>
        </w:rPr>
        <w:t>ldac.chil.me/download-doc/66268</w:t>
      </w:r>
      <w:r>
        <w:rPr>
          <w:rStyle w:val="HTMLZitat"/>
          <w:rFonts w:cstheme="minorHAnsi"/>
          <w:i w:val="0"/>
          <w:lang w:val="en-US"/>
        </w:rPr>
        <w:t>.</w:t>
      </w:r>
    </w:p>
    <w:p w:rsidR="005E524F" w:rsidRDefault="005E524F" w:rsidP="00D62BE9">
      <w:pPr>
        <w:autoSpaceDE w:val="0"/>
        <w:autoSpaceDN w:val="0"/>
        <w:adjustRightInd w:val="0"/>
        <w:spacing w:after="0" w:line="240" w:lineRule="auto"/>
        <w:rPr>
          <w:rFonts w:eastAsiaTheme="minorEastAsia" w:cstheme="minorHAnsi"/>
          <w:lang w:val="en-US" w:eastAsia="ja-JP"/>
        </w:rPr>
      </w:pPr>
    </w:p>
    <w:p w:rsidR="00D62BE9" w:rsidRPr="005E524F" w:rsidRDefault="00FF242C" w:rsidP="00D62BE9">
      <w:pPr>
        <w:autoSpaceDE w:val="0"/>
        <w:autoSpaceDN w:val="0"/>
        <w:adjustRightInd w:val="0"/>
        <w:spacing w:after="0" w:line="240" w:lineRule="auto"/>
        <w:rPr>
          <w:rFonts w:cstheme="minorHAnsi"/>
          <w:i/>
          <w:iCs/>
          <w:lang w:val="en-US"/>
        </w:rPr>
      </w:pPr>
      <w:r w:rsidRPr="005E524F">
        <w:rPr>
          <w:rFonts w:eastAsiaTheme="minorEastAsia" w:cstheme="minorHAnsi"/>
          <w:lang w:val="en-US" w:eastAsia="ja-JP"/>
        </w:rPr>
        <w:t>Lövin, I. (2012)</w:t>
      </w:r>
      <w:r w:rsidR="00665E9D">
        <w:rPr>
          <w:rFonts w:eastAsiaTheme="minorEastAsia" w:cstheme="minorHAnsi"/>
          <w:lang w:val="en-US" w:eastAsia="ja-JP"/>
        </w:rPr>
        <w:t>.</w:t>
      </w:r>
      <w:r w:rsidRPr="005E524F">
        <w:rPr>
          <w:rFonts w:eastAsiaTheme="minorEastAsia" w:cstheme="minorHAnsi"/>
          <w:lang w:val="en-US" w:eastAsia="ja-JP"/>
        </w:rPr>
        <w:t xml:space="preserve"> </w:t>
      </w:r>
      <w:r w:rsidRPr="00665E9D">
        <w:rPr>
          <w:rFonts w:eastAsiaTheme="minorEastAsia" w:cstheme="minorHAnsi"/>
          <w:i/>
          <w:lang w:val="en-US" w:eastAsia="ja-JP"/>
        </w:rPr>
        <w:t>Silent Seas. The Fish Race to the Bottom</w:t>
      </w:r>
      <w:r w:rsidRPr="005E524F">
        <w:rPr>
          <w:rFonts w:eastAsiaTheme="minorEastAsia" w:cstheme="minorHAnsi"/>
          <w:lang w:val="en-US" w:eastAsia="ja-JP"/>
        </w:rPr>
        <w:t>. Rothersthorpe: Paragon Publishing.</w:t>
      </w:r>
      <w:r w:rsidR="00D62BE9" w:rsidRPr="005E524F">
        <w:rPr>
          <w:rFonts w:cstheme="minorHAnsi"/>
          <w:i/>
          <w:iCs/>
          <w:lang w:val="en-US"/>
        </w:rPr>
        <w:t xml:space="preserve"> </w:t>
      </w:r>
    </w:p>
    <w:p w:rsidR="005E524F" w:rsidRDefault="005E524F" w:rsidP="00D62BE9">
      <w:pPr>
        <w:autoSpaceDE w:val="0"/>
        <w:autoSpaceDN w:val="0"/>
        <w:adjustRightInd w:val="0"/>
        <w:spacing w:after="0" w:line="240" w:lineRule="auto"/>
        <w:rPr>
          <w:rFonts w:cstheme="minorHAnsi"/>
          <w:iCs/>
          <w:lang w:val="en-US"/>
        </w:rPr>
      </w:pPr>
    </w:p>
    <w:p w:rsidR="00D62BE9" w:rsidRPr="00D62BE9" w:rsidRDefault="00D62BE9" w:rsidP="00D62BE9">
      <w:pPr>
        <w:autoSpaceDE w:val="0"/>
        <w:autoSpaceDN w:val="0"/>
        <w:adjustRightInd w:val="0"/>
        <w:spacing w:after="0" w:line="240" w:lineRule="auto"/>
        <w:rPr>
          <w:rFonts w:cstheme="minorHAnsi"/>
          <w:iCs/>
          <w:lang w:val="en-US"/>
        </w:rPr>
      </w:pPr>
      <w:r w:rsidRPr="00D62BE9">
        <w:rPr>
          <w:rFonts w:cstheme="minorHAnsi"/>
          <w:iCs/>
          <w:lang w:val="en-US"/>
        </w:rPr>
        <w:t>Milano, E. (2006). The New Fisheries Partnership Agreement between the European</w:t>
      </w:r>
    </w:p>
    <w:p w:rsidR="00D62BE9" w:rsidRPr="00665E9D" w:rsidRDefault="00D62BE9" w:rsidP="00D62BE9">
      <w:pPr>
        <w:autoSpaceDE w:val="0"/>
        <w:autoSpaceDN w:val="0"/>
        <w:adjustRightInd w:val="0"/>
        <w:spacing w:after="0" w:line="240" w:lineRule="auto"/>
        <w:rPr>
          <w:rFonts w:cstheme="minorHAnsi"/>
          <w:i/>
          <w:iCs/>
          <w:lang w:val="fr-FR"/>
        </w:rPr>
      </w:pPr>
      <w:r w:rsidRPr="00D62BE9">
        <w:rPr>
          <w:rFonts w:cstheme="minorHAnsi"/>
          <w:iCs/>
          <w:lang w:val="en-US"/>
        </w:rPr>
        <w:t xml:space="preserve">Community and the Kingdom of Morocco: Fishing too South? </w:t>
      </w:r>
      <w:r w:rsidRPr="00665E9D">
        <w:rPr>
          <w:rFonts w:cstheme="minorHAnsi"/>
          <w:i/>
          <w:iCs/>
          <w:lang w:val="fr-FR"/>
        </w:rPr>
        <w:t xml:space="preserve">Anuario </w:t>
      </w:r>
      <w:r w:rsidR="00665E9D">
        <w:rPr>
          <w:rFonts w:cstheme="minorHAnsi"/>
          <w:i/>
          <w:iCs/>
          <w:lang w:val="fr-FR"/>
        </w:rPr>
        <w:t xml:space="preserve">Espanol </w:t>
      </w:r>
      <w:r w:rsidRPr="00665E9D">
        <w:rPr>
          <w:rFonts w:cstheme="minorHAnsi"/>
          <w:i/>
          <w:iCs/>
          <w:lang w:val="fr-FR"/>
        </w:rPr>
        <w:t>de Derecho</w:t>
      </w:r>
    </w:p>
    <w:p w:rsidR="00D43490" w:rsidRDefault="00D62BE9" w:rsidP="00101C30">
      <w:pPr>
        <w:spacing w:after="0" w:line="480" w:lineRule="auto"/>
        <w:rPr>
          <w:lang w:val="fr-FR"/>
        </w:rPr>
      </w:pPr>
      <w:r w:rsidRPr="00665E9D">
        <w:rPr>
          <w:rFonts w:cstheme="minorHAnsi"/>
          <w:i/>
          <w:iCs/>
          <w:lang w:val="fr-FR"/>
        </w:rPr>
        <w:t>Internacional</w:t>
      </w:r>
      <w:r w:rsidRPr="00101C30">
        <w:rPr>
          <w:rFonts w:cstheme="minorHAnsi"/>
          <w:iCs/>
          <w:lang w:val="fr-FR"/>
        </w:rPr>
        <w:t xml:space="preserve"> 22</w:t>
      </w:r>
      <w:r w:rsidR="00665E9D">
        <w:rPr>
          <w:rFonts w:eastAsiaTheme="minorEastAsia"/>
          <w:lang w:val="fr-FR" w:eastAsia="ja-JP"/>
        </w:rPr>
        <w:t>, 413-57.</w:t>
      </w:r>
      <w:r w:rsidR="00D43490" w:rsidRPr="00D43490">
        <w:rPr>
          <w:lang w:val="fr-FR"/>
        </w:rPr>
        <w:t xml:space="preserve"> </w:t>
      </w:r>
    </w:p>
    <w:p w:rsidR="00101C30" w:rsidRDefault="00D43490" w:rsidP="00D43490">
      <w:pPr>
        <w:spacing w:after="0" w:line="240" w:lineRule="auto"/>
        <w:rPr>
          <w:rFonts w:eastAsiaTheme="minorEastAsia"/>
          <w:lang w:val="fr-FR" w:eastAsia="ja-JP"/>
        </w:rPr>
      </w:pPr>
      <w:r>
        <w:rPr>
          <w:lang w:val="fr-FR"/>
        </w:rPr>
        <w:t xml:space="preserve">North Africa Post (2015), Mauritania signs…., 11 July; </w:t>
      </w:r>
      <w:r w:rsidR="00135FAA">
        <w:rPr>
          <w:lang w:val="fr-FR"/>
        </w:rPr>
        <w:t xml:space="preserve">Retireved from : </w:t>
      </w:r>
      <w:r w:rsidRPr="00135FAA">
        <w:rPr>
          <w:rFonts w:eastAsiaTheme="minorEastAsia"/>
          <w:lang w:val="fr-FR" w:eastAsia="ja-JP"/>
        </w:rPr>
        <w:t>http://northafricapost.com/8383-mauritania-signs-win-win-fishing-agreement-with-eu.html</w:t>
      </w:r>
      <w:r>
        <w:rPr>
          <w:rFonts w:eastAsiaTheme="minorEastAsia"/>
          <w:lang w:val="fr-FR" w:eastAsia="ja-JP"/>
        </w:rPr>
        <w:t xml:space="preserve"> [accessed 31 March 2019]</w:t>
      </w:r>
    </w:p>
    <w:p w:rsidR="00D43490" w:rsidRDefault="00D43490" w:rsidP="00D43490">
      <w:pPr>
        <w:spacing w:after="0" w:line="240" w:lineRule="auto"/>
        <w:rPr>
          <w:rFonts w:eastAsiaTheme="minorEastAsia"/>
          <w:lang w:val="fr-FR" w:eastAsia="ja-JP"/>
        </w:rPr>
      </w:pPr>
    </w:p>
    <w:p w:rsidR="00101C30" w:rsidRPr="00005649" w:rsidRDefault="00101C30" w:rsidP="00005649">
      <w:pPr>
        <w:spacing w:after="0" w:line="240" w:lineRule="auto"/>
        <w:rPr>
          <w:rFonts w:eastAsiaTheme="minorEastAsia" w:cstheme="minorHAnsi"/>
          <w:lang w:val="fr-FR" w:eastAsia="ja-JP"/>
        </w:rPr>
      </w:pPr>
      <w:r w:rsidRPr="00E724C5">
        <w:rPr>
          <w:rFonts w:eastAsiaTheme="minorEastAsia"/>
          <w:lang w:val="fr-FR" w:eastAsia="ja-JP"/>
        </w:rPr>
        <w:t>Océanic Développement (201</w:t>
      </w:r>
      <w:r>
        <w:rPr>
          <w:rFonts w:eastAsiaTheme="minorEastAsia"/>
          <w:lang w:val="fr-FR" w:eastAsia="ja-JP"/>
        </w:rPr>
        <w:t>0</w:t>
      </w:r>
      <w:r w:rsidRPr="00E724C5">
        <w:rPr>
          <w:rFonts w:eastAsiaTheme="minorEastAsia"/>
          <w:lang w:val="fr-FR" w:eastAsia="ja-JP"/>
        </w:rPr>
        <w:t xml:space="preserve">) ‘Evaluation ex-post du protocole actuel d’accord…entre l‘ EU et Maroc’, </w:t>
      </w:r>
      <w:r w:rsidR="00135FAA">
        <w:rPr>
          <w:rFonts w:eastAsiaTheme="minorEastAsia"/>
          <w:lang w:val="fr-FR" w:eastAsia="ja-JP"/>
        </w:rPr>
        <w:t>Retrieved from</w:t>
      </w:r>
      <w:r w:rsidRPr="00E724C5">
        <w:rPr>
          <w:rFonts w:eastAsiaTheme="minorEastAsia"/>
          <w:lang w:val="fr-FR" w:eastAsia="ja-JP"/>
        </w:rPr>
        <w:t>: http://www.fishelsewhere.eu/files/dated/2012-03-05/evaluation-app-maroc-</w:t>
      </w:r>
      <w:r w:rsidRPr="00005649">
        <w:rPr>
          <w:rFonts w:eastAsiaTheme="minorEastAsia" w:cstheme="minorHAnsi"/>
          <w:lang w:val="fr-FR" w:eastAsia="ja-JP"/>
        </w:rPr>
        <w:t>2010.pdf (accessed May 2015).</w:t>
      </w:r>
    </w:p>
    <w:p w:rsidR="00101C30" w:rsidRPr="00005649" w:rsidRDefault="00101C30" w:rsidP="00005649">
      <w:pPr>
        <w:spacing w:after="0" w:line="240" w:lineRule="auto"/>
        <w:rPr>
          <w:rFonts w:eastAsiaTheme="minorEastAsia" w:cstheme="minorHAnsi"/>
          <w:lang w:val="fr-FR" w:eastAsia="ja-JP"/>
        </w:rPr>
      </w:pPr>
    </w:p>
    <w:p w:rsidR="00005649" w:rsidRDefault="00101C30" w:rsidP="00005649">
      <w:pPr>
        <w:pStyle w:val="berschrift1"/>
        <w:spacing w:before="0" w:line="240" w:lineRule="auto"/>
        <w:rPr>
          <w:rFonts w:asciiTheme="minorHAnsi" w:eastAsia="Times New Roman" w:hAnsiTheme="minorHAnsi" w:cstheme="minorHAnsi"/>
          <w:b/>
          <w:bCs/>
          <w:color w:val="auto"/>
          <w:kern w:val="36"/>
          <w:sz w:val="22"/>
          <w:szCs w:val="22"/>
          <w:lang w:val="en-US" w:eastAsia="de-DE"/>
        </w:rPr>
      </w:pPr>
      <w:r w:rsidRPr="00005649">
        <w:rPr>
          <w:rFonts w:asciiTheme="minorHAnsi" w:eastAsiaTheme="minorEastAsia" w:hAnsiTheme="minorHAnsi" w:cstheme="minorHAnsi"/>
          <w:color w:val="auto"/>
          <w:sz w:val="22"/>
          <w:szCs w:val="22"/>
          <w:lang w:val="fr-FR" w:eastAsia="ja-JP"/>
        </w:rPr>
        <w:t>Océanic Développement (2011) ‘Evaluation ex-post du protocole actuel d’accord…entre l‘ EU et Mauritanie, March’</w:t>
      </w:r>
      <w:r w:rsidR="00135FAA">
        <w:rPr>
          <w:rFonts w:asciiTheme="minorHAnsi" w:eastAsiaTheme="minorEastAsia" w:hAnsiTheme="minorHAnsi" w:cstheme="minorHAnsi"/>
          <w:color w:val="auto"/>
          <w:sz w:val="22"/>
          <w:szCs w:val="22"/>
          <w:lang w:val="fr-FR" w:eastAsia="ja-JP"/>
        </w:rPr>
        <w:t>Retrieved from</w:t>
      </w:r>
      <w:r w:rsidRPr="00005649">
        <w:rPr>
          <w:rFonts w:asciiTheme="minorHAnsi" w:eastAsiaTheme="minorEastAsia" w:hAnsiTheme="minorHAnsi" w:cstheme="minorHAnsi"/>
          <w:color w:val="auto"/>
          <w:sz w:val="22"/>
          <w:szCs w:val="22"/>
          <w:lang w:val="fr-FR" w:eastAsia="ja-JP"/>
        </w:rPr>
        <w:t>: www.asktheeu.org/de/request/164/response/556/attach/html/2/Evaluation%20study%20Mauritania%20public%20version.pdf.html  (accessed November 2015).</w:t>
      </w:r>
      <w:r w:rsidR="00005649" w:rsidRPr="00005649">
        <w:rPr>
          <w:rFonts w:asciiTheme="minorHAnsi" w:eastAsia="Times New Roman" w:hAnsiTheme="minorHAnsi" w:cstheme="minorHAnsi"/>
          <w:b/>
          <w:bCs/>
          <w:color w:val="auto"/>
          <w:kern w:val="36"/>
          <w:sz w:val="22"/>
          <w:szCs w:val="22"/>
          <w:lang w:val="en-US" w:eastAsia="de-DE"/>
        </w:rPr>
        <w:t xml:space="preserve"> </w:t>
      </w:r>
    </w:p>
    <w:p w:rsidR="00005649" w:rsidRDefault="00005649" w:rsidP="00005649">
      <w:pPr>
        <w:pStyle w:val="berschrift1"/>
        <w:spacing w:before="0" w:line="240" w:lineRule="auto"/>
        <w:rPr>
          <w:rFonts w:asciiTheme="minorHAnsi" w:eastAsia="Times New Roman" w:hAnsiTheme="minorHAnsi" w:cstheme="minorHAnsi"/>
          <w:bCs/>
          <w:color w:val="auto"/>
          <w:kern w:val="36"/>
          <w:sz w:val="22"/>
          <w:szCs w:val="22"/>
          <w:lang w:val="en-US" w:eastAsia="de-DE"/>
        </w:rPr>
      </w:pPr>
    </w:p>
    <w:p w:rsidR="00005649" w:rsidRPr="00D7505B" w:rsidRDefault="00005649" w:rsidP="00005649">
      <w:pPr>
        <w:pStyle w:val="berschrift1"/>
        <w:spacing w:before="0" w:line="240" w:lineRule="auto"/>
        <w:rPr>
          <w:rFonts w:asciiTheme="minorHAnsi" w:eastAsia="Times New Roman" w:hAnsiTheme="minorHAnsi" w:cstheme="minorHAnsi"/>
          <w:bCs/>
          <w:color w:val="auto"/>
          <w:kern w:val="36"/>
          <w:sz w:val="22"/>
          <w:szCs w:val="22"/>
          <w:lang w:val="en-US" w:eastAsia="de-DE"/>
        </w:rPr>
      </w:pPr>
      <w:r w:rsidRPr="00005649">
        <w:rPr>
          <w:rFonts w:asciiTheme="minorHAnsi" w:eastAsia="Times New Roman" w:hAnsiTheme="minorHAnsi" w:cstheme="minorHAnsi"/>
          <w:bCs/>
          <w:color w:val="auto"/>
          <w:kern w:val="36"/>
          <w:sz w:val="22"/>
          <w:szCs w:val="22"/>
          <w:lang w:val="en-US" w:eastAsia="de-DE"/>
        </w:rPr>
        <w:t>Passos</w:t>
      </w:r>
      <w:r w:rsidR="00CB7235">
        <w:rPr>
          <w:rFonts w:asciiTheme="minorHAnsi" w:eastAsia="Times New Roman" w:hAnsiTheme="minorHAnsi" w:cstheme="minorHAnsi"/>
          <w:bCs/>
          <w:color w:val="auto"/>
          <w:kern w:val="36"/>
          <w:sz w:val="22"/>
          <w:szCs w:val="22"/>
          <w:lang w:val="en-US" w:eastAsia="de-DE"/>
        </w:rPr>
        <w:t>,</w:t>
      </w:r>
      <w:r w:rsidRPr="00005649">
        <w:rPr>
          <w:rFonts w:asciiTheme="minorHAnsi" w:eastAsia="Times New Roman" w:hAnsiTheme="minorHAnsi" w:cstheme="minorHAnsi"/>
          <w:bCs/>
          <w:color w:val="auto"/>
          <w:kern w:val="36"/>
          <w:sz w:val="22"/>
          <w:szCs w:val="22"/>
          <w:lang w:val="en-US" w:eastAsia="de-DE"/>
        </w:rPr>
        <w:t xml:space="preserve"> R. (2016), The External Pow</w:t>
      </w:r>
      <w:r w:rsidR="0011169C">
        <w:rPr>
          <w:rFonts w:asciiTheme="minorHAnsi" w:eastAsia="Times New Roman" w:hAnsiTheme="minorHAnsi" w:cstheme="minorHAnsi"/>
          <w:bCs/>
          <w:color w:val="auto"/>
          <w:kern w:val="36"/>
          <w:sz w:val="22"/>
          <w:szCs w:val="22"/>
          <w:lang w:val="en-US" w:eastAsia="de-DE"/>
        </w:rPr>
        <w:t>ers of the European Parliament. I</w:t>
      </w:r>
      <w:r>
        <w:rPr>
          <w:rFonts w:asciiTheme="minorHAnsi" w:eastAsia="Times New Roman" w:hAnsiTheme="minorHAnsi" w:cstheme="minorHAnsi"/>
          <w:bCs/>
          <w:color w:val="auto"/>
          <w:kern w:val="36"/>
          <w:sz w:val="22"/>
          <w:szCs w:val="22"/>
          <w:lang w:val="en-US" w:eastAsia="de-DE"/>
        </w:rPr>
        <w:t xml:space="preserve">n: </w:t>
      </w:r>
      <w:r w:rsidRPr="00005649">
        <w:rPr>
          <w:rFonts w:asciiTheme="minorHAnsi" w:eastAsia="Times New Roman" w:hAnsiTheme="minorHAnsi" w:cstheme="minorHAnsi"/>
          <w:color w:val="auto"/>
          <w:sz w:val="22"/>
          <w:szCs w:val="22"/>
          <w:lang w:val="en-US" w:eastAsia="de-DE"/>
        </w:rPr>
        <w:t>Eeckhout</w:t>
      </w:r>
      <w:r>
        <w:rPr>
          <w:rFonts w:asciiTheme="minorHAnsi" w:eastAsia="Times New Roman" w:hAnsiTheme="minorHAnsi" w:cstheme="minorHAnsi"/>
          <w:color w:val="auto"/>
          <w:sz w:val="22"/>
          <w:szCs w:val="22"/>
          <w:lang w:val="en-US" w:eastAsia="de-DE"/>
        </w:rPr>
        <w:t xml:space="preserve"> P.</w:t>
      </w:r>
      <w:r w:rsidR="00CB7235">
        <w:rPr>
          <w:rFonts w:asciiTheme="minorHAnsi" w:eastAsia="Times New Roman" w:hAnsiTheme="minorHAnsi" w:cstheme="minorHAnsi"/>
          <w:color w:val="auto"/>
          <w:sz w:val="22"/>
          <w:szCs w:val="22"/>
          <w:lang w:val="en-US" w:eastAsia="de-DE"/>
        </w:rPr>
        <w:t xml:space="preserve"> &amp; </w:t>
      </w:r>
      <w:r w:rsidRPr="00005649">
        <w:rPr>
          <w:rFonts w:asciiTheme="minorHAnsi" w:eastAsia="Times New Roman" w:hAnsiTheme="minorHAnsi" w:cstheme="minorHAnsi"/>
          <w:color w:val="auto"/>
          <w:sz w:val="22"/>
          <w:szCs w:val="22"/>
          <w:lang w:val="en-US" w:eastAsia="de-DE"/>
        </w:rPr>
        <w:t>Lopez-</w:t>
      </w:r>
      <w:r w:rsidR="0011169C">
        <w:rPr>
          <w:rFonts w:asciiTheme="minorHAnsi" w:eastAsia="Times New Roman" w:hAnsiTheme="minorHAnsi" w:cstheme="minorHAnsi"/>
          <w:color w:val="auto"/>
          <w:sz w:val="22"/>
          <w:szCs w:val="22"/>
          <w:lang w:val="en-US" w:eastAsia="de-DE"/>
        </w:rPr>
        <w:t xml:space="preserve">Escudero </w:t>
      </w:r>
      <w:r w:rsidR="00CB7235">
        <w:rPr>
          <w:rFonts w:asciiTheme="minorHAnsi" w:eastAsia="Times New Roman" w:hAnsiTheme="minorHAnsi" w:cstheme="minorHAnsi"/>
          <w:color w:val="auto"/>
          <w:sz w:val="22"/>
          <w:szCs w:val="22"/>
          <w:lang w:val="en-US" w:eastAsia="de-DE"/>
        </w:rPr>
        <w:t xml:space="preserve">M. </w:t>
      </w:r>
      <w:r w:rsidR="0011169C">
        <w:rPr>
          <w:rFonts w:asciiTheme="minorHAnsi" w:eastAsia="Times New Roman" w:hAnsiTheme="minorHAnsi" w:cstheme="minorHAnsi"/>
          <w:color w:val="auto"/>
          <w:sz w:val="22"/>
          <w:szCs w:val="22"/>
          <w:lang w:val="en-US" w:eastAsia="de-DE"/>
        </w:rPr>
        <w:t>(E</w:t>
      </w:r>
      <w:r w:rsidRPr="00D7505B">
        <w:rPr>
          <w:rFonts w:asciiTheme="minorHAnsi" w:eastAsia="Times New Roman" w:hAnsiTheme="minorHAnsi" w:cstheme="minorHAnsi"/>
          <w:color w:val="auto"/>
          <w:sz w:val="22"/>
          <w:szCs w:val="22"/>
          <w:lang w:val="en-US" w:eastAsia="de-DE"/>
        </w:rPr>
        <w:t>ds.</w:t>
      </w:r>
      <w:r w:rsidR="0011169C">
        <w:rPr>
          <w:rFonts w:asciiTheme="minorHAnsi" w:eastAsia="Times New Roman" w:hAnsiTheme="minorHAnsi" w:cstheme="minorHAnsi"/>
          <w:color w:val="auto"/>
          <w:sz w:val="22"/>
          <w:szCs w:val="22"/>
          <w:lang w:val="en-US" w:eastAsia="de-DE"/>
        </w:rPr>
        <w:t>)</w:t>
      </w:r>
      <w:r w:rsidRPr="00D7505B">
        <w:rPr>
          <w:rFonts w:asciiTheme="minorHAnsi" w:eastAsia="Times New Roman" w:hAnsiTheme="minorHAnsi" w:cstheme="minorHAnsi"/>
          <w:color w:val="auto"/>
          <w:sz w:val="22"/>
          <w:szCs w:val="22"/>
          <w:lang w:val="en-US" w:eastAsia="de-DE"/>
        </w:rPr>
        <w:t>,</w:t>
      </w:r>
      <w:r w:rsidRPr="00D7505B">
        <w:rPr>
          <w:rFonts w:asciiTheme="minorHAnsi" w:eastAsia="Times New Roman" w:hAnsiTheme="minorHAnsi" w:cstheme="minorHAnsi"/>
          <w:bCs/>
          <w:color w:val="auto"/>
          <w:kern w:val="36"/>
          <w:sz w:val="22"/>
          <w:szCs w:val="22"/>
          <w:lang w:val="en-US" w:eastAsia="de-DE"/>
        </w:rPr>
        <w:t xml:space="preserve"> </w:t>
      </w:r>
      <w:r w:rsidRPr="0011169C">
        <w:rPr>
          <w:rFonts w:asciiTheme="minorHAnsi" w:eastAsia="Times New Roman" w:hAnsiTheme="minorHAnsi" w:cstheme="minorHAnsi"/>
          <w:bCs/>
          <w:i/>
          <w:color w:val="auto"/>
          <w:kern w:val="36"/>
          <w:sz w:val="22"/>
          <w:szCs w:val="22"/>
          <w:lang w:val="en-US" w:eastAsia="de-DE"/>
        </w:rPr>
        <w:t>The European Union’s External Action in Times of Crisis</w:t>
      </w:r>
      <w:r w:rsidRPr="00D7505B">
        <w:rPr>
          <w:rFonts w:asciiTheme="minorHAnsi" w:eastAsia="Times New Roman" w:hAnsiTheme="minorHAnsi" w:cstheme="minorHAnsi"/>
          <w:bCs/>
          <w:color w:val="auto"/>
          <w:kern w:val="36"/>
          <w:sz w:val="22"/>
          <w:szCs w:val="22"/>
          <w:lang w:val="en-US" w:eastAsia="de-DE"/>
        </w:rPr>
        <w:t>,</w:t>
      </w:r>
      <w:r w:rsidR="00CB7235">
        <w:rPr>
          <w:rFonts w:asciiTheme="minorHAnsi" w:eastAsia="Times New Roman" w:hAnsiTheme="minorHAnsi" w:cstheme="minorHAnsi"/>
          <w:bCs/>
          <w:color w:val="auto"/>
          <w:kern w:val="36"/>
          <w:sz w:val="22"/>
          <w:szCs w:val="22"/>
          <w:lang w:val="en-US" w:eastAsia="de-DE"/>
        </w:rPr>
        <w:t xml:space="preserve"> (pp.</w:t>
      </w:r>
      <w:r w:rsidR="0011169C">
        <w:rPr>
          <w:rFonts w:asciiTheme="minorHAnsi" w:eastAsia="Times New Roman" w:hAnsiTheme="minorHAnsi" w:cstheme="minorHAnsi"/>
          <w:bCs/>
          <w:color w:val="auto"/>
          <w:kern w:val="36"/>
          <w:sz w:val="22"/>
          <w:szCs w:val="22"/>
          <w:lang w:val="en-US" w:eastAsia="de-DE"/>
        </w:rPr>
        <w:t xml:space="preserve"> </w:t>
      </w:r>
      <w:r w:rsidR="0011169C" w:rsidRPr="00D7505B">
        <w:rPr>
          <w:rFonts w:asciiTheme="minorHAnsi" w:eastAsia="Times New Roman" w:hAnsiTheme="minorHAnsi" w:cstheme="minorHAnsi"/>
          <w:bCs/>
          <w:color w:val="auto"/>
          <w:kern w:val="36"/>
          <w:sz w:val="22"/>
          <w:szCs w:val="22"/>
          <w:lang w:val="en-US" w:eastAsia="de-DE"/>
        </w:rPr>
        <w:t>85-128</w:t>
      </w:r>
      <w:r w:rsidR="0011169C">
        <w:rPr>
          <w:rFonts w:asciiTheme="minorHAnsi" w:eastAsia="Times New Roman" w:hAnsiTheme="minorHAnsi" w:cstheme="minorHAnsi"/>
          <w:bCs/>
          <w:color w:val="auto"/>
          <w:kern w:val="36"/>
          <w:sz w:val="22"/>
          <w:szCs w:val="22"/>
          <w:lang w:val="en-US" w:eastAsia="de-DE"/>
        </w:rPr>
        <w:t>), Oxford: Hart.</w:t>
      </w:r>
    </w:p>
    <w:p w:rsidR="00101C30" w:rsidRPr="00D7505B" w:rsidRDefault="00101C30" w:rsidP="00101C30">
      <w:pPr>
        <w:spacing w:after="0" w:line="240" w:lineRule="auto"/>
        <w:rPr>
          <w:rFonts w:eastAsiaTheme="minorEastAsia" w:cstheme="minorHAnsi"/>
          <w:lang w:val="en-US" w:eastAsia="ja-JP"/>
        </w:rPr>
      </w:pPr>
    </w:p>
    <w:p w:rsidR="00D7505B" w:rsidRDefault="00D7505B" w:rsidP="00D7505B">
      <w:pPr>
        <w:pStyle w:val="berschrift2"/>
        <w:spacing w:before="0" w:line="240" w:lineRule="auto"/>
        <w:rPr>
          <w:rFonts w:asciiTheme="minorHAnsi" w:eastAsia="Times New Roman" w:hAnsiTheme="minorHAnsi" w:cstheme="minorHAnsi"/>
          <w:bCs/>
          <w:color w:val="auto"/>
          <w:sz w:val="22"/>
          <w:szCs w:val="22"/>
          <w:lang w:val="en-US" w:eastAsia="de-DE"/>
        </w:rPr>
      </w:pPr>
      <w:r w:rsidRPr="00D7505B">
        <w:rPr>
          <w:rFonts w:asciiTheme="minorHAnsi" w:hAnsiTheme="minorHAnsi" w:cstheme="minorHAnsi"/>
          <w:color w:val="000000"/>
          <w:sz w:val="22"/>
          <w:szCs w:val="22"/>
          <w:lang w:val="en-US"/>
        </w:rPr>
        <w:t>Payne</w:t>
      </w:r>
      <w:r w:rsidR="00CB7235">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D.C. (2000), </w:t>
      </w:r>
      <w:r w:rsidRPr="00D7505B">
        <w:rPr>
          <w:rFonts w:asciiTheme="minorHAnsi" w:eastAsia="Times New Roman" w:hAnsiTheme="minorHAnsi" w:cstheme="minorHAnsi"/>
          <w:bCs/>
          <w:color w:val="auto"/>
          <w:sz w:val="22"/>
          <w:szCs w:val="22"/>
          <w:lang w:val="en-US" w:eastAsia="de-DE"/>
        </w:rPr>
        <w:t>Policy‐making in Nested Institutions: Explaining the Conservation Failure of the EU’s Common Fisheries Policy</w:t>
      </w:r>
      <w:r>
        <w:rPr>
          <w:rFonts w:asciiTheme="minorHAnsi" w:eastAsia="Times New Roman" w:hAnsiTheme="minorHAnsi" w:cstheme="minorHAnsi"/>
          <w:bCs/>
          <w:color w:val="auto"/>
          <w:sz w:val="22"/>
          <w:szCs w:val="22"/>
          <w:lang w:val="en-US" w:eastAsia="de-DE"/>
        </w:rPr>
        <w:t xml:space="preserve">, </w:t>
      </w:r>
      <w:r>
        <w:rPr>
          <w:rFonts w:asciiTheme="minorHAnsi" w:eastAsia="Times New Roman" w:hAnsiTheme="minorHAnsi" w:cstheme="minorHAnsi"/>
          <w:bCs/>
          <w:i/>
          <w:color w:val="auto"/>
          <w:sz w:val="22"/>
          <w:szCs w:val="22"/>
          <w:lang w:val="en-US" w:eastAsia="de-DE"/>
        </w:rPr>
        <w:t xml:space="preserve">Journal of Common Market Studies </w:t>
      </w:r>
      <w:r>
        <w:rPr>
          <w:rFonts w:asciiTheme="minorHAnsi" w:eastAsia="Times New Roman" w:hAnsiTheme="minorHAnsi" w:cstheme="minorHAnsi"/>
          <w:bCs/>
          <w:color w:val="auto"/>
          <w:sz w:val="22"/>
          <w:szCs w:val="22"/>
          <w:lang w:val="en-US" w:eastAsia="de-DE"/>
        </w:rPr>
        <w:t>38:2, 303-24.</w:t>
      </w:r>
    </w:p>
    <w:p w:rsidR="00D7505B" w:rsidRDefault="00D7505B" w:rsidP="00D7505B">
      <w:pPr>
        <w:autoSpaceDE w:val="0"/>
        <w:autoSpaceDN w:val="0"/>
        <w:adjustRightInd w:val="0"/>
        <w:spacing w:after="0" w:line="240" w:lineRule="auto"/>
        <w:rPr>
          <w:rFonts w:cstheme="minorHAnsi"/>
          <w:color w:val="000000"/>
          <w:lang w:val="en-US"/>
        </w:rPr>
      </w:pPr>
    </w:p>
    <w:p w:rsidR="00532E07" w:rsidRPr="00532E07" w:rsidRDefault="00005649" w:rsidP="00D7505B">
      <w:pPr>
        <w:autoSpaceDE w:val="0"/>
        <w:autoSpaceDN w:val="0"/>
        <w:adjustRightInd w:val="0"/>
        <w:spacing w:after="0" w:line="240" w:lineRule="auto"/>
        <w:rPr>
          <w:rFonts w:cstheme="minorHAnsi"/>
          <w:color w:val="000000"/>
          <w:lang w:val="en-US"/>
        </w:rPr>
      </w:pPr>
      <w:r w:rsidRPr="00D7505B">
        <w:rPr>
          <w:rFonts w:cstheme="minorHAnsi"/>
          <w:color w:val="000000"/>
          <w:lang w:val="en-US"/>
        </w:rPr>
        <w:t>Rixen, T.</w:t>
      </w:r>
      <w:r w:rsidR="00135FAA">
        <w:rPr>
          <w:rFonts w:cstheme="minorHAnsi"/>
          <w:color w:val="000000"/>
          <w:lang w:val="en-US"/>
        </w:rPr>
        <w:t xml:space="preserve"> &amp;</w:t>
      </w:r>
      <w:r w:rsidR="00532E07" w:rsidRPr="00D62BE9">
        <w:rPr>
          <w:rFonts w:cstheme="minorHAnsi"/>
          <w:color w:val="000000"/>
          <w:lang w:val="en-US"/>
        </w:rPr>
        <w:t xml:space="preserve"> Viola</w:t>
      </w:r>
      <w:r w:rsidR="00CB7235">
        <w:rPr>
          <w:rFonts w:cstheme="minorHAnsi"/>
          <w:color w:val="000000"/>
          <w:lang w:val="en-US"/>
        </w:rPr>
        <w:t>,</w:t>
      </w:r>
      <w:r w:rsidR="00532E07" w:rsidRPr="00D62BE9">
        <w:rPr>
          <w:rFonts w:cstheme="minorHAnsi"/>
          <w:color w:val="000000"/>
          <w:lang w:val="en-US"/>
        </w:rPr>
        <w:t xml:space="preserve"> </w:t>
      </w:r>
      <w:r w:rsidR="00135FAA">
        <w:rPr>
          <w:rFonts w:cstheme="minorHAnsi"/>
          <w:color w:val="000000"/>
          <w:lang w:val="en-US"/>
        </w:rPr>
        <w:t xml:space="preserve">L.A. </w:t>
      </w:r>
      <w:r w:rsidR="00532E07" w:rsidRPr="00D62BE9">
        <w:rPr>
          <w:rFonts w:cstheme="minorHAnsi"/>
          <w:color w:val="000000"/>
          <w:lang w:val="en-US"/>
        </w:rPr>
        <w:t>(2015) “Putting Path Dependence in Its Place: Toward a Taxonomy</w:t>
      </w:r>
      <w:r w:rsidR="00532E07" w:rsidRPr="00532E07">
        <w:rPr>
          <w:rFonts w:cstheme="minorHAnsi"/>
          <w:color w:val="000000"/>
          <w:lang w:val="en-US"/>
        </w:rPr>
        <w:t xml:space="preserve"> of Institutional Change”. </w:t>
      </w:r>
      <w:r w:rsidR="00532E07" w:rsidRPr="00532E07">
        <w:rPr>
          <w:rFonts w:cstheme="minorHAnsi"/>
          <w:i/>
          <w:iCs/>
          <w:color w:val="000000"/>
          <w:lang w:val="en-US"/>
        </w:rPr>
        <w:t>Journal of Theoretical Politics</w:t>
      </w:r>
      <w:r w:rsidR="00665E9D">
        <w:rPr>
          <w:rFonts w:cstheme="minorHAnsi"/>
          <w:color w:val="000000"/>
          <w:lang w:val="en-US"/>
        </w:rPr>
        <w:t>, 27 (</w:t>
      </w:r>
      <w:r w:rsidR="00532E07" w:rsidRPr="00532E07">
        <w:rPr>
          <w:rFonts w:cstheme="minorHAnsi"/>
          <w:color w:val="000000"/>
          <w:lang w:val="en-US"/>
        </w:rPr>
        <w:t>2</w:t>
      </w:r>
      <w:r w:rsidR="00665E9D">
        <w:rPr>
          <w:rFonts w:cstheme="minorHAnsi"/>
          <w:color w:val="000000"/>
          <w:lang w:val="en-US"/>
        </w:rPr>
        <w:t>)</w:t>
      </w:r>
      <w:r w:rsidR="00532E07" w:rsidRPr="00532E07">
        <w:rPr>
          <w:rFonts w:cstheme="minorHAnsi"/>
          <w:color w:val="000000"/>
          <w:lang w:val="en-US"/>
        </w:rPr>
        <w:t xml:space="preserve">, 301-23 </w:t>
      </w:r>
    </w:p>
    <w:p w:rsidR="005E524F" w:rsidRDefault="005E524F" w:rsidP="00362AD5">
      <w:pPr>
        <w:spacing w:after="0" w:line="240" w:lineRule="auto"/>
        <w:rPr>
          <w:rFonts w:cstheme="minorHAnsi"/>
          <w:lang w:val="en-US"/>
        </w:rPr>
      </w:pPr>
    </w:p>
    <w:p w:rsidR="003B1850" w:rsidRPr="00532E07" w:rsidRDefault="00B1144F" w:rsidP="00362AD5">
      <w:pPr>
        <w:spacing w:after="0" w:line="240" w:lineRule="auto"/>
        <w:rPr>
          <w:rFonts w:eastAsiaTheme="minorEastAsia" w:cstheme="minorHAnsi"/>
          <w:lang w:val="en-US" w:eastAsia="ja-JP"/>
        </w:rPr>
      </w:pPr>
      <w:r>
        <w:rPr>
          <w:rFonts w:cstheme="minorHAnsi"/>
          <w:lang w:val="en-US"/>
        </w:rPr>
        <w:t>Rosén</w:t>
      </w:r>
      <w:r w:rsidR="00CB7235">
        <w:rPr>
          <w:rFonts w:cstheme="minorHAnsi"/>
          <w:lang w:val="en-US"/>
        </w:rPr>
        <w:t>,</w:t>
      </w:r>
      <w:r>
        <w:rPr>
          <w:rFonts w:cstheme="minorHAnsi"/>
          <w:lang w:val="en-US"/>
        </w:rPr>
        <w:t xml:space="preserve"> G. (2016).</w:t>
      </w:r>
      <w:r w:rsidR="00E76C27" w:rsidRPr="00532E07">
        <w:rPr>
          <w:rFonts w:cstheme="minorHAnsi"/>
          <w:lang w:val="en-US"/>
        </w:rPr>
        <w:t xml:space="preserve"> A match made in heaven? Explaining patterns of cooperation between the Commission and the European Parliament, </w:t>
      </w:r>
      <w:r w:rsidR="00E76C27" w:rsidRPr="00532E07">
        <w:rPr>
          <w:rFonts w:cstheme="minorHAnsi"/>
          <w:i/>
          <w:lang w:val="en-US"/>
        </w:rPr>
        <w:t>Journal of European Integration</w:t>
      </w:r>
      <w:r w:rsidR="00665E9D">
        <w:rPr>
          <w:rFonts w:cstheme="minorHAnsi"/>
          <w:lang w:val="en-US"/>
        </w:rPr>
        <w:t>, 38 (</w:t>
      </w:r>
      <w:r w:rsidR="00E76C27" w:rsidRPr="00532E07">
        <w:rPr>
          <w:rFonts w:cstheme="minorHAnsi"/>
          <w:lang w:val="en-US"/>
        </w:rPr>
        <w:t>4</w:t>
      </w:r>
      <w:r w:rsidR="00665E9D">
        <w:rPr>
          <w:rFonts w:cstheme="minorHAnsi"/>
          <w:lang w:val="en-US"/>
        </w:rPr>
        <w:t>)</w:t>
      </w:r>
      <w:r w:rsidR="00E76C27" w:rsidRPr="00532E07">
        <w:rPr>
          <w:rFonts w:cstheme="minorHAnsi"/>
          <w:lang w:val="en-US"/>
        </w:rPr>
        <w:t>, 409-424</w:t>
      </w:r>
      <w:r w:rsidR="003B1850" w:rsidRPr="00532E07">
        <w:rPr>
          <w:rFonts w:cstheme="minorHAnsi"/>
          <w:lang w:val="en-US"/>
        </w:rPr>
        <w:t xml:space="preserve"> </w:t>
      </w:r>
    </w:p>
    <w:p w:rsidR="005E524F" w:rsidRDefault="005E524F" w:rsidP="00362AD5">
      <w:pPr>
        <w:autoSpaceDE w:val="0"/>
        <w:autoSpaceDN w:val="0"/>
        <w:adjustRightInd w:val="0"/>
        <w:spacing w:after="0" w:line="240" w:lineRule="auto"/>
        <w:rPr>
          <w:rFonts w:cstheme="minorHAnsi"/>
          <w:lang w:val="en-US"/>
        </w:rPr>
      </w:pPr>
    </w:p>
    <w:p w:rsidR="003C6434" w:rsidRPr="00532E07" w:rsidRDefault="003B1850" w:rsidP="00362AD5">
      <w:pPr>
        <w:autoSpaceDE w:val="0"/>
        <w:autoSpaceDN w:val="0"/>
        <w:adjustRightInd w:val="0"/>
        <w:spacing w:after="0" w:line="240" w:lineRule="auto"/>
        <w:rPr>
          <w:rFonts w:cstheme="minorHAnsi"/>
          <w:lang w:val="en-US"/>
        </w:rPr>
      </w:pPr>
      <w:r w:rsidRPr="00532E07">
        <w:rPr>
          <w:rFonts w:cstheme="minorHAnsi"/>
          <w:lang w:val="en-US"/>
        </w:rPr>
        <w:t>Rosén</w:t>
      </w:r>
      <w:r w:rsidR="00CB7235">
        <w:rPr>
          <w:rFonts w:cstheme="minorHAnsi"/>
          <w:lang w:val="en-US"/>
        </w:rPr>
        <w:t>,</w:t>
      </w:r>
      <w:r w:rsidRPr="00532E07">
        <w:rPr>
          <w:rFonts w:cstheme="minorHAnsi"/>
          <w:lang w:val="en-US"/>
        </w:rPr>
        <w:t xml:space="preserve"> </w:t>
      </w:r>
      <w:r w:rsidR="00B1144F">
        <w:rPr>
          <w:rFonts w:cstheme="minorHAnsi"/>
          <w:lang w:val="en-US"/>
        </w:rPr>
        <w:t>G.</w:t>
      </w:r>
      <w:r w:rsidR="00D62BE9">
        <w:rPr>
          <w:rFonts w:cstheme="minorHAnsi"/>
          <w:lang w:val="en-US"/>
        </w:rPr>
        <w:t xml:space="preserve"> </w:t>
      </w:r>
      <w:r w:rsidR="00B1144F">
        <w:rPr>
          <w:rFonts w:cstheme="minorHAnsi"/>
          <w:lang w:val="en-US"/>
        </w:rPr>
        <w:t xml:space="preserve">(2017). </w:t>
      </w:r>
      <w:r w:rsidRPr="00532E07">
        <w:rPr>
          <w:rFonts w:cstheme="minorHAnsi"/>
          <w:lang w:val="en-US"/>
        </w:rPr>
        <w:t>The impact of norms on political decision-making: how</w:t>
      </w:r>
      <w:r w:rsidR="00532E07" w:rsidRPr="00532E07">
        <w:rPr>
          <w:rFonts w:cstheme="minorHAnsi"/>
          <w:lang w:val="en-US"/>
        </w:rPr>
        <w:t xml:space="preserve"> </w:t>
      </w:r>
      <w:r w:rsidRPr="00532E07">
        <w:rPr>
          <w:rFonts w:cstheme="minorHAnsi"/>
          <w:lang w:val="en-US"/>
        </w:rPr>
        <w:t xml:space="preserve">to account for the European Parliament’s empowerment in EU external trade policy, </w:t>
      </w:r>
      <w:r w:rsidRPr="0011169C">
        <w:rPr>
          <w:rFonts w:cstheme="minorHAnsi"/>
          <w:i/>
          <w:lang w:val="en-US"/>
        </w:rPr>
        <w:t>Journal of</w:t>
      </w:r>
      <w:r w:rsidR="00532E07" w:rsidRPr="0011169C">
        <w:rPr>
          <w:rFonts w:cstheme="minorHAnsi"/>
          <w:i/>
          <w:lang w:val="en-US"/>
        </w:rPr>
        <w:t xml:space="preserve"> </w:t>
      </w:r>
      <w:r w:rsidRPr="0011169C">
        <w:rPr>
          <w:rFonts w:cstheme="minorHAnsi"/>
          <w:i/>
          <w:lang w:val="en-US"/>
        </w:rPr>
        <w:t>European Public Policy</w:t>
      </w:r>
      <w:r w:rsidRPr="00532E07">
        <w:rPr>
          <w:rFonts w:cstheme="minorHAnsi"/>
          <w:lang w:val="en-US"/>
        </w:rPr>
        <w:t xml:space="preserve">, </w:t>
      </w:r>
      <w:r w:rsidR="00B1144F">
        <w:rPr>
          <w:rFonts w:cstheme="minorHAnsi"/>
          <w:lang w:val="en-US"/>
        </w:rPr>
        <w:t>24 (10), 1450-70.</w:t>
      </w:r>
    </w:p>
    <w:p w:rsidR="005E524F" w:rsidRDefault="005E524F" w:rsidP="00532E07">
      <w:pPr>
        <w:autoSpaceDE w:val="0"/>
        <w:autoSpaceDN w:val="0"/>
        <w:adjustRightInd w:val="0"/>
        <w:spacing w:after="0" w:line="240" w:lineRule="auto"/>
        <w:rPr>
          <w:rFonts w:cstheme="minorHAnsi"/>
          <w:color w:val="000000"/>
          <w:lang w:val="en-US"/>
        </w:rPr>
      </w:pPr>
    </w:p>
    <w:p w:rsidR="00532E07" w:rsidRPr="00532E07" w:rsidRDefault="00532E07" w:rsidP="00532E07">
      <w:pPr>
        <w:autoSpaceDE w:val="0"/>
        <w:autoSpaceDN w:val="0"/>
        <w:adjustRightInd w:val="0"/>
        <w:spacing w:after="0" w:line="240" w:lineRule="auto"/>
        <w:rPr>
          <w:rFonts w:cstheme="minorHAnsi"/>
          <w:color w:val="000000"/>
          <w:lang w:val="en-US"/>
        </w:rPr>
      </w:pPr>
      <w:r w:rsidRPr="00532E07">
        <w:rPr>
          <w:rFonts w:cstheme="minorHAnsi"/>
          <w:color w:val="000000"/>
          <w:lang w:val="en-US"/>
        </w:rPr>
        <w:t>Streeck</w:t>
      </w:r>
      <w:r w:rsidR="00B1144F">
        <w:rPr>
          <w:rFonts w:cstheme="minorHAnsi"/>
          <w:color w:val="000000"/>
          <w:lang w:val="en-US"/>
        </w:rPr>
        <w:t xml:space="preserve">, W. </w:t>
      </w:r>
      <w:r w:rsidR="00135FAA">
        <w:rPr>
          <w:rFonts w:cstheme="minorHAnsi"/>
          <w:color w:val="000000"/>
          <w:lang w:val="en-US"/>
        </w:rPr>
        <w:t>&amp;</w:t>
      </w:r>
      <w:r w:rsidR="00B1144F">
        <w:rPr>
          <w:rFonts w:cstheme="minorHAnsi"/>
          <w:color w:val="000000"/>
          <w:lang w:val="en-US"/>
        </w:rPr>
        <w:t xml:space="preserve"> K.</w:t>
      </w:r>
      <w:r>
        <w:rPr>
          <w:rFonts w:cstheme="minorHAnsi"/>
          <w:color w:val="000000"/>
          <w:lang w:val="en-US"/>
        </w:rPr>
        <w:t xml:space="preserve"> Thelen</w:t>
      </w:r>
      <w:r w:rsidRPr="00532E07">
        <w:rPr>
          <w:rFonts w:cstheme="minorHAnsi"/>
          <w:color w:val="000000"/>
          <w:lang w:val="en-US"/>
        </w:rPr>
        <w:t xml:space="preserve"> (2005) </w:t>
      </w:r>
      <w:r w:rsidRPr="00532E07">
        <w:rPr>
          <w:rFonts w:cstheme="minorHAnsi"/>
          <w:i/>
          <w:iCs/>
          <w:color w:val="000000"/>
          <w:lang w:val="en-US"/>
        </w:rPr>
        <w:t>Beyond Continuity. Institutional Change in Advanced Political Economies</w:t>
      </w:r>
      <w:r w:rsidR="00B1144F">
        <w:rPr>
          <w:rFonts w:cstheme="minorHAnsi"/>
          <w:color w:val="000000"/>
          <w:lang w:val="en-US"/>
        </w:rPr>
        <w:t>.</w:t>
      </w:r>
      <w:r w:rsidRPr="00532E07">
        <w:rPr>
          <w:rFonts w:cstheme="minorHAnsi"/>
          <w:color w:val="000000"/>
          <w:lang w:val="en-US"/>
        </w:rPr>
        <w:t xml:space="preserve"> Oxfor</w:t>
      </w:r>
      <w:r w:rsidR="00B1144F">
        <w:rPr>
          <w:rFonts w:cstheme="minorHAnsi"/>
          <w:color w:val="000000"/>
          <w:lang w:val="en-US"/>
        </w:rPr>
        <w:t>d: Oxford University Press</w:t>
      </w:r>
      <w:r w:rsidRPr="00532E07">
        <w:rPr>
          <w:rFonts w:cstheme="minorHAnsi"/>
          <w:color w:val="000000"/>
          <w:lang w:val="en-US"/>
        </w:rPr>
        <w:t xml:space="preserve">. </w:t>
      </w:r>
    </w:p>
    <w:p w:rsidR="005E524F" w:rsidRPr="00A44DFB" w:rsidRDefault="005E524F" w:rsidP="00532E07">
      <w:pPr>
        <w:autoSpaceDE w:val="0"/>
        <w:autoSpaceDN w:val="0"/>
        <w:adjustRightInd w:val="0"/>
        <w:spacing w:after="0" w:line="240" w:lineRule="auto"/>
        <w:rPr>
          <w:rFonts w:cstheme="minorHAnsi"/>
          <w:lang w:val="en-US"/>
        </w:rPr>
      </w:pPr>
    </w:p>
    <w:p w:rsidR="005E524F" w:rsidRDefault="003C6434" w:rsidP="005E524F">
      <w:pPr>
        <w:autoSpaceDE w:val="0"/>
        <w:autoSpaceDN w:val="0"/>
        <w:adjustRightInd w:val="0"/>
        <w:spacing w:after="0" w:line="240" w:lineRule="auto"/>
        <w:rPr>
          <w:rFonts w:cstheme="minorHAnsi"/>
          <w:lang w:val="en-US"/>
        </w:rPr>
      </w:pPr>
      <w:r w:rsidRPr="00532E07">
        <w:rPr>
          <w:rFonts w:cstheme="minorHAnsi"/>
          <w:lang w:val="fr-FR"/>
        </w:rPr>
        <w:t xml:space="preserve">Van den Putte, L., De Ville, F., &amp; Orbie, J. (2014). </w:t>
      </w:r>
      <w:r w:rsidRPr="00665E9D">
        <w:rPr>
          <w:rFonts w:cstheme="minorHAnsi"/>
          <w:i/>
          <w:lang w:val="en-US"/>
        </w:rPr>
        <w:t>The European Parliament's New Role in Trade Policy: Turning Power into Impact</w:t>
      </w:r>
      <w:r w:rsidRPr="00532E07">
        <w:rPr>
          <w:rFonts w:cstheme="minorHAnsi"/>
          <w:lang w:val="en-US"/>
        </w:rPr>
        <w:t>. CEPS Special Reports</w:t>
      </w:r>
      <w:r w:rsidR="00EE4915" w:rsidRPr="00532E07">
        <w:rPr>
          <w:rFonts w:cstheme="minorHAnsi"/>
          <w:lang w:val="en-US"/>
        </w:rPr>
        <w:t xml:space="preserve"> </w:t>
      </w:r>
      <w:r w:rsidRPr="00532E07">
        <w:rPr>
          <w:rFonts w:cstheme="minorHAnsi"/>
          <w:lang w:val="en-US"/>
        </w:rPr>
        <w:t xml:space="preserve">(89). </w:t>
      </w:r>
    </w:p>
    <w:p w:rsidR="005E524F" w:rsidRDefault="005E524F" w:rsidP="005E524F">
      <w:pPr>
        <w:autoSpaceDE w:val="0"/>
        <w:autoSpaceDN w:val="0"/>
        <w:adjustRightInd w:val="0"/>
        <w:spacing w:after="0" w:line="240" w:lineRule="auto"/>
        <w:rPr>
          <w:rFonts w:cstheme="minorHAnsi"/>
          <w:lang w:val="en-US"/>
        </w:rPr>
      </w:pPr>
    </w:p>
    <w:p w:rsidR="00D7505B" w:rsidRDefault="00665E9D" w:rsidP="005E524F">
      <w:pPr>
        <w:autoSpaceDE w:val="0"/>
        <w:autoSpaceDN w:val="0"/>
        <w:adjustRightInd w:val="0"/>
        <w:spacing w:after="0" w:line="240" w:lineRule="auto"/>
        <w:rPr>
          <w:rFonts w:ascii="Calibri" w:hAnsi="Calibri" w:cs="Calibri"/>
          <w:lang w:val="en-US"/>
        </w:rPr>
      </w:pPr>
      <w:r>
        <w:rPr>
          <w:rFonts w:ascii="Calibri" w:hAnsi="Calibri" w:cs="Calibri"/>
          <w:lang w:val="en-US"/>
        </w:rPr>
        <w:t>Wakefield</w:t>
      </w:r>
      <w:r w:rsidR="00CB7235">
        <w:rPr>
          <w:rFonts w:ascii="Calibri" w:hAnsi="Calibri" w:cs="Calibri"/>
          <w:lang w:val="en-US"/>
        </w:rPr>
        <w:t>,</w:t>
      </w:r>
      <w:r>
        <w:rPr>
          <w:rFonts w:ascii="Calibri" w:hAnsi="Calibri" w:cs="Calibri"/>
          <w:lang w:val="en-US"/>
        </w:rPr>
        <w:t xml:space="preserve"> J. (2016). </w:t>
      </w:r>
      <w:r w:rsidR="00D7505B" w:rsidRPr="00665E9D">
        <w:rPr>
          <w:rFonts w:ascii="Calibri" w:hAnsi="Calibri" w:cs="Calibri"/>
          <w:i/>
          <w:lang w:val="en-US"/>
        </w:rPr>
        <w:t>Reforming the Common Fisheries Policy</w:t>
      </w:r>
      <w:r w:rsidR="00D7505B">
        <w:rPr>
          <w:rFonts w:ascii="Calibri" w:hAnsi="Calibri" w:cs="Calibri"/>
          <w:lang w:val="en-US"/>
        </w:rPr>
        <w:t xml:space="preserve">, </w:t>
      </w:r>
      <w:r>
        <w:rPr>
          <w:rFonts w:ascii="Calibri" w:hAnsi="Calibri" w:cs="Calibri"/>
          <w:lang w:val="en-US"/>
        </w:rPr>
        <w:t xml:space="preserve">Ashgate: </w:t>
      </w:r>
      <w:r w:rsidR="00D7505B">
        <w:rPr>
          <w:rFonts w:ascii="Calibri" w:hAnsi="Calibri" w:cs="Calibri"/>
          <w:lang w:val="en-US"/>
        </w:rPr>
        <w:t>Elgar.</w:t>
      </w:r>
    </w:p>
    <w:p w:rsidR="00D7505B" w:rsidRDefault="00D7505B" w:rsidP="005E524F">
      <w:pPr>
        <w:autoSpaceDE w:val="0"/>
        <w:autoSpaceDN w:val="0"/>
        <w:adjustRightInd w:val="0"/>
        <w:spacing w:after="0" w:line="240" w:lineRule="auto"/>
        <w:rPr>
          <w:rFonts w:ascii="Calibri" w:hAnsi="Calibri" w:cs="Calibri"/>
          <w:lang w:val="en-US"/>
        </w:rPr>
      </w:pPr>
    </w:p>
    <w:p w:rsidR="005E524F" w:rsidRPr="000B049B" w:rsidRDefault="005E524F" w:rsidP="005E524F">
      <w:pPr>
        <w:autoSpaceDE w:val="0"/>
        <w:autoSpaceDN w:val="0"/>
        <w:adjustRightInd w:val="0"/>
        <w:spacing w:after="0" w:line="240" w:lineRule="auto"/>
        <w:rPr>
          <w:rFonts w:cstheme="minorHAnsi"/>
          <w:lang w:val="en-US"/>
        </w:rPr>
      </w:pPr>
      <w:r w:rsidRPr="000B049B">
        <w:rPr>
          <w:rFonts w:cstheme="minorHAnsi"/>
          <w:lang w:val="en-US"/>
        </w:rPr>
        <w:t>Witbooi</w:t>
      </w:r>
      <w:r w:rsidR="00CB7235">
        <w:rPr>
          <w:rFonts w:cstheme="minorHAnsi"/>
          <w:lang w:val="en-US"/>
        </w:rPr>
        <w:t>,</w:t>
      </w:r>
      <w:r w:rsidRPr="000B049B">
        <w:rPr>
          <w:rFonts w:cstheme="minorHAnsi"/>
          <w:lang w:val="en-US"/>
        </w:rPr>
        <w:t xml:space="preserve"> E</w:t>
      </w:r>
      <w:r w:rsidR="009431CB" w:rsidRPr="000B049B">
        <w:rPr>
          <w:rFonts w:cstheme="minorHAnsi"/>
          <w:lang w:val="en-US"/>
        </w:rPr>
        <w:t>. (2008)</w:t>
      </w:r>
      <w:r w:rsidRPr="000B049B">
        <w:rPr>
          <w:rFonts w:cstheme="minorHAnsi"/>
          <w:lang w:val="en-US"/>
        </w:rPr>
        <w:t>, The infusion of sustainability into bilateral fisheries agreements with developing</w:t>
      </w:r>
    </w:p>
    <w:p w:rsidR="00EE4915" w:rsidRPr="000B049B" w:rsidRDefault="005E524F" w:rsidP="005E524F">
      <w:pPr>
        <w:autoSpaceDE w:val="0"/>
        <w:autoSpaceDN w:val="0"/>
        <w:adjustRightInd w:val="0"/>
        <w:spacing w:after="0" w:line="240" w:lineRule="auto"/>
        <w:rPr>
          <w:rFonts w:cstheme="minorHAnsi"/>
          <w:lang w:val="en-US"/>
        </w:rPr>
      </w:pPr>
      <w:r w:rsidRPr="000B049B">
        <w:rPr>
          <w:rFonts w:cstheme="minorHAnsi"/>
          <w:lang w:val="en-US"/>
        </w:rPr>
        <w:t>countries: The European Union examp</w:t>
      </w:r>
      <w:r w:rsidR="009431CB" w:rsidRPr="000B049B">
        <w:rPr>
          <w:rFonts w:cstheme="minorHAnsi"/>
          <w:lang w:val="en-US"/>
        </w:rPr>
        <w:t xml:space="preserve">le, </w:t>
      </w:r>
      <w:r w:rsidR="009431CB" w:rsidRPr="000B049B">
        <w:rPr>
          <w:rFonts w:cstheme="minorHAnsi"/>
          <w:i/>
          <w:lang w:val="en-US"/>
        </w:rPr>
        <w:t>Marine Policy</w:t>
      </w:r>
      <w:r w:rsidR="009431CB" w:rsidRPr="000B049B">
        <w:rPr>
          <w:rFonts w:cstheme="minorHAnsi"/>
          <w:lang w:val="en-US"/>
        </w:rPr>
        <w:t xml:space="preserve"> 32, 669-679.</w:t>
      </w:r>
    </w:p>
    <w:p w:rsidR="005E524F" w:rsidRPr="000B049B" w:rsidRDefault="000B049B" w:rsidP="000B049B">
      <w:pPr>
        <w:spacing w:before="100" w:beforeAutospacing="1" w:after="100" w:afterAutospacing="1" w:line="240" w:lineRule="auto"/>
        <w:outlineLvl w:val="0"/>
        <w:rPr>
          <w:rFonts w:eastAsia="Times New Roman" w:cstheme="minorHAnsi"/>
          <w:bCs/>
          <w:kern w:val="36"/>
          <w:lang w:val="en-US" w:eastAsia="de-DE"/>
        </w:rPr>
      </w:pPr>
      <w:r w:rsidRPr="000B049B">
        <w:rPr>
          <w:rFonts w:cstheme="minorHAnsi"/>
          <w:lang w:val="en-US"/>
        </w:rPr>
        <w:lastRenderedPageBreak/>
        <w:t>Witbooi</w:t>
      </w:r>
      <w:r w:rsidR="00CB7235">
        <w:rPr>
          <w:rFonts w:cstheme="minorHAnsi"/>
          <w:lang w:val="en-US"/>
        </w:rPr>
        <w:t>,</w:t>
      </w:r>
      <w:r w:rsidRPr="000B049B">
        <w:rPr>
          <w:rFonts w:cstheme="minorHAnsi"/>
          <w:lang w:val="en-US"/>
        </w:rPr>
        <w:t xml:space="preserve"> E</w:t>
      </w:r>
      <w:r>
        <w:rPr>
          <w:rFonts w:cstheme="minorHAnsi"/>
          <w:lang w:val="en-US"/>
        </w:rPr>
        <w:t>. (2012</w:t>
      </w:r>
      <w:r w:rsidRPr="000B049B">
        <w:rPr>
          <w:rFonts w:cstheme="minorHAnsi"/>
          <w:lang w:val="en-US"/>
        </w:rPr>
        <w:t xml:space="preserve">), </w:t>
      </w:r>
      <w:r w:rsidRPr="00665E9D">
        <w:rPr>
          <w:rFonts w:eastAsia="Times New Roman" w:cstheme="minorHAnsi"/>
          <w:bCs/>
          <w:i/>
          <w:kern w:val="36"/>
          <w:lang w:val="en-US" w:eastAsia="de-DE"/>
        </w:rPr>
        <w:t>Fisheries and sustainability: a legal analysis of EU and West African agreements</w:t>
      </w:r>
      <w:r>
        <w:rPr>
          <w:rFonts w:eastAsia="Times New Roman" w:cstheme="minorHAnsi"/>
          <w:bCs/>
          <w:kern w:val="36"/>
          <w:lang w:val="en-US" w:eastAsia="de-DE"/>
        </w:rPr>
        <w:t>, Leiden: Nijhoff.</w:t>
      </w:r>
    </w:p>
    <w:p w:rsidR="00EE4915" w:rsidRPr="000B049B" w:rsidRDefault="00EE4915" w:rsidP="00EE4915">
      <w:pPr>
        <w:autoSpaceDE w:val="0"/>
        <w:autoSpaceDN w:val="0"/>
        <w:adjustRightInd w:val="0"/>
        <w:spacing w:after="0" w:line="240" w:lineRule="auto"/>
        <w:rPr>
          <w:rFonts w:eastAsia="ArialMT" w:cstheme="minorHAnsi"/>
          <w:lang w:val="en-US"/>
        </w:rPr>
      </w:pPr>
      <w:r w:rsidRPr="000B049B">
        <w:rPr>
          <w:rFonts w:eastAsia="ArialMT" w:cstheme="minorHAnsi"/>
          <w:lang w:val="en-US"/>
        </w:rPr>
        <w:t>Zürn</w:t>
      </w:r>
      <w:r w:rsidR="00135FAA">
        <w:rPr>
          <w:rFonts w:eastAsia="ArialMT" w:cstheme="minorHAnsi"/>
          <w:lang w:val="en-US"/>
        </w:rPr>
        <w:t>, M.</w:t>
      </w:r>
      <w:r w:rsidRPr="000B049B">
        <w:rPr>
          <w:rFonts w:eastAsia="ArialMT" w:cstheme="minorHAnsi"/>
          <w:lang w:val="en-US"/>
        </w:rPr>
        <w:t xml:space="preserve"> (2014). The politicization of world politics and its effects: Eight propositions.</w:t>
      </w:r>
    </w:p>
    <w:p w:rsidR="003C6434" w:rsidRPr="000B049B" w:rsidRDefault="00EE4915" w:rsidP="00EE4915">
      <w:pPr>
        <w:autoSpaceDE w:val="0"/>
        <w:autoSpaceDN w:val="0"/>
        <w:adjustRightInd w:val="0"/>
        <w:spacing w:after="0" w:line="240" w:lineRule="auto"/>
        <w:rPr>
          <w:rFonts w:cstheme="minorHAnsi"/>
          <w:lang w:val="en-US"/>
        </w:rPr>
      </w:pPr>
      <w:r w:rsidRPr="000B049B">
        <w:rPr>
          <w:rFonts w:eastAsia="ArialMT" w:cstheme="minorHAnsi"/>
          <w:i/>
          <w:lang w:val="en-US"/>
        </w:rPr>
        <w:t>European Political Science Review</w:t>
      </w:r>
      <w:r w:rsidRPr="000B049B">
        <w:rPr>
          <w:rFonts w:eastAsia="ArialMT" w:cstheme="minorHAnsi"/>
          <w:lang w:val="en-US"/>
        </w:rPr>
        <w:t>, 6, 47-71</w:t>
      </w:r>
    </w:p>
    <w:p w:rsidR="00C530EF" w:rsidRPr="00EE4915" w:rsidRDefault="00C530EF" w:rsidP="00362AD5">
      <w:pPr>
        <w:autoSpaceDE w:val="0"/>
        <w:autoSpaceDN w:val="0"/>
        <w:adjustRightInd w:val="0"/>
        <w:spacing w:after="0" w:line="240" w:lineRule="auto"/>
        <w:rPr>
          <w:rFonts w:cstheme="minorHAnsi"/>
          <w:lang w:val="en-US"/>
        </w:rPr>
      </w:pPr>
    </w:p>
    <w:sectPr w:rsidR="00C530EF" w:rsidRPr="00EE49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01" w:rsidRDefault="00EE0C01" w:rsidP="006607A5">
      <w:pPr>
        <w:spacing w:after="0" w:line="240" w:lineRule="auto"/>
      </w:pPr>
      <w:r>
        <w:separator/>
      </w:r>
    </w:p>
  </w:endnote>
  <w:endnote w:type="continuationSeparator" w:id="0">
    <w:p w:rsidR="00EE0C01" w:rsidRDefault="00EE0C01" w:rsidP="0066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01" w:rsidRDefault="00EE0C01" w:rsidP="006607A5">
      <w:pPr>
        <w:spacing w:after="0" w:line="240" w:lineRule="auto"/>
      </w:pPr>
      <w:r>
        <w:separator/>
      </w:r>
    </w:p>
  </w:footnote>
  <w:footnote w:type="continuationSeparator" w:id="0">
    <w:p w:rsidR="00EE0C01" w:rsidRDefault="00EE0C01" w:rsidP="00660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F3"/>
    <w:rsid w:val="00005649"/>
    <w:rsid w:val="00020521"/>
    <w:rsid w:val="00030278"/>
    <w:rsid w:val="0003483B"/>
    <w:rsid w:val="00040F98"/>
    <w:rsid w:val="00046B97"/>
    <w:rsid w:val="0005774F"/>
    <w:rsid w:val="00075FC5"/>
    <w:rsid w:val="00083B28"/>
    <w:rsid w:val="00086D21"/>
    <w:rsid w:val="000A365C"/>
    <w:rsid w:val="000B049B"/>
    <w:rsid w:val="000C5802"/>
    <w:rsid w:val="000D43F0"/>
    <w:rsid w:val="00101ABD"/>
    <w:rsid w:val="00101C30"/>
    <w:rsid w:val="00101E5C"/>
    <w:rsid w:val="001054B8"/>
    <w:rsid w:val="001061AA"/>
    <w:rsid w:val="0011169C"/>
    <w:rsid w:val="00111CDF"/>
    <w:rsid w:val="00123ABA"/>
    <w:rsid w:val="00135FAA"/>
    <w:rsid w:val="001360D6"/>
    <w:rsid w:val="001456EE"/>
    <w:rsid w:val="00147E2A"/>
    <w:rsid w:val="0015386D"/>
    <w:rsid w:val="00161C68"/>
    <w:rsid w:val="001715C9"/>
    <w:rsid w:val="0017182F"/>
    <w:rsid w:val="00174219"/>
    <w:rsid w:val="00183DF7"/>
    <w:rsid w:val="00184F3D"/>
    <w:rsid w:val="001859C0"/>
    <w:rsid w:val="0019685C"/>
    <w:rsid w:val="001D2868"/>
    <w:rsid w:val="001E7E30"/>
    <w:rsid w:val="00202257"/>
    <w:rsid w:val="002405F6"/>
    <w:rsid w:val="00241436"/>
    <w:rsid w:val="00243989"/>
    <w:rsid w:val="0025614C"/>
    <w:rsid w:val="002764B7"/>
    <w:rsid w:val="002908D2"/>
    <w:rsid w:val="002A1858"/>
    <w:rsid w:val="002B3826"/>
    <w:rsid w:val="002B6E49"/>
    <w:rsid w:val="002D6172"/>
    <w:rsid w:val="002D7831"/>
    <w:rsid w:val="002E5185"/>
    <w:rsid w:val="002E7BA2"/>
    <w:rsid w:val="002F2ACB"/>
    <w:rsid w:val="00302A00"/>
    <w:rsid w:val="00304850"/>
    <w:rsid w:val="003066F8"/>
    <w:rsid w:val="003108F9"/>
    <w:rsid w:val="0035547D"/>
    <w:rsid w:val="00361250"/>
    <w:rsid w:val="00362AD5"/>
    <w:rsid w:val="003706FB"/>
    <w:rsid w:val="00381138"/>
    <w:rsid w:val="00396EDD"/>
    <w:rsid w:val="003A2BEC"/>
    <w:rsid w:val="003B1850"/>
    <w:rsid w:val="003B4AC0"/>
    <w:rsid w:val="003B4CED"/>
    <w:rsid w:val="003B5A0D"/>
    <w:rsid w:val="003C6434"/>
    <w:rsid w:val="003E47CC"/>
    <w:rsid w:val="00412A97"/>
    <w:rsid w:val="00424D5C"/>
    <w:rsid w:val="00426191"/>
    <w:rsid w:val="0043638B"/>
    <w:rsid w:val="00446483"/>
    <w:rsid w:val="004514FF"/>
    <w:rsid w:val="00453D54"/>
    <w:rsid w:val="004810B1"/>
    <w:rsid w:val="00481C33"/>
    <w:rsid w:val="00485AF7"/>
    <w:rsid w:val="00491852"/>
    <w:rsid w:val="00492B46"/>
    <w:rsid w:val="004953A3"/>
    <w:rsid w:val="004A1C09"/>
    <w:rsid w:val="004A4B44"/>
    <w:rsid w:val="004A6ED7"/>
    <w:rsid w:val="004C3438"/>
    <w:rsid w:val="004D0F28"/>
    <w:rsid w:val="004D6AA1"/>
    <w:rsid w:val="004D7781"/>
    <w:rsid w:val="004E61E4"/>
    <w:rsid w:val="00502EF1"/>
    <w:rsid w:val="005074BB"/>
    <w:rsid w:val="00517AFC"/>
    <w:rsid w:val="005326C2"/>
    <w:rsid w:val="00532E07"/>
    <w:rsid w:val="005332C5"/>
    <w:rsid w:val="00536DD4"/>
    <w:rsid w:val="00551FEA"/>
    <w:rsid w:val="0055253B"/>
    <w:rsid w:val="0055771D"/>
    <w:rsid w:val="005740A9"/>
    <w:rsid w:val="00576145"/>
    <w:rsid w:val="005A3D28"/>
    <w:rsid w:val="005B6B5E"/>
    <w:rsid w:val="005B75A8"/>
    <w:rsid w:val="005E524F"/>
    <w:rsid w:val="005F0FF0"/>
    <w:rsid w:val="005F1D83"/>
    <w:rsid w:val="005F52AB"/>
    <w:rsid w:val="006014F3"/>
    <w:rsid w:val="0060324E"/>
    <w:rsid w:val="0060637A"/>
    <w:rsid w:val="00614AAE"/>
    <w:rsid w:val="00617348"/>
    <w:rsid w:val="006349E1"/>
    <w:rsid w:val="006427AB"/>
    <w:rsid w:val="006428C9"/>
    <w:rsid w:val="006513DB"/>
    <w:rsid w:val="00656A3D"/>
    <w:rsid w:val="006607A5"/>
    <w:rsid w:val="00665E9D"/>
    <w:rsid w:val="006747E7"/>
    <w:rsid w:val="006766B8"/>
    <w:rsid w:val="00681BAF"/>
    <w:rsid w:val="00681C94"/>
    <w:rsid w:val="00694BBF"/>
    <w:rsid w:val="00701FF2"/>
    <w:rsid w:val="00713447"/>
    <w:rsid w:val="00714AB7"/>
    <w:rsid w:val="00715C76"/>
    <w:rsid w:val="0072665F"/>
    <w:rsid w:val="0073424B"/>
    <w:rsid w:val="007464CC"/>
    <w:rsid w:val="00764CC4"/>
    <w:rsid w:val="00774D08"/>
    <w:rsid w:val="00781B9C"/>
    <w:rsid w:val="00784858"/>
    <w:rsid w:val="00785AB2"/>
    <w:rsid w:val="00793E06"/>
    <w:rsid w:val="00795F69"/>
    <w:rsid w:val="007A36E6"/>
    <w:rsid w:val="007B5D2F"/>
    <w:rsid w:val="007E2613"/>
    <w:rsid w:val="007E5491"/>
    <w:rsid w:val="007F3F8A"/>
    <w:rsid w:val="00831F30"/>
    <w:rsid w:val="00851170"/>
    <w:rsid w:val="0086729B"/>
    <w:rsid w:val="00877C46"/>
    <w:rsid w:val="00882EAB"/>
    <w:rsid w:val="008906BF"/>
    <w:rsid w:val="008A01F5"/>
    <w:rsid w:val="008C0B05"/>
    <w:rsid w:val="008D23AD"/>
    <w:rsid w:val="008D24AE"/>
    <w:rsid w:val="008E0C54"/>
    <w:rsid w:val="008E13C5"/>
    <w:rsid w:val="008E56A2"/>
    <w:rsid w:val="008E6192"/>
    <w:rsid w:val="008F5CB4"/>
    <w:rsid w:val="0090038B"/>
    <w:rsid w:val="0091344C"/>
    <w:rsid w:val="009141BA"/>
    <w:rsid w:val="00927FAD"/>
    <w:rsid w:val="0093229C"/>
    <w:rsid w:val="009431CB"/>
    <w:rsid w:val="00946FED"/>
    <w:rsid w:val="0095119A"/>
    <w:rsid w:val="00952C1D"/>
    <w:rsid w:val="00954B89"/>
    <w:rsid w:val="00960E23"/>
    <w:rsid w:val="009611FF"/>
    <w:rsid w:val="00973583"/>
    <w:rsid w:val="00976EA8"/>
    <w:rsid w:val="00991BEF"/>
    <w:rsid w:val="009B32F5"/>
    <w:rsid w:val="009C05B0"/>
    <w:rsid w:val="009C573F"/>
    <w:rsid w:val="009D55FA"/>
    <w:rsid w:val="009D766C"/>
    <w:rsid w:val="009F2C37"/>
    <w:rsid w:val="009F5EF1"/>
    <w:rsid w:val="00A000D0"/>
    <w:rsid w:val="00A06E5A"/>
    <w:rsid w:val="00A07043"/>
    <w:rsid w:val="00A07F21"/>
    <w:rsid w:val="00A21802"/>
    <w:rsid w:val="00A44DFB"/>
    <w:rsid w:val="00A4571E"/>
    <w:rsid w:val="00A60555"/>
    <w:rsid w:val="00A76933"/>
    <w:rsid w:val="00A82E42"/>
    <w:rsid w:val="00A90FE7"/>
    <w:rsid w:val="00A91F40"/>
    <w:rsid w:val="00AA496F"/>
    <w:rsid w:val="00AA6064"/>
    <w:rsid w:val="00AA61F9"/>
    <w:rsid w:val="00AB506E"/>
    <w:rsid w:val="00AD0C45"/>
    <w:rsid w:val="00AD2517"/>
    <w:rsid w:val="00AD3400"/>
    <w:rsid w:val="00B01A8B"/>
    <w:rsid w:val="00B06438"/>
    <w:rsid w:val="00B1144F"/>
    <w:rsid w:val="00B132E9"/>
    <w:rsid w:val="00B20F04"/>
    <w:rsid w:val="00B52BC6"/>
    <w:rsid w:val="00B826F7"/>
    <w:rsid w:val="00B93541"/>
    <w:rsid w:val="00BC7FE6"/>
    <w:rsid w:val="00BD1560"/>
    <w:rsid w:val="00BD7D36"/>
    <w:rsid w:val="00C01B34"/>
    <w:rsid w:val="00C04A22"/>
    <w:rsid w:val="00C10ED0"/>
    <w:rsid w:val="00C1416D"/>
    <w:rsid w:val="00C21ED8"/>
    <w:rsid w:val="00C37601"/>
    <w:rsid w:val="00C42B73"/>
    <w:rsid w:val="00C530EF"/>
    <w:rsid w:val="00C64A87"/>
    <w:rsid w:val="00C8663B"/>
    <w:rsid w:val="00C92F1B"/>
    <w:rsid w:val="00C9469C"/>
    <w:rsid w:val="00C96B92"/>
    <w:rsid w:val="00CB1522"/>
    <w:rsid w:val="00CB3A91"/>
    <w:rsid w:val="00CB7235"/>
    <w:rsid w:val="00CC5CC0"/>
    <w:rsid w:val="00CD3547"/>
    <w:rsid w:val="00CD7325"/>
    <w:rsid w:val="00CE51F2"/>
    <w:rsid w:val="00CE652C"/>
    <w:rsid w:val="00CE7439"/>
    <w:rsid w:val="00D0468F"/>
    <w:rsid w:val="00D0789F"/>
    <w:rsid w:val="00D10E5E"/>
    <w:rsid w:val="00D15070"/>
    <w:rsid w:val="00D16C45"/>
    <w:rsid w:val="00D27968"/>
    <w:rsid w:val="00D30204"/>
    <w:rsid w:val="00D30F5B"/>
    <w:rsid w:val="00D41B9A"/>
    <w:rsid w:val="00D42B12"/>
    <w:rsid w:val="00D43490"/>
    <w:rsid w:val="00D47212"/>
    <w:rsid w:val="00D62BE9"/>
    <w:rsid w:val="00D63F48"/>
    <w:rsid w:val="00D7505B"/>
    <w:rsid w:val="00D8464A"/>
    <w:rsid w:val="00D90ACC"/>
    <w:rsid w:val="00DA4E06"/>
    <w:rsid w:val="00E17E46"/>
    <w:rsid w:val="00E220F8"/>
    <w:rsid w:val="00E22C92"/>
    <w:rsid w:val="00E23536"/>
    <w:rsid w:val="00E26226"/>
    <w:rsid w:val="00E329B0"/>
    <w:rsid w:val="00E4341E"/>
    <w:rsid w:val="00E46CB8"/>
    <w:rsid w:val="00E50E1A"/>
    <w:rsid w:val="00E70F86"/>
    <w:rsid w:val="00E71EC3"/>
    <w:rsid w:val="00E735DF"/>
    <w:rsid w:val="00E74084"/>
    <w:rsid w:val="00E76C27"/>
    <w:rsid w:val="00E94ACA"/>
    <w:rsid w:val="00EB7B87"/>
    <w:rsid w:val="00EC4E99"/>
    <w:rsid w:val="00EE0C01"/>
    <w:rsid w:val="00EE4915"/>
    <w:rsid w:val="00F07A4F"/>
    <w:rsid w:val="00F255A8"/>
    <w:rsid w:val="00F3169E"/>
    <w:rsid w:val="00F336BF"/>
    <w:rsid w:val="00F45C71"/>
    <w:rsid w:val="00F46BFB"/>
    <w:rsid w:val="00F47B05"/>
    <w:rsid w:val="00F50534"/>
    <w:rsid w:val="00F511B7"/>
    <w:rsid w:val="00F57AB3"/>
    <w:rsid w:val="00F57CB6"/>
    <w:rsid w:val="00F6392C"/>
    <w:rsid w:val="00F655A2"/>
    <w:rsid w:val="00F74F73"/>
    <w:rsid w:val="00F80DF8"/>
    <w:rsid w:val="00F96029"/>
    <w:rsid w:val="00FA1C97"/>
    <w:rsid w:val="00FA7DB2"/>
    <w:rsid w:val="00FC2C67"/>
    <w:rsid w:val="00FC7660"/>
    <w:rsid w:val="00FF0D2F"/>
    <w:rsid w:val="00FF242C"/>
    <w:rsid w:val="00FF7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FB2A"/>
  <w15:chartTrackingRefBased/>
  <w15:docId w15:val="{42F4CC1A-0802-4ABE-A151-45AA6E4B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046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75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01F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362AD5"/>
    <w:rPr>
      <w:color w:val="0563C1" w:themeColor="hyperlink"/>
      <w:u w:val="single"/>
    </w:rPr>
  </w:style>
  <w:style w:type="paragraph" w:styleId="Funotentext">
    <w:name w:val="footnote text"/>
    <w:basedOn w:val="Standard"/>
    <w:link w:val="FunotentextZchn"/>
    <w:uiPriority w:val="99"/>
    <w:semiHidden/>
    <w:unhideWhenUsed/>
    <w:rsid w:val="006607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07A5"/>
    <w:rPr>
      <w:sz w:val="20"/>
      <w:szCs w:val="20"/>
    </w:rPr>
  </w:style>
  <w:style w:type="character" w:styleId="Funotenzeichen">
    <w:name w:val="footnote reference"/>
    <w:basedOn w:val="Absatz-Standardschriftart"/>
    <w:uiPriority w:val="99"/>
    <w:semiHidden/>
    <w:unhideWhenUsed/>
    <w:rsid w:val="006607A5"/>
    <w:rPr>
      <w:vertAlign w:val="superscript"/>
    </w:rPr>
  </w:style>
  <w:style w:type="character" w:styleId="Kommentarzeichen">
    <w:name w:val="annotation reference"/>
    <w:basedOn w:val="Absatz-Standardschriftart"/>
    <w:uiPriority w:val="99"/>
    <w:semiHidden/>
    <w:unhideWhenUsed/>
    <w:rsid w:val="00F6392C"/>
    <w:rPr>
      <w:sz w:val="16"/>
      <w:szCs w:val="16"/>
    </w:rPr>
  </w:style>
  <w:style w:type="paragraph" w:styleId="Kommentartext">
    <w:name w:val="annotation text"/>
    <w:basedOn w:val="Standard"/>
    <w:link w:val="KommentartextZchn"/>
    <w:uiPriority w:val="99"/>
    <w:semiHidden/>
    <w:unhideWhenUsed/>
    <w:rsid w:val="00F639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92C"/>
    <w:rPr>
      <w:sz w:val="20"/>
      <w:szCs w:val="20"/>
    </w:rPr>
  </w:style>
  <w:style w:type="paragraph" w:styleId="Kommentarthema">
    <w:name w:val="annotation subject"/>
    <w:basedOn w:val="Kommentartext"/>
    <w:next w:val="Kommentartext"/>
    <w:link w:val="KommentarthemaZchn"/>
    <w:uiPriority w:val="99"/>
    <w:semiHidden/>
    <w:unhideWhenUsed/>
    <w:rsid w:val="00F6392C"/>
    <w:rPr>
      <w:b/>
      <w:bCs/>
    </w:rPr>
  </w:style>
  <w:style w:type="character" w:customStyle="1" w:styleId="KommentarthemaZchn">
    <w:name w:val="Kommentarthema Zchn"/>
    <w:basedOn w:val="KommentartextZchn"/>
    <w:link w:val="Kommentarthema"/>
    <w:uiPriority w:val="99"/>
    <w:semiHidden/>
    <w:rsid w:val="00F6392C"/>
    <w:rPr>
      <w:b/>
      <w:bCs/>
      <w:sz w:val="20"/>
      <w:szCs w:val="20"/>
    </w:rPr>
  </w:style>
  <w:style w:type="paragraph" w:styleId="Sprechblasentext">
    <w:name w:val="Balloon Text"/>
    <w:basedOn w:val="Standard"/>
    <w:link w:val="SprechblasentextZchn"/>
    <w:uiPriority w:val="99"/>
    <w:semiHidden/>
    <w:unhideWhenUsed/>
    <w:rsid w:val="00F639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92C"/>
    <w:rPr>
      <w:rFonts w:ascii="Segoe UI" w:hAnsi="Segoe UI" w:cs="Segoe UI"/>
      <w:sz w:val="18"/>
      <w:szCs w:val="18"/>
    </w:rPr>
  </w:style>
  <w:style w:type="character" w:customStyle="1" w:styleId="st">
    <w:name w:val="st"/>
    <w:basedOn w:val="Absatz-Standardschriftart"/>
    <w:rsid w:val="00FF7FAB"/>
  </w:style>
  <w:style w:type="character" w:styleId="Hervorhebung">
    <w:name w:val="Emphasis"/>
    <w:basedOn w:val="Absatz-Standardschriftart"/>
    <w:uiPriority w:val="20"/>
    <w:qFormat/>
    <w:rsid w:val="00FF7FAB"/>
    <w:rPr>
      <w:i/>
      <w:iCs/>
    </w:rPr>
  </w:style>
  <w:style w:type="character" w:styleId="HTMLZitat">
    <w:name w:val="HTML Cite"/>
    <w:basedOn w:val="Absatz-Standardschriftart"/>
    <w:uiPriority w:val="99"/>
    <w:semiHidden/>
    <w:unhideWhenUsed/>
    <w:rsid w:val="00614AAE"/>
    <w:rPr>
      <w:i/>
      <w:iCs/>
    </w:rPr>
  </w:style>
  <w:style w:type="character" w:customStyle="1" w:styleId="authors">
    <w:name w:val="authors"/>
    <w:basedOn w:val="Absatz-Standardschriftart"/>
    <w:rsid w:val="00BD1560"/>
  </w:style>
  <w:style w:type="character" w:customStyle="1" w:styleId="Datum1">
    <w:name w:val="Datum1"/>
    <w:basedOn w:val="Absatz-Standardschriftart"/>
    <w:rsid w:val="00BD1560"/>
  </w:style>
  <w:style w:type="character" w:customStyle="1" w:styleId="arttitle">
    <w:name w:val="art_title"/>
    <w:basedOn w:val="Absatz-Standardschriftart"/>
    <w:rsid w:val="00BD1560"/>
  </w:style>
  <w:style w:type="character" w:customStyle="1" w:styleId="serialtitle">
    <w:name w:val="serial_title"/>
    <w:basedOn w:val="Absatz-Standardschriftart"/>
    <w:rsid w:val="00BD1560"/>
  </w:style>
  <w:style w:type="character" w:customStyle="1" w:styleId="volumeissue">
    <w:name w:val="volume_issue"/>
    <w:basedOn w:val="Absatz-Standardschriftart"/>
    <w:rsid w:val="00BD1560"/>
  </w:style>
  <w:style w:type="character" w:customStyle="1" w:styleId="pagerange">
    <w:name w:val="page_range"/>
    <w:basedOn w:val="Absatz-Standardschriftart"/>
    <w:rsid w:val="00BD1560"/>
  </w:style>
  <w:style w:type="table" w:styleId="Tabellenraster">
    <w:name w:val="Table Grid"/>
    <w:basedOn w:val="NormaleTabelle"/>
    <w:uiPriority w:val="39"/>
    <w:rsid w:val="0097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468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D7505B"/>
    <w:rPr>
      <w:rFonts w:asciiTheme="majorHAnsi" w:eastAsiaTheme="majorEastAsia" w:hAnsiTheme="majorHAnsi" w:cstheme="majorBidi"/>
      <w:color w:val="2E74B5" w:themeColor="accent1" w:themeShade="BF"/>
      <w:sz w:val="26"/>
      <w:szCs w:val="26"/>
    </w:rPr>
  </w:style>
  <w:style w:type="character" w:styleId="BesuchterLink">
    <w:name w:val="FollowedHyperlink"/>
    <w:basedOn w:val="Absatz-Standardschriftart"/>
    <w:uiPriority w:val="99"/>
    <w:semiHidden/>
    <w:unhideWhenUsed/>
    <w:rsid w:val="00781B9C"/>
    <w:rPr>
      <w:color w:val="954F72" w:themeColor="followedHyperlink"/>
      <w:u w:val="single"/>
    </w:rPr>
  </w:style>
  <w:style w:type="paragraph" w:styleId="StandardWeb">
    <w:name w:val="Normal (Web)"/>
    <w:basedOn w:val="Standard"/>
    <w:uiPriority w:val="99"/>
    <w:semiHidden/>
    <w:unhideWhenUsed/>
    <w:rsid w:val="00831F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tensivesZitat">
    <w:name w:val="Intense Quote"/>
    <w:basedOn w:val="Standard"/>
    <w:next w:val="Standard"/>
    <w:link w:val="IntensivesZitatZchn"/>
    <w:uiPriority w:val="30"/>
    <w:qFormat/>
    <w:rsid w:val="00424D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424D5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9053">
      <w:bodyDiv w:val="1"/>
      <w:marLeft w:val="0"/>
      <w:marRight w:val="0"/>
      <w:marTop w:val="0"/>
      <w:marBottom w:val="0"/>
      <w:divBdr>
        <w:top w:val="none" w:sz="0" w:space="0" w:color="auto"/>
        <w:left w:val="none" w:sz="0" w:space="0" w:color="auto"/>
        <w:bottom w:val="none" w:sz="0" w:space="0" w:color="auto"/>
        <w:right w:val="none" w:sz="0" w:space="0" w:color="auto"/>
      </w:divBdr>
      <w:divsChild>
        <w:div w:id="9649733">
          <w:marLeft w:val="0"/>
          <w:marRight w:val="0"/>
          <w:marTop w:val="0"/>
          <w:marBottom w:val="0"/>
          <w:divBdr>
            <w:top w:val="none" w:sz="0" w:space="0" w:color="auto"/>
            <w:left w:val="none" w:sz="0" w:space="0" w:color="auto"/>
            <w:bottom w:val="none" w:sz="0" w:space="0" w:color="auto"/>
            <w:right w:val="none" w:sz="0" w:space="0" w:color="auto"/>
          </w:divBdr>
        </w:div>
      </w:divsChild>
    </w:div>
    <w:div w:id="215972697">
      <w:bodyDiv w:val="1"/>
      <w:marLeft w:val="0"/>
      <w:marRight w:val="0"/>
      <w:marTop w:val="0"/>
      <w:marBottom w:val="0"/>
      <w:divBdr>
        <w:top w:val="none" w:sz="0" w:space="0" w:color="auto"/>
        <w:left w:val="none" w:sz="0" w:space="0" w:color="auto"/>
        <w:bottom w:val="none" w:sz="0" w:space="0" w:color="auto"/>
        <w:right w:val="none" w:sz="0" w:space="0" w:color="auto"/>
      </w:divBdr>
    </w:div>
    <w:div w:id="281769335">
      <w:bodyDiv w:val="1"/>
      <w:marLeft w:val="0"/>
      <w:marRight w:val="0"/>
      <w:marTop w:val="0"/>
      <w:marBottom w:val="0"/>
      <w:divBdr>
        <w:top w:val="none" w:sz="0" w:space="0" w:color="auto"/>
        <w:left w:val="none" w:sz="0" w:space="0" w:color="auto"/>
        <w:bottom w:val="none" w:sz="0" w:space="0" w:color="auto"/>
        <w:right w:val="none" w:sz="0" w:space="0" w:color="auto"/>
      </w:divBdr>
    </w:div>
    <w:div w:id="621153009">
      <w:bodyDiv w:val="1"/>
      <w:marLeft w:val="0"/>
      <w:marRight w:val="0"/>
      <w:marTop w:val="0"/>
      <w:marBottom w:val="0"/>
      <w:divBdr>
        <w:top w:val="none" w:sz="0" w:space="0" w:color="auto"/>
        <w:left w:val="none" w:sz="0" w:space="0" w:color="auto"/>
        <w:bottom w:val="none" w:sz="0" w:space="0" w:color="auto"/>
        <w:right w:val="none" w:sz="0" w:space="0" w:color="auto"/>
      </w:divBdr>
    </w:div>
    <w:div w:id="895318013">
      <w:bodyDiv w:val="1"/>
      <w:marLeft w:val="0"/>
      <w:marRight w:val="0"/>
      <w:marTop w:val="0"/>
      <w:marBottom w:val="0"/>
      <w:divBdr>
        <w:top w:val="none" w:sz="0" w:space="0" w:color="auto"/>
        <w:left w:val="none" w:sz="0" w:space="0" w:color="auto"/>
        <w:bottom w:val="none" w:sz="0" w:space="0" w:color="auto"/>
        <w:right w:val="none" w:sz="0" w:space="0" w:color="auto"/>
      </w:divBdr>
    </w:div>
    <w:div w:id="1177815009">
      <w:bodyDiv w:val="1"/>
      <w:marLeft w:val="0"/>
      <w:marRight w:val="0"/>
      <w:marTop w:val="0"/>
      <w:marBottom w:val="0"/>
      <w:divBdr>
        <w:top w:val="none" w:sz="0" w:space="0" w:color="auto"/>
        <w:left w:val="none" w:sz="0" w:space="0" w:color="auto"/>
        <w:bottom w:val="none" w:sz="0" w:space="0" w:color="auto"/>
        <w:right w:val="none" w:sz="0" w:space="0" w:color="auto"/>
      </w:divBdr>
      <w:divsChild>
        <w:div w:id="170992491">
          <w:marLeft w:val="0"/>
          <w:marRight w:val="0"/>
          <w:marTop w:val="0"/>
          <w:marBottom w:val="0"/>
          <w:divBdr>
            <w:top w:val="none" w:sz="0" w:space="0" w:color="auto"/>
            <w:left w:val="none" w:sz="0" w:space="0" w:color="auto"/>
            <w:bottom w:val="none" w:sz="0" w:space="0" w:color="auto"/>
            <w:right w:val="none" w:sz="0" w:space="0" w:color="auto"/>
          </w:divBdr>
        </w:div>
        <w:div w:id="1230921250">
          <w:marLeft w:val="0"/>
          <w:marRight w:val="0"/>
          <w:marTop w:val="0"/>
          <w:marBottom w:val="0"/>
          <w:divBdr>
            <w:top w:val="none" w:sz="0" w:space="0" w:color="auto"/>
            <w:left w:val="none" w:sz="0" w:space="0" w:color="auto"/>
            <w:bottom w:val="none" w:sz="0" w:space="0" w:color="auto"/>
            <w:right w:val="none" w:sz="0" w:space="0" w:color="auto"/>
          </w:divBdr>
        </w:div>
        <w:div w:id="1782457882">
          <w:marLeft w:val="0"/>
          <w:marRight w:val="0"/>
          <w:marTop w:val="0"/>
          <w:marBottom w:val="0"/>
          <w:divBdr>
            <w:top w:val="none" w:sz="0" w:space="0" w:color="auto"/>
            <w:left w:val="none" w:sz="0" w:space="0" w:color="auto"/>
            <w:bottom w:val="none" w:sz="0" w:space="0" w:color="auto"/>
            <w:right w:val="none" w:sz="0" w:space="0" w:color="auto"/>
          </w:divBdr>
        </w:div>
      </w:divsChild>
    </w:div>
    <w:div w:id="1283461947">
      <w:bodyDiv w:val="1"/>
      <w:marLeft w:val="0"/>
      <w:marRight w:val="0"/>
      <w:marTop w:val="0"/>
      <w:marBottom w:val="0"/>
      <w:divBdr>
        <w:top w:val="none" w:sz="0" w:space="0" w:color="auto"/>
        <w:left w:val="none" w:sz="0" w:space="0" w:color="auto"/>
        <w:bottom w:val="none" w:sz="0" w:space="0" w:color="auto"/>
        <w:right w:val="none" w:sz="0" w:space="0" w:color="auto"/>
      </w:divBdr>
      <w:divsChild>
        <w:div w:id="645890036">
          <w:marLeft w:val="0"/>
          <w:marRight w:val="0"/>
          <w:marTop w:val="0"/>
          <w:marBottom w:val="0"/>
          <w:divBdr>
            <w:top w:val="none" w:sz="0" w:space="0" w:color="auto"/>
            <w:left w:val="none" w:sz="0" w:space="0" w:color="auto"/>
            <w:bottom w:val="none" w:sz="0" w:space="0" w:color="auto"/>
            <w:right w:val="none" w:sz="0" w:space="0" w:color="auto"/>
          </w:divBdr>
        </w:div>
        <w:div w:id="1706245723">
          <w:marLeft w:val="0"/>
          <w:marRight w:val="0"/>
          <w:marTop w:val="0"/>
          <w:marBottom w:val="0"/>
          <w:divBdr>
            <w:top w:val="none" w:sz="0" w:space="0" w:color="auto"/>
            <w:left w:val="none" w:sz="0" w:space="0" w:color="auto"/>
            <w:bottom w:val="none" w:sz="0" w:space="0" w:color="auto"/>
            <w:right w:val="none" w:sz="0" w:space="0" w:color="auto"/>
          </w:divBdr>
        </w:div>
      </w:divsChild>
    </w:div>
    <w:div w:id="1332441366">
      <w:bodyDiv w:val="1"/>
      <w:marLeft w:val="0"/>
      <w:marRight w:val="0"/>
      <w:marTop w:val="0"/>
      <w:marBottom w:val="0"/>
      <w:divBdr>
        <w:top w:val="none" w:sz="0" w:space="0" w:color="auto"/>
        <w:left w:val="none" w:sz="0" w:space="0" w:color="auto"/>
        <w:bottom w:val="none" w:sz="0" w:space="0" w:color="auto"/>
        <w:right w:val="none" w:sz="0" w:space="0" w:color="auto"/>
      </w:divBdr>
      <w:divsChild>
        <w:div w:id="1075592362">
          <w:marLeft w:val="0"/>
          <w:marRight w:val="0"/>
          <w:marTop w:val="0"/>
          <w:marBottom w:val="0"/>
          <w:divBdr>
            <w:top w:val="none" w:sz="0" w:space="0" w:color="auto"/>
            <w:left w:val="none" w:sz="0" w:space="0" w:color="auto"/>
            <w:bottom w:val="none" w:sz="0" w:space="0" w:color="auto"/>
            <w:right w:val="none" w:sz="0" w:space="0" w:color="auto"/>
          </w:divBdr>
        </w:div>
      </w:divsChild>
    </w:div>
    <w:div w:id="1380089594">
      <w:bodyDiv w:val="1"/>
      <w:marLeft w:val="0"/>
      <w:marRight w:val="0"/>
      <w:marTop w:val="0"/>
      <w:marBottom w:val="0"/>
      <w:divBdr>
        <w:top w:val="none" w:sz="0" w:space="0" w:color="auto"/>
        <w:left w:val="none" w:sz="0" w:space="0" w:color="auto"/>
        <w:bottom w:val="none" w:sz="0" w:space="0" w:color="auto"/>
        <w:right w:val="none" w:sz="0" w:space="0" w:color="auto"/>
      </w:divBdr>
    </w:div>
    <w:div w:id="17566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autical_mi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observer.com/tickers/144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C8685876.dotm</Template>
  <TotalTime>0</TotalTime>
  <Pages>16</Pages>
  <Words>5959</Words>
  <Characters>37548</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zimmer2d_l</dc:creator>
  <cp:keywords/>
  <dc:description/>
  <cp:lastModifiedBy>Hubert Zimmermann</cp:lastModifiedBy>
  <cp:revision>2</cp:revision>
  <dcterms:created xsi:type="dcterms:W3CDTF">2019-04-26T09:17:00Z</dcterms:created>
  <dcterms:modified xsi:type="dcterms:W3CDTF">2019-04-26T09:17:00Z</dcterms:modified>
</cp:coreProperties>
</file>