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CAB5" w14:textId="426D977B" w:rsidR="00AC0766" w:rsidRDefault="00937125" w:rsidP="00A0095C">
      <w:pPr>
        <w:widowControl w:val="0"/>
        <w:autoSpaceDE w:val="0"/>
        <w:autoSpaceDN w:val="0"/>
        <w:adjustRightInd w:val="0"/>
        <w:spacing w:line="480" w:lineRule="auto"/>
        <w:jc w:val="center"/>
        <w:rPr>
          <w:rFonts w:cs="Calibri"/>
          <w:b/>
          <w:sz w:val="24"/>
          <w:szCs w:val="24"/>
        </w:rPr>
      </w:pPr>
      <w:r>
        <w:rPr>
          <w:rFonts w:cs="Calibri"/>
          <w:b/>
          <w:sz w:val="24"/>
          <w:szCs w:val="24"/>
        </w:rPr>
        <w:t>From Lever to Club</w:t>
      </w:r>
      <w:r w:rsidR="00117593">
        <w:rPr>
          <w:rFonts w:cs="Calibri"/>
          <w:b/>
          <w:sz w:val="24"/>
          <w:szCs w:val="24"/>
        </w:rPr>
        <w:t xml:space="preserve">? </w:t>
      </w:r>
      <w:r w:rsidR="00FC7992">
        <w:rPr>
          <w:rFonts w:cs="Calibri"/>
          <w:b/>
          <w:sz w:val="24"/>
          <w:szCs w:val="24"/>
        </w:rPr>
        <w:t>Comparing Conditionality in EU Enlargement and the Eurozone Crisis</w:t>
      </w:r>
    </w:p>
    <w:p w14:paraId="76BCA655" w14:textId="7E50C7A4" w:rsidR="006027E9" w:rsidRPr="006D54AD" w:rsidRDefault="006D54AD" w:rsidP="006D54AD">
      <w:pPr>
        <w:widowControl w:val="0"/>
        <w:autoSpaceDE w:val="0"/>
        <w:autoSpaceDN w:val="0"/>
        <w:adjustRightInd w:val="0"/>
        <w:spacing w:line="240" w:lineRule="auto"/>
        <w:jc w:val="center"/>
        <w:rPr>
          <w:rFonts w:cs="Calibri"/>
          <w:sz w:val="24"/>
          <w:szCs w:val="24"/>
        </w:rPr>
      </w:pPr>
      <w:r w:rsidRPr="006D54AD">
        <w:rPr>
          <w:rFonts w:cs="Calibri"/>
          <w:sz w:val="24"/>
          <w:szCs w:val="24"/>
        </w:rPr>
        <w:t>Wade Jacoby, Brigham Young University</w:t>
      </w:r>
    </w:p>
    <w:p w14:paraId="7C07E286" w14:textId="506DD12F" w:rsidR="006D54AD" w:rsidRDefault="006D54AD" w:rsidP="006D54AD">
      <w:pPr>
        <w:widowControl w:val="0"/>
        <w:autoSpaceDE w:val="0"/>
        <w:autoSpaceDN w:val="0"/>
        <w:adjustRightInd w:val="0"/>
        <w:spacing w:line="240" w:lineRule="auto"/>
        <w:jc w:val="center"/>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Jonathan Hopkin, London School of Economics</w:t>
      </w:r>
    </w:p>
    <w:p w14:paraId="1FFED776" w14:textId="7E6E3A22" w:rsidR="006D54AD" w:rsidRPr="006027E9" w:rsidRDefault="006D54AD" w:rsidP="006D54AD">
      <w:pPr>
        <w:widowControl w:val="0"/>
        <w:autoSpaceDE w:val="0"/>
        <w:autoSpaceDN w:val="0"/>
        <w:adjustRightInd w:val="0"/>
        <w:spacing w:line="240" w:lineRule="auto"/>
        <w:jc w:val="center"/>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Paper prepared for the EUSA Meetings, Denver, May 8-11, 2019</w:t>
      </w:r>
    </w:p>
    <w:p w14:paraId="43C76A86" w14:textId="77777777" w:rsidR="00627ED0" w:rsidRPr="00573273" w:rsidRDefault="00627ED0" w:rsidP="00A0095C">
      <w:pPr>
        <w:widowControl w:val="0"/>
        <w:autoSpaceDE w:val="0"/>
        <w:autoSpaceDN w:val="0"/>
        <w:adjustRightInd w:val="0"/>
        <w:spacing w:line="480" w:lineRule="auto"/>
        <w:rPr>
          <w:rFonts w:cs="Calibri"/>
          <w:sz w:val="24"/>
          <w:szCs w:val="24"/>
        </w:rPr>
      </w:pPr>
    </w:p>
    <w:p w14:paraId="30059D4D" w14:textId="077D9476" w:rsidR="00CA698E" w:rsidRDefault="00800CDD" w:rsidP="00A0095C">
      <w:pPr>
        <w:widowControl w:val="0"/>
        <w:autoSpaceDE w:val="0"/>
        <w:autoSpaceDN w:val="0"/>
        <w:adjustRightInd w:val="0"/>
        <w:spacing w:line="480" w:lineRule="auto"/>
        <w:rPr>
          <w:rFonts w:cs="Calibri"/>
          <w:sz w:val="24"/>
          <w:szCs w:val="24"/>
        </w:rPr>
      </w:pPr>
      <w:r>
        <w:rPr>
          <w:rFonts w:cs="Calibri"/>
          <w:sz w:val="24"/>
          <w:szCs w:val="24"/>
        </w:rPr>
        <w:t>How should scholars</w:t>
      </w:r>
      <w:r w:rsidR="00D159A3">
        <w:rPr>
          <w:rFonts w:cs="Calibri"/>
          <w:sz w:val="24"/>
          <w:szCs w:val="24"/>
        </w:rPr>
        <w:t xml:space="preserve"> understand the evolution of EU in</w:t>
      </w:r>
      <w:bookmarkStart w:id="0" w:name="_GoBack"/>
      <w:bookmarkEnd w:id="0"/>
      <w:r w:rsidR="00D159A3">
        <w:rPr>
          <w:rFonts w:cs="Calibri"/>
          <w:sz w:val="24"/>
          <w:szCs w:val="24"/>
        </w:rPr>
        <w:t>struments for crisis management in the Eurozone</w:t>
      </w:r>
      <w:r>
        <w:rPr>
          <w:rFonts w:cs="Calibri"/>
          <w:sz w:val="24"/>
          <w:szCs w:val="24"/>
        </w:rPr>
        <w:t xml:space="preserve">? </w:t>
      </w:r>
      <w:r w:rsidR="00B55C2D">
        <w:rPr>
          <w:rFonts w:cs="Calibri"/>
          <w:sz w:val="24"/>
          <w:szCs w:val="24"/>
        </w:rPr>
        <w:t>This article</w:t>
      </w:r>
      <w:r w:rsidR="00EE401D">
        <w:rPr>
          <w:rFonts w:cs="Calibri"/>
          <w:sz w:val="24"/>
          <w:szCs w:val="24"/>
        </w:rPr>
        <w:t xml:space="preserve"> </w:t>
      </w:r>
      <w:r w:rsidR="00130ADB">
        <w:rPr>
          <w:rFonts w:cs="Calibri"/>
          <w:sz w:val="24"/>
          <w:szCs w:val="24"/>
        </w:rPr>
        <w:t>focus</w:t>
      </w:r>
      <w:r w:rsidR="00B55C2D">
        <w:rPr>
          <w:rFonts w:cs="Calibri"/>
          <w:sz w:val="24"/>
          <w:szCs w:val="24"/>
        </w:rPr>
        <w:t>es</w:t>
      </w:r>
      <w:r w:rsidR="00130ADB">
        <w:rPr>
          <w:rFonts w:cs="Calibri"/>
          <w:sz w:val="24"/>
          <w:szCs w:val="24"/>
        </w:rPr>
        <w:t xml:space="preserve"> on </w:t>
      </w:r>
      <w:r w:rsidR="00B55C2D">
        <w:rPr>
          <w:rFonts w:cs="Calibri"/>
          <w:sz w:val="24"/>
          <w:szCs w:val="24"/>
        </w:rPr>
        <w:t xml:space="preserve">conditionality and, in particular, </w:t>
      </w:r>
      <w:r w:rsidR="00EE401D">
        <w:rPr>
          <w:rFonts w:cs="Calibri"/>
          <w:sz w:val="24"/>
          <w:szCs w:val="24"/>
        </w:rPr>
        <w:t xml:space="preserve">three </w:t>
      </w:r>
      <w:r w:rsidR="00130ADB">
        <w:rPr>
          <w:rFonts w:cs="Calibri"/>
          <w:sz w:val="24"/>
          <w:szCs w:val="24"/>
        </w:rPr>
        <w:t>less-studied dimensions</w:t>
      </w:r>
      <w:r w:rsidR="00B55C2D">
        <w:rPr>
          <w:rFonts w:cs="Calibri"/>
          <w:sz w:val="24"/>
          <w:szCs w:val="24"/>
        </w:rPr>
        <w:t xml:space="preserve"> of this broader question</w:t>
      </w:r>
      <w:r w:rsidR="001F0432">
        <w:rPr>
          <w:rFonts w:cs="Calibri"/>
          <w:sz w:val="24"/>
          <w:szCs w:val="24"/>
        </w:rPr>
        <w:t xml:space="preserve"> about EU instruments</w:t>
      </w:r>
      <w:r w:rsidR="00130ADB">
        <w:rPr>
          <w:rFonts w:cs="Calibri"/>
          <w:sz w:val="24"/>
          <w:szCs w:val="24"/>
        </w:rPr>
        <w:t xml:space="preserve">: first, the way in which instruments for crisis management in the Euro </w:t>
      </w:r>
      <w:r w:rsidR="00B74907">
        <w:rPr>
          <w:rFonts w:cs="Calibri"/>
          <w:sz w:val="24"/>
          <w:szCs w:val="24"/>
        </w:rPr>
        <w:t xml:space="preserve">may have been influenced </w:t>
      </w:r>
      <w:r w:rsidR="00130ADB">
        <w:rPr>
          <w:rFonts w:cs="Calibri"/>
          <w:sz w:val="24"/>
          <w:szCs w:val="24"/>
        </w:rPr>
        <w:t xml:space="preserve">by the prior decade’s largely happy experiences with conditionality in the context of EU enlargement between about 2000-2007; second, the </w:t>
      </w:r>
      <w:r w:rsidR="00EE401D">
        <w:rPr>
          <w:rFonts w:cs="Calibri"/>
          <w:sz w:val="24"/>
          <w:szCs w:val="24"/>
        </w:rPr>
        <w:t xml:space="preserve">satisfying </w:t>
      </w:r>
      <w:r w:rsidR="003A17DF">
        <w:rPr>
          <w:rFonts w:cs="Calibri"/>
          <w:sz w:val="24"/>
          <w:szCs w:val="24"/>
        </w:rPr>
        <w:t xml:space="preserve">(if misleading) </w:t>
      </w:r>
      <w:r w:rsidR="00EE401D">
        <w:rPr>
          <w:rFonts w:cs="Calibri"/>
          <w:sz w:val="24"/>
          <w:szCs w:val="24"/>
        </w:rPr>
        <w:t xml:space="preserve">EU experience with macroeconomic conditionality in non-Eurozone states from the outset of the global financial crisis; and third the </w:t>
      </w:r>
      <w:r w:rsidR="00130ADB">
        <w:rPr>
          <w:rFonts w:cs="Calibri"/>
          <w:sz w:val="24"/>
          <w:szCs w:val="24"/>
        </w:rPr>
        <w:t>largely disappointing results of conditional instruments and the policies the</w:t>
      </w:r>
      <w:r w:rsidR="00EE401D">
        <w:rPr>
          <w:rFonts w:cs="Calibri"/>
          <w:sz w:val="24"/>
          <w:szCs w:val="24"/>
        </w:rPr>
        <w:t xml:space="preserve"> EU</w:t>
      </w:r>
      <w:r w:rsidR="00130ADB">
        <w:rPr>
          <w:rFonts w:cs="Calibri"/>
          <w:sz w:val="24"/>
          <w:szCs w:val="24"/>
        </w:rPr>
        <w:t xml:space="preserve"> </w:t>
      </w:r>
      <w:r w:rsidR="00EE401D">
        <w:rPr>
          <w:rFonts w:cs="Calibri"/>
          <w:sz w:val="24"/>
          <w:szCs w:val="24"/>
        </w:rPr>
        <w:t xml:space="preserve">has </w:t>
      </w:r>
      <w:r w:rsidR="00130ADB">
        <w:rPr>
          <w:rFonts w:cs="Calibri"/>
          <w:sz w:val="24"/>
          <w:szCs w:val="24"/>
        </w:rPr>
        <w:t xml:space="preserve">helped bring about in Southern Europe since 2010. </w:t>
      </w:r>
    </w:p>
    <w:p w14:paraId="544E63C8" w14:textId="53826D19" w:rsidR="00130ADB" w:rsidRDefault="001F0432" w:rsidP="00D615EE">
      <w:pPr>
        <w:widowControl w:val="0"/>
        <w:autoSpaceDE w:val="0"/>
        <w:autoSpaceDN w:val="0"/>
        <w:adjustRightInd w:val="0"/>
        <w:spacing w:line="480" w:lineRule="auto"/>
        <w:ind w:firstLine="720"/>
        <w:rPr>
          <w:rFonts w:cs="Calibri"/>
          <w:sz w:val="24"/>
          <w:szCs w:val="24"/>
        </w:rPr>
      </w:pPr>
      <w:r>
        <w:rPr>
          <w:rFonts w:cs="Calibri"/>
          <w:sz w:val="24"/>
          <w:szCs w:val="24"/>
        </w:rPr>
        <w:t xml:space="preserve">We </w:t>
      </w:r>
      <w:r w:rsidR="007243D4">
        <w:rPr>
          <w:rFonts w:cs="Calibri"/>
          <w:sz w:val="24"/>
          <w:szCs w:val="24"/>
        </w:rPr>
        <w:t xml:space="preserve">argue </w:t>
      </w:r>
      <w:r>
        <w:rPr>
          <w:rFonts w:cs="Calibri"/>
          <w:sz w:val="24"/>
          <w:szCs w:val="24"/>
        </w:rPr>
        <w:t xml:space="preserve">that </w:t>
      </w:r>
      <w:r w:rsidR="00B74907">
        <w:rPr>
          <w:rFonts w:cs="Calibri"/>
          <w:sz w:val="24"/>
          <w:szCs w:val="24"/>
        </w:rPr>
        <w:t>despite the</w:t>
      </w:r>
      <w:r>
        <w:rPr>
          <w:rFonts w:cs="Calibri"/>
          <w:sz w:val="24"/>
          <w:szCs w:val="24"/>
        </w:rPr>
        <w:t xml:space="preserve"> promise </w:t>
      </w:r>
      <w:r w:rsidR="00B74907">
        <w:rPr>
          <w:rFonts w:cs="Calibri"/>
          <w:sz w:val="24"/>
          <w:szCs w:val="24"/>
        </w:rPr>
        <w:t xml:space="preserve">of conditional instruments </w:t>
      </w:r>
      <w:r>
        <w:rPr>
          <w:rFonts w:cs="Calibri"/>
          <w:sz w:val="24"/>
          <w:szCs w:val="24"/>
        </w:rPr>
        <w:t>in earlier episodes, f</w:t>
      </w:r>
      <w:r w:rsidR="00130ADB">
        <w:rPr>
          <w:rFonts w:cs="Calibri"/>
          <w:sz w:val="24"/>
          <w:szCs w:val="24"/>
        </w:rPr>
        <w:t xml:space="preserve">urther </w:t>
      </w:r>
      <w:r>
        <w:rPr>
          <w:rFonts w:cs="Calibri"/>
          <w:sz w:val="24"/>
          <w:szCs w:val="24"/>
        </w:rPr>
        <w:t xml:space="preserve">EU </w:t>
      </w:r>
      <w:r w:rsidR="00130ADB">
        <w:rPr>
          <w:rFonts w:cs="Calibri"/>
          <w:sz w:val="24"/>
          <w:szCs w:val="24"/>
        </w:rPr>
        <w:t xml:space="preserve">reliance on conditional policies </w:t>
      </w:r>
      <w:r w:rsidR="00DE5927">
        <w:rPr>
          <w:rFonts w:cs="Calibri"/>
          <w:sz w:val="24"/>
          <w:szCs w:val="24"/>
        </w:rPr>
        <w:t>has not brought</w:t>
      </w:r>
      <w:r w:rsidR="00130ADB">
        <w:rPr>
          <w:rFonts w:cs="Calibri"/>
          <w:sz w:val="24"/>
          <w:szCs w:val="24"/>
        </w:rPr>
        <w:t xml:space="preserve"> the positive outcomes the main European institutions—here the </w:t>
      </w:r>
      <w:r w:rsidR="000E67F5">
        <w:rPr>
          <w:rFonts w:cs="Calibri"/>
          <w:sz w:val="24"/>
          <w:szCs w:val="24"/>
        </w:rPr>
        <w:t>Council, Commission, and ECB</w:t>
      </w:r>
      <w:r w:rsidR="00130ADB">
        <w:rPr>
          <w:rFonts w:cs="Calibri"/>
          <w:sz w:val="24"/>
          <w:szCs w:val="24"/>
        </w:rPr>
        <w:t>—</w:t>
      </w:r>
      <w:r w:rsidR="00DE5927">
        <w:rPr>
          <w:rFonts w:cs="Calibri"/>
          <w:sz w:val="24"/>
          <w:szCs w:val="24"/>
        </w:rPr>
        <w:t xml:space="preserve">had </w:t>
      </w:r>
      <w:r w:rsidR="00130ADB">
        <w:rPr>
          <w:rFonts w:cs="Calibri"/>
          <w:sz w:val="24"/>
          <w:szCs w:val="24"/>
        </w:rPr>
        <w:t>hoped for. Thus, our paper joins a chorus of recent voices in suggesting the EU needs to try something new (Matthijs and Blyth 2015; Chalmers, Jachtenfuchs and Joerges 2015; Börzel</w:t>
      </w:r>
      <w:r w:rsidR="00721725">
        <w:rPr>
          <w:rFonts w:cs="Calibri"/>
          <w:sz w:val="24"/>
          <w:szCs w:val="24"/>
        </w:rPr>
        <w:t xml:space="preserve"> 2016</w:t>
      </w:r>
      <w:r w:rsidR="00130ADB">
        <w:rPr>
          <w:rFonts w:cs="Calibri"/>
          <w:sz w:val="24"/>
          <w:szCs w:val="24"/>
        </w:rPr>
        <w:t xml:space="preserve">). While the nature of that </w:t>
      </w:r>
      <w:r w:rsidR="00AD7E46">
        <w:rPr>
          <w:rFonts w:cs="Calibri"/>
          <w:sz w:val="24"/>
          <w:szCs w:val="24"/>
        </w:rPr>
        <w:t>“</w:t>
      </w:r>
      <w:r w:rsidR="00130ADB">
        <w:rPr>
          <w:rFonts w:cs="Calibri"/>
          <w:sz w:val="24"/>
          <w:szCs w:val="24"/>
        </w:rPr>
        <w:t xml:space="preserve">something </w:t>
      </w:r>
      <w:r w:rsidR="00130ADB">
        <w:rPr>
          <w:rFonts w:cs="Calibri"/>
          <w:sz w:val="24"/>
          <w:szCs w:val="24"/>
        </w:rPr>
        <w:lastRenderedPageBreak/>
        <w:t>new</w:t>
      </w:r>
      <w:r w:rsidR="00AD7E46">
        <w:rPr>
          <w:rFonts w:cs="Calibri"/>
          <w:sz w:val="24"/>
          <w:szCs w:val="24"/>
        </w:rPr>
        <w:t>”</w:t>
      </w:r>
      <w:r w:rsidR="00130ADB">
        <w:rPr>
          <w:rFonts w:cs="Calibri"/>
          <w:sz w:val="24"/>
          <w:szCs w:val="24"/>
        </w:rPr>
        <w:t xml:space="preserve"> is beyond the scope of this paper, we hope to offer a diagnosis of one of the little-seen but quite important roots of EU conditionality.</w:t>
      </w:r>
      <w:r w:rsidR="00B42640">
        <w:rPr>
          <w:rFonts w:cs="Calibri"/>
          <w:sz w:val="24"/>
          <w:szCs w:val="24"/>
        </w:rPr>
        <w:t xml:space="preserve"> To that end, we </w:t>
      </w:r>
      <w:r w:rsidR="00B42640">
        <w:rPr>
          <w:rFonts w:cs="Cambria"/>
          <w:sz w:val="24"/>
          <w:szCs w:val="24"/>
        </w:rPr>
        <w:t>define conditionality as promises by international organizations</w:t>
      </w:r>
      <w:r w:rsidR="007A7E55">
        <w:rPr>
          <w:rFonts w:cs="Cambria"/>
          <w:sz w:val="24"/>
          <w:szCs w:val="24"/>
        </w:rPr>
        <w:t xml:space="preserve"> (IO)</w:t>
      </w:r>
      <w:r w:rsidR="00B42640">
        <w:rPr>
          <w:rFonts w:cs="Cambria"/>
          <w:sz w:val="24"/>
          <w:szCs w:val="24"/>
        </w:rPr>
        <w:t xml:space="preserve"> to provide benefits</w:t>
      </w:r>
      <w:r w:rsidR="00C21BFD">
        <w:rPr>
          <w:rFonts w:cs="Cambria"/>
          <w:sz w:val="24"/>
          <w:szCs w:val="24"/>
        </w:rPr>
        <w:t>—including membership—</w:t>
      </w:r>
      <w:r w:rsidR="00B42640">
        <w:rPr>
          <w:rFonts w:cs="Cambria"/>
          <w:sz w:val="24"/>
          <w:szCs w:val="24"/>
        </w:rPr>
        <w:t>to states in exchange for those states enacting specific policy changes spelled out by the IO (Steunenberg and Dimitrova 2007, 3).</w:t>
      </w:r>
    </w:p>
    <w:p w14:paraId="5E56C5F9" w14:textId="20123300" w:rsidR="00130ADB" w:rsidRDefault="00130ADB" w:rsidP="00D615EE">
      <w:pPr>
        <w:widowControl w:val="0"/>
        <w:autoSpaceDE w:val="0"/>
        <w:autoSpaceDN w:val="0"/>
        <w:adjustRightInd w:val="0"/>
        <w:spacing w:line="480" w:lineRule="auto"/>
        <w:ind w:firstLine="720"/>
        <w:rPr>
          <w:rFonts w:cs="Calibri"/>
          <w:sz w:val="24"/>
          <w:szCs w:val="24"/>
        </w:rPr>
      </w:pPr>
      <w:r>
        <w:rPr>
          <w:rFonts w:cs="Calibri"/>
          <w:sz w:val="24"/>
          <w:szCs w:val="24"/>
        </w:rPr>
        <w:t>Our</w:t>
      </w:r>
      <w:r w:rsidRPr="00573273">
        <w:rPr>
          <w:rFonts w:cs="Calibri"/>
          <w:sz w:val="24"/>
          <w:szCs w:val="24"/>
        </w:rPr>
        <w:t xml:space="preserve"> </w:t>
      </w:r>
      <w:r w:rsidR="00117593">
        <w:rPr>
          <w:rFonts w:cs="Calibri"/>
          <w:sz w:val="24"/>
          <w:szCs w:val="24"/>
        </w:rPr>
        <w:t xml:space="preserve">basic argument is </w:t>
      </w:r>
      <w:r w:rsidRPr="00573273">
        <w:rPr>
          <w:rFonts w:cs="Calibri"/>
          <w:sz w:val="24"/>
          <w:szCs w:val="24"/>
        </w:rPr>
        <w:t xml:space="preserve">that the EU—in particular, the Commission—is taking a legitimate policy tool in what may ultimately prove to be illegitimate directions. Conditionality is a new tool in the </w:t>
      </w:r>
      <w:r w:rsidR="00230F61">
        <w:rPr>
          <w:rFonts w:cs="Calibri"/>
          <w:sz w:val="24"/>
          <w:szCs w:val="24"/>
        </w:rPr>
        <w:t>EU’s</w:t>
      </w:r>
      <w:r w:rsidR="00230F61" w:rsidRPr="00573273">
        <w:rPr>
          <w:rFonts w:cs="Calibri"/>
          <w:sz w:val="24"/>
          <w:szCs w:val="24"/>
        </w:rPr>
        <w:t xml:space="preserve"> </w:t>
      </w:r>
      <w:r w:rsidRPr="00573273">
        <w:rPr>
          <w:rFonts w:cs="Calibri"/>
          <w:sz w:val="24"/>
          <w:szCs w:val="24"/>
        </w:rPr>
        <w:t xml:space="preserve">tool kit, having been most prominent since the accession of ten new member states in 2004 and 2007. In subsequent years, it was used in a somewhat different form </w:t>
      </w:r>
      <w:r w:rsidR="00AD7E46">
        <w:rPr>
          <w:rFonts w:cs="Calibri"/>
          <w:sz w:val="24"/>
          <w:szCs w:val="24"/>
        </w:rPr>
        <w:t>“</w:t>
      </w:r>
      <w:r w:rsidRPr="00573273">
        <w:rPr>
          <w:rFonts w:cs="Calibri"/>
          <w:sz w:val="24"/>
          <w:szCs w:val="24"/>
        </w:rPr>
        <w:t>against</w:t>
      </w:r>
      <w:r w:rsidR="00AD7E46">
        <w:rPr>
          <w:rFonts w:cs="Calibri"/>
          <w:sz w:val="24"/>
          <w:szCs w:val="24"/>
        </w:rPr>
        <w:t xml:space="preserve">” </w:t>
      </w:r>
      <w:r w:rsidRPr="00573273">
        <w:rPr>
          <w:rFonts w:cs="Calibri"/>
          <w:sz w:val="24"/>
          <w:szCs w:val="24"/>
        </w:rPr>
        <w:t>Romania and Bulgaria even after they became members. Since 2008, it has then morphed into an increasingly widely-used instrument vis-à-vis the Southern European member states, particularly Greece, Spain, and Portugal</w:t>
      </w:r>
      <w:r>
        <w:rPr>
          <w:rFonts w:cs="Calibri"/>
          <w:sz w:val="24"/>
          <w:szCs w:val="24"/>
        </w:rPr>
        <w:t xml:space="preserve"> </w:t>
      </w:r>
      <w:r w:rsidR="00DE5927">
        <w:rPr>
          <w:rFonts w:cs="Calibri"/>
          <w:sz w:val="24"/>
          <w:szCs w:val="24"/>
        </w:rPr>
        <w:t xml:space="preserve">(as well as Ireland) </w:t>
      </w:r>
      <w:r>
        <w:rPr>
          <w:rFonts w:cs="Calibri"/>
          <w:sz w:val="24"/>
          <w:szCs w:val="24"/>
        </w:rPr>
        <w:t>and, for a much shorter period, on Latvia, Hungary and Romania, which also needed bailout programs</w:t>
      </w:r>
      <w:r w:rsidRPr="00573273">
        <w:rPr>
          <w:rFonts w:cs="Calibri"/>
          <w:sz w:val="24"/>
          <w:szCs w:val="24"/>
        </w:rPr>
        <w:t>.</w:t>
      </w:r>
      <w:r w:rsidR="00230F61">
        <w:rPr>
          <w:rFonts w:cs="Calibri"/>
          <w:sz w:val="24"/>
          <w:szCs w:val="24"/>
        </w:rPr>
        <w:t xml:space="preserve"> We document this evolution, summarize the changes in conditional instruments and show the limitations of conditionality as a substantive policy</w:t>
      </w:r>
      <w:r w:rsidR="00DB58DD">
        <w:rPr>
          <w:rFonts w:cs="Calibri"/>
          <w:sz w:val="24"/>
          <w:szCs w:val="24"/>
        </w:rPr>
        <w:t xml:space="preserve"> during the Eurocrisis such that conditionality is ultimately downgraded and substantially eclipsed by a new monetary policy regime known as quantitative easing</w:t>
      </w:r>
      <w:r w:rsidR="00230F61">
        <w:rPr>
          <w:rFonts w:cs="Calibri"/>
          <w:sz w:val="24"/>
          <w:szCs w:val="24"/>
        </w:rPr>
        <w:t>.</w:t>
      </w:r>
      <w:r w:rsidR="00230F61">
        <w:rPr>
          <w:rStyle w:val="FootnoteReference"/>
          <w:rFonts w:cs="Calibri"/>
          <w:sz w:val="24"/>
          <w:szCs w:val="24"/>
        </w:rPr>
        <w:footnoteReference w:id="1"/>
      </w:r>
    </w:p>
    <w:p w14:paraId="3F5B3F40" w14:textId="6DD1DFE6" w:rsidR="005615FB" w:rsidRDefault="008617B1" w:rsidP="00D615EE">
      <w:pPr>
        <w:widowControl w:val="0"/>
        <w:autoSpaceDE w:val="0"/>
        <w:autoSpaceDN w:val="0"/>
        <w:adjustRightInd w:val="0"/>
        <w:spacing w:line="480" w:lineRule="auto"/>
        <w:ind w:firstLine="720"/>
        <w:rPr>
          <w:rFonts w:cs="Calibri"/>
          <w:sz w:val="24"/>
          <w:szCs w:val="24"/>
        </w:rPr>
      </w:pPr>
      <w:r>
        <w:rPr>
          <w:rFonts w:cs="Calibri"/>
          <w:sz w:val="24"/>
          <w:szCs w:val="24"/>
        </w:rPr>
        <w:t xml:space="preserve">Our main point is that the </w:t>
      </w:r>
      <w:r w:rsidR="00004AE4">
        <w:rPr>
          <w:rFonts w:cs="Calibri"/>
          <w:sz w:val="24"/>
          <w:szCs w:val="24"/>
        </w:rPr>
        <w:t xml:space="preserve">stronger the form of </w:t>
      </w:r>
      <w:r>
        <w:rPr>
          <w:rFonts w:cs="Calibri"/>
          <w:sz w:val="24"/>
          <w:szCs w:val="24"/>
        </w:rPr>
        <w:t>conditionali</w:t>
      </w:r>
      <w:r w:rsidR="00004AE4">
        <w:rPr>
          <w:rFonts w:cs="Calibri"/>
          <w:sz w:val="24"/>
          <w:szCs w:val="24"/>
        </w:rPr>
        <w:t xml:space="preserve">ty the EU has tried, the less it has worked. Digging deeper and deeper into the most sensitive </w:t>
      </w:r>
      <w:r w:rsidR="00004AE4">
        <w:rPr>
          <w:rFonts w:cs="Calibri"/>
          <w:sz w:val="24"/>
          <w:szCs w:val="24"/>
        </w:rPr>
        <w:lastRenderedPageBreak/>
        <w:t>policy domains of its members has not lead to macroeconomic stabilization in the way the EU has hoped. This is not to deny the political importance of conditionality in mollifying angry voters in Northern European creditor states (Matthijs and McNamara 2015</w:t>
      </w:r>
      <w:r w:rsidR="00414BC6">
        <w:rPr>
          <w:rFonts w:cs="Calibri"/>
          <w:sz w:val="24"/>
          <w:szCs w:val="24"/>
        </w:rPr>
        <w:t xml:space="preserve">). Given the way that the Eurocrisis was framed in Germany, there is little chance that German politicians would have lent or given assistance without some form of conditionality (Brunnermeier, James, and Landau 2017; </w:t>
      </w:r>
      <w:r w:rsidR="008B5C6B">
        <w:rPr>
          <w:rFonts w:cs="Calibri"/>
          <w:sz w:val="24"/>
          <w:szCs w:val="24"/>
        </w:rPr>
        <w:t>Jacoby 2015</w:t>
      </w:r>
      <w:r w:rsidR="00004AE4">
        <w:rPr>
          <w:rFonts w:cs="Calibri"/>
          <w:sz w:val="24"/>
          <w:szCs w:val="24"/>
        </w:rPr>
        <w:t xml:space="preserve">).  </w:t>
      </w:r>
    </w:p>
    <w:p w14:paraId="0C8F13BB" w14:textId="584D65B9" w:rsidR="00130ADB" w:rsidRPr="00573273" w:rsidRDefault="00CB73ED" w:rsidP="00D615EE">
      <w:pPr>
        <w:widowControl w:val="0"/>
        <w:autoSpaceDE w:val="0"/>
        <w:autoSpaceDN w:val="0"/>
        <w:adjustRightInd w:val="0"/>
        <w:spacing w:line="480" w:lineRule="auto"/>
        <w:ind w:firstLine="720"/>
        <w:rPr>
          <w:rFonts w:cs="Calibri"/>
          <w:sz w:val="24"/>
          <w:szCs w:val="24"/>
        </w:rPr>
      </w:pPr>
      <w:r>
        <w:rPr>
          <w:rFonts w:cs="Calibri"/>
          <w:sz w:val="24"/>
          <w:szCs w:val="24"/>
        </w:rPr>
        <w:t xml:space="preserve">The more recent disappointments with conditionality that we document below may well be linked to a tendency to overattribute success to conditionality in earlier periods. </w:t>
      </w:r>
      <w:r w:rsidR="003B491A">
        <w:rPr>
          <w:rFonts w:cs="Calibri"/>
          <w:sz w:val="24"/>
          <w:szCs w:val="24"/>
        </w:rPr>
        <w:t xml:space="preserve">Indeed, while </w:t>
      </w:r>
      <w:r w:rsidR="00130ADB">
        <w:rPr>
          <w:rFonts w:cs="Calibri"/>
          <w:sz w:val="24"/>
          <w:szCs w:val="24"/>
        </w:rPr>
        <w:t xml:space="preserve">conditionality </w:t>
      </w:r>
      <w:r w:rsidR="003B491A">
        <w:rPr>
          <w:rFonts w:cs="Calibri"/>
          <w:sz w:val="24"/>
          <w:szCs w:val="24"/>
        </w:rPr>
        <w:t xml:space="preserve">was an important and useful tool during the enlargement period, it </w:t>
      </w:r>
      <w:r w:rsidR="00130ADB">
        <w:rPr>
          <w:rFonts w:cs="Calibri"/>
          <w:sz w:val="24"/>
          <w:szCs w:val="24"/>
        </w:rPr>
        <w:t xml:space="preserve">was </w:t>
      </w:r>
      <w:r w:rsidR="00B8091C">
        <w:rPr>
          <w:rFonts w:cs="Calibri"/>
          <w:sz w:val="24"/>
          <w:szCs w:val="24"/>
        </w:rPr>
        <w:t>hardly the only</w:t>
      </w:r>
      <w:r w:rsidR="00130ADB">
        <w:rPr>
          <w:rFonts w:cs="Calibri"/>
          <w:sz w:val="24"/>
          <w:szCs w:val="24"/>
        </w:rPr>
        <w:t xml:space="preserve"> </w:t>
      </w:r>
      <w:r w:rsidR="00B8091C">
        <w:rPr>
          <w:rFonts w:cs="Calibri"/>
          <w:sz w:val="24"/>
          <w:szCs w:val="24"/>
        </w:rPr>
        <w:t xml:space="preserve">tool the EU wielded </w:t>
      </w:r>
      <w:r w:rsidR="00130ADB">
        <w:rPr>
          <w:rFonts w:cs="Calibri"/>
          <w:sz w:val="24"/>
          <w:szCs w:val="24"/>
        </w:rPr>
        <w:t xml:space="preserve">during </w:t>
      </w:r>
      <w:r w:rsidR="003B491A">
        <w:rPr>
          <w:rFonts w:cs="Calibri"/>
          <w:sz w:val="24"/>
          <w:szCs w:val="24"/>
        </w:rPr>
        <w:t xml:space="preserve">those </w:t>
      </w:r>
      <w:r w:rsidR="00130ADB">
        <w:rPr>
          <w:rFonts w:cs="Calibri"/>
          <w:sz w:val="24"/>
          <w:szCs w:val="24"/>
        </w:rPr>
        <w:t>negotiations, nor did it always succeed</w:t>
      </w:r>
      <w:r w:rsidR="00B368D0">
        <w:rPr>
          <w:rFonts w:cs="Calibri"/>
          <w:sz w:val="24"/>
          <w:szCs w:val="24"/>
        </w:rPr>
        <w:t xml:space="preserve"> (Kelley</w:t>
      </w:r>
      <w:r w:rsidR="008D69BF">
        <w:rPr>
          <w:rFonts w:cs="Calibri"/>
          <w:sz w:val="24"/>
          <w:szCs w:val="24"/>
        </w:rPr>
        <w:t xml:space="preserve"> 2006)</w:t>
      </w:r>
      <w:r w:rsidR="00130ADB">
        <w:rPr>
          <w:rFonts w:cs="Calibri"/>
          <w:sz w:val="24"/>
          <w:szCs w:val="24"/>
        </w:rPr>
        <w:t xml:space="preserve">. </w:t>
      </w:r>
      <w:r w:rsidR="00B8091C">
        <w:rPr>
          <w:rFonts w:cs="Calibri"/>
          <w:sz w:val="24"/>
          <w:szCs w:val="24"/>
        </w:rPr>
        <w:t>While</w:t>
      </w:r>
      <w:r w:rsidR="00130ADB">
        <w:rPr>
          <w:rFonts w:cs="Calibri"/>
          <w:sz w:val="24"/>
          <w:szCs w:val="24"/>
        </w:rPr>
        <w:t xml:space="preserve"> c</w:t>
      </w:r>
      <w:r w:rsidR="00130ADB" w:rsidRPr="00573273">
        <w:rPr>
          <w:rFonts w:cs="Calibri"/>
          <w:sz w:val="24"/>
          <w:szCs w:val="24"/>
        </w:rPr>
        <w:t>onditionality did play a</w:t>
      </w:r>
      <w:r w:rsidR="00130ADB">
        <w:rPr>
          <w:rFonts w:cs="Calibri"/>
          <w:sz w:val="24"/>
          <w:szCs w:val="24"/>
        </w:rPr>
        <w:t>n important</w:t>
      </w:r>
      <w:r w:rsidR="00130ADB" w:rsidRPr="00573273">
        <w:rPr>
          <w:rFonts w:cs="Calibri"/>
          <w:sz w:val="24"/>
          <w:szCs w:val="24"/>
        </w:rPr>
        <w:t xml:space="preserve"> role in preparations for the 2004 enlargement, </w:t>
      </w:r>
      <w:r w:rsidR="00B8091C">
        <w:rPr>
          <w:rFonts w:cs="Calibri"/>
          <w:sz w:val="24"/>
          <w:szCs w:val="24"/>
        </w:rPr>
        <w:t>the EU’s</w:t>
      </w:r>
      <w:r w:rsidR="00B8091C" w:rsidRPr="00573273">
        <w:rPr>
          <w:rFonts w:cs="Calibri"/>
          <w:sz w:val="24"/>
          <w:szCs w:val="24"/>
        </w:rPr>
        <w:t xml:space="preserve"> </w:t>
      </w:r>
      <w:r w:rsidR="00130ADB">
        <w:rPr>
          <w:rFonts w:cs="Calibri"/>
          <w:sz w:val="24"/>
          <w:szCs w:val="24"/>
        </w:rPr>
        <w:t>success</w:t>
      </w:r>
      <w:r w:rsidR="00130ADB" w:rsidRPr="00573273">
        <w:rPr>
          <w:rFonts w:cs="Calibri"/>
          <w:sz w:val="24"/>
          <w:szCs w:val="24"/>
        </w:rPr>
        <w:t xml:space="preserve"> always </w:t>
      </w:r>
      <w:r w:rsidR="00130ADB">
        <w:rPr>
          <w:rFonts w:cs="Calibri"/>
          <w:sz w:val="24"/>
          <w:szCs w:val="24"/>
        </w:rPr>
        <w:t xml:space="preserve">depended on much </w:t>
      </w:r>
      <w:r w:rsidR="00130ADB" w:rsidRPr="00573273">
        <w:rPr>
          <w:rFonts w:cs="Calibri"/>
          <w:sz w:val="24"/>
          <w:szCs w:val="24"/>
        </w:rPr>
        <w:t xml:space="preserve">more than </w:t>
      </w:r>
      <w:r w:rsidR="00130ADB">
        <w:rPr>
          <w:rFonts w:cs="Calibri"/>
          <w:sz w:val="24"/>
          <w:szCs w:val="24"/>
        </w:rPr>
        <w:t>conditionality</w:t>
      </w:r>
      <w:r w:rsidR="00130ADB" w:rsidRPr="00573273">
        <w:rPr>
          <w:rFonts w:cs="Calibri"/>
          <w:sz w:val="24"/>
          <w:szCs w:val="24"/>
        </w:rPr>
        <w:t xml:space="preserve">. </w:t>
      </w:r>
      <w:r w:rsidR="00130ADB">
        <w:rPr>
          <w:rFonts w:cs="Calibri"/>
          <w:sz w:val="24"/>
          <w:szCs w:val="24"/>
        </w:rPr>
        <w:t xml:space="preserve">For example, </w:t>
      </w:r>
      <w:r w:rsidR="00130ADB" w:rsidRPr="00573273">
        <w:rPr>
          <w:rFonts w:cs="Calibri"/>
          <w:sz w:val="24"/>
          <w:szCs w:val="24"/>
        </w:rPr>
        <w:t>Bruszt and Langbein (201</w:t>
      </w:r>
      <w:r w:rsidR="001C0F1E">
        <w:rPr>
          <w:rFonts w:cs="Calibri"/>
          <w:sz w:val="24"/>
          <w:szCs w:val="24"/>
        </w:rPr>
        <w:t>5</w:t>
      </w:r>
      <w:r w:rsidR="00130ADB" w:rsidRPr="00573273">
        <w:rPr>
          <w:rFonts w:cs="Calibri"/>
          <w:sz w:val="24"/>
          <w:szCs w:val="24"/>
        </w:rPr>
        <w:t>)</w:t>
      </w:r>
      <w:r w:rsidR="00130ADB">
        <w:rPr>
          <w:rFonts w:cs="Calibri"/>
          <w:sz w:val="24"/>
          <w:szCs w:val="24"/>
        </w:rPr>
        <w:t xml:space="preserve"> show that the</w:t>
      </w:r>
      <w:r w:rsidR="00130ADB" w:rsidRPr="00573273">
        <w:rPr>
          <w:rFonts w:cs="Calibri"/>
          <w:sz w:val="24"/>
          <w:szCs w:val="24"/>
        </w:rPr>
        <w:t xml:space="preserve"> EU used a range of other informal instruments to help develop CEE states for membership</w:t>
      </w:r>
      <w:r w:rsidR="00130ADB">
        <w:rPr>
          <w:rFonts w:cs="Calibri"/>
          <w:sz w:val="24"/>
          <w:szCs w:val="24"/>
        </w:rPr>
        <w:t xml:space="preserve"> (see also Bruszt and Vucho</w:t>
      </w:r>
      <w:r w:rsidR="001C0F1E">
        <w:rPr>
          <w:rFonts w:cs="Calibri"/>
          <w:sz w:val="24"/>
          <w:szCs w:val="24"/>
        </w:rPr>
        <w:t>v</w:t>
      </w:r>
      <w:r w:rsidR="00130ADB">
        <w:rPr>
          <w:rFonts w:cs="Calibri"/>
          <w:sz w:val="24"/>
          <w:szCs w:val="24"/>
        </w:rPr>
        <w:t xml:space="preserve"> 201</w:t>
      </w:r>
      <w:r w:rsidR="001C0F1E">
        <w:rPr>
          <w:rFonts w:cs="Calibri"/>
          <w:sz w:val="24"/>
          <w:szCs w:val="24"/>
        </w:rPr>
        <w:t>7</w:t>
      </w:r>
      <w:r w:rsidR="00130ADB">
        <w:rPr>
          <w:rFonts w:cs="Calibri"/>
          <w:sz w:val="24"/>
          <w:szCs w:val="24"/>
        </w:rPr>
        <w:t>)</w:t>
      </w:r>
      <w:r w:rsidR="00130ADB" w:rsidRPr="00573273">
        <w:rPr>
          <w:rFonts w:cs="Calibri"/>
          <w:sz w:val="24"/>
          <w:szCs w:val="24"/>
        </w:rPr>
        <w:t xml:space="preserve">. </w:t>
      </w:r>
      <w:r w:rsidR="00130ADB">
        <w:rPr>
          <w:rFonts w:cs="Calibri"/>
          <w:sz w:val="24"/>
          <w:szCs w:val="24"/>
        </w:rPr>
        <w:t>Thus,</w:t>
      </w:r>
      <w:r w:rsidR="00130ADB" w:rsidRPr="00573273">
        <w:rPr>
          <w:rFonts w:cs="Calibri"/>
          <w:sz w:val="24"/>
          <w:szCs w:val="24"/>
        </w:rPr>
        <w:t xml:space="preserve"> conditionality was </w:t>
      </w:r>
      <w:r w:rsidR="00130ADB">
        <w:rPr>
          <w:rFonts w:cs="Calibri"/>
          <w:sz w:val="24"/>
          <w:szCs w:val="24"/>
        </w:rPr>
        <w:t xml:space="preserve">not </w:t>
      </w:r>
      <w:r w:rsidR="00130ADB" w:rsidRPr="00573273">
        <w:rPr>
          <w:rFonts w:cs="Calibri"/>
          <w:sz w:val="24"/>
          <w:szCs w:val="24"/>
        </w:rPr>
        <w:t>the only or even main tool used by the EU</w:t>
      </w:r>
      <w:r w:rsidR="00130ADB">
        <w:rPr>
          <w:rFonts w:cs="Calibri"/>
          <w:sz w:val="24"/>
          <w:szCs w:val="24"/>
        </w:rPr>
        <w:t xml:space="preserve"> during enlargement</w:t>
      </w:r>
      <w:r w:rsidR="00130ADB" w:rsidRPr="00573273">
        <w:rPr>
          <w:rFonts w:cs="Calibri"/>
          <w:sz w:val="24"/>
          <w:szCs w:val="24"/>
        </w:rPr>
        <w:t xml:space="preserve">. </w:t>
      </w:r>
      <w:r w:rsidR="00B8091C">
        <w:rPr>
          <w:rFonts w:cs="Calibri"/>
          <w:sz w:val="24"/>
          <w:szCs w:val="24"/>
        </w:rPr>
        <w:t>Yet EU conditionality soon thereafter was deployed quite aggressively on troubled non-Eurozone EU member states in that same region. And</w:t>
      </w:r>
      <w:r w:rsidR="00130ADB" w:rsidRPr="00573273">
        <w:rPr>
          <w:rFonts w:cs="Calibri"/>
          <w:sz w:val="24"/>
          <w:szCs w:val="24"/>
        </w:rPr>
        <w:t>, the EU approach to Southern Europe appears to have elevated the conditionality tool to a</w:t>
      </w:r>
      <w:r w:rsidR="00B8091C">
        <w:rPr>
          <w:rFonts w:cs="Calibri"/>
          <w:sz w:val="24"/>
          <w:szCs w:val="24"/>
        </w:rPr>
        <w:t>n even</w:t>
      </w:r>
      <w:r w:rsidR="00130ADB" w:rsidRPr="00573273">
        <w:rPr>
          <w:rFonts w:cs="Calibri"/>
          <w:sz w:val="24"/>
          <w:szCs w:val="24"/>
        </w:rPr>
        <w:t xml:space="preserve"> more central place in its policy mix</w:t>
      </w:r>
      <w:r w:rsidR="00B8091C">
        <w:rPr>
          <w:rFonts w:cs="Calibri"/>
          <w:sz w:val="24"/>
          <w:szCs w:val="24"/>
        </w:rPr>
        <w:t xml:space="preserve"> between the onset of the Eurocrisis in 2010 and the start of the ECB’s quantitative easing in </w:t>
      </w:r>
      <w:r w:rsidR="0007295E">
        <w:rPr>
          <w:rFonts w:cs="Calibri"/>
          <w:sz w:val="24"/>
          <w:szCs w:val="24"/>
        </w:rPr>
        <w:t xml:space="preserve">March </w:t>
      </w:r>
      <w:r w:rsidR="00B8091C">
        <w:rPr>
          <w:rFonts w:cs="Calibri"/>
          <w:sz w:val="24"/>
          <w:szCs w:val="24"/>
        </w:rPr>
        <w:t>2015</w:t>
      </w:r>
      <w:r w:rsidR="00130ADB" w:rsidRPr="00573273">
        <w:rPr>
          <w:rFonts w:cs="Calibri"/>
          <w:sz w:val="24"/>
          <w:szCs w:val="24"/>
        </w:rPr>
        <w:t>.</w:t>
      </w:r>
      <w:r w:rsidR="00F97DCF">
        <w:rPr>
          <w:rFonts w:cs="Calibri"/>
          <w:sz w:val="24"/>
          <w:szCs w:val="24"/>
        </w:rPr>
        <w:t xml:space="preserve"> </w:t>
      </w:r>
    </w:p>
    <w:p w14:paraId="67F4A98C" w14:textId="7E5B7474" w:rsidR="00130ADB" w:rsidRDefault="00130ADB" w:rsidP="00D615EE">
      <w:pPr>
        <w:widowControl w:val="0"/>
        <w:autoSpaceDE w:val="0"/>
        <w:autoSpaceDN w:val="0"/>
        <w:adjustRightInd w:val="0"/>
        <w:spacing w:line="480" w:lineRule="auto"/>
        <w:ind w:firstLine="720"/>
        <w:rPr>
          <w:rFonts w:cs="Calibri"/>
          <w:sz w:val="24"/>
          <w:szCs w:val="24"/>
        </w:rPr>
      </w:pPr>
      <w:r w:rsidRPr="00573273">
        <w:rPr>
          <w:rFonts w:cs="Calibri"/>
          <w:sz w:val="24"/>
          <w:szCs w:val="24"/>
        </w:rPr>
        <w:t xml:space="preserve">To an extent, </w:t>
      </w:r>
      <w:r w:rsidR="001269D1">
        <w:rPr>
          <w:rFonts w:cs="Calibri"/>
          <w:sz w:val="24"/>
          <w:szCs w:val="24"/>
        </w:rPr>
        <w:t xml:space="preserve">the scholarly literature also seems to have overattributed </w:t>
      </w:r>
      <w:r w:rsidR="001269D1">
        <w:rPr>
          <w:rFonts w:cs="Calibri"/>
          <w:sz w:val="24"/>
          <w:szCs w:val="24"/>
        </w:rPr>
        <w:lastRenderedPageBreak/>
        <w:t>success to conditionality</w:t>
      </w:r>
      <w:r>
        <w:rPr>
          <w:rFonts w:cs="Calibri"/>
          <w:sz w:val="24"/>
          <w:szCs w:val="24"/>
        </w:rPr>
        <w:t xml:space="preserve"> (Jacoby 2006).</w:t>
      </w:r>
      <w:r w:rsidRPr="00573273">
        <w:rPr>
          <w:rFonts w:cs="Calibri"/>
          <w:sz w:val="24"/>
          <w:szCs w:val="24"/>
        </w:rPr>
        <w:t xml:space="preserve"> For example, many sophisticated works of scholarship on the</w:t>
      </w:r>
      <w:r w:rsidR="001269D1">
        <w:rPr>
          <w:rFonts w:cs="Calibri"/>
          <w:sz w:val="24"/>
          <w:szCs w:val="24"/>
        </w:rPr>
        <w:t xml:space="preserve"> CEE</w:t>
      </w:r>
      <w:r w:rsidRPr="00573273">
        <w:rPr>
          <w:rFonts w:cs="Calibri"/>
          <w:sz w:val="24"/>
          <w:szCs w:val="24"/>
        </w:rPr>
        <w:t xml:space="preserve"> region—eg. Vachudova 2005—have been subsequently stylized and simplified in citations, such that the EU role is reduced to </w:t>
      </w:r>
      <w:r w:rsidR="000D4867">
        <w:rPr>
          <w:rFonts w:cs="Calibri"/>
          <w:sz w:val="24"/>
          <w:szCs w:val="24"/>
        </w:rPr>
        <w:t>“</w:t>
      </w:r>
      <w:r w:rsidRPr="00573273">
        <w:rPr>
          <w:rFonts w:cs="Calibri"/>
          <w:sz w:val="24"/>
          <w:szCs w:val="24"/>
        </w:rPr>
        <w:t>active leverage</w:t>
      </w:r>
      <w:r w:rsidR="000D4867">
        <w:rPr>
          <w:rFonts w:cs="Calibri"/>
          <w:sz w:val="24"/>
          <w:szCs w:val="24"/>
        </w:rPr>
        <w:t>”</w:t>
      </w:r>
      <w:r w:rsidRPr="00573273">
        <w:rPr>
          <w:rFonts w:cs="Calibri"/>
          <w:sz w:val="24"/>
          <w:szCs w:val="24"/>
        </w:rPr>
        <w:t xml:space="preserve"> or conditionality. Meanwhile, </w:t>
      </w:r>
      <w:r w:rsidR="000D4867" w:rsidRPr="00573273">
        <w:rPr>
          <w:rFonts w:cs="Calibri"/>
          <w:sz w:val="24"/>
          <w:szCs w:val="24"/>
        </w:rPr>
        <w:t>Vachudova</w:t>
      </w:r>
      <w:r w:rsidR="000D4867">
        <w:rPr>
          <w:rFonts w:cs="Calibri"/>
          <w:sz w:val="24"/>
          <w:szCs w:val="24"/>
        </w:rPr>
        <w:t>’s</w:t>
      </w:r>
      <w:r w:rsidR="000D4867" w:rsidRPr="00573273">
        <w:rPr>
          <w:rFonts w:cs="Calibri"/>
          <w:sz w:val="24"/>
          <w:szCs w:val="24"/>
        </w:rPr>
        <w:t xml:space="preserve"> </w:t>
      </w:r>
      <w:r w:rsidRPr="00573273">
        <w:rPr>
          <w:rFonts w:cs="Calibri"/>
          <w:sz w:val="24"/>
          <w:szCs w:val="24"/>
        </w:rPr>
        <w:t xml:space="preserve">claims about </w:t>
      </w:r>
      <w:r w:rsidR="000D4867">
        <w:rPr>
          <w:rFonts w:cs="Calibri"/>
          <w:sz w:val="24"/>
          <w:szCs w:val="24"/>
        </w:rPr>
        <w:t>“</w:t>
      </w:r>
      <w:r w:rsidRPr="00573273">
        <w:rPr>
          <w:rFonts w:cs="Calibri"/>
          <w:sz w:val="24"/>
          <w:szCs w:val="24"/>
        </w:rPr>
        <w:t>passive leverage</w:t>
      </w:r>
      <w:r w:rsidR="000D4867">
        <w:rPr>
          <w:rFonts w:cs="Calibri"/>
          <w:sz w:val="24"/>
          <w:szCs w:val="24"/>
        </w:rPr>
        <w:t>”</w:t>
      </w:r>
      <w:r w:rsidRPr="00573273">
        <w:rPr>
          <w:rFonts w:cs="Calibri"/>
          <w:sz w:val="24"/>
          <w:szCs w:val="24"/>
        </w:rPr>
        <w:t xml:space="preserve"> and indeed a range of other instruments are downplayed or even forgotten. To be sure, Commission officials are generally well aware of the shortcomings of their conditionality instruments </w:t>
      </w:r>
      <w:r w:rsidR="00DE5927">
        <w:rPr>
          <w:rFonts w:cs="Calibri"/>
          <w:sz w:val="24"/>
          <w:szCs w:val="24"/>
        </w:rPr>
        <w:t>and</w:t>
      </w:r>
      <w:r w:rsidRPr="00573273">
        <w:rPr>
          <w:rFonts w:cs="Calibri"/>
          <w:sz w:val="24"/>
          <w:szCs w:val="24"/>
        </w:rPr>
        <w:t xml:space="preserve"> have worried about the ineffectiveness of conditionality tools against backsliding of 2004 entrants like Hungary</w:t>
      </w:r>
      <w:r w:rsidR="003176FF">
        <w:rPr>
          <w:rFonts w:cs="Calibri"/>
          <w:sz w:val="24"/>
          <w:szCs w:val="24"/>
        </w:rPr>
        <w:t xml:space="preserve"> (Kelemen 2017; Scheppele 2015)</w:t>
      </w:r>
      <w:r w:rsidR="00DA2EFE">
        <w:rPr>
          <w:rFonts w:cs="Calibri"/>
          <w:sz w:val="24"/>
          <w:szCs w:val="24"/>
        </w:rPr>
        <w:t xml:space="preserve">; </w:t>
      </w:r>
      <w:r w:rsidRPr="00573273">
        <w:rPr>
          <w:rFonts w:cs="Calibri"/>
          <w:sz w:val="24"/>
          <w:szCs w:val="24"/>
        </w:rPr>
        <w:t>meanwhile, others see the endemic corruption of 2007 members, and still others emphasize the essential irrelevance of conditionality for some states in the Western Balkans</w:t>
      </w:r>
      <w:r w:rsidR="00721725">
        <w:rPr>
          <w:rFonts w:cs="Calibri"/>
          <w:sz w:val="24"/>
          <w:szCs w:val="24"/>
        </w:rPr>
        <w:t xml:space="preserve"> (Börzel 2011)</w:t>
      </w:r>
      <w:r w:rsidRPr="00573273">
        <w:rPr>
          <w:rFonts w:cs="Calibri"/>
          <w:sz w:val="24"/>
          <w:szCs w:val="24"/>
        </w:rPr>
        <w:t xml:space="preserve">.  And yet notwithstanding ambivalence at the EU level about conditionality tools, we see a veritable explosion of these instruments being used </w:t>
      </w:r>
      <w:r w:rsidR="004D131E">
        <w:rPr>
          <w:rFonts w:cs="Calibri"/>
          <w:sz w:val="24"/>
          <w:szCs w:val="24"/>
        </w:rPr>
        <w:t>on</w:t>
      </w:r>
      <w:r w:rsidRPr="00573273">
        <w:rPr>
          <w:rFonts w:cs="Calibri"/>
          <w:sz w:val="24"/>
          <w:szCs w:val="24"/>
        </w:rPr>
        <w:t xml:space="preserve"> existing member states. Greer (2014) establishes that these </w:t>
      </w:r>
      <w:r w:rsidR="001269D1">
        <w:rPr>
          <w:rFonts w:cs="Calibri"/>
          <w:sz w:val="24"/>
          <w:szCs w:val="24"/>
        </w:rPr>
        <w:t xml:space="preserve">EU-imposed </w:t>
      </w:r>
      <w:r w:rsidRPr="00573273">
        <w:rPr>
          <w:rFonts w:cs="Calibri"/>
          <w:sz w:val="24"/>
          <w:szCs w:val="24"/>
        </w:rPr>
        <w:t>conditions have strong affinities with IMF conditions familiar from long experience</w:t>
      </w:r>
      <w:r>
        <w:rPr>
          <w:rFonts w:cs="Calibri"/>
          <w:sz w:val="24"/>
          <w:szCs w:val="24"/>
        </w:rPr>
        <w:t>.</w:t>
      </w:r>
      <w:r>
        <w:rPr>
          <w:rStyle w:val="FootnoteReference"/>
          <w:rFonts w:cs="Calibri"/>
          <w:sz w:val="24"/>
          <w:szCs w:val="24"/>
        </w:rPr>
        <w:footnoteReference w:id="2"/>
      </w:r>
      <w:r>
        <w:rPr>
          <w:rFonts w:cs="Calibri"/>
          <w:sz w:val="24"/>
          <w:szCs w:val="24"/>
        </w:rPr>
        <w:t xml:space="preserve"> </w:t>
      </w:r>
    </w:p>
    <w:p w14:paraId="2D87B5F1" w14:textId="77777777" w:rsidR="00937125" w:rsidRDefault="00937125" w:rsidP="000B1643">
      <w:pPr>
        <w:widowControl w:val="0"/>
        <w:autoSpaceDE w:val="0"/>
        <w:autoSpaceDN w:val="0"/>
        <w:adjustRightInd w:val="0"/>
        <w:spacing w:line="480" w:lineRule="auto"/>
        <w:rPr>
          <w:rFonts w:cs="Calibri"/>
          <w:b/>
          <w:sz w:val="24"/>
          <w:szCs w:val="24"/>
        </w:rPr>
      </w:pPr>
    </w:p>
    <w:p w14:paraId="30195E0A" w14:textId="77777777" w:rsidR="00130ADB" w:rsidRPr="00041682" w:rsidRDefault="00130ADB" w:rsidP="00236EC3">
      <w:pPr>
        <w:widowControl w:val="0"/>
        <w:autoSpaceDE w:val="0"/>
        <w:autoSpaceDN w:val="0"/>
        <w:adjustRightInd w:val="0"/>
        <w:spacing w:line="480" w:lineRule="auto"/>
        <w:outlineLvl w:val="0"/>
        <w:rPr>
          <w:rFonts w:cs="Calibri"/>
          <w:b/>
          <w:sz w:val="24"/>
          <w:szCs w:val="24"/>
        </w:rPr>
      </w:pPr>
      <w:r w:rsidRPr="00041682">
        <w:rPr>
          <w:rFonts w:cs="Calibri"/>
          <w:b/>
          <w:sz w:val="24"/>
          <w:szCs w:val="24"/>
        </w:rPr>
        <w:t>Stylized differences: Conditionality across two periods</w:t>
      </w:r>
    </w:p>
    <w:p w14:paraId="58397AFA" w14:textId="65EDDE3E" w:rsidR="00130ADB" w:rsidRDefault="00130ADB" w:rsidP="000B1643">
      <w:pPr>
        <w:widowControl w:val="0"/>
        <w:autoSpaceDE w:val="0"/>
        <w:autoSpaceDN w:val="0"/>
        <w:adjustRightInd w:val="0"/>
        <w:spacing w:line="480" w:lineRule="auto"/>
        <w:rPr>
          <w:rFonts w:cs="Cambria"/>
          <w:sz w:val="24"/>
          <w:szCs w:val="24"/>
        </w:rPr>
      </w:pPr>
      <w:r>
        <w:rPr>
          <w:rFonts w:cs="Cambria"/>
          <w:sz w:val="24"/>
          <w:szCs w:val="24"/>
        </w:rPr>
        <w:t xml:space="preserve">A stylized summary of the differences in conditionality in the two periods appears in Table 1. Conditionality toward CEE states in the late 1990s and early 2000s (top </w:t>
      </w:r>
      <w:r>
        <w:rPr>
          <w:rFonts w:cs="Cambria"/>
          <w:sz w:val="24"/>
          <w:szCs w:val="24"/>
        </w:rPr>
        <w:lastRenderedPageBreak/>
        <w:t>row) was aimed at ensuring a certain level of institutional convergence on EU-15 practices. Single Market regulations have direct effect and often required little explicit legislative work by the candidate states, although compliance often required setting up entirely new state institutions in domains from agriculture to consumer protection to energy and transportation. EU directives, of course, also required a legislative product and often also required new bodies to be established or heavily reformed. If we focus on the 3</w:t>
      </w:r>
      <w:r w:rsidR="008D2E29">
        <w:rPr>
          <w:rFonts w:cs="Cambria"/>
          <w:sz w:val="24"/>
          <w:szCs w:val="24"/>
        </w:rPr>
        <w:t>5</w:t>
      </w:r>
      <w:r>
        <w:rPr>
          <w:rFonts w:cs="Cambria"/>
          <w:sz w:val="24"/>
          <w:szCs w:val="24"/>
        </w:rPr>
        <w:t xml:space="preserve"> policy </w:t>
      </w:r>
      <w:r w:rsidR="008D2E29">
        <w:rPr>
          <w:rFonts w:cs="Cambria"/>
          <w:sz w:val="24"/>
          <w:szCs w:val="24"/>
        </w:rPr>
        <w:t xml:space="preserve">“chapters” </w:t>
      </w:r>
      <w:r>
        <w:rPr>
          <w:rFonts w:cs="Cambria"/>
          <w:sz w:val="24"/>
          <w:szCs w:val="24"/>
        </w:rPr>
        <w:t>affected by the Commission’s screening process</w:t>
      </w:r>
      <w:r w:rsidR="008D2E29">
        <w:rPr>
          <w:rFonts w:cs="Cambria"/>
          <w:sz w:val="24"/>
          <w:szCs w:val="24"/>
        </w:rPr>
        <w:t>, many were surely very important—free movement, energy, environment, public procurement. But almost none of them</w:t>
      </w:r>
      <w:r w:rsidR="000861D3">
        <w:rPr>
          <w:rFonts w:cs="Cambria"/>
          <w:sz w:val="24"/>
          <w:szCs w:val="24"/>
        </w:rPr>
        <w:t xml:space="preserve"> </w:t>
      </w:r>
      <w:r>
        <w:rPr>
          <w:rFonts w:cs="Cambria"/>
          <w:sz w:val="24"/>
          <w:szCs w:val="24"/>
        </w:rPr>
        <w:t>involve</w:t>
      </w:r>
      <w:r w:rsidR="000861D3">
        <w:rPr>
          <w:rFonts w:cs="Cambria"/>
          <w:sz w:val="24"/>
          <w:szCs w:val="24"/>
        </w:rPr>
        <w:t>d</w:t>
      </w:r>
      <w:r>
        <w:rPr>
          <w:rFonts w:cs="Cambria"/>
          <w:sz w:val="24"/>
          <w:szCs w:val="24"/>
        </w:rPr>
        <w:t xml:space="preserve"> </w:t>
      </w:r>
      <w:r w:rsidR="000861D3">
        <w:rPr>
          <w:rFonts w:cs="Cambria"/>
          <w:sz w:val="24"/>
          <w:szCs w:val="24"/>
        </w:rPr>
        <w:t xml:space="preserve">the most sensitive </w:t>
      </w:r>
      <w:r>
        <w:rPr>
          <w:rFonts w:cs="Cambria"/>
          <w:sz w:val="24"/>
          <w:szCs w:val="24"/>
        </w:rPr>
        <w:t>core state functions of citizenship, defense and foreign policy, or basic economic choices about fiscal, social, and labor market policy.</w:t>
      </w:r>
      <w:r>
        <w:rPr>
          <w:rStyle w:val="FootnoteReference"/>
          <w:rFonts w:cs="Cambria"/>
          <w:sz w:val="24"/>
          <w:szCs w:val="24"/>
        </w:rPr>
        <w:footnoteReference w:id="3"/>
      </w:r>
      <w:r>
        <w:rPr>
          <w:rFonts w:cs="Cambria"/>
          <w:sz w:val="24"/>
          <w:szCs w:val="24"/>
        </w:rPr>
        <w:t xml:space="preserve"> </w:t>
      </w:r>
      <w:r w:rsidR="00C22C75">
        <w:rPr>
          <w:rFonts w:cs="Cambria"/>
          <w:sz w:val="24"/>
          <w:szCs w:val="24"/>
        </w:rPr>
        <w:t xml:space="preserve">True, </w:t>
      </w:r>
      <w:r>
        <w:rPr>
          <w:rFonts w:cs="Cambria"/>
          <w:sz w:val="24"/>
          <w:szCs w:val="24"/>
        </w:rPr>
        <w:t xml:space="preserve">all CEE states were obliged to commit to future membership in the EMU. </w:t>
      </w:r>
      <w:r w:rsidR="00C22C75">
        <w:rPr>
          <w:rFonts w:cs="Cambria"/>
          <w:sz w:val="24"/>
          <w:szCs w:val="24"/>
        </w:rPr>
        <w:t>Yet no monetary conditionality had immediate effects, as evidenced by the wide ra</w:t>
      </w:r>
      <w:r w:rsidR="00DE5927">
        <w:rPr>
          <w:rFonts w:cs="Cambria"/>
          <w:sz w:val="24"/>
          <w:szCs w:val="24"/>
        </w:rPr>
        <w:t>n</w:t>
      </w:r>
      <w:r w:rsidR="00C22C75">
        <w:rPr>
          <w:rFonts w:cs="Cambria"/>
          <w:sz w:val="24"/>
          <w:szCs w:val="24"/>
        </w:rPr>
        <w:t xml:space="preserve">ge of policies pursued by the CEE states (Bohle and Jacoby 2017). </w:t>
      </w:r>
      <w:r>
        <w:rPr>
          <w:rFonts w:cs="Cambria"/>
          <w:sz w:val="24"/>
          <w:szCs w:val="24"/>
        </w:rPr>
        <w:t xml:space="preserve">At the same time, </w:t>
      </w:r>
      <w:r w:rsidR="00216C14">
        <w:rPr>
          <w:rFonts w:cs="Cambria"/>
          <w:sz w:val="24"/>
          <w:szCs w:val="24"/>
        </w:rPr>
        <w:t xml:space="preserve">conditional </w:t>
      </w:r>
      <w:r>
        <w:rPr>
          <w:rFonts w:cs="Cambria"/>
          <w:sz w:val="24"/>
          <w:szCs w:val="24"/>
        </w:rPr>
        <w:t>measures were flanked with many policies of a non conditional nature</w:t>
      </w:r>
      <w:r w:rsidR="00AC0813">
        <w:rPr>
          <w:rFonts w:cs="Cambria"/>
          <w:sz w:val="24"/>
          <w:szCs w:val="24"/>
        </w:rPr>
        <w:t>, including trade access, FDI promotion, and promoting the extension of the value chains of West European MNCs</w:t>
      </w:r>
      <w:r>
        <w:rPr>
          <w:rFonts w:cs="Cambria"/>
          <w:sz w:val="24"/>
          <w:szCs w:val="24"/>
        </w:rPr>
        <w:t xml:space="preserve"> (Brustz and Vuko</w:t>
      </w:r>
      <w:r w:rsidR="003176FF">
        <w:rPr>
          <w:rFonts w:cs="Cambria"/>
          <w:sz w:val="24"/>
          <w:szCs w:val="24"/>
        </w:rPr>
        <w:t>v</w:t>
      </w:r>
      <w:r>
        <w:rPr>
          <w:rFonts w:cs="Cambria"/>
          <w:sz w:val="24"/>
          <w:szCs w:val="24"/>
        </w:rPr>
        <w:t xml:space="preserve"> 201</w:t>
      </w:r>
      <w:r w:rsidR="003176FF">
        <w:rPr>
          <w:rFonts w:cs="Cambria"/>
          <w:sz w:val="24"/>
          <w:szCs w:val="24"/>
        </w:rPr>
        <w:t>7</w:t>
      </w:r>
      <w:r>
        <w:rPr>
          <w:rFonts w:cs="Cambria"/>
          <w:sz w:val="24"/>
          <w:szCs w:val="24"/>
        </w:rPr>
        <w:t xml:space="preserve">). </w:t>
      </w:r>
      <w:r w:rsidR="006409E8">
        <w:rPr>
          <w:rFonts w:cs="Cambria"/>
          <w:sz w:val="24"/>
          <w:szCs w:val="24"/>
        </w:rPr>
        <w:t>Finally</w:t>
      </w:r>
      <w:r>
        <w:rPr>
          <w:rFonts w:cs="Cambria"/>
          <w:sz w:val="24"/>
          <w:szCs w:val="24"/>
        </w:rPr>
        <w:t xml:space="preserve">, there could be little doubt the EU controlled the </w:t>
      </w:r>
      <w:r w:rsidRPr="00DF0152">
        <w:rPr>
          <w:rFonts w:cs="Cambria"/>
          <w:sz w:val="24"/>
          <w:szCs w:val="24"/>
        </w:rPr>
        <w:t>central reward</w:t>
      </w:r>
      <w:r>
        <w:rPr>
          <w:rFonts w:cs="Cambria"/>
          <w:sz w:val="24"/>
          <w:szCs w:val="24"/>
        </w:rPr>
        <w:t xml:space="preserve"> promised through conditionality, namely full </w:t>
      </w:r>
      <w:r>
        <w:rPr>
          <w:rFonts w:cs="Cambria"/>
          <w:sz w:val="24"/>
          <w:szCs w:val="24"/>
        </w:rPr>
        <w:lastRenderedPageBreak/>
        <w:t>membership in the EU. In that sense, the conditionality was likely to be credible.</w:t>
      </w:r>
    </w:p>
    <w:p w14:paraId="4D77A1EB" w14:textId="77777777" w:rsidR="00824351" w:rsidRDefault="00824351" w:rsidP="000B1643">
      <w:pPr>
        <w:widowControl w:val="0"/>
        <w:autoSpaceDE w:val="0"/>
        <w:autoSpaceDN w:val="0"/>
        <w:adjustRightInd w:val="0"/>
        <w:spacing w:line="480" w:lineRule="auto"/>
        <w:rPr>
          <w:rFonts w:cs="Cambria"/>
          <w:sz w:val="24"/>
          <w:szCs w:val="24"/>
        </w:rPr>
      </w:pPr>
    </w:p>
    <w:p w14:paraId="302F9E64" w14:textId="77777777" w:rsidR="00130ADB" w:rsidRDefault="00130ADB" w:rsidP="00236EC3">
      <w:pPr>
        <w:widowControl w:val="0"/>
        <w:autoSpaceDE w:val="0"/>
        <w:autoSpaceDN w:val="0"/>
        <w:adjustRightInd w:val="0"/>
        <w:spacing w:line="480" w:lineRule="auto"/>
        <w:outlineLvl w:val="0"/>
        <w:rPr>
          <w:rFonts w:cs="Cambria"/>
          <w:sz w:val="24"/>
          <w:szCs w:val="24"/>
        </w:rPr>
      </w:pPr>
      <w:r>
        <w:rPr>
          <w:rFonts w:cs="Cambria"/>
          <w:sz w:val="24"/>
          <w:szCs w:val="24"/>
        </w:rPr>
        <w:t>Table 1: Stylized differences in the two phases of EU conditionality</w:t>
      </w:r>
    </w:p>
    <w:tbl>
      <w:tblPr>
        <w:tblStyle w:val="TableGrid"/>
        <w:tblW w:w="10818" w:type="dxa"/>
        <w:tblInd w:w="-684" w:type="dxa"/>
        <w:tblLook w:val="04A0" w:firstRow="1" w:lastRow="0" w:firstColumn="1" w:lastColumn="0" w:noHBand="0" w:noVBand="1"/>
      </w:tblPr>
      <w:tblGrid>
        <w:gridCol w:w="1818"/>
        <w:gridCol w:w="2070"/>
        <w:gridCol w:w="2160"/>
        <w:gridCol w:w="2340"/>
        <w:gridCol w:w="2430"/>
      </w:tblGrid>
      <w:tr w:rsidR="00130ADB" w:rsidRPr="00074409" w14:paraId="4917DBD6" w14:textId="77777777">
        <w:tc>
          <w:tcPr>
            <w:tcW w:w="1818" w:type="dxa"/>
          </w:tcPr>
          <w:p w14:paraId="2DDC2670" w14:textId="77777777" w:rsidR="00130ADB" w:rsidRPr="00074409" w:rsidRDefault="00130ADB" w:rsidP="006209B9">
            <w:pPr>
              <w:widowControl w:val="0"/>
              <w:autoSpaceDE w:val="0"/>
              <w:autoSpaceDN w:val="0"/>
              <w:adjustRightInd w:val="0"/>
              <w:spacing w:line="240" w:lineRule="auto"/>
              <w:rPr>
                <w:rFonts w:cs="Cambria"/>
              </w:rPr>
            </w:pPr>
          </w:p>
        </w:tc>
        <w:tc>
          <w:tcPr>
            <w:tcW w:w="2070" w:type="dxa"/>
          </w:tcPr>
          <w:p w14:paraId="71BB74CB" w14:textId="77777777" w:rsidR="00130ADB" w:rsidRPr="00074409" w:rsidRDefault="00130ADB" w:rsidP="006209B9">
            <w:pPr>
              <w:widowControl w:val="0"/>
              <w:autoSpaceDE w:val="0"/>
              <w:autoSpaceDN w:val="0"/>
              <w:adjustRightInd w:val="0"/>
              <w:spacing w:line="240" w:lineRule="auto"/>
              <w:rPr>
                <w:rFonts w:cs="Cambria"/>
              </w:rPr>
            </w:pPr>
            <w:r w:rsidRPr="00074409">
              <w:rPr>
                <w:rFonts w:cs="Cambria"/>
              </w:rPr>
              <w:t>Kind of states affected</w:t>
            </w:r>
          </w:p>
        </w:tc>
        <w:tc>
          <w:tcPr>
            <w:tcW w:w="2160" w:type="dxa"/>
          </w:tcPr>
          <w:p w14:paraId="3F7C9558" w14:textId="77777777" w:rsidR="00130ADB" w:rsidRPr="00074409" w:rsidRDefault="00130ADB" w:rsidP="006209B9">
            <w:pPr>
              <w:widowControl w:val="0"/>
              <w:autoSpaceDE w:val="0"/>
              <w:autoSpaceDN w:val="0"/>
              <w:adjustRightInd w:val="0"/>
              <w:spacing w:line="240" w:lineRule="auto"/>
              <w:rPr>
                <w:rFonts w:cs="Cambria"/>
              </w:rPr>
            </w:pPr>
            <w:r w:rsidRPr="00074409">
              <w:rPr>
                <w:rFonts w:cs="Cambria"/>
              </w:rPr>
              <w:t>Policy areas affected</w:t>
            </w:r>
          </w:p>
        </w:tc>
        <w:tc>
          <w:tcPr>
            <w:tcW w:w="2340" w:type="dxa"/>
          </w:tcPr>
          <w:p w14:paraId="297A25B7" w14:textId="77777777" w:rsidR="00130ADB" w:rsidRPr="00074409" w:rsidRDefault="00130ADB" w:rsidP="006209B9">
            <w:pPr>
              <w:widowControl w:val="0"/>
              <w:autoSpaceDE w:val="0"/>
              <w:autoSpaceDN w:val="0"/>
              <w:adjustRightInd w:val="0"/>
              <w:spacing w:line="240" w:lineRule="auto"/>
              <w:rPr>
                <w:rFonts w:cs="Cambria"/>
              </w:rPr>
            </w:pPr>
            <w:r w:rsidRPr="00074409">
              <w:rPr>
                <w:rFonts w:cs="Cambria"/>
              </w:rPr>
              <w:t>EU measures flanking conditionality</w:t>
            </w:r>
          </w:p>
        </w:tc>
        <w:tc>
          <w:tcPr>
            <w:tcW w:w="2430" w:type="dxa"/>
          </w:tcPr>
          <w:p w14:paraId="4E05A1AA" w14:textId="77777777" w:rsidR="00130ADB" w:rsidRPr="00074409" w:rsidRDefault="00130ADB" w:rsidP="006209B9">
            <w:pPr>
              <w:widowControl w:val="0"/>
              <w:autoSpaceDE w:val="0"/>
              <w:autoSpaceDN w:val="0"/>
              <w:adjustRightInd w:val="0"/>
              <w:spacing w:line="240" w:lineRule="auto"/>
              <w:rPr>
                <w:rFonts w:cs="Cambria"/>
              </w:rPr>
            </w:pPr>
            <w:r w:rsidRPr="00074409">
              <w:rPr>
                <w:rFonts w:cs="Cambria"/>
              </w:rPr>
              <w:t>Does the EU control the reward?</w:t>
            </w:r>
          </w:p>
        </w:tc>
      </w:tr>
      <w:tr w:rsidR="00130ADB" w:rsidRPr="00074409" w14:paraId="12484E5C" w14:textId="77777777">
        <w:tc>
          <w:tcPr>
            <w:tcW w:w="1818" w:type="dxa"/>
          </w:tcPr>
          <w:p w14:paraId="33597BDB" w14:textId="77777777" w:rsidR="00130ADB" w:rsidRPr="00074409" w:rsidRDefault="00130ADB" w:rsidP="006209B9">
            <w:pPr>
              <w:widowControl w:val="0"/>
              <w:autoSpaceDE w:val="0"/>
              <w:autoSpaceDN w:val="0"/>
              <w:adjustRightInd w:val="0"/>
              <w:spacing w:line="240" w:lineRule="auto"/>
              <w:rPr>
                <w:rFonts w:cs="Cambria"/>
              </w:rPr>
            </w:pPr>
            <w:r w:rsidRPr="00074409">
              <w:rPr>
                <w:rFonts w:cs="Cambria"/>
              </w:rPr>
              <w:t>Conditionality in CEE during early 2000s</w:t>
            </w:r>
          </w:p>
        </w:tc>
        <w:tc>
          <w:tcPr>
            <w:tcW w:w="2070" w:type="dxa"/>
          </w:tcPr>
          <w:p w14:paraId="0AF1559B" w14:textId="77777777" w:rsidR="00130ADB" w:rsidRPr="00074409" w:rsidRDefault="00130ADB" w:rsidP="00772242">
            <w:pPr>
              <w:widowControl w:val="0"/>
              <w:autoSpaceDE w:val="0"/>
              <w:autoSpaceDN w:val="0"/>
              <w:adjustRightInd w:val="0"/>
              <w:spacing w:line="240" w:lineRule="auto"/>
              <w:rPr>
                <w:rFonts w:cs="Cambria"/>
              </w:rPr>
            </w:pPr>
            <w:r w:rsidRPr="00074409">
              <w:rPr>
                <w:rFonts w:cs="Cambria"/>
              </w:rPr>
              <w:t>Candidate states with a membership perspective</w:t>
            </w:r>
          </w:p>
        </w:tc>
        <w:tc>
          <w:tcPr>
            <w:tcW w:w="2160" w:type="dxa"/>
          </w:tcPr>
          <w:p w14:paraId="676DD500" w14:textId="77777777" w:rsidR="00130ADB" w:rsidRPr="00074409" w:rsidRDefault="00130ADB" w:rsidP="00677131">
            <w:pPr>
              <w:widowControl w:val="0"/>
              <w:autoSpaceDE w:val="0"/>
              <w:autoSpaceDN w:val="0"/>
              <w:adjustRightInd w:val="0"/>
              <w:spacing w:line="240" w:lineRule="auto"/>
              <w:rPr>
                <w:rFonts w:cs="Cambria"/>
              </w:rPr>
            </w:pPr>
            <w:r w:rsidRPr="00074409">
              <w:rPr>
                <w:rFonts w:cs="Cambria"/>
              </w:rPr>
              <w:t>Primarily non-core state functions</w:t>
            </w:r>
          </w:p>
        </w:tc>
        <w:tc>
          <w:tcPr>
            <w:tcW w:w="2340" w:type="dxa"/>
          </w:tcPr>
          <w:p w14:paraId="7B915BF4" w14:textId="77777777" w:rsidR="00130ADB" w:rsidRPr="00074409" w:rsidRDefault="00130ADB" w:rsidP="003F49FC">
            <w:pPr>
              <w:widowControl w:val="0"/>
              <w:autoSpaceDE w:val="0"/>
              <w:autoSpaceDN w:val="0"/>
              <w:adjustRightInd w:val="0"/>
              <w:spacing w:line="240" w:lineRule="auto"/>
              <w:rPr>
                <w:rFonts w:cs="Cambria"/>
              </w:rPr>
            </w:pPr>
            <w:r w:rsidRPr="00074409">
              <w:rPr>
                <w:rFonts w:cs="Cambria"/>
              </w:rPr>
              <w:t>Trade access, FDI promotion, value-chain incorporation</w:t>
            </w:r>
          </w:p>
        </w:tc>
        <w:tc>
          <w:tcPr>
            <w:tcW w:w="2430" w:type="dxa"/>
          </w:tcPr>
          <w:p w14:paraId="1281A29E" w14:textId="77777777" w:rsidR="00130ADB" w:rsidRPr="00074409" w:rsidRDefault="00130ADB" w:rsidP="004A3B9B">
            <w:pPr>
              <w:widowControl w:val="0"/>
              <w:autoSpaceDE w:val="0"/>
              <w:autoSpaceDN w:val="0"/>
              <w:adjustRightInd w:val="0"/>
              <w:spacing w:line="240" w:lineRule="auto"/>
              <w:rPr>
                <w:rFonts w:cs="Cambria"/>
              </w:rPr>
            </w:pPr>
            <w:r w:rsidRPr="00074409">
              <w:rPr>
                <w:rFonts w:cs="Cambria"/>
              </w:rPr>
              <w:t>Yes, the central reward is EU membership</w:t>
            </w:r>
          </w:p>
        </w:tc>
      </w:tr>
      <w:tr w:rsidR="00130ADB" w:rsidRPr="00074409" w14:paraId="3F76407C" w14:textId="77777777">
        <w:tc>
          <w:tcPr>
            <w:tcW w:w="1818" w:type="dxa"/>
          </w:tcPr>
          <w:p w14:paraId="7AF2D36B" w14:textId="77777777" w:rsidR="00130ADB" w:rsidRPr="00074409" w:rsidRDefault="00130ADB" w:rsidP="006209B9">
            <w:pPr>
              <w:widowControl w:val="0"/>
              <w:autoSpaceDE w:val="0"/>
              <w:autoSpaceDN w:val="0"/>
              <w:adjustRightInd w:val="0"/>
              <w:spacing w:line="240" w:lineRule="auto"/>
              <w:rPr>
                <w:rFonts w:cs="Cambria"/>
              </w:rPr>
            </w:pPr>
            <w:r w:rsidRPr="00074409">
              <w:rPr>
                <w:rFonts w:cs="Cambria"/>
              </w:rPr>
              <w:t>Conditionality in CEE and SE in crisis period</w:t>
            </w:r>
          </w:p>
        </w:tc>
        <w:tc>
          <w:tcPr>
            <w:tcW w:w="2070" w:type="dxa"/>
          </w:tcPr>
          <w:p w14:paraId="50A5B252" w14:textId="1E002189" w:rsidR="00130ADB" w:rsidRPr="00074409" w:rsidRDefault="00130ADB" w:rsidP="00772242">
            <w:pPr>
              <w:widowControl w:val="0"/>
              <w:autoSpaceDE w:val="0"/>
              <w:autoSpaceDN w:val="0"/>
              <w:adjustRightInd w:val="0"/>
              <w:spacing w:line="240" w:lineRule="auto"/>
              <w:rPr>
                <w:rFonts w:cs="Cambria"/>
              </w:rPr>
            </w:pPr>
            <w:r w:rsidRPr="00074409">
              <w:rPr>
                <w:rFonts w:cs="Cambria"/>
              </w:rPr>
              <w:t>Member states</w:t>
            </w:r>
            <w:r w:rsidR="00AD2876">
              <w:rPr>
                <w:rFonts w:cs="Cambria"/>
              </w:rPr>
              <w:t xml:space="preserve"> with liquidity crises requiring assistance</w:t>
            </w:r>
          </w:p>
        </w:tc>
        <w:tc>
          <w:tcPr>
            <w:tcW w:w="2160" w:type="dxa"/>
          </w:tcPr>
          <w:p w14:paraId="7FB6D6C4" w14:textId="463F860C" w:rsidR="00130ADB" w:rsidRPr="00074409" w:rsidRDefault="00130ADB" w:rsidP="00AD2876">
            <w:pPr>
              <w:widowControl w:val="0"/>
              <w:autoSpaceDE w:val="0"/>
              <w:autoSpaceDN w:val="0"/>
              <w:adjustRightInd w:val="0"/>
              <w:spacing w:line="240" w:lineRule="auto"/>
              <w:rPr>
                <w:rFonts w:cs="Cambria"/>
              </w:rPr>
            </w:pPr>
            <w:r w:rsidRPr="00074409">
              <w:rPr>
                <w:rFonts w:cs="Cambria"/>
              </w:rPr>
              <w:t xml:space="preserve">Often core state functions, (fiscal, </w:t>
            </w:r>
            <w:r w:rsidR="00604967">
              <w:rPr>
                <w:rFonts w:cs="Cambria"/>
              </w:rPr>
              <w:t xml:space="preserve">public employment, </w:t>
            </w:r>
            <w:r w:rsidRPr="00074409">
              <w:rPr>
                <w:rFonts w:cs="Cambria"/>
              </w:rPr>
              <w:t xml:space="preserve">labor market, social </w:t>
            </w:r>
            <w:r w:rsidR="00AD2876">
              <w:rPr>
                <w:rFonts w:cs="Cambria"/>
              </w:rPr>
              <w:t>policy</w:t>
            </w:r>
            <w:r w:rsidRPr="00074409">
              <w:rPr>
                <w:rFonts w:cs="Cambria"/>
              </w:rPr>
              <w:t>)</w:t>
            </w:r>
          </w:p>
        </w:tc>
        <w:tc>
          <w:tcPr>
            <w:tcW w:w="2340" w:type="dxa"/>
          </w:tcPr>
          <w:p w14:paraId="245A1B62" w14:textId="77777777" w:rsidR="00130ADB" w:rsidRPr="00074409" w:rsidRDefault="00130ADB" w:rsidP="003F49FC">
            <w:pPr>
              <w:widowControl w:val="0"/>
              <w:autoSpaceDE w:val="0"/>
              <w:autoSpaceDN w:val="0"/>
              <w:adjustRightInd w:val="0"/>
              <w:spacing w:line="240" w:lineRule="auto"/>
              <w:rPr>
                <w:rFonts w:cs="Cambria"/>
              </w:rPr>
            </w:pPr>
            <w:r w:rsidRPr="00074409">
              <w:rPr>
                <w:rFonts w:cs="Cambria"/>
              </w:rPr>
              <w:t>Emergency liquidity assistance of various kinds</w:t>
            </w:r>
          </w:p>
        </w:tc>
        <w:tc>
          <w:tcPr>
            <w:tcW w:w="2430" w:type="dxa"/>
          </w:tcPr>
          <w:p w14:paraId="2FD953F2" w14:textId="77777777" w:rsidR="00130ADB" w:rsidRPr="00074409" w:rsidRDefault="00130ADB" w:rsidP="004A3B9B">
            <w:pPr>
              <w:widowControl w:val="0"/>
              <w:autoSpaceDE w:val="0"/>
              <w:autoSpaceDN w:val="0"/>
              <w:adjustRightInd w:val="0"/>
              <w:spacing w:line="240" w:lineRule="auto"/>
              <w:rPr>
                <w:rFonts w:cs="Cambria"/>
              </w:rPr>
            </w:pPr>
            <w:r w:rsidRPr="00074409">
              <w:rPr>
                <w:rFonts w:cs="Cambria"/>
              </w:rPr>
              <w:t>No, the central reward is the return of economic growth</w:t>
            </w:r>
            <w:r>
              <w:rPr>
                <w:rFonts w:cs="Cambria"/>
              </w:rPr>
              <w:t xml:space="preserve"> or lower debt/GDP ratios</w:t>
            </w:r>
          </w:p>
        </w:tc>
      </w:tr>
    </w:tbl>
    <w:p w14:paraId="36949928" w14:textId="77777777" w:rsidR="00130ADB" w:rsidRDefault="00130ADB" w:rsidP="006209B9">
      <w:pPr>
        <w:widowControl w:val="0"/>
        <w:autoSpaceDE w:val="0"/>
        <w:autoSpaceDN w:val="0"/>
        <w:adjustRightInd w:val="0"/>
        <w:spacing w:line="240" w:lineRule="auto"/>
        <w:rPr>
          <w:rFonts w:cs="Cambria"/>
          <w:sz w:val="24"/>
          <w:szCs w:val="24"/>
        </w:rPr>
      </w:pPr>
    </w:p>
    <w:p w14:paraId="7DC471A3" w14:textId="158F8E37" w:rsidR="00130ADB" w:rsidRDefault="008D2E29" w:rsidP="00D615EE">
      <w:pPr>
        <w:widowControl w:val="0"/>
        <w:autoSpaceDE w:val="0"/>
        <w:autoSpaceDN w:val="0"/>
        <w:adjustRightInd w:val="0"/>
        <w:spacing w:line="480" w:lineRule="auto"/>
        <w:ind w:firstLine="720"/>
        <w:rPr>
          <w:rFonts w:cs="Cambria"/>
          <w:sz w:val="24"/>
          <w:szCs w:val="24"/>
        </w:rPr>
      </w:pPr>
      <w:r>
        <w:rPr>
          <w:rFonts w:cs="Cambria"/>
          <w:sz w:val="24"/>
          <w:szCs w:val="24"/>
        </w:rPr>
        <w:t>More r</w:t>
      </w:r>
      <w:r w:rsidR="00130ADB">
        <w:rPr>
          <w:rFonts w:cs="Cambria"/>
          <w:sz w:val="24"/>
          <w:szCs w:val="24"/>
        </w:rPr>
        <w:t xml:space="preserve">ecent crisis-era conditionality in both CEE (Latvia, Romania and Hungary all had Troika programs) and </w:t>
      </w:r>
      <w:r w:rsidR="00604967">
        <w:rPr>
          <w:rFonts w:cs="Cambria"/>
          <w:sz w:val="24"/>
          <w:szCs w:val="24"/>
        </w:rPr>
        <w:t xml:space="preserve">Southern Europe </w:t>
      </w:r>
      <w:r w:rsidR="00130ADB">
        <w:rPr>
          <w:rFonts w:cs="Cambria"/>
          <w:sz w:val="24"/>
          <w:szCs w:val="24"/>
        </w:rPr>
        <w:t>ha</w:t>
      </w:r>
      <w:r w:rsidR="00DE5927">
        <w:rPr>
          <w:rFonts w:cs="Cambria"/>
          <w:sz w:val="24"/>
          <w:szCs w:val="24"/>
        </w:rPr>
        <w:t>s</w:t>
      </w:r>
      <w:r w:rsidR="00130ADB">
        <w:rPr>
          <w:rFonts w:cs="Cambria"/>
          <w:sz w:val="24"/>
          <w:szCs w:val="24"/>
        </w:rPr>
        <w:t xml:space="preserve"> </w:t>
      </w:r>
      <w:r w:rsidR="00604967">
        <w:rPr>
          <w:rFonts w:cs="Cambria"/>
          <w:sz w:val="24"/>
          <w:szCs w:val="24"/>
        </w:rPr>
        <w:t xml:space="preserve">had </w:t>
      </w:r>
      <w:r w:rsidR="00130ADB">
        <w:rPr>
          <w:rFonts w:cs="Cambria"/>
          <w:sz w:val="24"/>
          <w:szCs w:val="24"/>
        </w:rPr>
        <w:t>a quite different character.</w:t>
      </w:r>
      <w:r w:rsidR="00130ADB">
        <w:rPr>
          <w:rStyle w:val="FootnoteReference"/>
          <w:rFonts w:cs="Cambria"/>
          <w:sz w:val="24"/>
          <w:szCs w:val="24"/>
        </w:rPr>
        <w:footnoteReference w:id="4"/>
      </w:r>
      <w:r w:rsidR="00130ADB">
        <w:rPr>
          <w:rFonts w:cs="Cambria"/>
          <w:sz w:val="24"/>
          <w:szCs w:val="24"/>
        </w:rPr>
        <w:t xml:space="preserve"> First, the affected states are all EU members, including longtime members in Iberia and indeed one founding EC member in Italy. Second, conditionality here is very much focused on core state functions in fiscal, labor market, and social policy domains—all areas of traditional member state prerogative. Third, the </w:t>
      </w:r>
      <w:r w:rsidR="00130ADB" w:rsidRPr="00DF0152">
        <w:rPr>
          <w:rFonts w:cs="Cambria"/>
          <w:sz w:val="24"/>
          <w:szCs w:val="24"/>
        </w:rPr>
        <w:t>flanking</w:t>
      </w:r>
      <w:r w:rsidR="00130ADB">
        <w:rPr>
          <w:rFonts w:cs="Cambria"/>
          <w:sz w:val="24"/>
          <w:szCs w:val="24"/>
        </w:rPr>
        <w:t xml:space="preserve"> measures have been both narrower and deeper. On the one hand, the rewards for the conditioned behavior have been almost exclusively monetary, primarily in the form of liquidity assistance for banks or programs to purchase the bonds of states. At the same time, the amount of money </w:t>
      </w:r>
      <w:r w:rsidR="00130ADB">
        <w:rPr>
          <w:rFonts w:cs="Cambria"/>
          <w:sz w:val="24"/>
          <w:szCs w:val="24"/>
        </w:rPr>
        <w:lastRenderedPageBreak/>
        <w:t>provided by or with the help of the European institutions is far higher than what was available in the pre-accession programs.</w:t>
      </w:r>
      <w:r w:rsidR="000F2458">
        <w:rPr>
          <w:rStyle w:val="FootnoteReference"/>
          <w:rFonts w:cs="Cambria"/>
          <w:sz w:val="24"/>
          <w:szCs w:val="24"/>
        </w:rPr>
        <w:footnoteReference w:id="5"/>
      </w:r>
      <w:r w:rsidR="00130ADB">
        <w:rPr>
          <w:rFonts w:cs="Cambria"/>
          <w:sz w:val="24"/>
          <w:szCs w:val="24"/>
        </w:rPr>
        <w:t xml:space="preserve"> </w:t>
      </w:r>
      <w:r w:rsidR="00647C13">
        <w:rPr>
          <w:rFonts w:cs="Cambria"/>
          <w:sz w:val="24"/>
          <w:szCs w:val="24"/>
        </w:rPr>
        <w:t>Y</w:t>
      </w:r>
      <w:r w:rsidR="00130ADB">
        <w:rPr>
          <w:rFonts w:cs="Cambria"/>
          <w:sz w:val="24"/>
          <w:szCs w:val="24"/>
        </w:rPr>
        <w:t>et despite the vast sums of money spent in crisis states, the EU is only in a position to reward crisis state policies with the promised liquidity. It cannot, of course, give them stable fiscal balances, let alone economic growth. Simply put, happy economic outcomes are not the EU’s to bestow, and additional liquidity—though badly needed—cannot be linked to a concrete outcome in quite the same way EU membership could.</w:t>
      </w:r>
      <w:r w:rsidR="00130ADB">
        <w:rPr>
          <w:rStyle w:val="FootnoteReference"/>
          <w:rFonts w:cs="Cambria"/>
          <w:sz w:val="24"/>
          <w:szCs w:val="24"/>
        </w:rPr>
        <w:footnoteReference w:id="6"/>
      </w:r>
      <w:r w:rsidR="00130ADB">
        <w:rPr>
          <w:rFonts w:cs="Cambria"/>
          <w:sz w:val="24"/>
          <w:szCs w:val="24"/>
        </w:rPr>
        <w:t xml:space="preserve"> </w:t>
      </w:r>
    </w:p>
    <w:p w14:paraId="61F9C9F2" w14:textId="2F6F4B2E" w:rsidR="008A6D4E" w:rsidRDefault="00130ADB" w:rsidP="00D615EE">
      <w:pPr>
        <w:widowControl w:val="0"/>
        <w:autoSpaceDE w:val="0"/>
        <w:autoSpaceDN w:val="0"/>
        <w:adjustRightInd w:val="0"/>
        <w:spacing w:line="480" w:lineRule="auto"/>
        <w:ind w:firstLine="720"/>
        <w:rPr>
          <w:rFonts w:cs="Cambria"/>
          <w:sz w:val="24"/>
          <w:szCs w:val="24"/>
        </w:rPr>
      </w:pPr>
      <w:r>
        <w:rPr>
          <w:rFonts w:cs="Cambria"/>
          <w:sz w:val="24"/>
          <w:szCs w:val="24"/>
        </w:rPr>
        <w:t xml:space="preserve">Thus, despite some commonality in the instruments developed and deployed in the two periods, there are significant differences in important scope conditions. The next section briefly recaps the development of conditional instruments in the EU before turning to a summary of the ways in which conditionality has been deployed after the 2008 global financial crisis and 2010 Eurocrisis. </w:t>
      </w:r>
    </w:p>
    <w:p w14:paraId="5BA3E918" w14:textId="77777777" w:rsidR="005F0D5E" w:rsidRDefault="005F0D5E">
      <w:pPr>
        <w:widowControl w:val="0"/>
        <w:autoSpaceDE w:val="0"/>
        <w:autoSpaceDN w:val="0"/>
        <w:adjustRightInd w:val="0"/>
        <w:spacing w:line="480" w:lineRule="auto"/>
        <w:rPr>
          <w:rFonts w:cs="Cambria"/>
          <w:sz w:val="24"/>
          <w:szCs w:val="24"/>
        </w:rPr>
      </w:pPr>
    </w:p>
    <w:p w14:paraId="1C5C234F" w14:textId="2501AD0A" w:rsidR="00130ADB" w:rsidRPr="000136A0" w:rsidRDefault="00130ADB" w:rsidP="00236EC3">
      <w:pPr>
        <w:widowControl w:val="0"/>
        <w:autoSpaceDE w:val="0"/>
        <w:autoSpaceDN w:val="0"/>
        <w:adjustRightInd w:val="0"/>
        <w:spacing w:line="480" w:lineRule="auto"/>
        <w:outlineLvl w:val="0"/>
        <w:rPr>
          <w:rFonts w:cs="Cambria"/>
          <w:b/>
          <w:sz w:val="24"/>
          <w:szCs w:val="24"/>
        </w:rPr>
      </w:pPr>
      <w:r w:rsidRPr="000136A0">
        <w:rPr>
          <w:rFonts w:cs="Cambria"/>
          <w:b/>
          <w:sz w:val="24"/>
          <w:szCs w:val="24"/>
        </w:rPr>
        <w:t>The EU discovers conditionality</w:t>
      </w:r>
      <w:r>
        <w:rPr>
          <w:rFonts w:cs="Cambria"/>
          <w:b/>
          <w:sz w:val="24"/>
          <w:szCs w:val="24"/>
        </w:rPr>
        <w:t xml:space="preserve">: The </w:t>
      </w:r>
      <w:r w:rsidR="009E03CC">
        <w:rPr>
          <w:rFonts w:cs="Cambria"/>
          <w:b/>
          <w:sz w:val="24"/>
          <w:szCs w:val="24"/>
        </w:rPr>
        <w:t xml:space="preserve">2004 and 2007 </w:t>
      </w:r>
      <w:r>
        <w:rPr>
          <w:rFonts w:cs="Cambria"/>
          <w:b/>
          <w:sz w:val="24"/>
          <w:szCs w:val="24"/>
        </w:rPr>
        <w:t>enlargement</w:t>
      </w:r>
      <w:r w:rsidR="009E03CC">
        <w:rPr>
          <w:rFonts w:cs="Cambria"/>
          <w:b/>
          <w:sz w:val="24"/>
          <w:szCs w:val="24"/>
        </w:rPr>
        <w:t>s</w:t>
      </w:r>
    </w:p>
    <w:p w14:paraId="15C351F6" w14:textId="099D8390" w:rsidR="00130ADB" w:rsidRDefault="00130ADB" w:rsidP="00012864">
      <w:pPr>
        <w:widowControl w:val="0"/>
        <w:autoSpaceDE w:val="0"/>
        <w:autoSpaceDN w:val="0"/>
        <w:adjustRightInd w:val="0"/>
        <w:spacing w:line="480" w:lineRule="auto"/>
        <w:rPr>
          <w:rFonts w:cs="Cambria"/>
          <w:sz w:val="24"/>
          <w:szCs w:val="24"/>
        </w:rPr>
      </w:pPr>
      <w:r>
        <w:rPr>
          <w:rFonts w:cs="Cambria"/>
          <w:sz w:val="24"/>
          <w:szCs w:val="24"/>
        </w:rPr>
        <w:t>Historically, the EC/EU has made very little use of conditionality</w:t>
      </w:r>
      <w:r w:rsidR="008457B4">
        <w:rPr>
          <w:rFonts w:cs="Cambria"/>
          <w:sz w:val="24"/>
          <w:szCs w:val="24"/>
        </w:rPr>
        <w:t xml:space="preserve"> (Grabbe 1999</w:t>
      </w:r>
      <w:r w:rsidR="009E03CC">
        <w:rPr>
          <w:rFonts w:cs="Cambria"/>
          <w:sz w:val="24"/>
          <w:szCs w:val="24"/>
        </w:rPr>
        <w:t xml:space="preserve">). </w:t>
      </w:r>
      <w:r>
        <w:rPr>
          <w:rFonts w:cs="Cambria"/>
          <w:sz w:val="24"/>
          <w:szCs w:val="24"/>
        </w:rPr>
        <w:t xml:space="preserve">For the most part, the EC/EU have worked according to a legal logic, in which the costs and benefits of both intergovernmental and supranational modes of policy making were shared by all member states. </w:t>
      </w:r>
      <w:r w:rsidR="009E03CC">
        <w:rPr>
          <w:rFonts w:cs="Cambria"/>
          <w:sz w:val="24"/>
          <w:szCs w:val="24"/>
        </w:rPr>
        <w:t xml:space="preserve">The famous “Community Method” had an </w:t>
      </w:r>
      <w:r w:rsidR="009E03CC">
        <w:rPr>
          <w:rFonts w:cs="Cambria"/>
          <w:sz w:val="24"/>
          <w:szCs w:val="24"/>
        </w:rPr>
        <w:lastRenderedPageBreak/>
        <w:t xml:space="preserve">ultimate threat of coercion in the authority of the European Court of Justice. But the Community Method was a joint decision making process with no quid pro quo for compliance. </w:t>
      </w:r>
      <w:r>
        <w:rPr>
          <w:rFonts w:cs="Cambria"/>
          <w:sz w:val="24"/>
          <w:szCs w:val="24"/>
        </w:rPr>
        <w:t>At most, one might see proto-conditionality in the policy area of structural funds, where member states received variable access to investment funds and only if they fulfilled an increasingly complex set of requirements (Hooghe 1996).</w:t>
      </w:r>
      <w:r w:rsidR="009E03CC">
        <w:rPr>
          <w:rFonts w:cs="Cambria"/>
          <w:sz w:val="24"/>
          <w:szCs w:val="24"/>
        </w:rPr>
        <w:t xml:space="preserve"> Conditionality was </w:t>
      </w:r>
      <w:r w:rsidR="00FE2215">
        <w:rPr>
          <w:rFonts w:cs="Cambria"/>
          <w:sz w:val="24"/>
          <w:szCs w:val="24"/>
        </w:rPr>
        <w:t>mainly</w:t>
      </w:r>
      <w:r w:rsidR="009E03CC">
        <w:rPr>
          <w:rFonts w:cs="Cambria"/>
          <w:sz w:val="24"/>
          <w:szCs w:val="24"/>
        </w:rPr>
        <w:t xml:space="preserve"> a minor EU tool in its dealings with third countries (Smith 2003). When the EU made emergency loans </w:t>
      </w:r>
      <w:r w:rsidR="00D615EE">
        <w:rPr>
          <w:rFonts w:cs="Cambria"/>
          <w:sz w:val="24"/>
          <w:szCs w:val="24"/>
        </w:rPr>
        <w:t xml:space="preserve">to </w:t>
      </w:r>
      <w:r w:rsidR="009E03CC">
        <w:rPr>
          <w:rFonts w:cs="Cambria"/>
          <w:sz w:val="24"/>
          <w:szCs w:val="24"/>
        </w:rPr>
        <w:t xml:space="preserve">member states in the 1990s, no conditionality was practiced (though interest was charged). Even EU enlargement waves </w:t>
      </w:r>
      <w:r w:rsidR="00FE2215">
        <w:rPr>
          <w:rFonts w:cs="Cambria"/>
          <w:sz w:val="24"/>
          <w:szCs w:val="24"/>
        </w:rPr>
        <w:t>through</w:t>
      </w:r>
      <w:r w:rsidR="009E03CC">
        <w:rPr>
          <w:rFonts w:cs="Cambria"/>
          <w:sz w:val="24"/>
          <w:szCs w:val="24"/>
        </w:rPr>
        <w:t xml:space="preserve"> the </w:t>
      </w:r>
      <w:r w:rsidR="00FE2215">
        <w:rPr>
          <w:rFonts w:cs="Cambria"/>
          <w:sz w:val="24"/>
          <w:szCs w:val="24"/>
        </w:rPr>
        <w:t>mid-</w:t>
      </w:r>
      <w:r w:rsidR="009E03CC">
        <w:rPr>
          <w:rFonts w:cs="Cambria"/>
          <w:sz w:val="24"/>
          <w:szCs w:val="24"/>
        </w:rPr>
        <w:t>1990s</w:t>
      </w:r>
      <w:r w:rsidR="00FE2215">
        <w:rPr>
          <w:rFonts w:cs="Cambria"/>
          <w:sz w:val="24"/>
          <w:szCs w:val="24"/>
        </w:rPr>
        <w:t xml:space="preserve"> required prospective members to adopt the EU’s </w:t>
      </w:r>
      <w:r w:rsidR="00FE2215" w:rsidRPr="00D615EE">
        <w:rPr>
          <w:rFonts w:cs="Cambria"/>
          <w:i/>
          <w:sz w:val="24"/>
          <w:szCs w:val="24"/>
        </w:rPr>
        <w:t>acquis</w:t>
      </w:r>
      <w:r w:rsidR="00FE2215">
        <w:rPr>
          <w:rFonts w:cs="Cambria"/>
          <w:sz w:val="24"/>
          <w:szCs w:val="24"/>
        </w:rPr>
        <w:t xml:space="preserve"> but not to undertake any of the wide range of special steps required of CEE members only a few years later</w:t>
      </w:r>
      <w:r w:rsidR="00F96599">
        <w:rPr>
          <w:rFonts w:cs="Cambria"/>
          <w:sz w:val="24"/>
          <w:szCs w:val="24"/>
        </w:rPr>
        <w:t xml:space="preserve"> (Steunenberg and Dimitrova 2007</w:t>
      </w:r>
      <w:r w:rsidR="00FE2215">
        <w:rPr>
          <w:rFonts w:cs="Cambria"/>
          <w:sz w:val="24"/>
          <w:szCs w:val="24"/>
        </w:rPr>
        <w:t>, 3-4).</w:t>
      </w:r>
    </w:p>
    <w:p w14:paraId="012C100E" w14:textId="203580F0" w:rsidR="00130ADB" w:rsidRDefault="00130ADB" w:rsidP="00D615EE">
      <w:pPr>
        <w:widowControl w:val="0"/>
        <w:autoSpaceDE w:val="0"/>
        <w:autoSpaceDN w:val="0"/>
        <w:adjustRightInd w:val="0"/>
        <w:spacing w:line="480" w:lineRule="auto"/>
        <w:ind w:firstLine="720"/>
        <w:rPr>
          <w:rFonts w:cs="Cambria"/>
          <w:sz w:val="24"/>
          <w:szCs w:val="24"/>
        </w:rPr>
      </w:pPr>
      <w:r>
        <w:rPr>
          <w:rFonts w:cs="Cambria"/>
          <w:sz w:val="24"/>
          <w:szCs w:val="24"/>
        </w:rPr>
        <w:t>This changed with the Council’s decision to shape a “membership perspective” for states in the former Eastern Block. One aspect of this pre-enlargement process was the translation of the large corpus of primary and secondary legislation of the Union into a set of institutional targets for the ten states then actively pursuing membership</w:t>
      </w:r>
      <w:r w:rsidR="008457B4">
        <w:rPr>
          <w:rFonts w:cs="Cambria"/>
          <w:sz w:val="24"/>
          <w:szCs w:val="24"/>
        </w:rPr>
        <w:t xml:space="preserve"> (Grabbe 1999)</w:t>
      </w:r>
      <w:r>
        <w:rPr>
          <w:rFonts w:cs="Cambria"/>
          <w:sz w:val="24"/>
          <w:szCs w:val="24"/>
        </w:rPr>
        <w:t xml:space="preserve">. </w:t>
      </w:r>
      <w:r w:rsidR="00D95DD0">
        <w:rPr>
          <w:rFonts w:cs="Cambria"/>
          <w:sz w:val="24"/>
          <w:szCs w:val="24"/>
        </w:rPr>
        <w:t>T</w:t>
      </w:r>
      <w:r>
        <w:rPr>
          <w:rFonts w:cs="Cambria"/>
          <w:sz w:val="24"/>
          <w:szCs w:val="24"/>
        </w:rPr>
        <w:t>hese efforts to promote legal, institutional, and behavioral reform went well beyond those made in prior (much smaller) waves of enlargement. A number of tools intimately related to conditionality were developed, primarily by the Commission. These includes aid instruments (Phare) that themselves involved conditionality, plus the screening exercise, national programs for the adoption of the acquis communautaire, and the Commission’s annual report series on each prospective member state</w:t>
      </w:r>
      <w:r w:rsidR="00D95DD0">
        <w:rPr>
          <w:rFonts w:cs="Cambria"/>
          <w:sz w:val="24"/>
          <w:szCs w:val="24"/>
        </w:rPr>
        <w:t xml:space="preserve"> (Jacoby 2004)</w:t>
      </w:r>
      <w:r>
        <w:rPr>
          <w:rFonts w:cs="Cambria"/>
          <w:sz w:val="24"/>
          <w:szCs w:val="24"/>
        </w:rPr>
        <w:t xml:space="preserve">. </w:t>
      </w:r>
    </w:p>
    <w:p w14:paraId="514CD000" w14:textId="3BF2B6E5" w:rsidR="005F0D5E" w:rsidRDefault="00130ADB" w:rsidP="00D615EE">
      <w:pPr>
        <w:widowControl w:val="0"/>
        <w:autoSpaceDE w:val="0"/>
        <w:autoSpaceDN w:val="0"/>
        <w:adjustRightInd w:val="0"/>
        <w:spacing w:line="480" w:lineRule="auto"/>
        <w:ind w:firstLine="720"/>
        <w:rPr>
          <w:rFonts w:cs="Cambria"/>
          <w:sz w:val="24"/>
          <w:szCs w:val="24"/>
        </w:rPr>
      </w:pPr>
      <w:r>
        <w:rPr>
          <w:rFonts w:cs="Cambria"/>
          <w:sz w:val="24"/>
          <w:szCs w:val="24"/>
        </w:rPr>
        <w:lastRenderedPageBreak/>
        <w:t>In addition to conditionality, however, the EU also made available what Bruszt and Vuko</w:t>
      </w:r>
      <w:r w:rsidR="009E4B4E">
        <w:rPr>
          <w:rFonts w:cs="Cambria"/>
          <w:sz w:val="24"/>
          <w:szCs w:val="24"/>
        </w:rPr>
        <w:t>v (2017)</w:t>
      </w:r>
      <w:r>
        <w:rPr>
          <w:rFonts w:cs="Cambria"/>
          <w:sz w:val="24"/>
          <w:szCs w:val="24"/>
        </w:rPr>
        <w:t xml:space="preserve"> (following Bruszt and McDermott</w:t>
      </w:r>
      <w:r w:rsidR="009E4B4E">
        <w:rPr>
          <w:rFonts w:cs="Cambria"/>
          <w:sz w:val="24"/>
          <w:szCs w:val="24"/>
        </w:rPr>
        <w:t xml:space="preserve"> 2012</w:t>
      </w:r>
      <w:r>
        <w:rPr>
          <w:rFonts w:cs="Cambria"/>
          <w:sz w:val="24"/>
          <w:szCs w:val="24"/>
        </w:rPr>
        <w:t>) call “multiplex” assistance programs that gave the EU-prospective member state relationship a joint problem-solving dimension. As noted earlier, these programs were also flanked by foreign direct investment from private sources that saw the slow but substantial incorporation of the region into the production chains of firms headquartered in Western Europe (</w:t>
      </w:r>
      <w:r w:rsidR="000A2797">
        <w:rPr>
          <w:rFonts w:cs="Cambria"/>
          <w:sz w:val="24"/>
          <w:szCs w:val="24"/>
        </w:rPr>
        <w:t>Timmer et al 2014</w:t>
      </w:r>
      <w:r>
        <w:rPr>
          <w:rFonts w:cs="Cambria"/>
          <w:sz w:val="24"/>
          <w:szCs w:val="24"/>
        </w:rPr>
        <w:t>). To be sure, these firms (and the states in which they were headquartered) kept a close watch on competitive conditions and often actively “managed” their own backyard in ways that were opposed by states in CEE (Jacoby 2010). Still, the important points are that EU conditionality was focused on one major goal (membership), generally targeted non-core state functions, and was flanked by both private and public initiatives that promoted the rise of CEE up the value chain.</w:t>
      </w:r>
    </w:p>
    <w:p w14:paraId="0226CCBE" w14:textId="77777777" w:rsidR="005F0D5E" w:rsidRDefault="005F0D5E" w:rsidP="00D615EE">
      <w:pPr>
        <w:widowControl w:val="0"/>
        <w:autoSpaceDE w:val="0"/>
        <w:autoSpaceDN w:val="0"/>
        <w:adjustRightInd w:val="0"/>
        <w:spacing w:line="480" w:lineRule="auto"/>
        <w:ind w:firstLine="720"/>
        <w:rPr>
          <w:rFonts w:cs="Cambria"/>
          <w:sz w:val="24"/>
          <w:szCs w:val="24"/>
        </w:rPr>
      </w:pPr>
    </w:p>
    <w:p w14:paraId="1780B3BC" w14:textId="3F7BEE6A" w:rsidR="00D615EE" w:rsidRPr="000F0337" w:rsidRDefault="00130ADB" w:rsidP="00236EC3">
      <w:pPr>
        <w:widowControl w:val="0"/>
        <w:autoSpaceDE w:val="0"/>
        <w:autoSpaceDN w:val="0"/>
        <w:adjustRightInd w:val="0"/>
        <w:spacing w:line="480" w:lineRule="auto"/>
        <w:outlineLvl w:val="0"/>
        <w:rPr>
          <w:rFonts w:cs="Cambria"/>
          <w:sz w:val="24"/>
          <w:szCs w:val="24"/>
        </w:rPr>
      </w:pPr>
      <w:r w:rsidRPr="00130ADB">
        <w:rPr>
          <w:rFonts w:cs="Cambria"/>
          <w:b/>
          <w:sz w:val="24"/>
          <w:szCs w:val="24"/>
        </w:rPr>
        <w:t>Crisis</w:t>
      </w:r>
      <w:r>
        <w:rPr>
          <w:rFonts w:cs="Cambria"/>
          <w:b/>
          <w:sz w:val="24"/>
          <w:szCs w:val="24"/>
        </w:rPr>
        <w:t>-era</w:t>
      </w:r>
      <w:r w:rsidRPr="00130ADB">
        <w:rPr>
          <w:rFonts w:cs="Cambria"/>
          <w:b/>
          <w:sz w:val="24"/>
          <w:szCs w:val="24"/>
        </w:rPr>
        <w:t xml:space="preserve"> conditionality: </w:t>
      </w:r>
      <w:r w:rsidR="007B6287" w:rsidRPr="000F0337">
        <w:rPr>
          <w:rFonts w:cs="Cambria"/>
          <w:b/>
          <w:sz w:val="24"/>
          <w:szCs w:val="24"/>
        </w:rPr>
        <w:t>from lever to club</w:t>
      </w:r>
      <w:r w:rsidR="00637C8E">
        <w:rPr>
          <w:rFonts w:cs="Cambria"/>
          <w:sz w:val="24"/>
          <w:szCs w:val="24"/>
        </w:rPr>
        <w:tab/>
      </w:r>
    </w:p>
    <w:p w14:paraId="4B66B893" w14:textId="6886BA49" w:rsidR="00130ADB" w:rsidRDefault="00130ADB" w:rsidP="00637C8E">
      <w:pPr>
        <w:widowControl w:val="0"/>
        <w:autoSpaceDE w:val="0"/>
        <w:autoSpaceDN w:val="0"/>
        <w:adjustRightInd w:val="0"/>
        <w:spacing w:line="480" w:lineRule="auto"/>
        <w:rPr>
          <w:rFonts w:cs="Cambria"/>
          <w:sz w:val="24"/>
          <w:szCs w:val="24"/>
        </w:rPr>
      </w:pPr>
      <w:r>
        <w:rPr>
          <w:rFonts w:cs="Cambria"/>
          <w:sz w:val="24"/>
          <w:szCs w:val="24"/>
        </w:rPr>
        <w:t xml:space="preserve">EU actors had many reasons to feel satisfied with their use of conditional tools, and there is evidence they did feel satisfied. First, all of the states subject to conditionality in the enlargement period were ultimately allowed to join the EU. Had this not been the case, second thoughts about conditionality might have registered sooner. Second, when the decision was taken to delay Bulgarian and Romanian accession by three years (when compared to the other then-candidate states), the Commission leaned even more heavily on conditional instruments in its overall </w:t>
      </w:r>
      <w:r>
        <w:rPr>
          <w:rFonts w:cs="Cambria"/>
          <w:sz w:val="24"/>
          <w:szCs w:val="24"/>
        </w:rPr>
        <w:lastRenderedPageBreak/>
        <w:t>policy mix. Indeed, the EU generated a new mechanism for Bulgaria and Romania that preserved elements of conditionality even after membership. Moreover, when the EU established an instrument for what came to be called the “Neighborhood,” there was a strong element of path-dependency in the instruments used (</w:t>
      </w:r>
      <w:r w:rsidR="000A2797">
        <w:rPr>
          <w:rFonts w:cs="Cambria"/>
          <w:sz w:val="24"/>
          <w:szCs w:val="24"/>
        </w:rPr>
        <w:t>Kelley 2006b</w:t>
      </w:r>
      <w:r>
        <w:rPr>
          <w:rFonts w:cs="Cambria"/>
          <w:sz w:val="24"/>
          <w:szCs w:val="24"/>
        </w:rPr>
        <w:t xml:space="preserve">). To be sure, it soon became quite clear to the EU </w:t>
      </w:r>
      <w:r w:rsidR="00852DA3">
        <w:rPr>
          <w:rFonts w:cs="Cambria"/>
          <w:sz w:val="24"/>
          <w:szCs w:val="24"/>
        </w:rPr>
        <w:t>(</w:t>
      </w:r>
      <w:r>
        <w:rPr>
          <w:rFonts w:cs="Cambria"/>
          <w:sz w:val="24"/>
          <w:szCs w:val="24"/>
        </w:rPr>
        <w:t xml:space="preserve">and in the </w:t>
      </w:r>
      <w:r w:rsidR="00852DA3">
        <w:rPr>
          <w:rFonts w:cs="Cambria"/>
          <w:sz w:val="24"/>
          <w:szCs w:val="24"/>
        </w:rPr>
        <w:t xml:space="preserve">scholarly </w:t>
      </w:r>
      <w:r>
        <w:rPr>
          <w:rFonts w:cs="Cambria"/>
          <w:sz w:val="24"/>
          <w:szCs w:val="24"/>
        </w:rPr>
        <w:t>literature</w:t>
      </w:r>
      <w:r w:rsidR="00852DA3">
        <w:rPr>
          <w:rFonts w:cs="Cambria"/>
          <w:sz w:val="24"/>
          <w:szCs w:val="24"/>
        </w:rPr>
        <w:t>)</w:t>
      </w:r>
      <w:r>
        <w:rPr>
          <w:rFonts w:cs="Cambria"/>
          <w:sz w:val="24"/>
          <w:szCs w:val="24"/>
        </w:rPr>
        <w:t xml:space="preserve"> that the lack of a membership perspective had made conditionality substantially less effective in the neighborhood</w:t>
      </w:r>
      <w:r w:rsidR="00852DA3">
        <w:rPr>
          <w:rFonts w:cs="Cambria"/>
          <w:sz w:val="24"/>
          <w:szCs w:val="24"/>
        </w:rPr>
        <w:t xml:space="preserve"> (Lavenex and Schimmelfennig 2007)</w:t>
      </w:r>
      <w:r>
        <w:rPr>
          <w:rFonts w:cs="Cambria"/>
          <w:sz w:val="24"/>
          <w:szCs w:val="24"/>
        </w:rPr>
        <w:t>. Still, the general consensus was that the EU</w:t>
      </w:r>
      <w:r w:rsidR="00DE5927">
        <w:rPr>
          <w:rFonts w:cs="Cambria"/>
          <w:sz w:val="24"/>
          <w:szCs w:val="24"/>
        </w:rPr>
        <w:t xml:space="preserve">’s use of conditional instruments had facilitated its engagement with </w:t>
      </w:r>
      <w:r>
        <w:rPr>
          <w:rFonts w:cs="Cambria"/>
          <w:sz w:val="24"/>
          <w:szCs w:val="24"/>
        </w:rPr>
        <w:t>Central and Eastern Europe.</w:t>
      </w:r>
    </w:p>
    <w:p w14:paraId="3E56AB31" w14:textId="31DF514F" w:rsidR="00DE5927" w:rsidRDefault="00181CD0" w:rsidP="00D615EE">
      <w:pPr>
        <w:widowControl w:val="0"/>
        <w:autoSpaceDE w:val="0"/>
        <w:autoSpaceDN w:val="0"/>
        <w:adjustRightInd w:val="0"/>
        <w:spacing w:line="480" w:lineRule="auto"/>
        <w:ind w:firstLine="720"/>
        <w:rPr>
          <w:rFonts w:cs="Cambria"/>
          <w:sz w:val="24"/>
          <w:szCs w:val="24"/>
        </w:rPr>
      </w:pPr>
      <w:r>
        <w:rPr>
          <w:rFonts w:cs="Cambria"/>
          <w:sz w:val="24"/>
          <w:szCs w:val="24"/>
        </w:rPr>
        <w:t>This article’s aim is not to</w:t>
      </w:r>
      <w:r w:rsidR="00130ADB">
        <w:rPr>
          <w:rFonts w:cs="Cambria"/>
          <w:sz w:val="24"/>
          <w:szCs w:val="24"/>
        </w:rPr>
        <w:t xml:space="preserve"> provide</w:t>
      </w:r>
      <w:r>
        <w:rPr>
          <w:rFonts w:cs="Cambria"/>
          <w:sz w:val="24"/>
          <w:szCs w:val="24"/>
        </w:rPr>
        <w:t xml:space="preserve"> </w:t>
      </w:r>
      <w:r w:rsidR="00130ADB">
        <w:rPr>
          <w:rFonts w:cs="Cambria"/>
          <w:sz w:val="24"/>
          <w:szCs w:val="24"/>
        </w:rPr>
        <w:t xml:space="preserve">direct sociological evidence that conditional programs in the first period were </w:t>
      </w:r>
      <w:r w:rsidR="008A6D4E">
        <w:rPr>
          <w:rFonts w:cs="Cambria"/>
          <w:sz w:val="24"/>
          <w:szCs w:val="24"/>
        </w:rPr>
        <w:t xml:space="preserve">necessarily very </w:t>
      </w:r>
      <w:r w:rsidR="00130ADB">
        <w:rPr>
          <w:rFonts w:cs="Cambria"/>
          <w:sz w:val="24"/>
          <w:szCs w:val="24"/>
        </w:rPr>
        <w:t xml:space="preserve">influential in setting up conditional programs in the second period. Certainly, every </w:t>
      </w:r>
      <w:r>
        <w:rPr>
          <w:rFonts w:cs="Cambria"/>
          <w:sz w:val="24"/>
          <w:szCs w:val="24"/>
        </w:rPr>
        <w:t xml:space="preserve">Directorate General </w:t>
      </w:r>
      <w:r w:rsidR="00130ADB">
        <w:rPr>
          <w:rFonts w:cs="Cambria"/>
          <w:sz w:val="24"/>
          <w:szCs w:val="24"/>
        </w:rPr>
        <w:t xml:space="preserve">inside the Commission was involved in enlargement through the legislative approximation and monitoring functions, so experience with conditionality was spread widely across the Commission’s relatively small staff. </w:t>
      </w:r>
      <w:r w:rsidR="00DE5927">
        <w:rPr>
          <w:rFonts w:cs="Cambria"/>
          <w:sz w:val="24"/>
          <w:szCs w:val="24"/>
        </w:rPr>
        <w:t>Moreover,</w:t>
      </w:r>
      <w:r w:rsidR="00130ADB">
        <w:rPr>
          <w:rFonts w:cs="Cambria"/>
          <w:sz w:val="24"/>
          <w:szCs w:val="24"/>
        </w:rPr>
        <w:t xml:space="preserve"> DG ECFIN officials also learned about conditional instruments from their interactions with the IMF already with the outbreak of severe balance of payments problems in CEE in 2008.</w:t>
      </w:r>
      <w:r w:rsidR="00130ADB">
        <w:rPr>
          <w:rStyle w:val="FootnoteReference"/>
          <w:rFonts w:cs="Cambria"/>
          <w:sz w:val="24"/>
          <w:szCs w:val="24"/>
        </w:rPr>
        <w:footnoteReference w:id="7"/>
      </w:r>
      <w:r w:rsidR="002D0A78">
        <w:rPr>
          <w:rFonts w:cs="Cambria"/>
          <w:sz w:val="24"/>
          <w:szCs w:val="24"/>
        </w:rPr>
        <w:t xml:space="preserve"> </w:t>
      </w:r>
      <w:r w:rsidR="00637C8E">
        <w:rPr>
          <w:rFonts w:cs="Cambria"/>
          <w:sz w:val="24"/>
          <w:szCs w:val="24"/>
        </w:rPr>
        <w:t xml:space="preserve"> </w:t>
      </w:r>
    </w:p>
    <w:p w14:paraId="743F015C" w14:textId="5F3F196A" w:rsidR="005A4915" w:rsidRDefault="00637C8E">
      <w:pPr>
        <w:widowControl w:val="0"/>
        <w:autoSpaceDE w:val="0"/>
        <w:autoSpaceDN w:val="0"/>
        <w:adjustRightInd w:val="0"/>
        <w:spacing w:line="480" w:lineRule="auto"/>
        <w:ind w:firstLine="720"/>
        <w:rPr>
          <w:rFonts w:cs="Cambria"/>
          <w:sz w:val="24"/>
          <w:szCs w:val="24"/>
        </w:rPr>
      </w:pPr>
      <w:r>
        <w:rPr>
          <w:rFonts w:cs="Cambria"/>
          <w:sz w:val="24"/>
          <w:szCs w:val="24"/>
        </w:rPr>
        <w:t>Instead, our burden is to show that the nature of conditionality underwent a radical shift in focus and technique with th</w:t>
      </w:r>
      <w:r w:rsidR="0012461A">
        <w:rPr>
          <w:rFonts w:cs="Cambria"/>
          <w:sz w:val="24"/>
          <w:szCs w:val="24"/>
        </w:rPr>
        <w:t>e</w:t>
      </w:r>
      <w:r>
        <w:rPr>
          <w:rFonts w:cs="Cambria"/>
          <w:sz w:val="24"/>
          <w:szCs w:val="24"/>
        </w:rPr>
        <w:t xml:space="preserve"> onset of the global financial crisis and </w:t>
      </w:r>
      <w:r>
        <w:rPr>
          <w:rFonts w:cs="Cambria"/>
          <w:sz w:val="24"/>
          <w:szCs w:val="24"/>
        </w:rPr>
        <w:lastRenderedPageBreak/>
        <w:t>Eurocrisis.</w:t>
      </w:r>
      <w:r w:rsidR="00DE5927">
        <w:rPr>
          <w:rFonts w:cs="Cambria"/>
          <w:sz w:val="24"/>
          <w:szCs w:val="24"/>
        </w:rPr>
        <w:t xml:space="preserve"> </w:t>
      </w:r>
      <w:r>
        <w:rPr>
          <w:rFonts w:cs="Cambria"/>
          <w:sz w:val="24"/>
          <w:szCs w:val="24"/>
        </w:rPr>
        <w:t xml:space="preserve">Our </w:t>
      </w:r>
      <w:r w:rsidR="002D0A78">
        <w:rPr>
          <w:rFonts w:cs="Cambria"/>
          <w:sz w:val="24"/>
          <w:szCs w:val="24"/>
        </w:rPr>
        <w:t xml:space="preserve">argument is broadly consistent with Börzel’s </w:t>
      </w:r>
      <w:r>
        <w:rPr>
          <w:rFonts w:cs="Cambria"/>
          <w:sz w:val="24"/>
          <w:szCs w:val="24"/>
        </w:rPr>
        <w:t xml:space="preserve">view </w:t>
      </w:r>
      <w:r w:rsidR="002D0A78">
        <w:rPr>
          <w:rFonts w:cs="Cambria"/>
          <w:sz w:val="24"/>
          <w:szCs w:val="24"/>
        </w:rPr>
        <w:t>that the EU tried to manage the Eurocrisis as a “regulatory” matter, as regulatory politics was the classic locus of conditionality during enlargement</w:t>
      </w:r>
      <w:r>
        <w:rPr>
          <w:rFonts w:cs="Cambria"/>
          <w:sz w:val="24"/>
          <w:szCs w:val="24"/>
        </w:rPr>
        <w:t xml:space="preserve"> (2016)</w:t>
      </w:r>
      <w:r w:rsidR="002D0A78">
        <w:rPr>
          <w:rFonts w:cs="Cambria"/>
          <w:sz w:val="24"/>
          <w:szCs w:val="24"/>
        </w:rPr>
        <w:t xml:space="preserve">. </w:t>
      </w:r>
      <w:r w:rsidR="00B76A4E">
        <w:rPr>
          <w:rFonts w:cs="Cambria"/>
          <w:sz w:val="24"/>
          <w:szCs w:val="24"/>
        </w:rPr>
        <w:t>Of course, a key difference is that t</w:t>
      </w:r>
      <w:r w:rsidR="005A4915">
        <w:rPr>
          <w:rFonts w:cs="Cambria"/>
          <w:sz w:val="24"/>
          <w:szCs w:val="24"/>
        </w:rPr>
        <w:t>he debtor countries of the periphery were already fully compliant EU members, and therefore none of the measures could be regarded as requirements for continued membership. Instead</w:t>
      </w:r>
      <w:r w:rsidR="000F0337">
        <w:rPr>
          <w:rFonts w:cs="Cambria"/>
          <w:sz w:val="24"/>
          <w:szCs w:val="24"/>
        </w:rPr>
        <w:t>,</w:t>
      </w:r>
      <w:r w:rsidR="005A4915">
        <w:rPr>
          <w:rFonts w:cs="Cambria"/>
          <w:sz w:val="24"/>
          <w:szCs w:val="24"/>
        </w:rPr>
        <w:t xml:space="preserve"> the conditionality measures were measures that in many cases had </w:t>
      </w:r>
      <w:r w:rsidR="00546347">
        <w:rPr>
          <w:rFonts w:cs="Cambria"/>
          <w:sz w:val="24"/>
          <w:szCs w:val="24"/>
        </w:rPr>
        <w:t xml:space="preserve">already </w:t>
      </w:r>
      <w:r w:rsidR="005A4915">
        <w:rPr>
          <w:rFonts w:cs="Cambria"/>
          <w:sz w:val="24"/>
          <w:szCs w:val="24"/>
        </w:rPr>
        <w:t xml:space="preserve">been recommended, for example through the Open Method of Coordination, but which </w:t>
      </w:r>
      <w:r w:rsidR="00701C58">
        <w:rPr>
          <w:rFonts w:cs="Cambria"/>
          <w:sz w:val="24"/>
          <w:szCs w:val="24"/>
        </w:rPr>
        <w:t xml:space="preserve">could now be </w:t>
      </w:r>
      <w:r w:rsidR="00546347">
        <w:rPr>
          <w:rFonts w:cs="Cambria"/>
          <w:sz w:val="24"/>
          <w:szCs w:val="24"/>
        </w:rPr>
        <w:t xml:space="preserve">coercively </w:t>
      </w:r>
      <w:r w:rsidR="00701C58">
        <w:rPr>
          <w:rFonts w:cs="Cambria"/>
          <w:sz w:val="24"/>
          <w:szCs w:val="24"/>
        </w:rPr>
        <w:t xml:space="preserve">imposed </w:t>
      </w:r>
      <w:r w:rsidR="00546347">
        <w:rPr>
          <w:rFonts w:cs="Cambria"/>
          <w:sz w:val="24"/>
          <w:szCs w:val="24"/>
        </w:rPr>
        <w:t xml:space="preserve">as the need for financial aid gave the EU institutions dramatically increased leverage. </w:t>
      </w:r>
      <w:r w:rsidR="00ED7DAD">
        <w:rPr>
          <w:rFonts w:cs="Cambria"/>
          <w:sz w:val="24"/>
          <w:szCs w:val="24"/>
        </w:rPr>
        <w:t>This gave a deeply invasive quality to the European institutions’ interventions in the organization of the economy and society, and brought them into deeply sensitive and normative areas of domestic politics in some member states, whilst others maintained a greater degree of independence.</w:t>
      </w:r>
    </w:p>
    <w:p w14:paraId="57F30350" w14:textId="2AD48ED6" w:rsidR="00B97936" w:rsidRDefault="00637C8E" w:rsidP="00D615EE">
      <w:pPr>
        <w:widowControl w:val="0"/>
        <w:autoSpaceDE w:val="0"/>
        <w:autoSpaceDN w:val="0"/>
        <w:adjustRightInd w:val="0"/>
        <w:spacing w:line="480" w:lineRule="auto"/>
        <w:ind w:firstLine="720"/>
        <w:rPr>
          <w:rFonts w:cs="Cambria"/>
          <w:sz w:val="24"/>
          <w:szCs w:val="24"/>
        </w:rPr>
      </w:pPr>
      <w:r>
        <w:rPr>
          <w:rFonts w:cs="Cambria"/>
          <w:sz w:val="24"/>
          <w:szCs w:val="24"/>
        </w:rPr>
        <w:t>The first EU member states to feel a new version of conditionality</w:t>
      </w:r>
      <w:r w:rsidR="00055C5D">
        <w:rPr>
          <w:rFonts w:cs="Cambria"/>
          <w:sz w:val="24"/>
          <w:szCs w:val="24"/>
        </w:rPr>
        <w:t xml:space="preserve"> were Hungary, </w:t>
      </w:r>
      <w:r>
        <w:rPr>
          <w:rFonts w:cs="Cambria"/>
          <w:sz w:val="24"/>
          <w:szCs w:val="24"/>
        </w:rPr>
        <w:t>Latvia</w:t>
      </w:r>
      <w:r w:rsidR="00055C5D">
        <w:rPr>
          <w:rFonts w:cs="Cambria"/>
          <w:sz w:val="24"/>
          <w:szCs w:val="24"/>
        </w:rPr>
        <w:t xml:space="preserve"> and Romania</w:t>
      </w:r>
      <w:r>
        <w:rPr>
          <w:rFonts w:cs="Cambria"/>
          <w:sz w:val="24"/>
          <w:szCs w:val="24"/>
        </w:rPr>
        <w:t xml:space="preserve">, </w:t>
      </w:r>
      <w:r w:rsidR="00055C5D">
        <w:rPr>
          <w:rFonts w:cs="Cambria"/>
          <w:sz w:val="24"/>
          <w:szCs w:val="24"/>
        </w:rPr>
        <w:t>three</w:t>
      </w:r>
      <w:r>
        <w:rPr>
          <w:rFonts w:cs="Cambria"/>
          <w:sz w:val="24"/>
          <w:szCs w:val="24"/>
        </w:rPr>
        <w:t xml:space="preserve"> recent entrants who turned to the EU and the IMF to deal with sever</w:t>
      </w:r>
      <w:r w:rsidR="00E938F5">
        <w:rPr>
          <w:rFonts w:cs="Cambria"/>
          <w:sz w:val="24"/>
          <w:szCs w:val="24"/>
        </w:rPr>
        <w:t>e</w:t>
      </w:r>
      <w:r>
        <w:rPr>
          <w:rFonts w:cs="Cambria"/>
          <w:sz w:val="24"/>
          <w:szCs w:val="24"/>
        </w:rPr>
        <w:t xml:space="preserve"> balance of payments problems. Hungary achieved a $25 billion package, with roughly two thirds coming from the IMF and a third from the EU.</w:t>
      </w:r>
      <w:r>
        <w:rPr>
          <w:rStyle w:val="FootnoteReference"/>
          <w:rFonts w:cs="Cambria"/>
          <w:sz w:val="24"/>
          <w:szCs w:val="24"/>
        </w:rPr>
        <w:footnoteReference w:id="8"/>
      </w:r>
      <w:r>
        <w:rPr>
          <w:rFonts w:cs="Cambria"/>
          <w:sz w:val="24"/>
          <w:szCs w:val="24"/>
        </w:rPr>
        <w:t xml:space="preserve"> </w:t>
      </w:r>
      <w:r w:rsidR="007943D0">
        <w:rPr>
          <w:rFonts w:cs="Cambria"/>
          <w:sz w:val="24"/>
          <w:szCs w:val="24"/>
        </w:rPr>
        <w:t>That same year, Latvia took around $5 billion (out of more than $7 billion allocated) from the IMF and EU, while Romania took around $20 billion in bailouts in March 2</w:t>
      </w:r>
      <w:r w:rsidR="004F1388">
        <w:rPr>
          <w:rFonts w:cs="Cambria"/>
          <w:sz w:val="24"/>
          <w:szCs w:val="24"/>
        </w:rPr>
        <w:t>009 (for details, see Henning 2017</w:t>
      </w:r>
      <w:r w:rsidR="007943D0">
        <w:rPr>
          <w:rFonts w:cs="Cambria"/>
          <w:sz w:val="24"/>
          <w:szCs w:val="24"/>
        </w:rPr>
        <w:t xml:space="preserve">). </w:t>
      </w:r>
      <w:r w:rsidR="00E938F5">
        <w:rPr>
          <w:rFonts w:cs="Cambria"/>
          <w:sz w:val="24"/>
          <w:szCs w:val="24"/>
        </w:rPr>
        <w:t xml:space="preserve"> Procedurally,</w:t>
      </w:r>
      <w:r w:rsidRPr="00503A40">
        <w:rPr>
          <w:rFonts w:cs="Cambria"/>
          <w:sz w:val="24"/>
          <w:szCs w:val="24"/>
        </w:rPr>
        <w:t xml:space="preserve"> the Commission was part of a process</w:t>
      </w:r>
      <w:r w:rsidR="00E938F5">
        <w:rPr>
          <w:rFonts w:cs="Cambria"/>
          <w:sz w:val="24"/>
          <w:szCs w:val="24"/>
        </w:rPr>
        <w:t xml:space="preserve"> </w:t>
      </w:r>
      <w:r w:rsidRPr="00503A40">
        <w:rPr>
          <w:rFonts w:cs="Cambria"/>
          <w:sz w:val="24"/>
          <w:szCs w:val="24"/>
        </w:rPr>
        <w:t>with the IMF that seemed to restore current account balance</w:t>
      </w:r>
      <w:r w:rsidRPr="00503A40">
        <w:rPr>
          <w:rFonts w:cs="Cambria"/>
          <w:sz w:val="24"/>
          <w:szCs w:val="24"/>
        </w:rPr>
        <w:br/>
      </w:r>
      <w:r w:rsidRPr="00503A40">
        <w:rPr>
          <w:rFonts w:cs="Cambria"/>
          <w:sz w:val="24"/>
          <w:szCs w:val="24"/>
        </w:rPr>
        <w:lastRenderedPageBreak/>
        <w:t>without destroying state budgets and bringing CEE countries back towards a</w:t>
      </w:r>
      <w:r w:rsidRPr="00503A40">
        <w:rPr>
          <w:rFonts w:cs="Cambria"/>
          <w:sz w:val="24"/>
          <w:szCs w:val="24"/>
        </w:rPr>
        <w:br/>
        <w:t>growth perspective.</w:t>
      </w:r>
      <w:r w:rsidR="00E938F5">
        <w:rPr>
          <w:rStyle w:val="FootnoteReference"/>
          <w:rFonts w:cs="Cambria"/>
          <w:sz w:val="24"/>
          <w:szCs w:val="24"/>
        </w:rPr>
        <w:footnoteReference w:id="9"/>
      </w:r>
      <w:r w:rsidRPr="00503A40">
        <w:rPr>
          <w:rFonts w:cs="Cambria"/>
          <w:sz w:val="24"/>
          <w:szCs w:val="24"/>
        </w:rPr>
        <w:t xml:space="preserve"> </w:t>
      </w:r>
      <w:r w:rsidR="00CD3FA5">
        <w:rPr>
          <w:rFonts w:cs="Cambria"/>
          <w:sz w:val="24"/>
          <w:szCs w:val="24"/>
        </w:rPr>
        <w:t>Indeed, Hungary regained market access in less than year, placing euro-denominated government bonds as early as July 2009 (Carare 2009).</w:t>
      </w:r>
      <w:r w:rsidR="00FB256C">
        <w:rPr>
          <w:rFonts w:cs="Cambria"/>
          <w:sz w:val="24"/>
          <w:szCs w:val="24"/>
        </w:rPr>
        <w:t xml:space="preserve"> Latvia’s program lasted somewhat longer but also resulted in lower than anticipated disbursements and earlier repayment, which many analysts linked explicitly to its fiscal tightening (Aslund 2010).</w:t>
      </w:r>
      <w:r w:rsidR="00FB256C">
        <w:rPr>
          <w:rStyle w:val="FootnoteReference"/>
          <w:rFonts w:cs="Cambria"/>
          <w:sz w:val="24"/>
          <w:szCs w:val="24"/>
        </w:rPr>
        <w:footnoteReference w:id="10"/>
      </w:r>
      <w:r w:rsidR="00CD3FA5">
        <w:rPr>
          <w:rFonts w:cs="Cambria"/>
          <w:sz w:val="24"/>
          <w:szCs w:val="24"/>
        </w:rPr>
        <w:t xml:space="preserve"> </w:t>
      </w:r>
      <w:r w:rsidR="00B97936">
        <w:rPr>
          <w:rFonts w:cs="Cambria"/>
          <w:sz w:val="24"/>
          <w:szCs w:val="24"/>
        </w:rPr>
        <w:t>Substantively,</w:t>
      </w:r>
      <w:r w:rsidRPr="00503A40">
        <w:rPr>
          <w:rFonts w:cs="Cambria"/>
          <w:sz w:val="24"/>
          <w:szCs w:val="24"/>
        </w:rPr>
        <w:t xml:space="preserve"> the essentially liberal reform</w:t>
      </w:r>
      <w:r w:rsidR="00B97936">
        <w:rPr>
          <w:rFonts w:cs="Cambria"/>
          <w:sz w:val="24"/>
          <w:szCs w:val="24"/>
        </w:rPr>
        <w:t xml:space="preserve"> </w:t>
      </w:r>
      <w:r w:rsidRPr="00503A40">
        <w:rPr>
          <w:rFonts w:cs="Cambria"/>
          <w:sz w:val="24"/>
          <w:szCs w:val="24"/>
        </w:rPr>
        <w:t xml:space="preserve">path reinforced </w:t>
      </w:r>
      <w:r w:rsidR="00DE5511">
        <w:rPr>
          <w:rFonts w:cs="Cambria"/>
          <w:sz w:val="24"/>
          <w:szCs w:val="24"/>
        </w:rPr>
        <w:t xml:space="preserve">the </w:t>
      </w:r>
      <w:r w:rsidRPr="00503A40">
        <w:rPr>
          <w:rFonts w:cs="Cambria"/>
          <w:sz w:val="24"/>
          <w:szCs w:val="24"/>
        </w:rPr>
        <w:t xml:space="preserve">market fundamentalism </w:t>
      </w:r>
      <w:r w:rsidR="00DE5511">
        <w:rPr>
          <w:rFonts w:cs="Cambria"/>
          <w:sz w:val="24"/>
          <w:szCs w:val="24"/>
        </w:rPr>
        <w:t xml:space="preserve">that informed views </w:t>
      </w:r>
      <w:r w:rsidRPr="00503A40">
        <w:rPr>
          <w:rFonts w:cs="Cambria"/>
          <w:sz w:val="24"/>
          <w:szCs w:val="24"/>
        </w:rPr>
        <w:t>at the Commission (and also in</w:t>
      </w:r>
      <w:r w:rsidR="00B97936">
        <w:rPr>
          <w:rFonts w:cs="Cambria"/>
          <w:sz w:val="24"/>
          <w:szCs w:val="24"/>
        </w:rPr>
        <w:t xml:space="preserve"> </w:t>
      </w:r>
      <w:r w:rsidRPr="00503A40">
        <w:rPr>
          <w:rFonts w:cs="Cambria"/>
          <w:sz w:val="24"/>
          <w:szCs w:val="24"/>
        </w:rPr>
        <w:t xml:space="preserve">Berlin). </w:t>
      </w:r>
    </w:p>
    <w:p w14:paraId="728F2076" w14:textId="33DC2D90" w:rsidR="00F5341D" w:rsidRDefault="00637C8E" w:rsidP="00CD64C5">
      <w:pPr>
        <w:widowControl w:val="0"/>
        <w:autoSpaceDE w:val="0"/>
        <w:autoSpaceDN w:val="0"/>
        <w:adjustRightInd w:val="0"/>
        <w:spacing w:line="480" w:lineRule="auto"/>
        <w:ind w:firstLine="720"/>
        <w:rPr>
          <w:rFonts w:cs="Cambria"/>
          <w:sz w:val="24"/>
          <w:szCs w:val="24"/>
        </w:rPr>
      </w:pPr>
      <w:r w:rsidRPr="00503A40">
        <w:rPr>
          <w:rFonts w:cs="Cambria"/>
          <w:sz w:val="24"/>
          <w:szCs w:val="24"/>
        </w:rPr>
        <w:t xml:space="preserve">Thus, </w:t>
      </w:r>
      <w:r w:rsidR="00B97936">
        <w:rPr>
          <w:rFonts w:cs="Cambria"/>
          <w:sz w:val="24"/>
          <w:szCs w:val="24"/>
        </w:rPr>
        <w:t xml:space="preserve">it is likely </w:t>
      </w:r>
      <w:r w:rsidRPr="00503A40">
        <w:rPr>
          <w:rFonts w:cs="Cambria"/>
          <w:sz w:val="24"/>
          <w:szCs w:val="24"/>
        </w:rPr>
        <w:t>the</w:t>
      </w:r>
      <w:r w:rsidR="00B97936">
        <w:rPr>
          <w:rFonts w:cs="Cambria"/>
          <w:sz w:val="24"/>
          <w:szCs w:val="24"/>
        </w:rPr>
        <w:t xml:space="preserve"> </w:t>
      </w:r>
      <w:r w:rsidRPr="00503A40">
        <w:rPr>
          <w:rFonts w:cs="Cambria"/>
          <w:sz w:val="24"/>
          <w:szCs w:val="24"/>
        </w:rPr>
        <w:t>Commission enter</w:t>
      </w:r>
      <w:r w:rsidR="00B97936">
        <w:rPr>
          <w:rFonts w:cs="Cambria"/>
          <w:sz w:val="24"/>
          <w:szCs w:val="24"/>
        </w:rPr>
        <w:t>ed</w:t>
      </w:r>
      <w:r w:rsidRPr="00503A40">
        <w:rPr>
          <w:rFonts w:cs="Cambria"/>
          <w:sz w:val="24"/>
          <w:szCs w:val="24"/>
        </w:rPr>
        <w:t xml:space="preserve"> the post-2010 era with</w:t>
      </w:r>
      <w:r w:rsidR="00B97936">
        <w:rPr>
          <w:rFonts w:cs="Cambria"/>
          <w:sz w:val="24"/>
          <w:szCs w:val="24"/>
        </w:rPr>
        <w:t xml:space="preserve"> </w:t>
      </w:r>
      <w:r w:rsidRPr="00503A40">
        <w:rPr>
          <w:rFonts w:cs="Cambria"/>
          <w:sz w:val="24"/>
          <w:szCs w:val="24"/>
        </w:rPr>
        <w:t>Southern Europe overconfident in both its tools and its prescriptions</w:t>
      </w:r>
      <w:r w:rsidR="00DE5511">
        <w:rPr>
          <w:rFonts w:cs="Cambria"/>
          <w:sz w:val="24"/>
          <w:szCs w:val="24"/>
        </w:rPr>
        <w:t>.</w:t>
      </w:r>
      <w:r w:rsidR="00B97936">
        <w:rPr>
          <w:rFonts w:cs="Cambria"/>
          <w:sz w:val="24"/>
          <w:szCs w:val="24"/>
        </w:rPr>
        <w:t xml:space="preserve"> To see why, it is critical to note the ways in which </w:t>
      </w:r>
      <w:r w:rsidRPr="00503A40">
        <w:rPr>
          <w:rFonts w:cs="Cambria"/>
          <w:sz w:val="24"/>
          <w:szCs w:val="24"/>
        </w:rPr>
        <w:t>the CEE cases</w:t>
      </w:r>
      <w:r w:rsidR="00B97936">
        <w:rPr>
          <w:rFonts w:cs="Cambria"/>
          <w:sz w:val="24"/>
          <w:szCs w:val="24"/>
        </w:rPr>
        <w:t xml:space="preserve"> of macroeconomic crisis</w:t>
      </w:r>
      <w:r w:rsidRPr="00503A40">
        <w:rPr>
          <w:rFonts w:cs="Cambria"/>
          <w:sz w:val="24"/>
          <w:szCs w:val="24"/>
        </w:rPr>
        <w:t xml:space="preserve"> were different </w:t>
      </w:r>
      <w:r w:rsidR="00B97936">
        <w:rPr>
          <w:rFonts w:cs="Cambria"/>
          <w:sz w:val="24"/>
          <w:szCs w:val="24"/>
        </w:rPr>
        <w:t xml:space="preserve">from those that would soon break out in Southern Europe. First, </w:t>
      </w:r>
      <w:r w:rsidRPr="00503A40">
        <w:rPr>
          <w:rFonts w:cs="Cambria"/>
          <w:sz w:val="24"/>
          <w:szCs w:val="24"/>
        </w:rPr>
        <w:t>the</w:t>
      </w:r>
      <w:r w:rsidR="00B97936">
        <w:rPr>
          <w:rFonts w:cs="Cambria"/>
          <w:sz w:val="24"/>
          <w:szCs w:val="24"/>
        </w:rPr>
        <w:t xml:space="preserve"> CEE cases</w:t>
      </w:r>
      <w:r w:rsidRPr="00503A40">
        <w:rPr>
          <w:rFonts w:cs="Cambria"/>
          <w:sz w:val="24"/>
          <w:szCs w:val="24"/>
        </w:rPr>
        <w:t xml:space="preserve"> came </w:t>
      </w:r>
      <w:r w:rsidR="00B97936">
        <w:rPr>
          <w:rFonts w:cs="Cambria"/>
          <w:sz w:val="24"/>
          <w:szCs w:val="24"/>
        </w:rPr>
        <w:t>close on the heels of the meltdown in US and UK financial markets</w:t>
      </w:r>
      <w:r w:rsidRPr="00503A40">
        <w:rPr>
          <w:rFonts w:cs="Cambria"/>
          <w:sz w:val="24"/>
          <w:szCs w:val="24"/>
        </w:rPr>
        <w:t xml:space="preserve"> and were properly diagnosed as financial and banking</w:t>
      </w:r>
      <w:r w:rsidR="00B97936">
        <w:rPr>
          <w:rFonts w:cs="Cambria"/>
          <w:sz w:val="24"/>
          <w:szCs w:val="24"/>
        </w:rPr>
        <w:t xml:space="preserve"> </w:t>
      </w:r>
      <w:r w:rsidRPr="00503A40">
        <w:rPr>
          <w:rFonts w:cs="Cambria"/>
          <w:sz w:val="24"/>
          <w:szCs w:val="24"/>
        </w:rPr>
        <w:t>crisis and not one of state debt</w:t>
      </w:r>
      <w:r w:rsidR="008A38AE">
        <w:rPr>
          <w:rFonts w:cs="Cambria"/>
          <w:sz w:val="24"/>
          <w:szCs w:val="24"/>
        </w:rPr>
        <w:t xml:space="preserve"> (Blyth 2016)</w:t>
      </w:r>
      <w:r w:rsidR="00B97936">
        <w:rPr>
          <w:rFonts w:cs="Cambria"/>
          <w:sz w:val="24"/>
          <w:szCs w:val="24"/>
        </w:rPr>
        <w:t>. Second</w:t>
      </w:r>
      <w:r w:rsidRPr="00503A40">
        <w:rPr>
          <w:rFonts w:cs="Cambria"/>
          <w:sz w:val="24"/>
          <w:szCs w:val="24"/>
        </w:rPr>
        <w:t>, their resolution went hand in hand with</w:t>
      </w:r>
      <w:r w:rsidR="00B97936">
        <w:rPr>
          <w:rFonts w:cs="Cambria"/>
          <w:sz w:val="24"/>
          <w:szCs w:val="24"/>
        </w:rPr>
        <w:t xml:space="preserve"> </w:t>
      </w:r>
      <w:r w:rsidRPr="00503A40">
        <w:rPr>
          <w:rFonts w:cs="Cambria"/>
          <w:sz w:val="24"/>
          <w:szCs w:val="24"/>
        </w:rPr>
        <w:t xml:space="preserve">massive </w:t>
      </w:r>
      <w:r w:rsidR="00B97936">
        <w:rPr>
          <w:rFonts w:cs="Cambria"/>
          <w:sz w:val="24"/>
          <w:szCs w:val="24"/>
        </w:rPr>
        <w:t xml:space="preserve">ongoing </w:t>
      </w:r>
      <w:r w:rsidRPr="00503A40">
        <w:rPr>
          <w:rFonts w:cs="Cambria"/>
          <w:sz w:val="24"/>
          <w:szCs w:val="24"/>
        </w:rPr>
        <w:t>investment spending in the region (</w:t>
      </w:r>
      <w:r w:rsidR="00B97936">
        <w:rPr>
          <w:rFonts w:cs="Cambria"/>
          <w:sz w:val="24"/>
          <w:szCs w:val="24"/>
        </w:rPr>
        <w:t xml:space="preserve">especially by </w:t>
      </w:r>
      <w:r w:rsidRPr="00503A40">
        <w:rPr>
          <w:rFonts w:cs="Cambria"/>
          <w:sz w:val="24"/>
          <w:szCs w:val="24"/>
        </w:rPr>
        <w:t xml:space="preserve">German </w:t>
      </w:r>
      <w:r w:rsidR="00B97936">
        <w:rPr>
          <w:rFonts w:cs="Cambria"/>
          <w:sz w:val="24"/>
          <w:szCs w:val="24"/>
        </w:rPr>
        <w:t>auto</w:t>
      </w:r>
      <w:r w:rsidRPr="00503A40">
        <w:rPr>
          <w:rFonts w:cs="Cambria"/>
          <w:sz w:val="24"/>
          <w:szCs w:val="24"/>
        </w:rPr>
        <w:t xml:space="preserve"> manufactures</w:t>
      </w:r>
      <w:r w:rsidR="00B97936">
        <w:rPr>
          <w:rFonts w:cs="Cambria"/>
          <w:sz w:val="24"/>
          <w:szCs w:val="24"/>
        </w:rPr>
        <w:t>)</w:t>
      </w:r>
      <w:r w:rsidR="00625330">
        <w:rPr>
          <w:rFonts w:cs="Cambria"/>
          <w:sz w:val="24"/>
          <w:szCs w:val="24"/>
        </w:rPr>
        <w:t xml:space="preserve"> (Timms et al 2014). Third, the CEE crisis states’</w:t>
      </w:r>
      <w:r w:rsidR="00DE5511">
        <w:rPr>
          <w:rFonts w:cs="Cambria"/>
          <w:sz w:val="24"/>
          <w:szCs w:val="24"/>
        </w:rPr>
        <w:t xml:space="preserve"> </w:t>
      </w:r>
      <w:r w:rsidRPr="00503A40">
        <w:rPr>
          <w:rFonts w:cs="Cambria"/>
          <w:sz w:val="24"/>
          <w:szCs w:val="24"/>
        </w:rPr>
        <w:t xml:space="preserve">non-membership </w:t>
      </w:r>
      <w:r w:rsidR="00625330">
        <w:rPr>
          <w:rFonts w:cs="Cambria"/>
          <w:sz w:val="24"/>
          <w:szCs w:val="24"/>
        </w:rPr>
        <w:t xml:space="preserve">in EMU </w:t>
      </w:r>
      <w:r w:rsidRPr="00503A40">
        <w:rPr>
          <w:rFonts w:cs="Cambria"/>
          <w:sz w:val="24"/>
          <w:szCs w:val="24"/>
        </w:rPr>
        <w:t xml:space="preserve">meant they could devalue </w:t>
      </w:r>
      <w:r w:rsidR="00625330">
        <w:rPr>
          <w:rFonts w:cs="Cambria"/>
          <w:sz w:val="24"/>
          <w:szCs w:val="24"/>
        </w:rPr>
        <w:t xml:space="preserve">their currencies. And while Latvia chose not to devalue, the Hungarian forint dropped substantially. Fourth, with the partial exception of Latvia, </w:t>
      </w:r>
      <w:r w:rsidRPr="00503A40">
        <w:rPr>
          <w:rFonts w:cs="Cambria"/>
          <w:sz w:val="24"/>
          <w:szCs w:val="24"/>
        </w:rPr>
        <w:t>the banking</w:t>
      </w:r>
      <w:r w:rsidR="00625330">
        <w:rPr>
          <w:rFonts w:cs="Cambria"/>
          <w:sz w:val="24"/>
          <w:szCs w:val="24"/>
        </w:rPr>
        <w:t xml:space="preserve"> </w:t>
      </w:r>
      <w:r w:rsidRPr="00503A40">
        <w:rPr>
          <w:rFonts w:cs="Cambria"/>
          <w:sz w:val="24"/>
          <w:szCs w:val="24"/>
        </w:rPr>
        <w:t>bailout bills were paid mostly by outsiders (</w:t>
      </w:r>
      <w:r w:rsidR="00625330">
        <w:rPr>
          <w:rFonts w:cs="Cambria"/>
          <w:sz w:val="24"/>
          <w:szCs w:val="24"/>
        </w:rPr>
        <w:t xml:space="preserve">e.g., Nordic, Austrian, and </w:t>
      </w:r>
      <w:r w:rsidR="00625330">
        <w:rPr>
          <w:rFonts w:cs="Cambria"/>
          <w:sz w:val="24"/>
          <w:szCs w:val="24"/>
        </w:rPr>
        <w:lastRenderedPageBreak/>
        <w:t>Italian</w:t>
      </w:r>
      <w:r w:rsidRPr="00503A40">
        <w:rPr>
          <w:rFonts w:cs="Cambria"/>
          <w:sz w:val="24"/>
          <w:szCs w:val="24"/>
        </w:rPr>
        <w:t xml:space="preserve"> banks)</w:t>
      </w:r>
      <w:r w:rsidR="00625330">
        <w:rPr>
          <w:rFonts w:cs="Cambria"/>
          <w:sz w:val="24"/>
          <w:szCs w:val="24"/>
        </w:rPr>
        <w:t>. Finally, Latvia and Romania</w:t>
      </w:r>
      <w:r w:rsidRPr="00503A40">
        <w:rPr>
          <w:rFonts w:cs="Cambria"/>
          <w:sz w:val="24"/>
          <w:szCs w:val="24"/>
        </w:rPr>
        <w:t xml:space="preserve"> made </w:t>
      </w:r>
      <w:r w:rsidR="00625330">
        <w:rPr>
          <w:rFonts w:cs="Cambria"/>
          <w:sz w:val="24"/>
          <w:szCs w:val="24"/>
        </w:rPr>
        <w:t xml:space="preserve">substantial </w:t>
      </w:r>
      <w:r w:rsidRPr="00503A40">
        <w:rPr>
          <w:rFonts w:cs="Cambria"/>
          <w:sz w:val="24"/>
          <w:szCs w:val="24"/>
        </w:rPr>
        <w:t xml:space="preserve">use of outmigration to help adjust. </w:t>
      </w:r>
      <w:r w:rsidR="007C4EDA">
        <w:rPr>
          <w:rFonts w:cs="Cambria"/>
          <w:sz w:val="24"/>
          <w:szCs w:val="24"/>
        </w:rPr>
        <w:t>As the following sections show, t</w:t>
      </w:r>
      <w:r w:rsidRPr="00503A40">
        <w:rPr>
          <w:rFonts w:cs="Cambria"/>
          <w:sz w:val="24"/>
          <w:szCs w:val="24"/>
        </w:rPr>
        <w:t>he</w:t>
      </w:r>
      <w:r w:rsidR="007C4EDA">
        <w:rPr>
          <w:rFonts w:cs="Cambria"/>
          <w:sz w:val="24"/>
          <w:szCs w:val="24"/>
        </w:rPr>
        <w:t xml:space="preserve"> </w:t>
      </w:r>
      <w:r w:rsidRPr="00503A40">
        <w:rPr>
          <w:rFonts w:cs="Cambria"/>
          <w:sz w:val="24"/>
          <w:szCs w:val="24"/>
        </w:rPr>
        <w:t>Sout</w:t>
      </w:r>
      <w:r>
        <w:rPr>
          <w:rFonts w:cs="Cambria"/>
          <w:sz w:val="24"/>
          <w:szCs w:val="24"/>
        </w:rPr>
        <w:t>hern cases are different on eve</w:t>
      </w:r>
      <w:r w:rsidRPr="00503A40">
        <w:rPr>
          <w:rFonts w:cs="Cambria"/>
          <w:sz w:val="24"/>
          <w:szCs w:val="24"/>
        </w:rPr>
        <w:t>ry d</w:t>
      </w:r>
      <w:r w:rsidR="00962944">
        <w:rPr>
          <w:rFonts w:cs="Cambria"/>
          <w:sz w:val="24"/>
          <w:szCs w:val="24"/>
        </w:rPr>
        <w:t>i</w:t>
      </w:r>
      <w:r w:rsidRPr="00503A40">
        <w:rPr>
          <w:rFonts w:cs="Cambria"/>
          <w:sz w:val="24"/>
          <w:szCs w:val="24"/>
        </w:rPr>
        <w:t>mension, with much worse outcomes</w:t>
      </w:r>
      <w:r w:rsidR="007C4EDA">
        <w:rPr>
          <w:rFonts w:cs="Cambria"/>
          <w:sz w:val="24"/>
          <w:szCs w:val="24"/>
        </w:rPr>
        <w:t xml:space="preserve"> and deeper implications for the European project</w:t>
      </w:r>
      <w:r w:rsidR="00625330">
        <w:rPr>
          <w:rFonts w:cs="Cambria"/>
          <w:sz w:val="24"/>
          <w:szCs w:val="24"/>
        </w:rPr>
        <w:t>.</w:t>
      </w:r>
    </w:p>
    <w:p w14:paraId="258935FE" w14:textId="77777777" w:rsidR="005F0D5E" w:rsidRDefault="005F0D5E" w:rsidP="00677131">
      <w:pPr>
        <w:widowControl w:val="0"/>
        <w:autoSpaceDE w:val="0"/>
        <w:autoSpaceDN w:val="0"/>
        <w:adjustRightInd w:val="0"/>
        <w:spacing w:line="480" w:lineRule="auto"/>
        <w:rPr>
          <w:rFonts w:cs="Cambria"/>
          <w:b/>
          <w:sz w:val="24"/>
          <w:szCs w:val="24"/>
        </w:rPr>
      </w:pPr>
    </w:p>
    <w:p w14:paraId="77DD5330" w14:textId="6B00F4D6" w:rsidR="009B4972" w:rsidRPr="000F0337" w:rsidRDefault="007B6287" w:rsidP="00236EC3">
      <w:pPr>
        <w:widowControl w:val="0"/>
        <w:autoSpaceDE w:val="0"/>
        <w:autoSpaceDN w:val="0"/>
        <w:adjustRightInd w:val="0"/>
        <w:spacing w:line="480" w:lineRule="auto"/>
        <w:outlineLvl w:val="0"/>
        <w:rPr>
          <w:rFonts w:cs="Cambria"/>
          <w:b/>
          <w:sz w:val="24"/>
          <w:szCs w:val="24"/>
        </w:rPr>
      </w:pPr>
      <w:r w:rsidRPr="000F0337">
        <w:rPr>
          <w:rFonts w:cs="Cambria"/>
          <w:b/>
          <w:sz w:val="24"/>
          <w:szCs w:val="24"/>
        </w:rPr>
        <w:t xml:space="preserve">Conditionality and </w:t>
      </w:r>
      <w:r w:rsidR="00AB66FC">
        <w:rPr>
          <w:rFonts w:cs="Cambria"/>
          <w:b/>
          <w:sz w:val="24"/>
          <w:szCs w:val="24"/>
        </w:rPr>
        <w:t>Monetary Union</w:t>
      </w:r>
      <w:r w:rsidRPr="000F0337">
        <w:rPr>
          <w:rFonts w:cs="Cambria"/>
          <w:b/>
          <w:sz w:val="24"/>
          <w:szCs w:val="24"/>
        </w:rPr>
        <w:t xml:space="preserve">: </w:t>
      </w:r>
      <w:r w:rsidR="00F91885">
        <w:rPr>
          <w:rFonts w:cs="Cambria"/>
          <w:b/>
          <w:sz w:val="24"/>
          <w:szCs w:val="24"/>
        </w:rPr>
        <w:t>The</w:t>
      </w:r>
      <w:r w:rsidR="00AB66FC">
        <w:rPr>
          <w:rFonts w:cs="Cambria"/>
          <w:b/>
          <w:sz w:val="24"/>
          <w:szCs w:val="24"/>
        </w:rPr>
        <w:t xml:space="preserve"> Maastricht </w:t>
      </w:r>
      <w:r w:rsidR="00F91885">
        <w:rPr>
          <w:rFonts w:cs="Cambria"/>
          <w:b/>
          <w:sz w:val="24"/>
          <w:szCs w:val="24"/>
        </w:rPr>
        <w:t>Blueprint</w:t>
      </w:r>
    </w:p>
    <w:p w14:paraId="3BB08488" w14:textId="4CCBCD11" w:rsidR="008F346F" w:rsidRDefault="00AB66FC" w:rsidP="006D54AD">
      <w:pPr>
        <w:widowControl w:val="0"/>
        <w:autoSpaceDE w:val="0"/>
        <w:autoSpaceDN w:val="0"/>
        <w:adjustRightInd w:val="0"/>
        <w:spacing w:line="480" w:lineRule="auto"/>
        <w:rPr>
          <w:rFonts w:cs="Cambria"/>
          <w:sz w:val="24"/>
          <w:szCs w:val="24"/>
        </w:rPr>
      </w:pPr>
      <w:r>
        <w:rPr>
          <w:rFonts w:cs="Cambria"/>
          <w:sz w:val="24"/>
          <w:szCs w:val="24"/>
        </w:rPr>
        <w:t xml:space="preserve">Although all the countries subject to conditionality under the various financial assistance arrangements were already EU member states, participation in European Monetary Union had itself been conditional on </w:t>
      </w:r>
      <w:r w:rsidR="00926221">
        <w:rPr>
          <w:rFonts w:cs="Cambria"/>
          <w:sz w:val="24"/>
          <w:szCs w:val="24"/>
        </w:rPr>
        <w:t xml:space="preserve">success in meeting a series of </w:t>
      </w:r>
      <w:r w:rsidR="00622EB5">
        <w:rPr>
          <w:rFonts w:cs="Cambria"/>
          <w:sz w:val="24"/>
          <w:szCs w:val="24"/>
        </w:rPr>
        <w:t>“</w:t>
      </w:r>
      <w:r w:rsidR="00926221">
        <w:rPr>
          <w:rFonts w:cs="Cambria"/>
          <w:sz w:val="24"/>
          <w:szCs w:val="24"/>
        </w:rPr>
        <w:t>convergence criteria</w:t>
      </w:r>
      <w:r w:rsidR="00622EB5">
        <w:rPr>
          <w:rFonts w:cs="Cambria"/>
          <w:sz w:val="24"/>
          <w:szCs w:val="24"/>
        </w:rPr>
        <w:t>”</w:t>
      </w:r>
      <w:r w:rsidR="00926221">
        <w:rPr>
          <w:rFonts w:cs="Cambria"/>
          <w:sz w:val="24"/>
          <w:szCs w:val="24"/>
        </w:rPr>
        <w:t xml:space="preserve"> established by the Maastricht Treaty</w:t>
      </w:r>
      <w:r w:rsidR="007C4EDA">
        <w:rPr>
          <w:rFonts w:cs="Cambria"/>
          <w:sz w:val="24"/>
          <w:szCs w:val="24"/>
        </w:rPr>
        <w:t xml:space="preserve"> (</w:t>
      </w:r>
      <w:r w:rsidR="008A38AE">
        <w:rPr>
          <w:rFonts w:cs="Cambria"/>
          <w:sz w:val="24"/>
          <w:szCs w:val="24"/>
        </w:rPr>
        <w:t xml:space="preserve">Dyson and </w:t>
      </w:r>
      <w:r w:rsidR="007C4EDA">
        <w:rPr>
          <w:rFonts w:cs="Cambria"/>
          <w:sz w:val="24"/>
          <w:szCs w:val="24"/>
        </w:rPr>
        <w:t>Featherstone 1999)</w:t>
      </w:r>
      <w:r w:rsidR="00926221">
        <w:rPr>
          <w:rFonts w:cs="Cambria"/>
          <w:sz w:val="24"/>
          <w:szCs w:val="24"/>
        </w:rPr>
        <w:t xml:space="preserve">. </w:t>
      </w:r>
      <w:r w:rsidR="00BB603E">
        <w:rPr>
          <w:rFonts w:cs="Cambria"/>
          <w:sz w:val="24"/>
          <w:szCs w:val="24"/>
        </w:rPr>
        <w:t xml:space="preserve">This previous experience of conditionality had two salient features which may have influenced subsequent choices. First, the success of some of the economically weaker member states in achieving the quite demanding requirements of monetary union established a very positive precedent which policy-makers could draw on. </w:t>
      </w:r>
      <w:r w:rsidR="00DE5927">
        <w:rPr>
          <w:rFonts w:cs="Cambria"/>
          <w:sz w:val="24"/>
          <w:szCs w:val="24"/>
        </w:rPr>
        <w:t>T</w:t>
      </w:r>
      <w:r w:rsidR="00BB603E">
        <w:rPr>
          <w:rFonts w:cs="Cambria"/>
          <w:sz w:val="24"/>
          <w:szCs w:val="24"/>
        </w:rPr>
        <w:t>he apparent success of national policy-makers in persuading voters to accept politically challenging reforms and stringent fiscal and monetary policies were celebrated as an example of how external pressures could force governments to adopt the right policies, overcoming domestic opposition (Dyson and Featherstone 1996, Ferrera and Gualmini 20</w:t>
      </w:r>
      <w:r w:rsidR="00236EC3">
        <w:rPr>
          <w:rFonts w:cs="Cambria"/>
          <w:sz w:val="24"/>
          <w:szCs w:val="24"/>
        </w:rPr>
        <w:t>10</w:t>
      </w:r>
      <w:r w:rsidR="00BB603E">
        <w:rPr>
          <w:rFonts w:cs="Cambria"/>
          <w:sz w:val="24"/>
          <w:szCs w:val="24"/>
        </w:rPr>
        <w:t xml:space="preserve">). </w:t>
      </w:r>
    </w:p>
    <w:p w14:paraId="1BCF71BE" w14:textId="2060F0B4" w:rsidR="008F346F" w:rsidRDefault="00BB603E" w:rsidP="008A38AE">
      <w:pPr>
        <w:widowControl w:val="0"/>
        <w:autoSpaceDE w:val="0"/>
        <w:autoSpaceDN w:val="0"/>
        <w:adjustRightInd w:val="0"/>
        <w:spacing w:line="480" w:lineRule="auto"/>
        <w:ind w:firstLine="720"/>
        <w:rPr>
          <w:rFonts w:cs="Cambria"/>
          <w:sz w:val="24"/>
          <w:szCs w:val="24"/>
        </w:rPr>
      </w:pPr>
      <w:r>
        <w:rPr>
          <w:rFonts w:cs="Cambria"/>
          <w:sz w:val="24"/>
          <w:szCs w:val="24"/>
        </w:rPr>
        <w:t xml:space="preserve">A second, less positive feature was the evidence, </w:t>
      </w:r>
      <w:r w:rsidR="002A60E9">
        <w:rPr>
          <w:rFonts w:cs="Cambria"/>
          <w:sz w:val="24"/>
          <w:szCs w:val="24"/>
        </w:rPr>
        <w:t xml:space="preserve">already </w:t>
      </w:r>
      <w:r>
        <w:rPr>
          <w:rFonts w:cs="Cambria"/>
          <w:sz w:val="24"/>
          <w:szCs w:val="24"/>
        </w:rPr>
        <w:t xml:space="preserve">visible at the time but </w:t>
      </w:r>
      <w:r w:rsidR="002A60E9">
        <w:rPr>
          <w:rFonts w:cs="Cambria"/>
          <w:sz w:val="24"/>
          <w:szCs w:val="24"/>
        </w:rPr>
        <w:t>even</w:t>
      </w:r>
      <w:r>
        <w:rPr>
          <w:rFonts w:cs="Cambria"/>
          <w:sz w:val="24"/>
          <w:szCs w:val="24"/>
        </w:rPr>
        <w:t xml:space="preserve"> clearer in retrospect, of </w:t>
      </w:r>
      <w:r w:rsidR="008A38AE">
        <w:rPr>
          <w:rFonts w:cs="Cambria"/>
          <w:sz w:val="24"/>
          <w:szCs w:val="24"/>
        </w:rPr>
        <w:t>“</w:t>
      </w:r>
      <w:r>
        <w:rPr>
          <w:rFonts w:cs="Cambria"/>
          <w:sz w:val="24"/>
          <w:szCs w:val="24"/>
        </w:rPr>
        <w:t>gaming</w:t>
      </w:r>
      <w:r w:rsidR="008A38AE">
        <w:rPr>
          <w:rFonts w:cs="Cambria"/>
          <w:sz w:val="24"/>
          <w:szCs w:val="24"/>
        </w:rPr>
        <w:t>”</w:t>
      </w:r>
      <w:r>
        <w:rPr>
          <w:rFonts w:cs="Cambria"/>
          <w:sz w:val="24"/>
          <w:szCs w:val="24"/>
        </w:rPr>
        <w:t xml:space="preserve"> the process so as to meet the criteria with the minimum of real change. </w:t>
      </w:r>
      <w:r w:rsidR="002A60E9">
        <w:rPr>
          <w:rFonts w:cs="Cambria"/>
          <w:sz w:val="24"/>
          <w:szCs w:val="24"/>
        </w:rPr>
        <w:t xml:space="preserve">In this the Southern countries were assisted by </w:t>
      </w:r>
      <w:r w:rsidR="002A60E9">
        <w:rPr>
          <w:rFonts w:cs="Cambria"/>
          <w:sz w:val="24"/>
          <w:szCs w:val="24"/>
        </w:rPr>
        <w:lastRenderedPageBreak/>
        <w:t>the difficulty Germany and France themselves faced in complying, which encouraged a more lax interpretation of the criteria in order to allow the process to go ahead (de Grauwe 20</w:t>
      </w:r>
      <w:r w:rsidR="00C77A33">
        <w:rPr>
          <w:rFonts w:cs="Cambria"/>
          <w:sz w:val="24"/>
          <w:szCs w:val="24"/>
        </w:rPr>
        <w:t>10</w:t>
      </w:r>
      <w:r w:rsidR="002A60E9">
        <w:rPr>
          <w:rFonts w:cs="Cambria"/>
          <w:sz w:val="24"/>
          <w:szCs w:val="24"/>
        </w:rPr>
        <w:t>). It subsequently became apparent that accounting tricks of various kinds had also been deployed in order to reduce borrowing figures artificially, most notably by Greece, whose resort to fiscal sleights of hand became apparent once the financial crisis began</w:t>
      </w:r>
      <w:r w:rsidR="008F346F">
        <w:rPr>
          <w:rFonts w:cs="Cambria"/>
          <w:sz w:val="24"/>
          <w:szCs w:val="24"/>
        </w:rPr>
        <w:t xml:space="preserve"> </w:t>
      </w:r>
      <w:r w:rsidR="00E12178">
        <w:rPr>
          <w:rFonts w:cs="Cambria"/>
          <w:sz w:val="24"/>
          <w:szCs w:val="24"/>
        </w:rPr>
        <w:t>(European Commission 2010)</w:t>
      </w:r>
      <w:r w:rsidR="002A60E9">
        <w:rPr>
          <w:rFonts w:cs="Cambria"/>
          <w:sz w:val="24"/>
          <w:szCs w:val="24"/>
        </w:rPr>
        <w:t>.</w:t>
      </w:r>
      <w:r w:rsidR="00B02103">
        <w:rPr>
          <w:rFonts w:cs="Cambria"/>
          <w:sz w:val="24"/>
          <w:szCs w:val="24"/>
        </w:rPr>
        <w:t xml:space="preserve"> The resulting mistrust </w:t>
      </w:r>
      <w:r w:rsidR="00F91885">
        <w:rPr>
          <w:rFonts w:cs="Cambria"/>
          <w:sz w:val="24"/>
          <w:szCs w:val="24"/>
        </w:rPr>
        <w:t>strongly reinforced the case for close supervision and invasive monitoring of member state governments.</w:t>
      </w:r>
    </w:p>
    <w:p w14:paraId="1EF85DB3" w14:textId="1EC02F16" w:rsidR="00F91885" w:rsidRDefault="002A60E9" w:rsidP="008A38AE">
      <w:pPr>
        <w:widowControl w:val="0"/>
        <w:autoSpaceDE w:val="0"/>
        <w:autoSpaceDN w:val="0"/>
        <w:adjustRightInd w:val="0"/>
        <w:spacing w:line="480" w:lineRule="auto"/>
        <w:ind w:firstLine="720"/>
        <w:rPr>
          <w:rFonts w:cs="Cambria"/>
          <w:sz w:val="24"/>
          <w:szCs w:val="24"/>
        </w:rPr>
      </w:pPr>
      <w:r>
        <w:rPr>
          <w:rFonts w:cs="Cambria"/>
          <w:sz w:val="24"/>
          <w:szCs w:val="24"/>
        </w:rPr>
        <w:t xml:space="preserve">The convergence criteria </w:t>
      </w:r>
      <w:r w:rsidR="00A72EE7">
        <w:rPr>
          <w:rFonts w:cs="Cambria"/>
          <w:sz w:val="24"/>
          <w:szCs w:val="24"/>
        </w:rPr>
        <w:t>reveal</w:t>
      </w:r>
      <w:r w:rsidR="008A6D4E">
        <w:rPr>
          <w:rFonts w:cs="Cambria"/>
          <w:sz w:val="24"/>
          <w:szCs w:val="24"/>
        </w:rPr>
        <w:t>e</w:t>
      </w:r>
      <w:r w:rsidR="00A72EE7">
        <w:rPr>
          <w:rFonts w:cs="Cambria"/>
          <w:sz w:val="24"/>
          <w:szCs w:val="24"/>
        </w:rPr>
        <w:t>d</w:t>
      </w:r>
      <w:r>
        <w:rPr>
          <w:rFonts w:cs="Cambria"/>
          <w:sz w:val="24"/>
          <w:szCs w:val="24"/>
        </w:rPr>
        <w:t xml:space="preserve"> an enthusiasm for external supervision and disciplining which was particularly present in Germany and other Northern European core countries</w:t>
      </w:r>
      <w:r w:rsidR="008B6336">
        <w:rPr>
          <w:rFonts w:cs="Cambria"/>
          <w:sz w:val="24"/>
          <w:szCs w:val="24"/>
        </w:rPr>
        <w:t>. Political leaders and voters in these states</w:t>
      </w:r>
      <w:r>
        <w:rPr>
          <w:rFonts w:cs="Cambria"/>
          <w:sz w:val="24"/>
          <w:szCs w:val="24"/>
        </w:rPr>
        <w:t xml:space="preserve"> were sceptical of pooling monetary sovereignty with member states in the South with a history of high inflation, weak fiscal policy and debt default. The architecture of EMU was therefore designed to monitor the fiscal behaviour</w:t>
      </w:r>
      <w:r w:rsidR="00B8326A">
        <w:rPr>
          <w:rFonts w:cs="Cambria"/>
          <w:sz w:val="24"/>
          <w:szCs w:val="24"/>
        </w:rPr>
        <w:t xml:space="preserve"> of participating states, both as political cover to reassure Northern electorates that the euro would not expose them to excessive risks, and as a practical matter, to provide Northern governments with some degree of control over the new arrangements.</w:t>
      </w:r>
      <w:r w:rsidR="008A6D4E">
        <w:rPr>
          <w:rFonts w:cs="Cambria"/>
          <w:sz w:val="24"/>
          <w:szCs w:val="24"/>
        </w:rPr>
        <w:t xml:space="preserve"> </w:t>
      </w:r>
    </w:p>
    <w:p w14:paraId="1BE9281F" w14:textId="77777777" w:rsidR="005F0D5E" w:rsidRDefault="005F0D5E" w:rsidP="00D84779">
      <w:pPr>
        <w:widowControl w:val="0"/>
        <w:autoSpaceDE w:val="0"/>
        <w:autoSpaceDN w:val="0"/>
        <w:adjustRightInd w:val="0"/>
        <w:spacing w:line="480" w:lineRule="auto"/>
        <w:rPr>
          <w:rFonts w:cs="Cambria"/>
          <w:b/>
          <w:sz w:val="24"/>
          <w:szCs w:val="24"/>
        </w:rPr>
      </w:pPr>
    </w:p>
    <w:p w14:paraId="6A44BAD0" w14:textId="367E5C5E" w:rsidR="00F91885" w:rsidRPr="00606455" w:rsidRDefault="005F0D5E" w:rsidP="00236EC3">
      <w:pPr>
        <w:widowControl w:val="0"/>
        <w:autoSpaceDE w:val="0"/>
        <w:autoSpaceDN w:val="0"/>
        <w:adjustRightInd w:val="0"/>
        <w:spacing w:line="480" w:lineRule="auto"/>
        <w:outlineLvl w:val="0"/>
        <w:rPr>
          <w:rFonts w:cs="Cambria"/>
          <w:b/>
          <w:sz w:val="24"/>
          <w:szCs w:val="24"/>
        </w:rPr>
      </w:pPr>
      <w:r>
        <w:rPr>
          <w:rFonts w:cs="Cambria"/>
          <w:b/>
          <w:sz w:val="24"/>
          <w:szCs w:val="24"/>
        </w:rPr>
        <w:t>Getting Serious</w:t>
      </w:r>
      <w:r w:rsidR="00F91885">
        <w:rPr>
          <w:rFonts w:cs="Cambria"/>
          <w:b/>
          <w:sz w:val="24"/>
          <w:szCs w:val="24"/>
        </w:rPr>
        <w:t>: Greece and the Troika Takeover</w:t>
      </w:r>
    </w:p>
    <w:p w14:paraId="4BC98BAD" w14:textId="4DDB1C35" w:rsidR="009E640D" w:rsidRDefault="007B6287" w:rsidP="005821B5">
      <w:pPr>
        <w:widowControl w:val="0"/>
        <w:autoSpaceDE w:val="0"/>
        <w:autoSpaceDN w:val="0"/>
        <w:adjustRightInd w:val="0"/>
        <w:spacing w:line="480" w:lineRule="auto"/>
        <w:rPr>
          <w:rFonts w:cs="Times New Roman"/>
          <w:color w:val="000000"/>
          <w:sz w:val="24"/>
          <w:szCs w:val="24"/>
        </w:rPr>
      </w:pPr>
      <w:r w:rsidRPr="000F0337">
        <w:rPr>
          <w:rFonts w:cs="Cambria"/>
          <w:sz w:val="24"/>
          <w:szCs w:val="24"/>
        </w:rPr>
        <w:t>The sovereign debt crisis in the eurozone periphery</w:t>
      </w:r>
      <w:r w:rsidR="00834811">
        <w:rPr>
          <w:rFonts w:cs="Cambria"/>
          <w:sz w:val="24"/>
          <w:szCs w:val="24"/>
        </w:rPr>
        <w:t xml:space="preserve"> began with Greece</w:t>
      </w:r>
      <w:r w:rsidR="00193A66">
        <w:rPr>
          <w:rFonts w:cs="Cambria"/>
          <w:sz w:val="24"/>
          <w:szCs w:val="24"/>
        </w:rPr>
        <w:t xml:space="preserve">’s slide into insolvency in 2010. The </w:t>
      </w:r>
      <w:r w:rsidR="00885703">
        <w:rPr>
          <w:rFonts w:ascii="Cambria" w:hAnsi="Cambria" w:cs="Cambria"/>
          <w:sz w:val="24"/>
          <w:szCs w:val="24"/>
        </w:rPr>
        <w:t xml:space="preserve">€110 billion bailout agreed by the </w:t>
      </w:r>
      <w:r w:rsidR="00742F8F">
        <w:rPr>
          <w:rFonts w:ascii="Cambria" w:hAnsi="Cambria" w:cs="Cambria"/>
          <w:sz w:val="24"/>
          <w:szCs w:val="24"/>
        </w:rPr>
        <w:t xml:space="preserve">European Commission, the </w:t>
      </w:r>
      <w:r w:rsidR="007F53E5">
        <w:rPr>
          <w:rFonts w:ascii="Cambria" w:hAnsi="Cambria" w:cs="Cambria"/>
          <w:sz w:val="24"/>
          <w:szCs w:val="24"/>
        </w:rPr>
        <w:t>ECB</w:t>
      </w:r>
      <w:r w:rsidR="00885703">
        <w:rPr>
          <w:rFonts w:ascii="Cambria" w:hAnsi="Cambria" w:cs="Cambria"/>
          <w:sz w:val="24"/>
          <w:szCs w:val="24"/>
        </w:rPr>
        <w:t xml:space="preserve"> and the IMF </w:t>
      </w:r>
      <w:r w:rsidR="00742F8F">
        <w:rPr>
          <w:rFonts w:ascii="Cambria" w:hAnsi="Cambria" w:cs="Cambria"/>
          <w:sz w:val="24"/>
          <w:szCs w:val="24"/>
        </w:rPr>
        <w:t xml:space="preserve">(the </w:t>
      </w:r>
      <w:r w:rsidR="00622EB5">
        <w:rPr>
          <w:rFonts w:ascii="Cambria" w:hAnsi="Cambria" w:cs="Cambria"/>
          <w:sz w:val="24"/>
          <w:szCs w:val="24"/>
        </w:rPr>
        <w:t>“</w:t>
      </w:r>
      <w:r w:rsidR="00742F8F">
        <w:rPr>
          <w:rFonts w:ascii="Cambria" w:hAnsi="Cambria" w:cs="Cambria"/>
          <w:sz w:val="24"/>
          <w:szCs w:val="24"/>
        </w:rPr>
        <w:t>Troika</w:t>
      </w:r>
      <w:r w:rsidR="00622EB5">
        <w:rPr>
          <w:rFonts w:ascii="Cambria" w:hAnsi="Cambria" w:cs="Cambria"/>
          <w:sz w:val="24"/>
          <w:szCs w:val="24"/>
        </w:rPr>
        <w:t>”</w:t>
      </w:r>
      <w:r w:rsidR="00742F8F">
        <w:rPr>
          <w:rFonts w:ascii="Cambria" w:hAnsi="Cambria" w:cs="Cambria"/>
          <w:sz w:val="24"/>
          <w:szCs w:val="24"/>
        </w:rPr>
        <w:t xml:space="preserve">) </w:t>
      </w:r>
      <w:r w:rsidR="00885703">
        <w:rPr>
          <w:rFonts w:ascii="Cambria" w:hAnsi="Cambria" w:cs="Cambria"/>
          <w:sz w:val="24"/>
          <w:szCs w:val="24"/>
        </w:rPr>
        <w:t xml:space="preserve">was the first move in the European response to </w:t>
      </w:r>
      <w:r w:rsidR="00885703">
        <w:rPr>
          <w:rFonts w:ascii="Cambria" w:hAnsi="Cambria" w:cs="Cambria"/>
          <w:sz w:val="24"/>
          <w:szCs w:val="24"/>
        </w:rPr>
        <w:lastRenderedPageBreak/>
        <w:t xml:space="preserve">the run on periphery debt, and therefore had </w:t>
      </w:r>
      <w:r w:rsidR="00902090">
        <w:rPr>
          <w:rFonts w:ascii="Cambria" w:hAnsi="Cambria" w:cs="Cambria"/>
          <w:sz w:val="24"/>
          <w:szCs w:val="24"/>
        </w:rPr>
        <w:t>to overcome a good deal of political resistance.</w:t>
      </w:r>
      <w:r w:rsidR="00C57A39">
        <w:rPr>
          <w:rFonts w:ascii="Cambria" w:hAnsi="Cambria" w:cs="Cambria"/>
          <w:sz w:val="24"/>
          <w:szCs w:val="24"/>
        </w:rPr>
        <w:t xml:space="preserve"> European elites faced a difficult dilemma between avoiding contagion and creating moral hazard, and were constrained by rules established by the designers of the EMU that outlawed direct bailouts of indebted governments or debt monetarization</w:t>
      </w:r>
      <w:r w:rsidR="007A7587">
        <w:rPr>
          <w:rFonts w:ascii="Cambria" w:hAnsi="Cambria" w:cs="Cambria"/>
          <w:sz w:val="24"/>
          <w:szCs w:val="24"/>
        </w:rPr>
        <w:t>, rules enshrined in Article 125 of t</w:t>
      </w:r>
      <w:r w:rsidR="00F13CB0">
        <w:rPr>
          <w:rFonts w:ascii="Cambria" w:hAnsi="Cambria" w:cs="Cambria"/>
          <w:sz w:val="24"/>
          <w:szCs w:val="24"/>
        </w:rPr>
        <w:t>he Lisbon Treaty</w:t>
      </w:r>
      <w:r w:rsidR="00C57A39">
        <w:rPr>
          <w:rFonts w:ascii="Cambria" w:hAnsi="Cambria" w:cs="Cambria"/>
          <w:sz w:val="24"/>
          <w:szCs w:val="24"/>
        </w:rPr>
        <w:t xml:space="preserve">. </w:t>
      </w:r>
      <w:r w:rsidR="00AA6FC4">
        <w:rPr>
          <w:rFonts w:ascii="Cambria" w:hAnsi="Cambria" w:cs="Cambria"/>
          <w:sz w:val="24"/>
          <w:szCs w:val="24"/>
        </w:rPr>
        <w:t>T</w:t>
      </w:r>
      <w:r w:rsidR="00C57A39">
        <w:rPr>
          <w:rFonts w:ascii="Cambria" w:hAnsi="Cambria" w:cs="Cambria"/>
          <w:sz w:val="24"/>
          <w:szCs w:val="24"/>
        </w:rPr>
        <w:t>he response was to lend Greece the money</w:t>
      </w:r>
      <w:r w:rsidR="007A7587">
        <w:rPr>
          <w:rFonts w:ascii="Cambria" w:hAnsi="Cambria" w:cs="Cambria"/>
          <w:sz w:val="24"/>
          <w:szCs w:val="24"/>
        </w:rPr>
        <w:t>, but</w:t>
      </w:r>
      <w:r w:rsidR="00C57A39">
        <w:rPr>
          <w:rFonts w:ascii="Cambria" w:hAnsi="Cambria" w:cs="Cambria"/>
          <w:sz w:val="24"/>
          <w:szCs w:val="24"/>
        </w:rPr>
        <w:t xml:space="preserve"> on condition that it both implemented austerity measures to reduce its deficits, and introduced structural reforms to address some of the country’s most glaring weaknesses. By imposing harsh conditions on Greece, the potential moral hazard would be attenuated, and the more unpleasant the conditions, the more it would send a clear signal that bailouts would not be an easy option for profligate eurozone governments.</w:t>
      </w:r>
    </w:p>
    <w:p w14:paraId="3D0810E4" w14:textId="6389E851" w:rsidR="003D0D61" w:rsidRDefault="009B4972" w:rsidP="00606455">
      <w:pPr>
        <w:spacing w:after="0" w:line="480" w:lineRule="auto"/>
        <w:ind w:firstLine="720"/>
        <w:rPr>
          <w:rFonts w:cs="Times New Roman"/>
          <w:color w:val="000000"/>
          <w:sz w:val="24"/>
          <w:szCs w:val="24"/>
        </w:rPr>
      </w:pPr>
      <w:r w:rsidRPr="00573273">
        <w:rPr>
          <w:rFonts w:cs="Times New Roman"/>
          <w:color w:val="000000"/>
          <w:sz w:val="24"/>
          <w:szCs w:val="24"/>
        </w:rPr>
        <w:t xml:space="preserve">The 2010 conditionality measures in Greece included structural adjustments on </w:t>
      </w:r>
      <w:r w:rsidR="00742F8F">
        <w:rPr>
          <w:rFonts w:cs="Times New Roman"/>
          <w:color w:val="000000"/>
          <w:sz w:val="24"/>
          <w:szCs w:val="24"/>
        </w:rPr>
        <w:t>f</w:t>
      </w:r>
      <w:r w:rsidRPr="00573273">
        <w:rPr>
          <w:rFonts w:cs="Times New Roman"/>
          <w:color w:val="000000"/>
          <w:sz w:val="24"/>
          <w:szCs w:val="24"/>
        </w:rPr>
        <w:t xml:space="preserve">iscal </w:t>
      </w:r>
      <w:r w:rsidR="00742F8F">
        <w:rPr>
          <w:rFonts w:cs="Times New Roman"/>
          <w:color w:val="000000"/>
          <w:sz w:val="24"/>
          <w:szCs w:val="24"/>
        </w:rPr>
        <w:t>p</w:t>
      </w:r>
      <w:r w:rsidRPr="00573273">
        <w:rPr>
          <w:rFonts w:cs="Times New Roman"/>
          <w:color w:val="000000"/>
          <w:sz w:val="24"/>
          <w:szCs w:val="24"/>
        </w:rPr>
        <w:t xml:space="preserve">olicies, including the task to reduce </w:t>
      </w:r>
      <w:r w:rsidR="00F3735A">
        <w:rPr>
          <w:rFonts w:cs="Times New Roman"/>
          <w:color w:val="000000"/>
          <w:sz w:val="24"/>
          <w:szCs w:val="24"/>
        </w:rPr>
        <w:t xml:space="preserve">the </w:t>
      </w:r>
      <w:r w:rsidRPr="00573273">
        <w:rPr>
          <w:rFonts w:cs="Times New Roman"/>
          <w:color w:val="000000"/>
          <w:sz w:val="24"/>
          <w:szCs w:val="24"/>
        </w:rPr>
        <w:t>general deficit by 11 perfect of GDP over three years to 3 percent by 2014</w:t>
      </w:r>
      <w:r>
        <w:rPr>
          <w:rFonts w:cs="Times New Roman"/>
          <w:color w:val="000000"/>
          <w:sz w:val="24"/>
          <w:szCs w:val="24"/>
        </w:rPr>
        <w:t xml:space="preserve"> </w:t>
      </w:r>
      <w:r w:rsidRPr="00573273">
        <w:rPr>
          <w:rFonts w:cs="Times New Roman"/>
          <w:color w:val="000000"/>
          <w:sz w:val="24"/>
          <w:szCs w:val="24"/>
        </w:rPr>
        <w:t>(Hennin</w:t>
      </w:r>
      <w:r>
        <w:rPr>
          <w:rFonts w:cs="Times New Roman"/>
          <w:color w:val="000000"/>
          <w:sz w:val="24"/>
          <w:szCs w:val="24"/>
        </w:rPr>
        <w:t>g 2011 and Henning 201</w:t>
      </w:r>
      <w:r w:rsidR="00E938F5">
        <w:rPr>
          <w:rFonts w:cs="Times New Roman"/>
          <w:color w:val="000000"/>
          <w:sz w:val="24"/>
          <w:szCs w:val="24"/>
        </w:rPr>
        <w:t>7</w:t>
      </w:r>
      <w:r w:rsidRPr="00573273">
        <w:rPr>
          <w:rFonts w:cs="Times New Roman"/>
          <w:color w:val="000000"/>
          <w:sz w:val="24"/>
          <w:szCs w:val="24"/>
        </w:rPr>
        <w:t xml:space="preserve">, </w:t>
      </w:r>
      <w:r w:rsidR="00460B56">
        <w:rPr>
          <w:rFonts w:cs="Times New Roman"/>
          <w:color w:val="000000"/>
          <w:sz w:val="24"/>
          <w:szCs w:val="24"/>
        </w:rPr>
        <w:t xml:space="preserve">85, 261 </w:t>
      </w:r>
      <w:r w:rsidRPr="00573273">
        <w:rPr>
          <w:rFonts w:cs="Times New Roman"/>
          <w:color w:val="000000"/>
          <w:sz w:val="24"/>
          <w:szCs w:val="24"/>
        </w:rPr>
        <w:t>Annex 1). This was done through the reduction of the 13th and 14th holiday payments for civil servants and cutting bonuses by a further 8 percent to save 1.1 billion euros in 2010</w:t>
      </w:r>
      <w:r w:rsidR="003F49FC">
        <w:rPr>
          <w:rFonts w:cs="Times New Roman"/>
          <w:color w:val="000000"/>
          <w:sz w:val="24"/>
          <w:szCs w:val="24"/>
        </w:rPr>
        <w:t xml:space="preserve"> (Petrakis and Weeks 2010)</w:t>
      </w:r>
      <w:r>
        <w:rPr>
          <w:rFonts w:cs="Times New Roman"/>
          <w:color w:val="000000"/>
          <w:sz w:val="24"/>
          <w:szCs w:val="24"/>
        </w:rPr>
        <w:t>.</w:t>
      </w:r>
      <w:r w:rsidRPr="00573273">
        <w:rPr>
          <w:rFonts w:cs="Times New Roman"/>
          <w:color w:val="000000"/>
          <w:sz w:val="24"/>
          <w:szCs w:val="24"/>
        </w:rPr>
        <w:t xml:space="preserve"> These measures also included cutting public investment plan by 500 million</w:t>
      </w:r>
      <w:r w:rsidR="00885703">
        <w:rPr>
          <w:rFonts w:cs="Times New Roman"/>
          <w:color w:val="000000"/>
          <w:sz w:val="24"/>
          <w:szCs w:val="24"/>
        </w:rPr>
        <w:t xml:space="preserve"> </w:t>
      </w:r>
      <w:r w:rsidRPr="00573273">
        <w:rPr>
          <w:rFonts w:cs="Times New Roman"/>
          <w:color w:val="000000"/>
          <w:sz w:val="24"/>
          <w:szCs w:val="24"/>
        </w:rPr>
        <w:t xml:space="preserve">euros. To raise revenue, there was an increase in the two main sales-tax rates to 23 percent </w:t>
      </w:r>
      <w:r w:rsidR="003F49FC">
        <w:rPr>
          <w:rFonts w:cs="Times New Roman"/>
          <w:color w:val="000000"/>
          <w:sz w:val="24"/>
          <w:szCs w:val="24"/>
        </w:rPr>
        <w:t>(</w:t>
      </w:r>
      <w:r w:rsidRPr="00573273">
        <w:rPr>
          <w:rFonts w:cs="Times New Roman"/>
          <w:color w:val="000000"/>
          <w:sz w:val="24"/>
          <w:szCs w:val="24"/>
        </w:rPr>
        <w:t>from 21 percent</w:t>
      </w:r>
      <w:r w:rsidR="003F49FC">
        <w:rPr>
          <w:rFonts w:cs="Times New Roman"/>
          <w:color w:val="000000"/>
          <w:sz w:val="24"/>
          <w:szCs w:val="24"/>
        </w:rPr>
        <w:t>)</w:t>
      </w:r>
      <w:r w:rsidRPr="00573273">
        <w:rPr>
          <w:rFonts w:cs="Times New Roman"/>
          <w:color w:val="000000"/>
          <w:sz w:val="24"/>
          <w:szCs w:val="24"/>
        </w:rPr>
        <w:t xml:space="preserve"> and to 11 percent from 10 percent (Petrakis</w:t>
      </w:r>
      <w:r w:rsidR="003F49FC">
        <w:rPr>
          <w:rFonts w:cs="Times New Roman"/>
          <w:color w:val="000000"/>
          <w:sz w:val="24"/>
          <w:szCs w:val="24"/>
        </w:rPr>
        <w:t xml:space="preserve"> and Weeks 2010</w:t>
      </w:r>
      <w:r w:rsidRPr="00573273">
        <w:rPr>
          <w:rFonts w:cs="Times New Roman"/>
          <w:color w:val="000000"/>
          <w:sz w:val="24"/>
          <w:szCs w:val="24"/>
        </w:rPr>
        <w:t>). Revenues also included an increase of 4</w:t>
      </w:r>
      <w:r w:rsidR="00622EB5">
        <w:rPr>
          <w:rFonts w:cs="Times New Roman"/>
          <w:color w:val="000000"/>
          <w:sz w:val="24"/>
          <w:szCs w:val="24"/>
        </w:rPr>
        <w:t xml:space="preserve"> percent</w:t>
      </w:r>
      <w:r w:rsidRPr="00573273">
        <w:rPr>
          <w:rFonts w:cs="Times New Roman"/>
          <w:color w:val="000000"/>
          <w:sz w:val="24"/>
          <w:szCs w:val="24"/>
        </w:rPr>
        <w:t xml:space="preserve"> GDP through 2013 by raising taxes on luxury items, tobacco, and alcohol among other items (He</w:t>
      </w:r>
      <w:r>
        <w:rPr>
          <w:rFonts w:cs="Times New Roman"/>
          <w:color w:val="000000"/>
          <w:sz w:val="24"/>
          <w:szCs w:val="24"/>
        </w:rPr>
        <w:t>nn</w:t>
      </w:r>
      <w:r w:rsidRPr="00573273">
        <w:rPr>
          <w:rFonts w:cs="Times New Roman"/>
          <w:color w:val="000000"/>
          <w:sz w:val="24"/>
          <w:szCs w:val="24"/>
        </w:rPr>
        <w:t>ing</w:t>
      </w:r>
      <w:r w:rsidR="00072A6C">
        <w:rPr>
          <w:rFonts w:cs="Times New Roman"/>
          <w:color w:val="000000"/>
          <w:sz w:val="24"/>
          <w:szCs w:val="24"/>
        </w:rPr>
        <w:t xml:space="preserve"> </w:t>
      </w:r>
      <w:r w:rsidR="009F0987">
        <w:rPr>
          <w:rFonts w:cs="Times New Roman"/>
          <w:color w:val="000000"/>
          <w:sz w:val="24"/>
          <w:szCs w:val="24"/>
        </w:rPr>
        <w:t>2011, 37</w:t>
      </w:r>
      <w:r w:rsidRPr="00573273">
        <w:rPr>
          <w:rFonts w:cs="Times New Roman"/>
          <w:color w:val="000000"/>
          <w:sz w:val="24"/>
          <w:szCs w:val="24"/>
        </w:rPr>
        <w:t xml:space="preserve">). </w:t>
      </w:r>
      <w:r w:rsidR="00742F8F">
        <w:rPr>
          <w:rFonts w:cs="Times New Roman"/>
          <w:color w:val="000000"/>
          <w:sz w:val="24"/>
          <w:szCs w:val="24"/>
        </w:rPr>
        <w:t>In other words, the Troika</w:t>
      </w:r>
      <w:r w:rsidR="007A7587">
        <w:rPr>
          <w:rFonts w:cs="Times New Roman"/>
          <w:color w:val="000000"/>
          <w:sz w:val="24"/>
          <w:szCs w:val="24"/>
        </w:rPr>
        <w:t xml:space="preserve"> was dictating, in extremely detailed fashion, exactly how the axe was to fall in order to </w:t>
      </w:r>
      <w:r w:rsidR="007A7587">
        <w:rPr>
          <w:rFonts w:cs="Times New Roman"/>
          <w:color w:val="000000"/>
          <w:sz w:val="24"/>
          <w:szCs w:val="24"/>
        </w:rPr>
        <w:lastRenderedPageBreak/>
        <w:t>free up resources to pay Greece’s debts, drawing on the experience of the IMF’s structural adjustment programmes typically applied to developing countries (Greer 2014).</w:t>
      </w:r>
      <w:r w:rsidR="00672D1C">
        <w:rPr>
          <w:rFonts w:cs="Times New Roman"/>
          <w:color w:val="000000"/>
          <w:sz w:val="24"/>
          <w:szCs w:val="24"/>
        </w:rPr>
        <w:t xml:space="preserve"> </w:t>
      </w:r>
      <w:r w:rsidR="0037727B">
        <w:rPr>
          <w:rFonts w:cs="Times New Roman"/>
          <w:color w:val="000000"/>
          <w:sz w:val="24"/>
          <w:szCs w:val="24"/>
        </w:rPr>
        <w:t xml:space="preserve">According to the Memorandum of Agreement </w:t>
      </w:r>
      <w:r w:rsidR="00672D1C">
        <w:rPr>
          <w:rFonts w:cs="Times New Roman"/>
          <w:color w:val="000000"/>
          <w:sz w:val="24"/>
          <w:szCs w:val="24"/>
        </w:rPr>
        <w:t xml:space="preserve">Greece agreed to </w:t>
      </w:r>
      <w:r w:rsidR="0037727B">
        <w:rPr>
          <w:rFonts w:cs="Times New Roman"/>
          <w:color w:val="000000"/>
          <w:sz w:val="24"/>
          <w:szCs w:val="24"/>
        </w:rPr>
        <w:t xml:space="preserve">consult the Troika before </w:t>
      </w:r>
      <w:r w:rsidR="00622EB5">
        <w:rPr>
          <w:rFonts w:cs="Times New Roman"/>
          <w:color w:val="000000"/>
          <w:sz w:val="24"/>
          <w:szCs w:val="24"/>
        </w:rPr>
        <w:t>“</w:t>
      </w:r>
      <w:r w:rsidR="0037727B">
        <w:rPr>
          <w:rFonts w:cs="Times New Roman"/>
          <w:color w:val="000000"/>
          <w:sz w:val="24"/>
          <w:szCs w:val="24"/>
        </w:rPr>
        <w:t>modifying</w:t>
      </w:r>
      <w:r w:rsidR="00622EB5">
        <w:rPr>
          <w:rFonts w:cs="Times New Roman"/>
          <w:color w:val="000000"/>
          <w:sz w:val="24"/>
          <w:szCs w:val="24"/>
        </w:rPr>
        <w:t>”</w:t>
      </w:r>
      <w:r w:rsidR="0037727B">
        <w:rPr>
          <w:rFonts w:cs="Times New Roman"/>
          <w:color w:val="000000"/>
          <w:sz w:val="24"/>
          <w:szCs w:val="24"/>
        </w:rPr>
        <w:t xml:space="preserve"> any of these measures or </w:t>
      </w:r>
      <w:r w:rsidR="00622EB5">
        <w:rPr>
          <w:rFonts w:cs="Times New Roman"/>
          <w:color w:val="000000"/>
          <w:sz w:val="24"/>
          <w:szCs w:val="24"/>
        </w:rPr>
        <w:t>“</w:t>
      </w:r>
      <w:r w:rsidR="0037727B">
        <w:rPr>
          <w:rFonts w:cs="Times New Roman"/>
          <w:color w:val="000000"/>
          <w:sz w:val="24"/>
          <w:szCs w:val="24"/>
        </w:rPr>
        <w:t>adopting new measures that may deviate from the goals of the programme</w:t>
      </w:r>
      <w:r w:rsidR="00622EB5">
        <w:rPr>
          <w:rFonts w:cs="Times New Roman"/>
          <w:color w:val="000000"/>
          <w:sz w:val="24"/>
          <w:szCs w:val="24"/>
        </w:rPr>
        <w:t>”</w:t>
      </w:r>
      <w:r w:rsidR="00767FDE">
        <w:rPr>
          <w:rFonts w:cs="Times New Roman"/>
          <w:color w:val="000000"/>
          <w:sz w:val="24"/>
          <w:szCs w:val="24"/>
        </w:rPr>
        <w:t xml:space="preserve"> (IMF 2011)</w:t>
      </w:r>
      <w:r w:rsidR="0037727B">
        <w:rPr>
          <w:rFonts w:cs="Times New Roman"/>
          <w:color w:val="000000"/>
          <w:sz w:val="24"/>
          <w:szCs w:val="24"/>
        </w:rPr>
        <w:t>.</w:t>
      </w:r>
    </w:p>
    <w:p w14:paraId="411221F3" w14:textId="69D60673" w:rsidR="004B0EA9" w:rsidRDefault="00DD3F0B" w:rsidP="00606455">
      <w:pPr>
        <w:spacing w:after="0" w:line="480" w:lineRule="auto"/>
        <w:ind w:firstLine="720"/>
        <w:rPr>
          <w:rFonts w:cs="Times New Roman"/>
          <w:color w:val="000000"/>
          <w:sz w:val="24"/>
          <w:szCs w:val="24"/>
        </w:rPr>
      </w:pPr>
      <w:r>
        <w:rPr>
          <w:rFonts w:cs="Times New Roman"/>
          <w:color w:val="000000"/>
          <w:sz w:val="24"/>
          <w:szCs w:val="24"/>
        </w:rPr>
        <w:t xml:space="preserve">Not only was the programme extremely invasive, it imposed a </w:t>
      </w:r>
      <w:r w:rsidR="004B0EA9">
        <w:rPr>
          <w:rFonts w:cs="Times New Roman"/>
          <w:color w:val="000000"/>
          <w:sz w:val="24"/>
          <w:szCs w:val="24"/>
        </w:rPr>
        <w:t xml:space="preserve">punitive degree of austerity on the Greek population. </w:t>
      </w:r>
      <w:r w:rsidR="00C57A39">
        <w:rPr>
          <w:rFonts w:cs="Times New Roman"/>
          <w:color w:val="000000"/>
          <w:sz w:val="24"/>
          <w:szCs w:val="24"/>
        </w:rPr>
        <w:t xml:space="preserve">This harsh austerity </w:t>
      </w:r>
      <w:r w:rsidR="004B0EA9">
        <w:rPr>
          <w:rFonts w:cs="Times New Roman"/>
          <w:color w:val="000000"/>
          <w:sz w:val="24"/>
          <w:szCs w:val="24"/>
        </w:rPr>
        <w:t>was hard to justify</w:t>
      </w:r>
      <w:r w:rsidR="00C57A39">
        <w:rPr>
          <w:rFonts w:cs="Times New Roman"/>
          <w:color w:val="000000"/>
          <w:sz w:val="24"/>
          <w:szCs w:val="24"/>
        </w:rPr>
        <w:t xml:space="preserve"> in economic terms, given the recessionary and debt deflationary dynamics it unleashed</w:t>
      </w:r>
      <w:r w:rsidR="00BB3EF7">
        <w:rPr>
          <w:rFonts w:cs="Times New Roman"/>
          <w:color w:val="000000"/>
          <w:sz w:val="24"/>
          <w:szCs w:val="24"/>
        </w:rPr>
        <w:t xml:space="preserve"> </w:t>
      </w:r>
      <w:r w:rsidR="004B0EA9">
        <w:rPr>
          <w:rFonts w:cs="Times New Roman"/>
          <w:color w:val="000000"/>
          <w:sz w:val="24"/>
          <w:szCs w:val="24"/>
        </w:rPr>
        <w:t xml:space="preserve">(Blyth: 2013, Ch.2). </w:t>
      </w:r>
      <w:r w:rsidR="00F3735A">
        <w:rPr>
          <w:rFonts w:cs="Times New Roman"/>
          <w:color w:val="000000"/>
          <w:sz w:val="24"/>
          <w:szCs w:val="24"/>
        </w:rPr>
        <w:t>The likely effects of this austerity were predicted at the time</w:t>
      </w:r>
      <w:r w:rsidR="00B774D9">
        <w:rPr>
          <w:rFonts w:cs="Times New Roman"/>
          <w:color w:val="000000"/>
          <w:sz w:val="24"/>
          <w:szCs w:val="24"/>
        </w:rPr>
        <w:t xml:space="preserve">: internal documents subsequently revealed that senior IMF officials </w:t>
      </w:r>
      <w:r w:rsidR="000C4960">
        <w:rPr>
          <w:rFonts w:cs="Times New Roman"/>
          <w:color w:val="000000"/>
          <w:sz w:val="24"/>
          <w:szCs w:val="24"/>
        </w:rPr>
        <w:t>opposed the bailout package and predicted it would lead to a deep recession and further financial problems down the line (Wroughton et al 2015). The Fund’s projections for Greek growth turned out to be embarrassingly over-optimistic, with each new agreement accompanied by a downgrading of expected GDP (Waldman 2015).</w:t>
      </w:r>
    </w:p>
    <w:p w14:paraId="532666FF" w14:textId="77BBEEE3" w:rsidR="003D0D61" w:rsidRDefault="00A707E2" w:rsidP="00606455">
      <w:pPr>
        <w:spacing w:after="0" w:line="480" w:lineRule="auto"/>
        <w:ind w:firstLine="720"/>
        <w:rPr>
          <w:rFonts w:cs="Times New Roman"/>
          <w:color w:val="000000"/>
          <w:sz w:val="24"/>
          <w:szCs w:val="24"/>
        </w:rPr>
      </w:pPr>
      <w:r>
        <w:rPr>
          <w:rFonts w:cs="Times New Roman"/>
          <w:color w:val="000000"/>
          <w:sz w:val="24"/>
          <w:szCs w:val="24"/>
        </w:rPr>
        <w:t>The headline points of the Economic Adjustment Programme for Greece were the fiscal measures, but underpinning the Commission’s analysis was a diagnosis of structural weaknesses in the Greek economy that needed to be addressed</w:t>
      </w:r>
      <w:r w:rsidR="004A3B9B">
        <w:rPr>
          <w:rFonts w:cs="Times New Roman"/>
          <w:color w:val="000000"/>
          <w:sz w:val="24"/>
          <w:szCs w:val="24"/>
        </w:rPr>
        <w:t xml:space="preserve"> (European Commission 2010)</w:t>
      </w:r>
      <w:r>
        <w:rPr>
          <w:rFonts w:cs="Times New Roman"/>
          <w:color w:val="000000"/>
          <w:sz w:val="24"/>
          <w:szCs w:val="24"/>
        </w:rPr>
        <w:t xml:space="preserve"> The Programme used the language of structural reform and competitiveness, arguing that Greece </w:t>
      </w:r>
      <w:r w:rsidR="00622EB5">
        <w:rPr>
          <w:rFonts w:cs="Times New Roman"/>
          <w:color w:val="000000"/>
          <w:sz w:val="24"/>
        </w:rPr>
        <w:t>“</w:t>
      </w:r>
      <w:r w:rsidR="007B6287" w:rsidRPr="000F0337">
        <w:rPr>
          <w:rFonts w:cs="Times New Roman"/>
          <w:color w:val="000000"/>
          <w:sz w:val="24"/>
        </w:rPr>
        <w:t>underperforms in many structural policy areas</w:t>
      </w:r>
      <w:r w:rsidR="00622EB5">
        <w:rPr>
          <w:rFonts w:cs="Times New Roman"/>
          <w:color w:val="000000"/>
        </w:rPr>
        <w:t>”</w:t>
      </w:r>
      <w:r w:rsidR="002E386D">
        <w:rPr>
          <w:rFonts w:cs="Times New Roman"/>
          <w:color w:val="000000"/>
        </w:rPr>
        <w:t xml:space="preserve">, </w:t>
      </w:r>
      <w:r w:rsidR="002E386D">
        <w:rPr>
          <w:rFonts w:cs="Times New Roman"/>
          <w:color w:val="000000"/>
          <w:sz w:val="24"/>
          <w:szCs w:val="24"/>
        </w:rPr>
        <w:t xml:space="preserve">notably </w:t>
      </w:r>
      <w:r w:rsidR="00622EB5">
        <w:rPr>
          <w:rFonts w:cs="Times New Roman"/>
          <w:color w:val="000000"/>
          <w:sz w:val="24"/>
          <w:szCs w:val="24"/>
        </w:rPr>
        <w:t>“</w:t>
      </w:r>
      <w:r>
        <w:rPr>
          <w:rFonts w:cs="Times New Roman"/>
          <w:color w:val="000000"/>
          <w:sz w:val="24"/>
          <w:szCs w:val="24"/>
        </w:rPr>
        <w:t xml:space="preserve">rigid product </w:t>
      </w:r>
      <w:r w:rsidR="002E386D">
        <w:rPr>
          <w:rFonts w:cs="Times New Roman"/>
          <w:color w:val="000000"/>
          <w:sz w:val="24"/>
          <w:szCs w:val="24"/>
        </w:rPr>
        <w:t xml:space="preserve">and labour </w:t>
      </w:r>
      <w:r>
        <w:rPr>
          <w:rFonts w:cs="Times New Roman"/>
          <w:color w:val="000000"/>
          <w:sz w:val="24"/>
          <w:szCs w:val="24"/>
        </w:rPr>
        <w:t>markets</w:t>
      </w:r>
      <w:r w:rsidR="00622EB5">
        <w:rPr>
          <w:rFonts w:cs="Times New Roman"/>
          <w:color w:val="000000"/>
          <w:sz w:val="24"/>
          <w:szCs w:val="24"/>
        </w:rPr>
        <w:t>”</w:t>
      </w:r>
      <w:r w:rsidR="002E386D">
        <w:rPr>
          <w:rFonts w:cs="Times New Roman"/>
          <w:color w:val="000000"/>
          <w:sz w:val="24"/>
          <w:szCs w:val="24"/>
        </w:rPr>
        <w:t xml:space="preserve"> which would </w:t>
      </w:r>
      <w:r w:rsidR="00622EB5">
        <w:rPr>
          <w:rFonts w:cs="Times New Roman"/>
          <w:color w:val="000000"/>
          <w:sz w:val="24"/>
          <w:szCs w:val="24"/>
        </w:rPr>
        <w:t>“</w:t>
      </w:r>
      <w:r w:rsidR="002E386D">
        <w:rPr>
          <w:rFonts w:cs="Times New Roman"/>
          <w:color w:val="000000"/>
          <w:sz w:val="24"/>
          <w:szCs w:val="24"/>
        </w:rPr>
        <w:t>undermine the Greek economy’s capacity to adjust</w:t>
      </w:r>
      <w:r w:rsidR="00622EB5">
        <w:rPr>
          <w:rFonts w:cs="Times New Roman"/>
          <w:color w:val="000000"/>
          <w:sz w:val="24"/>
          <w:szCs w:val="24"/>
        </w:rPr>
        <w:t>”</w:t>
      </w:r>
      <w:r w:rsidR="008C1120">
        <w:rPr>
          <w:rFonts w:cs="Times New Roman"/>
          <w:color w:val="000000"/>
          <w:sz w:val="24"/>
          <w:szCs w:val="24"/>
        </w:rPr>
        <w:t xml:space="preserve"> (European Commission 2010, 6).</w:t>
      </w:r>
      <w:r w:rsidR="00B92425">
        <w:rPr>
          <w:rFonts w:cs="Times New Roman"/>
          <w:color w:val="000000"/>
          <w:sz w:val="24"/>
          <w:szCs w:val="24"/>
        </w:rPr>
        <w:t xml:space="preserve"> </w:t>
      </w:r>
      <w:r w:rsidR="004C137E">
        <w:rPr>
          <w:rFonts w:cs="Times New Roman"/>
          <w:color w:val="000000"/>
          <w:sz w:val="24"/>
          <w:szCs w:val="24"/>
        </w:rPr>
        <w:t>These were areas that the Commission had already identified as problem</w:t>
      </w:r>
      <w:r w:rsidR="00935E0F">
        <w:rPr>
          <w:rFonts w:cs="Times New Roman"/>
          <w:color w:val="000000"/>
          <w:sz w:val="24"/>
          <w:szCs w:val="24"/>
        </w:rPr>
        <w:t xml:space="preserve">atic in </w:t>
      </w:r>
      <w:r w:rsidR="00935E0F">
        <w:rPr>
          <w:rFonts w:cs="Times New Roman"/>
          <w:color w:val="000000"/>
          <w:sz w:val="24"/>
          <w:szCs w:val="24"/>
        </w:rPr>
        <w:lastRenderedPageBreak/>
        <w:t>the past</w:t>
      </w:r>
      <w:r w:rsidR="008C1120">
        <w:rPr>
          <w:rFonts w:cs="Times New Roman"/>
          <w:color w:val="000000"/>
          <w:sz w:val="24"/>
          <w:szCs w:val="24"/>
        </w:rPr>
        <w:t xml:space="preserve"> </w:t>
      </w:r>
      <w:r w:rsidR="00B92425">
        <w:rPr>
          <w:rFonts w:cs="Times New Roman"/>
          <w:color w:val="000000"/>
          <w:sz w:val="24"/>
          <w:szCs w:val="24"/>
        </w:rPr>
        <w:t>(</w:t>
      </w:r>
      <w:r w:rsidR="008C1120">
        <w:rPr>
          <w:rFonts w:cs="Times New Roman"/>
          <w:color w:val="000000"/>
          <w:sz w:val="24"/>
          <w:szCs w:val="24"/>
        </w:rPr>
        <w:t>European Commission 2010, 13)</w:t>
      </w:r>
      <w:r w:rsidR="00935E0F">
        <w:rPr>
          <w:rFonts w:cs="Times New Roman"/>
          <w:color w:val="000000"/>
          <w:sz w:val="24"/>
          <w:szCs w:val="24"/>
        </w:rPr>
        <w:t xml:space="preserve">. </w:t>
      </w:r>
      <w:r w:rsidR="002E386D">
        <w:rPr>
          <w:rFonts w:cs="Times New Roman"/>
          <w:color w:val="000000"/>
          <w:sz w:val="24"/>
          <w:szCs w:val="24"/>
        </w:rPr>
        <w:t>The Programme also identified major failings in the operation of the Greek public administration and public financial management.</w:t>
      </w:r>
      <w:r w:rsidR="003D0D61">
        <w:rPr>
          <w:rFonts w:cs="Times New Roman"/>
          <w:color w:val="000000"/>
          <w:sz w:val="24"/>
          <w:szCs w:val="24"/>
        </w:rPr>
        <w:t xml:space="preserve"> In short, the Programme laid down an ambitious plan for the reform of the Greek state and economy, with a conditionality regime to make further disbursements of aid dependent on achieved agreed reform targets.</w:t>
      </w:r>
    </w:p>
    <w:p w14:paraId="4C270F83" w14:textId="2DA7CD3F" w:rsidR="004C137E" w:rsidRDefault="00935E0F" w:rsidP="00606455">
      <w:pPr>
        <w:spacing w:after="0" w:line="480" w:lineRule="auto"/>
        <w:ind w:firstLine="720"/>
        <w:rPr>
          <w:rFonts w:cs="Times New Roman"/>
          <w:color w:val="000000"/>
          <w:sz w:val="24"/>
          <w:szCs w:val="24"/>
        </w:rPr>
      </w:pPr>
      <w:r>
        <w:rPr>
          <w:rFonts w:cs="Times New Roman"/>
          <w:color w:val="000000"/>
          <w:sz w:val="24"/>
          <w:szCs w:val="24"/>
        </w:rPr>
        <w:t xml:space="preserve">Despite it being based on </w:t>
      </w:r>
      <w:r w:rsidR="00622EB5">
        <w:rPr>
          <w:rFonts w:cs="Times New Roman"/>
          <w:color w:val="000000"/>
          <w:sz w:val="24"/>
          <w:szCs w:val="24"/>
        </w:rPr>
        <w:t>“</w:t>
      </w:r>
      <w:r>
        <w:rPr>
          <w:rFonts w:cs="Times New Roman"/>
          <w:color w:val="000000"/>
          <w:sz w:val="24"/>
          <w:szCs w:val="24"/>
        </w:rPr>
        <w:t>conservative assumptions</w:t>
      </w:r>
      <w:r w:rsidR="00622EB5">
        <w:rPr>
          <w:rFonts w:cs="Times New Roman"/>
          <w:color w:val="000000"/>
          <w:sz w:val="24"/>
          <w:szCs w:val="24"/>
        </w:rPr>
        <w:t>”</w:t>
      </w:r>
      <w:r>
        <w:rPr>
          <w:rFonts w:cs="Times New Roman"/>
          <w:color w:val="000000"/>
          <w:sz w:val="24"/>
          <w:szCs w:val="24"/>
        </w:rPr>
        <w:t xml:space="preserve"> s</w:t>
      </w:r>
      <w:r w:rsidR="003D0D61">
        <w:rPr>
          <w:rFonts w:cs="Times New Roman"/>
          <w:color w:val="000000"/>
          <w:sz w:val="24"/>
          <w:szCs w:val="24"/>
        </w:rPr>
        <w:t xml:space="preserve">ubsequent events proved this Programme so unsuccessful that </w:t>
      </w:r>
      <w:r w:rsidR="003D0D61">
        <w:rPr>
          <w:rFonts w:cs="Times New Roman"/>
          <w:color w:val="000000"/>
          <w:sz w:val="24"/>
        </w:rPr>
        <w:t>a</w:t>
      </w:r>
      <w:r w:rsidR="009B4972" w:rsidRPr="00573273">
        <w:rPr>
          <w:rFonts w:cs="Times New Roman"/>
          <w:color w:val="000000"/>
          <w:sz w:val="24"/>
          <w:szCs w:val="24"/>
        </w:rPr>
        <w:t xml:space="preserve"> second </w:t>
      </w:r>
      <w:r w:rsidR="009B4972">
        <w:rPr>
          <w:rFonts w:cs="Times New Roman"/>
          <w:color w:val="000000"/>
          <w:sz w:val="24"/>
          <w:szCs w:val="24"/>
        </w:rPr>
        <w:t xml:space="preserve">Greek </w:t>
      </w:r>
      <w:r w:rsidR="003D0D61">
        <w:rPr>
          <w:rFonts w:cs="Times New Roman"/>
          <w:color w:val="000000"/>
          <w:sz w:val="24"/>
          <w:szCs w:val="24"/>
        </w:rPr>
        <w:t xml:space="preserve">rescue package, </w:t>
      </w:r>
      <w:r w:rsidR="009B4972" w:rsidRPr="00573273">
        <w:rPr>
          <w:rFonts w:cs="Times New Roman"/>
          <w:color w:val="000000"/>
          <w:sz w:val="24"/>
          <w:szCs w:val="24"/>
        </w:rPr>
        <w:t>amount</w:t>
      </w:r>
      <w:r w:rsidR="003D0D61">
        <w:rPr>
          <w:rFonts w:cs="Times New Roman"/>
          <w:color w:val="000000"/>
          <w:sz w:val="24"/>
          <w:szCs w:val="24"/>
        </w:rPr>
        <w:t>ing</w:t>
      </w:r>
      <w:r w:rsidR="009B4972" w:rsidRPr="00573273">
        <w:rPr>
          <w:rFonts w:cs="Times New Roman"/>
          <w:color w:val="000000"/>
          <w:sz w:val="24"/>
          <w:szCs w:val="24"/>
        </w:rPr>
        <w:t xml:space="preserve"> to </w:t>
      </w:r>
      <w:r w:rsidR="003D0D61">
        <w:rPr>
          <w:rFonts w:cs="Times New Roman"/>
          <w:color w:val="000000"/>
          <w:sz w:val="24"/>
          <w:szCs w:val="24"/>
        </w:rPr>
        <w:t>€164.5 b</w:t>
      </w:r>
      <w:r w:rsidR="009B4972" w:rsidRPr="00573273">
        <w:rPr>
          <w:rFonts w:cs="Times New Roman"/>
          <w:color w:val="000000"/>
          <w:sz w:val="24"/>
          <w:szCs w:val="24"/>
        </w:rPr>
        <w:t>illion</w:t>
      </w:r>
      <w:r w:rsidR="003D0D61">
        <w:rPr>
          <w:rFonts w:cs="Times New Roman"/>
          <w:color w:val="000000"/>
          <w:sz w:val="24"/>
          <w:szCs w:val="24"/>
        </w:rPr>
        <w:t xml:space="preserve">, was needed by </w:t>
      </w:r>
      <w:r w:rsidR="00642898">
        <w:rPr>
          <w:rFonts w:cs="Times New Roman"/>
          <w:color w:val="000000"/>
          <w:sz w:val="24"/>
          <w:szCs w:val="24"/>
        </w:rPr>
        <w:t>late 2011</w:t>
      </w:r>
      <w:r w:rsidR="008C1120">
        <w:rPr>
          <w:rFonts w:cs="Times New Roman"/>
          <w:color w:val="000000"/>
          <w:sz w:val="24"/>
          <w:szCs w:val="24"/>
        </w:rPr>
        <w:t xml:space="preserve"> (European Commission 2010, 28)</w:t>
      </w:r>
      <w:r w:rsidR="009B4972" w:rsidRPr="00573273">
        <w:rPr>
          <w:rFonts w:cs="Times New Roman"/>
          <w:color w:val="000000"/>
          <w:sz w:val="24"/>
          <w:szCs w:val="24"/>
        </w:rPr>
        <w:t xml:space="preserve">.  </w:t>
      </w:r>
      <w:r w:rsidR="00642898">
        <w:rPr>
          <w:rFonts w:cs="Times New Roman"/>
          <w:color w:val="000000"/>
          <w:sz w:val="24"/>
          <w:szCs w:val="24"/>
        </w:rPr>
        <w:t xml:space="preserve">The Second Economic Adjustment Programme superseded the first one, and brought </w:t>
      </w:r>
      <w:r w:rsidR="009B4972" w:rsidRPr="00573273">
        <w:rPr>
          <w:rFonts w:cs="Times New Roman"/>
          <w:color w:val="000000"/>
          <w:sz w:val="24"/>
          <w:szCs w:val="24"/>
        </w:rPr>
        <w:t>additional conditions</w:t>
      </w:r>
      <w:r w:rsidR="00642898">
        <w:rPr>
          <w:rFonts w:cs="Times New Roman"/>
          <w:color w:val="000000"/>
          <w:sz w:val="24"/>
          <w:szCs w:val="24"/>
        </w:rPr>
        <w:t xml:space="preserve">, including </w:t>
      </w:r>
      <w:r w:rsidR="009B4972" w:rsidRPr="00573273">
        <w:rPr>
          <w:rFonts w:cs="Times New Roman"/>
          <w:color w:val="000000"/>
          <w:sz w:val="24"/>
          <w:szCs w:val="24"/>
        </w:rPr>
        <w:t xml:space="preserve">in 2013 </w:t>
      </w:r>
      <w:r w:rsidR="00642898">
        <w:rPr>
          <w:rFonts w:cs="Times New Roman"/>
          <w:color w:val="000000"/>
          <w:sz w:val="24"/>
          <w:szCs w:val="24"/>
        </w:rPr>
        <w:t xml:space="preserve">a </w:t>
      </w:r>
      <w:r w:rsidR="009B4972" w:rsidRPr="00573273">
        <w:rPr>
          <w:rFonts w:cs="Times New Roman"/>
          <w:color w:val="000000"/>
          <w:sz w:val="24"/>
          <w:szCs w:val="24"/>
        </w:rPr>
        <w:t xml:space="preserve">cut </w:t>
      </w:r>
      <w:r w:rsidR="00642898">
        <w:rPr>
          <w:rFonts w:cs="Times New Roman"/>
          <w:color w:val="000000"/>
          <w:sz w:val="24"/>
          <w:szCs w:val="24"/>
        </w:rPr>
        <w:t xml:space="preserve">in the </w:t>
      </w:r>
      <w:r w:rsidR="009B4972" w:rsidRPr="00573273">
        <w:rPr>
          <w:rFonts w:cs="Times New Roman"/>
          <w:color w:val="000000"/>
          <w:sz w:val="24"/>
          <w:szCs w:val="24"/>
        </w:rPr>
        <w:t>minimum wage by 22</w:t>
      </w:r>
      <w:r w:rsidR="00622EB5">
        <w:rPr>
          <w:rFonts w:cs="Times New Roman"/>
          <w:color w:val="000000"/>
          <w:sz w:val="24"/>
          <w:szCs w:val="24"/>
        </w:rPr>
        <w:t xml:space="preserve"> percent</w:t>
      </w:r>
      <w:r w:rsidR="009B4972" w:rsidRPr="00573273">
        <w:rPr>
          <w:rFonts w:cs="Times New Roman"/>
          <w:color w:val="000000"/>
          <w:sz w:val="24"/>
          <w:szCs w:val="24"/>
        </w:rPr>
        <w:t>, a reduction in ULC of about 15</w:t>
      </w:r>
      <w:r w:rsidR="00622EB5">
        <w:rPr>
          <w:rFonts w:cs="Times New Roman"/>
          <w:color w:val="000000"/>
          <w:sz w:val="24"/>
          <w:szCs w:val="24"/>
        </w:rPr>
        <w:t xml:space="preserve"> percent</w:t>
      </w:r>
      <w:r w:rsidR="009B4972" w:rsidRPr="00573273">
        <w:rPr>
          <w:rFonts w:cs="Times New Roman"/>
          <w:color w:val="000000"/>
          <w:sz w:val="24"/>
          <w:szCs w:val="24"/>
        </w:rPr>
        <w:t>, a reduction in health-related expenditure by 1.1 billion Euros and 500 million in pensions and family allowances (Henning</w:t>
      </w:r>
      <w:r w:rsidR="00E938F5">
        <w:rPr>
          <w:rFonts w:cs="Times New Roman"/>
          <w:color w:val="000000"/>
          <w:sz w:val="24"/>
          <w:szCs w:val="24"/>
        </w:rPr>
        <w:t>, 2017</w:t>
      </w:r>
      <w:r w:rsidR="00460B56">
        <w:rPr>
          <w:rFonts w:cs="Times New Roman"/>
          <w:color w:val="000000"/>
          <w:sz w:val="24"/>
          <w:szCs w:val="24"/>
        </w:rPr>
        <w:t>, 264</w:t>
      </w:r>
      <w:r w:rsidR="009B4972" w:rsidRPr="00573273">
        <w:rPr>
          <w:rFonts w:cs="Times New Roman"/>
          <w:color w:val="000000"/>
          <w:sz w:val="24"/>
          <w:szCs w:val="24"/>
        </w:rPr>
        <w:t>).</w:t>
      </w:r>
      <w:r w:rsidR="00642898">
        <w:rPr>
          <w:rFonts w:cs="Times New Roman"/>
          <w:color w:val="000000"/>
          <w:sz w:val="24"/>
          <w:szCs w:val="24"/>
        </w:rPr>
        <w:t xml:space="preserve"> The second bailout was needed because of the sharper than expected collapse of Greek GDP in the wake of the austerity measures introduced, and the spiking of interest rates across the periphery leading to fears of contagion. </w:t>
      </w:r>
    </w:p>
    <w:p w14:paraId="1937A2A8" w14:textId="1979BABD" w:rsidR="00642898" w:rsidRDefault="00642898" w:rsidP="00606455">
      <w:pPr>
        <w:spacing w:after="0" w:line="480" w:lineRule="auto"/>
        <w:ind w:firstLine="720"/>
        <w:rPr>
          <w:rFonts w:cs="Times New Roman"/>
          <w:color w:val="000000"/>
          <w:sz w:val="24"/>
        </w:rPr>
      </w:pPr>
      <w:r>
        <w:rPr>
          <w:rFonts w:cs="Times New Roman"/>
          <w:color w:val="000000"/>
          <w:sz w:val="24"/>
          <w:szCs w:val="24"/>
        </w:rPr>
        <w:t>The Eurogroup, wary of the apparent failure to make sufficient progress</w:t>
      </w:r>
      <w:r w:rsidR="004C137E">
        <w:rPr>
          <w:rFonts w:cs="Times New Roman"/>
          <w:color w:val="000000"/>
          <w:sz w:val="24"/>
          <w:szCs w:val="24"/>
        </w:rPr>
        <w:t xml:space="preserve"> after the first bailout</w:t>
      </w:r>
      <w:r>
        <w:rPr>
          <w:rFonts w:cs="Times New Roman"/>
          <w:color w:val="000000"/>
          <w:sz w:val="24"/>
          <w:szCs w:val="24"/>
        </w:rPr>
        <w:t xml:space="preserve">, urged an increase in monitoring the Greek government, </w:t>
      </w:r>
      <w:r w:rsidR="00606455">
        <w:rPr>
          <w:rFonts w:cs="Times New Roman"/>
          <w:color w:val="000000"/>
          <w:sz w:val="24"/>
          <w:szCs w:val="24"/>
        </w:rPr>
        <w:t>“</w:t>
      </w:r>
      <w:r>
        <w:rPr>
          <w:rFonts w:cs="Times New Roman"/>
          <w:color w:val="000000"/>
          <w:sz w:val="24"/>
          <w:szCs w:val="24"/>
        </w:rPr>
        <w:t>(</w:t>
      </w:r>
      <w:r w:rsidR="007B6287" w:rsidRPr="007B6287">
        <w:rPr>
          <w:rFonts w:cs="Times New Roman"/>
          <w:color w:val="000000"/>
          <w:sz w:val="24"/>
        </w:rPr>
        <w:t>inviting)</w:t>
      </w:r>
      <w:r w:rsidR="007B6287" w:rsidRPr="000F0337">
        <w:rPr>
          <w:rFonts w:cs="Times New Roman"/>
          <w:color w:val="000000"/>
          <w:sz w:val="24"/>
        </w:rPr>
        <w:t xml:space="preserve"> the Commission to significantly strengthen its Task Force for Greece, in particular through an enhanced and permanent presence on the ground in Greece, in order to bolster its capacity to provide and coordinate technical assista</w:t>
      </w:r>
      <w:r w:rsidR="007B6287" w:rsidRPr="007B6287">
        <w:rPr>
          <w:rFonts w:cs="Times New Roman"/>
          <w:color w:val="000000"/>
          <w:sz w:val="24"/>
        </w:rPr>
        <w:t>nce</w:t>
      </w:r>
      <w:r w:rsidR="00606455">
        <w:rPr>
          <w:rFonts w:cs="Times New Roman"/>
          <w:color w:val="000000"/>
          <w:sz w:val="24"/>
        </w:rPr>
        <w:t>”</w:t>
      </w:r>
      <w:r w:rsidR="005A6305">
        <w:rPr>
          <w:rFonts w:cs="Times New Roman"/>
          <w:color w:val="000000"/>
          <w:sz w:val="24"/>
        </w:rPr>
        <w:t xml:space="preserve"> (Eurogroup 2012)</w:t>
      </w:r>
      <w:r>
        <w:rPr>
          <w:rFonts w:cs="Times New Roman"/>
          <w:color w:val="000000"/>
          <w:sz w:val="24"/>
        </w:rPr>
        <w:t>. Here</w:t>
      </w:r>
      <w:r w:rsidR="00622EB5">
        <w:rPr>
          <w:rFonts w:cs="Times New Roman"/>
          <w:color w:val="000000"/>
          <w:sz w:val="24"/>
        </w:rPr>
        <w:t>,</w:t>
      </w:r>
      <w:r>
        <w:rPr>
          <w:rFonts w:cs="Times New Roman"/>
          <w:color w:val="000000"/>
          <w:sz w:val="24"/>
        </w:rPr>
        <w:t xml:space="preserve"> conditionality was complemented with attempts to establish increasingly invasive oversight and control.</w:t>
      </w:r>
      <w:r w:rsidR="004C137E">
        <w:rPr>
          <w:rFonts w:cs="Times New Roman"/>
          <w:color w:val="000000"/>
          <w:sz w:val="24"/>
        </w:rPr>
        <w:t xml:space="preserve"> This included the demand to introduce into “the </w:t>
      </w:r>
      <w:r w:rsidR="007B6287" w:rsidRPr="000F0337">
        <w:rPr>
          <w:rFonts w:cs="Times New Roman"/>
          <w:color w:val="000000"/>
          <w:sz w:val="24"/>
        </w:rPr>
        <w:t xml:space="preserve">Greek legal framework a provision ensuring that priority is granted to debt </w:t>
      </w:r>
      <w:r w:rsidR="007B6287" w:rsidRPr="000F0337">
        <w:rPr>
          <w:rFonts w:cs="Times New Roman"/>
          <w:color w:val="000000"/>
          <w:sz w:val="24"/>
        </w:rPr>
        <w:lastRenderedPageBreak/>
        <w:t>servicing payments</w:t>
      </w:r>
      <w:r w:rsidR="00622EB5">
        <w:rPr>
          <w:rFonts w:cs="Times New Roman"/>
          <w:color w:val="000000"/>
          <w:sz w:val="24"/>
        </w:rPr>
        <w:t>,</w:t>
      </w:r>
      <w:r w:rsidR="004C137E">
        <w:rPr>
          <w:rFonts w:cs="Times New Roman"/>
          <w:color w:val="000000"/>
          <w:sz w:val="24"/>
        </w:rPr>
        <w:t>” requiring constitutional change. In this example, conditionality tools extended to altering the fundamental law to (attempt to) prevent the Greek state spending money on its own citizens that could be spent on repaying international creditors. These moves reflected an increasing exasperation at the difficulties involved in getting Greece to meet the conditions of financial aid, difficulties due to both the political constraints facing Greek leaders, and the Greek government’s awareness of the lack of options facing European leaders fearful of the consequences of a Greek financial implosion.</w:t>
      </w:r>
    </w:p>
    <w:p w14:paraId="4CB1F66C" w14:textId="50F28314" w:rsidR="00B95A19" w:rsidRDefault="00935E0F" w:rsidP="00606455">
      <w:pPr>
        <w:spacing w:after="0" w:line="480" w:lineRule="auto"/>
        <w:ind w:firstLine="720"/>
        <w:rPr>
          <w:rFonts w:cs="Times New Roman"/>
          <w:color w:val="000000"/>
          <w:sz w:val="24"/>
          <w:szCs w:val="24"/>
        </w:rPr>
      </w:pPr>
      <w:r>
        <w:rPr>
          <w:rFonts w:cs="Times New Roman"/>
          <w:color w:val="000000"/>
          <w:sz w:val="24"/>
        </w:rPr>
        <w:t xml:space="preserve">The Greek bailouts are perhaps the sharpest case of the dilemmas of conditionality, and other programmes proved less difficult, but reveal similar tensions. </w:t>
      </w:r>
      <w:r w:rsidR="0097413C">
        <w:rPr>
          <w:rFonts w:cs="Times New Roman"/>
          <w:color w:val="000000"/>
          <w:sz w:val="24"/>
        </w:rPr>
        <w:t xml:space="preserve">The Irish bailout of 2011, worth </w:t>
      </w:r>
      <w:r w:rsidR="0001427C" w:rsidRPr="0001427C">
        <w:rPr>
          <w:rFonts w:cs="Times New Roman"/>
          <w:color w:val="000000"/>
          <w:sz w:val="24"/>
        </w:rPr>
        <w:t>€85 billion</w:t>
      </w:r>
      <w:r w:rsidR="0001427C">
        <w:rPr>
          <w:rFonts w:cs="Times New Roman"/>
          <w:color w:val="000000"/>
          <w:sz w:val="24"/>
        </w:rPr>
        <w:t xml:space="preserve">, required </w:t>
      </w:r>
      <w:r w:rsidR="00ED0A7B">
        <w:rPr>
          <w:rFonts w:cs="Times New Roman"/>
          <w:color w:val="000000"/>
          <w:sz w:val="24"/>
        </w:rPr>
        <w:t xml:space="preserve">meeting </w:t>
      </w:r>
      <w:r w:rsidR="00385ABE">
        <w:rPr>
          <w:rFonts w:cs="Times New Roman"/>
          <w:color w:val="000000"/>
          <w:sz w:val="24"/>
        </w:rPr>
        <w:t xml:space="preserve">a </w:t>
      </w:r>
      <w:r w:rsidR="00ED0A7B">
        <w:rPr>
          <w:rFonts w:cs="Times New Roman"/>
          <w:color w:val="000000"/>
          <w:sz w:val="24"/>
        </w:rPr>
        <w:t>3 per</w:t>
      </w:r>
      <w:r w:rsidR="00385ABE">
        <w:rPr>
          <w:rFonts w:cs="Times New Roman"/>
          <w:color w:val="000000"/>
          <w:sz w:val="24"/>
        </w:rPr>
        <w:t xml:space="preserve"> cent government deficit target by 2014, and to achieve this specifically demanded detailed cost cutting measures such as a public sector pay freeze, as well as stabilization measures for Irish banks</w:t>
      </w:r>
      <w:r w:rsidR="00385ABE" w:rsidRPr="00385ABE">
        <w:rPr>
          <w:rFonts w:cs="Times New Roman"/>
          <w:color w:val="000000"/>
          <w:sz w:val="24"/>
        </w:rPr>
        <w:t xml:space="preserve"> </w:t>
      </w:r>
      <w:r w:rsidR="00385ABE">
        <w:rPr>
          <w:rFonts w:cs="Times New Roman"/>
          <w:color w:val="000000"/>
          <w:sz w:val="24"/>
        </w:rPr>
        <w:t xml:space="preserve">and a one euro cut in the minimum wage. </w:t>
      </w:r>
      <w:r w:rsidR="009B4972" w:rsidRPr="00573273">
        <w:rPr>
          <w:rFonts w:cs="Times New Roman"/>
          <w:color w:val="000000"/>
          <w:sz w:val="24"/>
          <w:szCs w:val="24"/>
        </w:rPr>
        <w:t xml:space="preserve">The Portuguese bailout of 2011 amounting to </w:t>
      </w:r>
      <w:r w:rsidR="00C14FFC" w:rsidRPr="0001427C">
        <w:rPr>
          <w:rFonts w:cs="Times New Roman"/>
          <w:color w:val="000000"/>
          <w:sz w:val="24"/>
        </w:rPr>
        <w:t>€</w:t>
      </w:r>
      <w:r w:rsidR="009B4972" w:rsidRPr="00573273">
        <w:rPr>
          <w:rFonts w:cs="Times New Roman"/>
          <w:color w:val="000000"/>
          <w:sz w:val="24"/>
          <w:szCs w:val="24"/>
        </w:rPr>
        <w:t xml:space="preserve">78 </w:t>
      </w:r>
      <w:r w:rsidR="00C14FFC">
        <w:rPr>
          <w:rFonts w:cs="Times New Roman"/>
          <w:color w:val="000000"/>
          <w:sz w:val="24"/>
          <w:szCs w:val="24"/>
        </w:rPr>
        <w:t>b</w:t>
      </w:r>
      <w:r w:rsidR="009B4972" w:rsidRPr="00573273">
        <w:rPr>
          <w:rFonts w:cs="Times New Roman"/>
          <w:color w:val="000000"/>
          <w:sz w:val="24"/>
          <w:szCs w:val="24"/>
        </w:rPr>
        <w:t>illion contained measures to cut on 5</w:t>
      </w:r>
      <w:r w:rsidR="00622EB5">
        <w:rPr>
          <w:rFonts w:cs="Times New Roman"/>
          <w:color w:val="000000"/>
          <w:sz w:val="24"/>
          <w:szCs w:val="24"/>
        </w:rPr>
        <w:t xml:space="preserve"> percent</w:t>
      </w:r>
      <w:r w:rsidR="009B4972" w:rsidRPr="00573273">
        <w:rPr>
          <w:rFonts w:cs="Times New Roman"/>
          <w:color w:val="000000"/>
          <w:sz w:val="24"/>
          <w:szCs w:val="24"/>
        </w:rPr>
        <w:t xml:space="preserve"> average public sector wages and wages and pensions to be frozen, with a reduction of civil servants at the central government by 1</w:t>
      </w:r>
      <w:r w:rsidR="00622EB5">
        <w:rPr>
          <w:rFonts w:cs="Times New Roman"/>
          <w:color w:val="000000"/>
          <w:sz w:val="24"/>
          <w:szCs w:val="24"/>
        </w:rPr>
        <w:t xml:space="preserve"> percent</w:t>
      </w:r>
      <w:r w:rsidR="009B4972" w:rsidRPr="00573273">
        <w:rPr>
          <w:rFonts w:cs="Times New Roman"/>
          <w:color w:val="000000"/>
          <w:sz w:val="24"/>
          <w:szCs w:val="24"/>
        </w:rPr>
        <w:t xml:space="preserve"> in 2012 and 2013 (He</w:t>
      </w:r>
      <w:r w:rsidR="008A5AFF">
        <w:rPr>
          <w:rFonts w:cs="Times New Roman"/>
          <w:color w:val="000000"/>
          <w:sz w:val="24"/>
          <w:szCs w:val="24"/>
        </w:rPr>
        <w:t>nn</w:t>
      </w:r>
      <w:r w:rsidR="009B4972" w:rsidRPr="00573273">
        <w:rPr>
          <w:rFonts w:cs="Times New Roman"/>
          <w:color w:val="000000"/>
          <w:sz w:val="24"/>
          <w:szCs w:val="24"/>
        </w:rPr>
        <w:t>ing</w:t>
      </w:r>
      <w:r w:rsidR="008A5AFF">
        <w:rPr>
          <w:rFonts w:cs="Times New Roman"/>
          <w:color w:val="000000"/>
          <w:sz w:val="24"/>
          <w:szCs w:val="24"/>
        </w:rPr>
        <w:t>, 201</w:t>
      </w:r>
      <w:r w:rsidR="00E938F5">
        <w:rPr>
          <w:rFonts w:cs="Times New Roman"/>
          <w:color w:val="000000"/>
          <w:sz w:val="24"/>
          <w:szCs w:val="24"/>
        </w:rPr>
        <w:t>7</w:t>
      </w:r>
      <w:r w:rsidR="008A5AFF">
        <w:rPr>
          <w:rFonts w:cs="Times New Roman"/>
          <w:color w:val="000000"/>
          <w:sz w:val="24"/>
          <w:szCs w:val="24"/>
        </w:rPr>
        <w:t>, 126, 263</w:t>
      </w:r>
      <w:r w:rsidR="009B4972" w:rsidRPr="00573273">
        <w:rPr>
          <w:rFonts w:cs="Times New Roman"/>
          <w:color w:val="000000"/>
          <w:sz w:val="24"/>
          <w:szCs w:val="24"/>
        </w:rPr>
        <w:t xml:space="preserve">).  </w:t>
      </w:r>
      <w:r w:rsidR="00C14FFC">
        <w:rPr>
          <w:rFonts w:cs="Times New Roman"/>
          <w:color w:val="000000"/>
          <w:sz w:val="24"/>
          <w:szCs w:val="24"/>
        </w:rPr>
        <w:t>The measures amounted to s</w:t>
      </w:r>
      <w:r w:rsidR="009B4972" w:rsidRPr="00573273">
        <w:rPr>
          <w:rFonts w:cs="Times New Roman"/>
          <w:color w:val="000000"/>
          <w:sz w:val="24"/>
          <w:szCs w:val="24"/>
        </w:rPr>
        <w:t xml:space="preserve">pending reductions for 2012 and 2013, including cuts to pensions, </w:t>
      </w:r>
      <w:r w:rsidR="00C14FFC">
        <w:rPr>
          <w:rFonts w:cs="Times New Roman"/>
          <w:color w:val="000000"/>
          <w:sz w:val="24"/>
          <w:szCs w:val="24"/>
        </w:rPr>
        <w:t xml:space="preserve">of </w:t>
      </w:r>
      <w:r w:rsidR="009B4972" w:rsidRPr="00573273">
        <w:rPr>
          <w:rFonts w:cs="Times New Roman"/>
          <w:color w:val="000000"/>
          <w:sz w:val="24"/>
          <w:szCs w:val="24"/>
        </w:rPr>
        <w:t xml:space="preserve">3.4 percent of </w:t>
      </w:r>
      <w:r w:rsidR="009B4972">
        <w:rPr>
          <w:rFonts w:cs="Times New Roman"/>
          <w:color w:val="000000"/>
          <w:sz w:val="24"/>
          <w:szCs w:val="24"/>
        </w:rPr>
        <w:t>GDP</w:t>
      </w:r>
      <w:r w:rsidR="009B4972" w:rsidRPr="00573273">
        <w:rPr>
          <w:rFonts w:cs="Times New Roman"/>
          <w:color w:val="000000"/>
          <w:sz w:val="24"/>
          <w:szCs w:val="24"/>
        </w:rPr>
        <w:t xml:space="preserve">, </w:t>
      </w:r>
      <w:r w:rsidR="00C14FFC">
        <w:rPr>
          <w:rFonts w:cs="Times New Roman"/>
          <w:color w:val="000000"/>
          <w:sz w:val="24"/>
          <w:szCs w:val="24"/>
        </w:rPr>
        <w:t>and</w:t>
      </w:r>
      <w:r w:rsidR="009B4972" w:rsidRPr="00573273">
        <w:rPr>
          <w:rFonts w:cs="Times New Roman"/>
          <w:color w:val="000000"/>
          <w:sz w:val="24"/>
          <w:szCs w:val="24"/>
        </w:rPr>
        <w:t xml:space="preserve"> revenue increases </w:t>
      </w:r>
      <w:r w:rsidR="00C14FFC">
        <w:rPr>
          <w:rFonts w:cs="Times New Roman"/>
          <w:color w:val="000000"/>
          <w:sz w:val="24"/>
          <w:szCs w:val="24"/>
        </w:rPr>
        <w:t>of</w:t>
      </w:r>
      <w:r w:rsidR="009B4972" w:rsidRPr="00573273">
        <w:rPr>
          <w:rFonts w:cs="Times New Roman"/>
          <w:color w:val="000000"/>
          <w:sz w:val="24"/>
          <w:szCs w:val="24"/>
        </w:rPr>
        <w:t xml:space="preserve"> 1.7 percent</w:t>
      </w:r>
      <w:r w:rsidR="00C14FFC">
        <w:rPr>
          <w:rFonts w:cs="Times New Roman"/>
          <w:color w:val="000000"/>
          <w:sz w:val="24"/>
          <w:szCs w:val="24"/>
        </w:rPr>
        <w:t xml:space="preserve"> </w:t>
      </w:r>
      <w:r w:rsidR="005A6305">
        <w:rPr>
          <w:rFonts w:cs="Times New Roman"/>
          <w:color w:val="000000"/>
          <w:sz w:val="24"/>
          <w:szCs w:val="24"/>
        </w:rPr>
        <w:t>(Neuger and Reis 2011).</w:t>
      </w:r>
      <w:r>
        <w:rPr>
          <w:rFonts w:cs="Times New Roman"/>
          <w:color w:val="000000"/>
          <w:sz w:val="24"/>
          <w:szCs w:val="24"/>
        </w:rPr>
        <w:t xml:space="preserve"> </w:t>
      </w:r>
      <w:r w:rsidR="009B4972" w:rsidRPr="00573273">
        <w:rPr>
          <w:rFonts w:cs="Times New Roman"/>
          <w:color w:val="000000"/>
          <w:sz w:val="24"/>
          <w:szCs w:val="24"/>
        </w:rPr>
        <w:t>Cypr</w:t>
      </w:r>
      <w:r w:rsidR="00622EB5">
        <w:rPr>
          <w:rFonts w:cs="Times New Roman"/>
          <w:color w:val="000000"/>
          <w:sz w:val="24"/>
          <w:szCs w:val="24"/>
        </w:rPr>
        <w:t>iot</w:t>
      </w:r>
      <w:r w:rsidR="009B4972" w:rsidRPr="00573273">
        <w:rPr>
          <w:rFonts w:cs="Times New Roman"/>
          <w:color w:val="000000"/>
          <w:sz w:val="24"/>
          <w:szCs w:val="24"/>
        </w:rPr>
        <w:t xml:space="preserve"> conditionality </w:t>
      </w:r>
      <w:r w:rsidR="000C1458">
        <w:rPr>
          <w:rFonts w:cs="Times New Roman"/>
          <w:color w:val="000000"/>
          <w:sz w:val="24"/>
          <w:szCs w:val="24"/>
        </w:rPr>
        <w:t>wa</w:t>
      </w:r>
      <w:r w:rsidR="009B4972" w:rsidRPr="00573273">
        <w:rPr>
          <w:rFonts w:cs="Times New Roman"/>
          <w:color w:val="000000"/>
          <w:sz w:val="24"/>
          <w:szCs w:val="24"/>
        </w:rPr>
        <w:t>s similar to that of Greece and Portugal</w:t>
      </w:r>
      <w:r w:rsidR="00C14FFC">
        <w:rPr>
          <w:rFonts w:cs="Times New Roman"/>
          <w:color w:val="000000"/>
          <w:sz w:val="24"/>
          <w:szCs w:val="24"/>
        </w:rPr>
        <w:t xml:space="preserve">, involving a two per cent raise in </w:t>
      </w:r>
      <w:r w:rsidR="009B4972" w:rsidRPr="00573273">
        <w:rPr>
          <w:rFonts w:cs="Times New Roman"/>
          <w:color w:val="000000"/>
          <w:sz w:val="24"/>
          <w:szCs w:val="24"/>
        </w:rPr>
        <w:t>the standard VAT rate to 19</w:t>
      </w:r>
      <w:r w:rsidR="00622EB5">
        <w:rPr>
          <w:rFonts w:cs="Times New Roman"/>
          <w:color w:val="000000"/>
          <w:sz w:val="24"/>
          <w:szCs w:val="24"/>
        </w:rPr>
        <w:t xml:space="preserve"> percent</w:t>
      </w:r>
      <w:r w:rsidR="009B4972" w:rsidRPr="00573273">
        <w:rPr>
          <w:rFonts w:cs="Times New Roman"/>
          <w:color w:val="000000"/>
          <w:sz w:val="24"/>
          <w:szCs w:val="24"/>
        </w:rPr>
        <w:t xml:space="preserve"> </w:t>
      </w:r>
      <w:r w:rsidR="00C14FFC">
        <w:rPr>
          <w:rFonts w:cs="Times New Roman"/>
          <w:color w:val="000000"/>
          <w:sz w:val="24"/>
          <w:szCs w:val="24"/>
        </w:rPr>
        <w:t xml:space="preserve">by </w:t>
      </w:r>
      <w:r w:rsidR="009B4972" w:rsidRPr="00573273">
        <w:rPr>
          <w:rFonts w:cs="Times New Roman"/>
          <w:color w:val="000000"/>
          <w:sz w:val="24"/>
          <w:szCs w:val="24"/>
        </w:rPr>
        <w:t xml:space="preserve">2014, and </w:t>
      </w:r>
      <w:r w:rsidR="00C14FFC">
        <w:rPr>
          <w:rFonts w:cs="Times New Roman"/>
          <w:color w:val="000000"/>
          <w:sz w:val="24"/>
          <w:szCs w:val="24"/>
        </w:rPr>
        <w:t xml:space="preserve">a rise in </w:t>
      </w:r>
      <w:r w:rsidR="009B4972" w:rsidRPr="00573273">
        <w:rPr>
          <w:rFonts w:cs="Times New Roman"/>
          <w:color w:val="000000"/>
          <w:sz w:val="24"/>
          <w:szCs w:val="24"/>
        </w:rPr>
        <w:t>the reduced rate from 8 to 9</w:t>
      </w:r>
      <w:r w:rsidR="00622EB5">
        <w:rPr>
          <w:rFonts w:cs="Times New Roman"/>
          <w:color w:val="000000"/>
          <w:sz w:val="24"/>
          <w:szCs w:val="24"/>
        </w:rPr>
        <w:t xml:space="preserve"> percent</w:t>
      </w:r>
      <w:r w:rsidR="00C14FFC">
        <w:rPr>
          <w:rFonts w:cs="Times New Roman"/>
          <w:color w:val="000000"/>
          <w:sz w:val="24"/>
          <w:szCs w:val="24"/>
        </w:rPr>
        <w:t>, and public sector wage freezes</w:t>
      </w:r>
      <w:r w:rsidR="009B4972" w:rsidRPr="00573273">
        <w:rPr>
          <w:rFonts w:cs="Times New Roman"/>
          <w:color w:val="000000"/>
          <w:sz w:val="24"/>
          <w:szCs w:val="24"/>
        </w:rPr>
        <w:t xml:space="preserve"> </w:t>
      </w:r>
      <w:r w:rsidR="008353A5">
        <w:rPr>
          <w:rFonts w:cs="Times New Roman"/>
          <w:color w:val="000000"/>
          <w:sz w:val="24"/>
          <w:szCs w:val="24"/>
        </w:rPr>
        <w:t>(Griffiths and Todoulos 2015, 15).</w:t>
      </w:r>
      <w:r w:rsidR="009B4972" w:rsidRPr="00573273">
        <w:rPr>
          <w:rFonts w:cs="Times New Roman"/>
          <w:color w:val="000000"/>
          <w:sz w:val="24"/>
          <w:szCs w:val="24"/>
        </w:rPr>
        <w:t xml:space="preserve"> </w:t>
      </w:r>
    </w:p>
    <w:p w14:paraId="0667CA52" w14:textId="078B124F" w:rsidR="009B4972" w:rsidRDefault="00385ABE" w:rsidP="00606455">
      <w:pPr>
        <w:spacing w:after="0" w:line="480" w:lineRule="auto"/>
        <w:ind w:firstLine="720"/>
        <w:rPr>
          <w:rFonts w:cs="Times New Roman"/>
          <w:color w:val="000000"/>
          <w:sz w:val="24"/>
          <w:szCs w:val="24"/>
        </w:rPr>
      </w:pPr>
      <w:r>
        <w:rPr>
          <w:rFonts w:cs="Times New Roman"/>
          <w:color w:val="000000"/>
          <w:sz w:val="24"/>
          <w:szCs w:val="24"/>
        </w:rPr>
        <w:lastRenderedPageBreak/>
        <w:t>As we can see, the interventions in member state policy were extremely detailed</w:t>
      </w:r>
      <w:r w:rsidR="00EB0559">
        <w:rPr>
          <w:rFonts w:cs="Times New Roman"/>
          <w:color w:val="000000"/>
          <w:sz w:val="24"/>
          <w:szCs w:val="24"/>
        </w:rPr>
        <w:t xml:space="preserve"> and extensive – in the cases of Ireland and Portugal around 400 distinct measures were recommended (</w:t>
      </w:r>
      <w:r w:rsidR="00A8369C">
        <w:rPr>
          <w:rFonts w:cs="Times New Roman"/>
          <w:color w:val="000000"/>
          <w:sz w:val="24"/>
          <w:szCs w:val="24"/>
        </w:rPr>
        <w:t>Kincaid 2016: 32)</w:t>
      </w:r>
      <w:r w:rsidR="00747082">
        <w:rPr>
          <w:rFonts w:cs="Times New Roman"/>
          <w:color w:val="000000"/>
          <w:sz w:val="24"/>
          <w:szCs w:val="24"/>
        </w:rPr>
        <w:t xml:space="preserve">. And of course </w:t>
      </w:r>
      <w:r>
        <w:rPr>
          <w:rFonts w:cs="Times New Roman"/>
          <w:color w:val="000000"/>
          <w:sz w:val="24"/>
          <w:szCs w:val="24"/>
        </w:rPr>
        <w:t xml:space="preserve">arrangements were set in place </w:t>
      </w:r>
      <w:r w:rsidR="002116A9">
        <w:rPr>
          <w:rFonts w:cs="Times New Roman"/>
          <w:color w:val="000000"/>
          <w:sz w:val="24"/>
          <w:szCs w:val="24"/>
        </w:rPr>
        <w:t>to monitor implementation</w:t>
      </w:r>
      <w:r w:rsidR="00B900AC">
        <w:rPr>
          <w:rFonts w:cs="Times New Roman"/>
          <w:color w:val="000000"/>
          <w:sz w:val="24"/>
          <w:szCs w:val="24"/>
        </w:rPr>
        <w:t xml:space="preserve"> involving frequent reporting to the IMF and quarterly reports of progress.</w:t>
      </w:r>
      <w:r w:rsidR="006A2C2F">
        <w:rPr>
          <w:rFonts w:cs="Times New Roman"/>
          <w:color w:val="000000"/>
          <w:sz w:val="24"/>
          <w:szCs w:val="24"/>
        </w:rPr>
        <w:t xml:space="preserve"> These drew on the IMF’s extensive experience with financial assistance, necessary in part because of the urgency of putting together agreements and procedures, and the European institutions’ limited experience (</w:t>
      </w:r>
      <w:r w:rsidR="00A8369C">
        <w:rPr>
          <w:rFonts w:cs="Times New Roman"/>
          <w:color w:val="000000"/>
          <w:sz w:val="24"/>
          <w:szCs w:val="24"/>
        </w:rPr>
        <w:t xml:space="preserve">Kincaid 2016: </w:t>
      </w:r>
      <w:r w:rsidR="006A2C2F">
        <w:rPr>
          <w:rFonts w:cs="Times New Roman"/>
          <w:color w:val="000000"/>
          <w:sz w:val="24"/>
          <w:szCs w:val="24"/>
        </w:rPr>
        <w:t>30).</w:t>
      </w:r>
      <w:r w:rsidR="00A8369C">
        <w:rPr>
          <w:rFonts w:cs="Times New Roman"/>
          <w:color w:val="000000"/>
          <w:sz w:val="24"/>
          <w:szCs w:val="24"/>
        </w:rPr>
        <w:t xml:space="preserve"> The </w:t>
      </w:r>
      <w:r w:rsidR="008D3E0C">
        <w:rPr>
          <w:rFonts w:cs="Times New Roman"/>
          <w:color w:val="000000"/>
          <w:sz w:val="24"/>
          <w:szCs w:val="24"/>
        </w:rPr>
        <w:t xml:space="preserve">effect of this was to create an awkward mix of European governance and external intervention by an IO, the IMF, used to applying conditionality to developing countries. </w:t>
      </w:r>
    </w:p>
    <w:p w14:paraId="7D79A750" w14:textId="1B25EB33" w:rsidR="00E01B57" w:rsidRDefault="00E01B57" w:rsidP="00E01B57">
      <w:pPr>
        <w:spacing w:after="0" w:line="480" w:lineRule="auto"/>
        <w:ind w:firstLine="720"/>
        <w:rPr>
          <w:rFonts w:cs="Times New Roman"/>
          <w:iCs/>
          <w:color w:val="000000"/>
          <w:sz w:val="24"/>
          <w:szCs w:val="24"/>
        </w:rPr>
      </w:pPr>
      <w:r>
        <w:rPr>
          <w:rFonts w:cs="Times New Roman"/>
          <w:color w:val="000000"/>
          <w:sz w:val="24"/>
          <w:szCs w:val="24"/>
        </w:rPr>
        <w:t xml:space="preserve">The bailouts were a long way from being a technical challenge alone. On top of the difficulties of securing the financial stability of the Eurozone and avoiding a breakup of the monetary union, policy-makers also had a clear political purpose. </w:t>
      </w:r>
      <w:r w:rsidRPr="00885703">
        <w:rPr>
          <w:rFonts w:cs="Times New Roman"/>
          <w:color w:val="000000"/>
          <w:sz w:val="24"/>
          <w:szCs w:val="24"/>
        </w:rPr>
        <w:t xml:space="preserve">"These countries can see that the path taken by Greece with the IMF is not an easy one. As a result they will do all they can to avoid this themselves," </w:t>
      </w:r>
      <w:r>
        <w:rPr>
          <w:rFonts w:cs="Times New Roman"/>
          <w:color w:val="000000"/>
          <w:sz w:val="24"/>
          <w:szCs w:val="24"/>
        </w:rPr>
        <w:t>Angela</w:t>
      </w:r>
      <w:r w:rsidRPr="00885703">
        <w:rPr>
          <w:rFonts w:cs="Times New Roman"/>
          <w:color w:val="000000"/>
          <w:sz w:val="24"/>
          <w:szCs w:val="24"/>
        </w:rPr>
        <w:t xml:space="preserve"> Merkel told the </w:t>
      </w:r>
      <w:r w:rsidRPr="009778B5">
        <w:rPr>
          <w:rFonts w:cs="Times New Roman"/>
          <w:i/>
          <w:color w:val="000000"/>
          <w:sz w:val="24"/>
          <w:szCs w:val="24"/>
        </w:rPr>
        <w:t>Bild am Sonntag</w:t>
      </w:r>
      <w:r w:rsidRPr="00885703">
        <w:rPr>
          <w:rFonts w:cs="Times New Roman"/>
          <w:color w:val="000000"/>
          <w:sz w:val="24"/>
          <w:szCs w:val="24"/>
        </w:rPr>
        <w:t xml:space="preserve"> newspaper</w:t>
      </w:r>
      <w:r w:rsidR="00747082">
        <w:rPr>
          <w:rFonts w:cs="Times New Roman"/>
          <w:color w:val="000000"/>
          <w:sz w:val="24"/>
          <w:szCs w:val="24"/>
        </w:rPr>
        <w:t>.</w:t>
      </w:r>
      <w:r>
        <w:rPr>
          <w:rStyle w:val="FootnoteReference"/>
          <w:rFonts w:cs="Times New Roman"/>
          <w:color w:val="000000"/>
          <w:sz w:val="24"/>
          <w:szCs w:val="24"/>
        </w:rPr>
        <w:footnoteReference w:id="11"/>
      </w:r>
      <w:r>
        <w:rPr>
          <w:rFonts w:cs="Times New Roman"/>
          <w:color w:val="000000"/>
          <w:sz w:val="24"/>
          <w:szCs w:val="24"/>
        </w:rPr>
        <w:t xml:space="preserve"> This same point was made more forcefully in private meetings of European leaders</w:t>
      </w:r>
      <w:r w:rsidR="00747082">
        <w:rPr>
          <w:rFonts w:cs="Times New Roman"/>
          <w:color w:val="000000"/>
          <w:sz w:val="24"/>
          <w:szCs w:val="24"/>
        </w:rPr>
        <w:t>. A</w:t>
      </w:r>
      <w:r>
        <w:rPr>
          <w:rFonts w:cs="Times New Roman"/>
          <w:color w:val="000000"/>
          <w:sz w:val="24"/>
          <w:szCs w:val="24"/>
        </w:rPr>
        <w:t xml:space="preserve">ccording to </w:t>
      </w:r>
      <w:r w:rsidR="00747082">
        <w:rPr>
          <w:rFonts w:cs="Times New Roman"/>
          <w:color w:val="000000"/>
          <w:sz w:val="24"/>
          <w:szCs w:val="24"/>
        </w:rPr>
        <w:t xml:space="preserve">former US Secretary of Treasury </w:t>
      </w:r>
      <w:r>
        <w:rPr>
          <w:rFonts w:cs="Times New Roman"/>
          <w:color w:val="000000"/>
          <w:sz w:val="24"/>
          <w:szCs w:val="24"/>
        </w:rPr>
        <w:t>Timothy Geithner’s memoirs</w:t>
      </w:r>
      <w:r w:rsidR="002262C5">
        <w:rPr>
          <w:rFonts w:cs="Times New Roman"/>
          <w:color w:val="000000"/>
          <w:sz w:val="24"/>
          <w:szCs w:val="24"/>
        </w:rPr>
        <w:t>,</w:t>
      </w:r>
      <w:r>
        <w:rPr>
          <w:rFonts w:cs="Times New Roman"/>
          <w:color w:val="000000"/>
          <w:sz w:val="24"/>
          <w:szCs w:val="24"/>
        </w:rPr>
        <w:t xml:space="preserve"> unnamed EU leaders took the view that</w:t>
      </w:r>
      <w:r w:rsidR="00747082">
        <w:rPr>
          <w:rFonts w:cs="Times New Roman"/>
          <w:color w:val="000000"/>
          <w:sz w:val="24"/>
          <w:szCs w:val="24"/>
        </w:rPr>
        <w:t>,</w:t>
      </w:r>
      <w:r>
        <w:rPr>
          <w:rFonts w:cs="Times New Roman"/>
          <w:color w:val="000000"/>
          <w:sz w:val="24"/>
          <w:szCs w:val="24"/>
        </w:rPr>
        <w:t xml:space="preserve"> “w</w:t>
      </w:r>
      <w:r w:rsidRPr="000F0337">
        <w:rPr>
          <w:rFonts w:cs="Times New Roman"/>
          <w:iCs/>
          <w:color w:val="000000"/>
          <w:sz w:val="24"/>
          <w:szCs w:val="24"/>
        </w:rPr>
        <w:t>e’re going to teach the Greeks a lesson. They are really terrible. They lied to us. They suck</w:t>
      </w:r>
      <w:r w:rsidR="002262C5">
        <w:rPr>
          <w:rFonts w:cs="Times New Roman"/>
          <w:iCs/>
          <w:color w:val="000000"/>
          <w:sz w:val="24"/>
          <w:szCs w:val="24"/>
        </w:rPr>
        <w:t>,</w:t>
      </w:r>
      <w:r w:rsidRPr="000F0337">
        <w:rPr>
          <w:rFonts w:cs="Times New Roman"/>
          <w:iCs/>
          <w:color w:val="000000"/>
          <w:sz w:val="24"/>
          <w:szCs w:val="24"/>
        </w:rPr>
        <w:t xml:space="preserve"> and they were profligate and took advantage of the whole basic thing</w:t>
      </w:r>
      <w:r w:rsidR="002262C5">
        <w:rPr>
          <w:rFonts w:cs="Times New Roman"/>
          <w:iCs/>
          <w:color w:val="000000"/>
          <w:sz w:val="24"/>
          <w:szCs w:val="24"/>
        </w:rPr>
        <w:t>,</w:t>
      </w:r>
      <w:r w:rsidRPr="000F0337">
        <w:rPr>
          <w:rFonts w:cs="Times New Roman"/>
          <w:iCs/>
          <w:color w:val="000000"/>
          <w:sz w:val="24"/>
          <w:szCs w:val="24"/>
        </w:rPr>
        <w:t xml:space="preserve"> and we’re going to crush them</w:t>
      </w:r>
      <w:r>
        <w:rPr>
          <w:rFonts w:cs="Times New Roman"/>
          <w:iCs/>
          <w:color w:val="000000"/>
          <w:sz w:val="24"/>
          <w:szCs w:val="24"/>
        </w:rPr>
        <w:t xml:space="preserve">” (Geithner 2012). By adopting a hard line on financial aid, with painful </w:t>
      </w:r>
      <w:r>
        <w:rPr>
          <w:rFonts w:cs="Times New Roman"/>
          <w:iCs/>
          <w:color w:val="000000"/>
          <w:sz w:val="24"/>
          <w:szCs w:val="24"/>
        </w:rPr>
        <w:lastRenderedPageBreak/>
        <w:t xml:space="preserve">and extensive conditions attached, European policy-makers were engaged in a political </w:t>
      </w:r>
      <w:r w:rsidR="004D17B7">
        <w:rPr>
          <w:rFonts w:cs="Times New Roman"/>
          <w:iCs/>
          <w:color w:val="000000"/>
          <w:sz w:val="24"/>
          <w:szCs w:val="24"/>
        </w:rPr>
        <w:t>process which established a clear power relationship between the financially troubled member states and their creditors, notably Germany.</w:t>
      </w:r>
    </w:p>
    <w:p w14:paraId="02F9BFED" w14:textId="18BCC5C4" w:rsidR="005833DE" w:rsidRDefault="00197E51" w:rsidP="009778B5">
      <w:pPr>
        <w:spacing w:after="0" w:line="480" w:lineRule="auto"/>
        <w:ind w:firstLine="720"/>
        <w:rPr>
          <w:rFonts w:cs="Times New Roman"/>
          <w:color w:val="000000"/>
          <w:sz w:val="24"/>
          <w:szCs w:val="24"/>
          <w:shd w:val="clear" w:color="auto" w:fill="FFFFFF"/>
        </w:rPr>
      </w:pPr>
      <w:r>
        <w:rPr>
          <w:rFonts w:cs="Times New Roman"/>
          <w:color w:val="000000"/>
          <w:sz w:val="24"/>
          <w:szCs w:val="24"/>
        </w:rPr>
        <w:t>The Spanish bailout also illustrates clearly the political nature of European financial assistance in this period. Spain differed</w:t>
      </w:r>
      <w:r w:rsidRPr="00573273">
        <w:rPr>
          <w:rFonts w:cs="Times New Roman"/>
          <w:color w:val="000000"/>
          <w:sz w:val="24"/>
          <w:szCs w:val="24"/>
        </w:rPr>
        <w:t xml:space="preserve"> from the other countries in that</w:t>
      </w:r>
      <w:r w:rsidR="008878BE">
        <w:rPr>
          <w:rFonts w:cs="Times New Roman"/>
          <w:color w:val="000000"/>
          <w:sz w:val="24"/>
          <w:szCs w:val="24"/>
        </w:rPr>
        <w:t xml:space="preserve"> financial difficulties came later and were limited to the supply of funds to backstop Spanish banks, rather than government borrowing, although the two were obviously connected. As a result,</w:t>
      </w:r>
      <w:r w:rsidRPr="00573273">
        <w:rPr>
          <w:rFonts w:cs="Times New Roman"/>
          <w:color w:val="000000"/>
          <w:sz w:val="24"/>
          <w:szCs w:val="24"/>
        </w:rPr>
        <w:t xml:space="preserve"> the major conditions </w:t>
      </w:r>
      <w:r w:rsidR="008878BE">
        <w:rPr>
          <w:rFonts w:cs="Times New Roman"/>
          <w:color w:val="000000"/>
          <w:sz w:val="24"/>
          <w:szCs w:val="24"/>
        </w:rPr>
        <w:t xml:space="preserve">attached to assistance focused on restructuring </w:t>
      </w:r>
      <w:r w:rsidRPr="00573273">
        <w:rPr>
          <w:rFonts w:cs="Times New Roman"/>
          <w:color w:val="000000"/>
          <w:sz w:val="24"/>
          <w:szCs w:val="24"/>
        </w:rPr>
        <w:t xml:space="preserve">the Spanish </w:t>
      </w:r>
      <w:r w:rsidR="008878BE">
        <w:rPr>
          <w:rFonts w:cs="Times New Roman"/>
          <w:color w:val="000000"/>
          <w:sz w:val="24"/>
          <w:szCs w:val="24"/>
        </w:rPr>
        <w:t xml:space="preserve">financial </w:t>
      </w:r>
      <w:r w:rsidRPr="00573273">
        <w:rPr>
          <w:rFonts w:cs="Times New Roman"/>
          <w:color w:val="000000"/>
          <w:sz w:val="24"/>
          <w:szCs w:val="24"/>
        </w:rPr>
        <w:t>sector</w:t>
      </w:r>
      <w:r w:rsidR="005833DE">
        <w:rPr>
          <w:rFonts w:cs="Times New Roman"/>
          <w:color w:val="000000"/>
          <w:sz w:val="24"/>
          <w:szCs w:val="24"/>
        </w:rPr>
        <w:t xml:space="preserve">, involving recapitalizations, changes to the governance of state-owned banks (cajas), </w:t>
      </w:r>
      <w:r w:rsidR="00B765FE">
        <w:rPr>
          <w:rFonts w:cs="Times New Roman"/>
          <w:color w:val="000000"/>
          <w:sz w:val="24"/>
          <w:szCs w:val="24"/>
        </w:rPr>
        <w:t xml:space="preserve">the creation of a bad bank (Sareb) </w:t>
      </w:r>
      <w:r w:rsidR="005833DE">
        <w:rPr>
          <w:rFonts w:cs="Times New Roman"/>
          <w:color w:val="000000"/>
          <w:sz w:val="24"/>
          <w:szCs w:val="24"/>
        </w:rPr>
        <w:t>and an independent audit of the sector</w:t>
      </w:r>
      <w:r w:rsidR="00B765FE">
        <w:rPr>
          <w:rFonts w:cs="Times New Roman"/>
          <w:color w:val="000000"/>
          <w:sz w:val="24"/>
          <w:szCs w:val="24"/>
        </w:rPr>
        <w:t xml:space="preserve"> (</w:t>
      </w:r>
      <w:r w:rsidR="001B4B6A">
        <w:rPr>
          <w:rFonts w:cs="Times New Roman"/>
          <w:color w:val="000000"/>
          <w:sz w:val="24"/>
          <w:szCs w:val="24"/>
        </w:rPr>
        <w:t>European Commission 2012)</w:t>
      </w:r>
      <w:r w:rsidRPr="00573273">
        <w:rPr>
          <w:rFonts w:cs="Times New Roman"/>
          <w:color w:val="000000"/>
          <w:sz w:val="24"/>
          <w:szCs w:val="24"/>
        </w:rPr>
        <w:t xml:space="preserve">. </w:t>
      </w:r>
      <w:r w:rsidR="00C14FFC">
        <w:rPr>
          <w:rFonts w:cs="Times New Roman"/>
          <w:color w:val="000000"/>
          <w:sz w:val="24"/>
          <w:szCs w:val="24"/>
        </w:rPr>
        <w:t xml:space="preserve">Up to </w:t>
      </w:r>
      <w:r w:rsidR="00C14FFC" w:rsidRPr="0001427C">
        <w:rPr>
          <w:rFonts w:cs="Times New Roman"/>
          <w:color w:val="000000"/>
          <w:sz w:val="24"/>
        </w:rPr>
        <w:t>€</w:t>
      </w:r>
      <w:r w:rsidR="00C14FFC">
        <w:rPr>
          <w:rFonts w:cs="Times New Roman"/>
          <w:color w:val="000000"/>
          <w:sz w:val="24"/>
          <w:szCs w:val="24"/>
        </w:rPr>
        <w:t xml:space="preserve">100 billion, of which almost </w:t>
      </w:r>
      <w:r w:rsidR="00C14FFC" w:rsidRPr="0001427C">
        <w:rPr>
          <w:rFonts w:cs="Times New Roman"/>
          <w:color w:val="000000"/>
          <w:sz w:val="24"/>
        </w:rPr>
        <w:t>€</w:t>
      </w:r>
      <w:r w:rsidR="00C14FFC">
        <w:rPr>
          <w:rFonts w:cs="Times New Roman"/>
          <w:color w:val="000000"/>
          <w:sz w:val="24"/>
        </w:rPr>
        <w:t>40 billion were actually used.</w:t>
      </w:r>
      <w:r w:rsidR="00C14FFC">
        <w:rPr>
          <w:rFonts w:cs="Times New Roman"/>
          <w:color w:val="000000"/>
          <w:sz w:val="24"/>
          <w:szCs w:val="24"/>
        </w:rPr>
        <w:t xml:space="preserve"> </w:t>
      </w:r>
      <w:r w:rsidRPr="00573273">
        <w:rPr>
          <w:rFonts w:cs="Times New Roman"/>
          <w:color w:val="000000"/>
          <w:sz w:val="24"/>
          <w:szCs w:val="24"/>
        </w:rPr>
        <w:t xml:space="preserve">The key banks included in the reconstruction </w:t>
      </w:r>
      <w:r w:rsidR="008878BE">
        <w:rPr>
          <w:rFonts w:cs="Times New Roman"/>
          <w:color w:val="000000"/>
          <w:sz w:val="24"/>
          <w:szCs w:val="24"/>
        </w:rPr>
        <w:t>were</w:t>
      </w:r>
      <w:r w:rsidRPr="00573273">
        <w:rPr>
          <w:rFonts w:cs="Times New Roman"/>
          <w:color w:val="000000"/>
          <w:sz w:val="24"/>
          <w:szCs w:val="24"/>
        </w:rPr>
        <w:t xml:space="preserve"> Bankia</w:t>
      </w:r>
      <w:r w:rsidR="008878BE">
        <w:rPr>
          <w:rFonts w:cs="Times New Roman"/>
          <w:color w:val="000000"/>
          <w:sz w:val="24"/>
          <w:szCs w:val="24"/>
        </w:rPr>
        <w:t xml:space="preserve"> (formerly Caja Madrid)</w:t>
      </w:r>
      <w:r w:rsidRPr="00573273">
        <w:rPr>
          <w:rFonts w:cs="Times New Roman"/>
          <w:color w:val="000000"/>
          <w:sz w:val="24"/>
          <w:szCs w:val="24"/>
        </w:rPr>
        <w:t>, Novagalicia Banco, Catalunya Banc and Banco de Valencia</w:t>
      </w:r>
      <w:r w:rsidR="00C14FFC">
        <w:rPr>
          <w:rFonts w:cs="Times New Roman"/>
          <w:color w:val="000000"/>
          <w:sz w:val="24"/>
          <w:szCs w:val="24"/>
        </w:rPr>
        <w:t>.</w:t>
      </w:r>
      <w:r>
        <w:rPr>
          <w:rFonts w:cs="Times New Roman"/>
          <w:color w:val="000000"/>
          <w:sz w:val="24"/>
          <w:szCs w:val="24"/>
        </w:rPr>
        <w:t xml:space="preserve"> </w:t>
      </w:r>
      <w:r w:rsidRPr="00573273">
        <w:rPr>
          <w:rFonts w:cs="Times New Roman"/>
          <w:color w:val="000000"/>
          <w:sz w:val="24"/>
          <w:szCs w:val="24"/>
          <w:shd w:val="clear" w:color="auto" w:fill="FFFFFF"/>
        </w:rPr>
        <w:t xml:space="preserve">Bankia said it would “lay off 6,000 employees, or 28 percent of its work force, and cut its branch network by 39 percent. The bank predicted it would return to profit next year and reach earnings of </w:t>
      </w:r>
      <w:r w:rsidR="00C14FFC" w:rsidRPr="0001427C">
        <w:rPr>
          <w:rFonts w:cs="Times New Roman"/>
          <w:color w:val="000000"/>
          <w:sz w:val="24"/>
        </w:rPr>
        <w:t>€</w:t>
      </w:r>
      <w:r w:rsidRPr="00573273">
        <w:rPr>
          <w:rFonts w:cs="Times New Roman"/>
          <w:color w:val="000000"/>
          <w:sz w:val="24"/>
          <w:szCs w:val="24"/>
          <w:shd w:val="clear" w:color="auto" w:fill="FFFFFF"/>
        </w:rPr>
        <w:t>1.5 billion ($1.9 billion) by 2015</w:t>
      </w:r>
      <w:r w:rsidR="00C14FFC">
        <w:rPr>
          <w:rFonts w:cs="Times New Roman"/>
          <w:color w:val="000000"/>
          <w:sz w:val="24"/>
          <w:szCs w:val="24"/>
          <w:shd w:val="clear" w:color="auto" w:fill="FFFFFF"/>
        </w:rPr>
        <w:t xml:space="preserve"> </w:t>
      </w:r>
      <w:r w:rsidR="00C14FFC">
        <w:rPr>
          <w:rFonts w:cs="Times New Roman"/>
          <w:color w:val="000000"/>
          <w:sz w:val="24"/>
          <w:szCs w:val="24"/>
        </w:rPr>
        <w:t>(Minder and Kanter 2012)</w:t>
      </w:r>
      <w:r>
        <w:rPr>
          <w:rFonts w:cs="Times New Roman"/>
          <w:color w:val="000000"/>
          <w:sz w:val="24"/>
          <w:szCs w:val="24"/>
          <w:shd w:val="clear" w:color="auto" w:fill="FFFFFF"/>
        </w:rPr>
        <w:t>.</w:t>
      </w:r>
      <w:r w:rsidRPr="00573273">
        <w:rPr>
          <w:rFonts w:cs="Times New Roman"/>
          <w:color w:val="000000"/>
          <w:sz w:val="24"/>
          <w:szCs w:val="24"/>
          <w:shd w:val="clear" w:color="auto" w:fill="FFFFFF"/>
        </w:rPr>
        <w:t>”</w:t>
      </w:r>
      <w:r w:rsidR="001B4B6A">
        <w:rPr>
          <w:rFonts w:cs="Times New Roman"/>
          <w:color w:val="000000"/>
          <w:sz w:val="24"/>
          <w:szCs w:val="24"/>
          <w:shd w:val="clear" w:color="auto" w:fill="FFFFFF"/>
        </w:rPr>
        <w:t xml:space="preserve"> Instead, Bankia remained</w:t>
      </w:r>
      <w:r w:rsidR="00C14FFC">
        <w:rPr>
          <w:rFonts w:cs="Times New Roman"/>
          <w:color w:val="000000"/>
          <w:sz w:val="24"/>
          <w:szCs w:val="24"/>
          <w:shd w:val="clear" w:color="auto" w:fill="FFFFFF"/>
        </w:rPr>
        <w:t xml:space="preserve"> on the state books in 2016, and the Spanish government had only recouped a small part of the outlay (Buck 2016).</w:t>
      </w:r>
    </w:p>
    <w:p w14:paraId="48BBC11A" w14:textId="2C624E91" w:rsidR="001C37DD" w:rsidRPr="001C37DD" w:rsidRDefault="003F7654" w:rsidP="009778B5">
      <w:pPr>
        <w:spacing w:after="0" w:line="480" w:lineRule="auto"/>
        <w:ind w:firstLine="720"/>
        <w:rPr>
          <w:rFonts w:cs="Times New Roman"/>
          <w:color w:val="000000"/>
          <w:sz w:val="24"/>
          <w:szCs w:val="24"/>
        </w:rPr>
      </w:pPr>
      <w:r>
        <w:rPr>
          <w:rFonts w:cs="Times New Roman"/>
          <w:color w:val="000000"/>
          <w:sz w:val="24"/>
          <w:szCs w:val="24"/>
          <w:shd w:val="clear" w:color="auto" w:fill="FFFFFF"/>
        </w:rPr>
        <w:t xml:space="preserve">Notwithstanding these difficulties, Spain was treated rather differently than the other bailout countries. The European Stability Mechanism boasted that </w:t>
      </w:r>
      <w:r w:rsidR="009778B5">
        <w:rPr>
          <w:rFonts w:cs="Times New Roman"/>
          <w:color w:val="000000"/>
          <w:sz w:val="24"/>
          <w:szCs w:val="24"/>
          <w:shd w:val="clear" w:color="auto" w:fill="FFFFFF"/>
        </w:rPr>
        <w:t>“</w:t>
      </w:r>
      <w:r w:rsidRPr="003F7654">
        <w:rPr>
          <w:rFonts w:cs="Times New Roman"/>
          <w:color w:val="000000"/>
          <w:sz w:val="24"/>
          <w:szCs w:val="24"/>
          <w:shd w:val="clear" w:color="auto" w:fill="FFFFFF"/>
        </w:rPr>
        <w:t>Spain is a good example of the succe</w:t>
      </w:r>
      <w:r>
        <w:rPr>
          <w:rFonts w:cs="Times New Roman"/>
          <w:color w:val="000000"/>
          <w:sz w:val="24"/>
          <w:szCs w:val="24"/>
          <w:shd w:val="clear" w:color="auto" w:fill="FFFFFF"/>
        </w:rPr>
        <w:t>ss of ESM assistance programmes</w:t>
      </w:r>
      <w:r w:rsidR="009778B5">
        <w:rPr>
          <w:rFonts w:cs="Times New Roman"/>
          <w:color w:val="000000"/>
          <w:sz w:val="24"/>
          <w:szCs w:val="24"/>
          <w:shd w:val="clear" w:color="auto" w:fill="FFFFFF"/>
        </w:rPr>
        <w:t>,”</w:t>
      </w:r>
      <w:r>
        <w:rPr>
          <w:rFonts w:cs="Times New Roman"/>
          <w:color w:val="000000"/>
          <w:sz w:val="24"/>
          <w:szCs w:val="24"/>
          <w:shd w:val="clear" w:color="auto" w:fill="FFFFFF"/>
        </w:rPr>
        <w:t xml:space="preserve"> and is particularly proud of having managed the programme without the aid of the IMF (E</w:t>
      </w:r>
      <w:r w:rsidR="001C37DD">
        <w:rPr>
          <w:rFonts w:cs="Times New Roman"/>
          <w:color w:val="000000"/>
          <w:sz w:val="24"/>
          <w:szCs w:val="24"/>
          <w:shd w:val="clear" w:color="auto" w:fill="FFFFFF"/>
        </w:rPr>
        <w:t xml:space="preserve">uropean </w:t>
      </w:r>
      <w:r>
        <w:rPr>
          <w:rFonts w:cs="Times New Roman"/>
          <w:color w:val="000000"/>
          <w:sz w:val="24"/>
          <w:szCs w:val="24"/>
          <w:shd w:val="clear" w:color="auto" w:fill="FFFFFF"/>
        </w:rPr>
        <w:lastRenderedPageBreak/>
        <w:t>S</w:t>
      </w:r>
      <w:r w:rsidR="001C37DD">
        <w:rPr>
          <w:rFonts w:cs="Times New Roman"/>
          <w:color w:val="000000"/>
          <w:sz w:val="24"/>
          <w:szCs w:val="24"/>
          <w:shd w:val="clear" w:color="auto" w:fill="FFFFFF"/>
        </w:rPr>
        <w:t xml:space="preserve">tability </w:t>
      </w:r>
      <w:r>
        <w:rPr>
          <w:rFonts w:cs="Times New Roman"/>
          <w:color w:val="000000"/>
          <w:sz w:val="24"/>
          <w:szCs w:val="24"/>
          <w:shd w:val="clear" w:color="auto" w:fill="FFFFFF"/>
        </w:rPr>
        <w:t>M</w:t>
      </w:r>
      <w:r w:rsidR="001C37DD">
        <w:rPr>
          <w:rFonts w:cs="Times New Roman"/>
          <w:color w:val="000000"/>
          <w:sz w:val="24"/>
          <w:szCs w:val="24"/>
          <w:shd w:val="clear" w:color="auto" w:fill="FFFFFF"/>
        </w:rPr>
        <w:t>echanism</w:t>
      </w:r>
      <w:r>
        <w:rPr>
          <w:rFonts w:cs="Times New Roman"/>
          <w:color w:val="000000"/>
          <w:sz w:val="24"/>
          <w:szCs w:val="24"/>
          <w:shd w:val="clear" w:color="auto" w:fill="FFFFFF"/>
        </w:rPr>
        <w:t xml:space="preserve"> 2018). </w:t>
      </w:r>
      <w:r w:rsidR="001C37DD">
        <w:rPr>
          <w:rFonts w:cs="Times New Roman"/>
          <w:color w:val="000000"/>
          <w:sz w:val="24"/>
          <w:szCs w:val="24"/>
          <w:shd w:val="clear" w:color="auto" w:fill="FFFFFF"/>
        </w:rPr>
        <w:t xml:space="preserve">Spain benefited from the measures taken by the ECB to ease funding pressures on Eurozone governments, but was also given special treatment due to the Eurogroup’s trust in </w:t>
      </w:r>
      <w:r w:rsidR="00197E51">
        <w:rPr>
          <w:rFonts w:cs="Times New Roman"/>
          <w:color w:val="000000"/>
          <w:sz w:val="24"/>
          <w:szCs w:val="24"/>
          <w:shd w:val="clear" w:color="auto" w:fill="FFFFFF"/>
        </w:rPr>
        <w:t>the conservative Rajoy government</w:t>
      </w:r>
      <w:r w:rsidR="001C37DD">
        <w:rPr>
          <w:rFonts w:cs="Times New Roman"/>
          <w:color w:val="000000"/>
          <w:sz w:val="24"/>
          <w:szCs w:val="24"/>
          <w:shd w:val="clear" w:color="auto" w:fill="FFFFFF"/>
        </w:rPr>
        <w:t>,</w:t>
      </w:r>
      <w:r w:rsidR="00197E51">
        <w:rPr>
          <w:rFonts w:cs="Times New Roman"/>
          <w:color w:val="000000"/>
          <w:sz w:val="24"/>
          <w:szCs w:val="24"/>
          <w:shd w:val="clear" w:color="auto" w:fill="FFFFFF"/>
        </w:rPr>
        <w:t xml:space="preserve"> </w:t>
      </w:r>
      <w:r w:rsidR="001C37DD">
        <w:rPr>
          <w:rFonts w:cs="Times New Roman"/>
          <w:color w:val="000000"/>
          <w:sz w:val="24"/>
          <w:szCs w:val="24"/>
          <w:shd w:val="clear" w:color="auto" w:fill="FFFFFF"/>
        </w:rPr>
        <w:t xml:space="preserve">which had already </w:t>
      </w:r>
      <w:r w:rsidR="00197E51">
        <w:rPr>
          <w:rFonts w:cs="Times New Roman"/>
          <w:color w:val="000000"/>
          <w:sz w:val="24"/>
          <w:szCs w:val="24"/>
          <w:shd w:val="clear" w:color="auto" w:fill="FFFFFF"/>
        </w:rPr>
        <w:t>pushed through a far-reaching liberalization of the labour market which had the effect of accelerating wage adjustment</w:t>
      </w:r>
      <w:r w:rsidR="001C37DD">
        <w:rPr>
          <w:rFonts w:cs="Times New Roman"/>
          <w:color w:val="000000"/>
          <w:sz w:val="24"/>
          <w:szCs w:val="24"/>
          <w:shd w:val="clear" w:color="auto" w:fill="FFFFFF"/>
        </w:rPr>
        <w:t>. T</w:t>
      </w:r>
      <w:r w:rsidR="00197E51">
        <w:rPr>
          <w:rFonts w:cs="Times New Roman"/>
          <w:color w:val="000000"/>
          <w:sz w:val="24"/>
          <w:szCs w:val="24"/>
          <w:shd w:val="clear" w:color="auto" w:fill="FFFFFF"/>
        </w:rPr>
        <w:t>he European institutions have tended to treat Spain similarly to Ireland, as a success story to contrast with the Greek debacle.</w:t>
      </w:r>
      <w:r w:rsidR="001C37DD">
        <w:rPr>
          <w:rFonts w:cs="Times New Roman"/>
          <w:color w:val="000000"/>
          <w:sz w:val="24"/>
          <w:szCs w:val="24"/>
          <w:shd w:val="clear" w:color="auto" w:fill="FFFFFF"/>
        </w:rPr>
        <w:t xml:space="preserve"> Trusted member states, it appears, could be relieved of the harshest conditionality measures, provided they were prepared to impose the pain themselves.</w:t>
      </w:r>
    </w:p>
    <w:p w14:paraId="03223F89" w14:textId="77777777" w:rsidR="005A4915" w:rsidRDefault="005A4915" w:rsidP="00677131">
      <w:pPr>
        <w:widowControl w:val="0"/>
        <w:autoSpaceDE w:val="0"/>
        <w:autoSpaceDN w:val="0"/>
        <w:adjustRightInd w:val="0"/>
        <w:spacing w:line="480" w:lineRule="auto"/>
        <w:rPr>
          <w:rFonts w:cs="Cambria"/>
          <w:sz w:val="24"/>
          <w:szCs w:val="24"/>
        </w:rPr>
      </w:pPr>
    </w:p>
    <w:p w14:paraId="53EC1ED8" w14:textId="252755DA" w:rsidR="005A4915" w:rsidRPr="000F0337" w:rsidRDefault="005F0D5E" w:rsidP="00236EC3">
      <w:pPr>
        <w:widowControl w:val="0"/>
        <w:autoSpaceDE w:val="0"/>
        <w:autoSpaceDN w:val="0"/>
        <w:adjustRightInd w:val="0"/>
        <w:spacing w:line="480" w:lineRule="auto"/>
        <w:outlineLvl w:val="0"/>
        <w:rPr>
          <w:rFonts w:cs="Cambria"/>
          <w:b/>
          <w:sz w:val="24"/>
          <w:szCs w:val="24"/>
        </w:rPr>
      </w:pPr>
      <w:r>
        <w:rPr>
          <w:rFonts w:cs="Cambria"/>
          <w:b/>
          <w:sz w:val="24"/>
          <w:szCs w:val="24"/>
        </w:rPr>
        <w:t>The Revenge of the Tech</w:t>
      </w:r>
      <w:r w:rsidR="009778B5">
        <w:rPr>
          <w:rFonts w:cs="Cambria"/>
          <w:b/>
          <w:sz w:val="24"/>
          <w:szCs w:val="24"/>
        </w:rPr>
        <w:t>n</w:t>
      </w:r>
      <w:r>
        <w:rPr>
          <w:rFonts w:cs="Cambria"/>
          <w:b/>
          <w:sz w:val="24"/>
          <w:szCs w:val="24"/>
        </w:rPr>
        <w:t xml:space="preserve">ocrats: </w:t>
      </w:r>
      <w:r w:rsidR="007B6287" w:rsidRPr="000F0337">
        <w:rPr>
          <w:rFonts w:cs="Cambria"/>
          <w:b/>
          <w:sz w:val="24"/>
          <w:szCs w:val="24"/>
        </w:rPr>
        <w:t>Conditionality and the ECB</w:t>
      </w:r>
    </w:p>
    <w:p w14:paraId="77918711" w14:textId="526CD935" w:rsidR="004F001B" w:rsidRDefault="00130ADB" w:rsidP="00677131">
      <w:pPr>
        <w:spacing w:line="480" w:lineRule="auto"/>
        <w:rPr>
          <w:sz w:val="24"/>
          <w:szCs w:val="24"/>
        </w:rPr>
      </w:pPr>
      <w:r w:rsidRPr="00D30AFF">
        <w:rPr>
          <w:sz w:val="24"/>
          <w:szCs w:val="24"/>
        </w:rPr>
        <w:t xml:space="preserve">The ECB also exercised conditionality. Such tools had generally not been part of the ECB’s standard practices. Since its foundation in </w:t>
      </w:r>
      <w:r w:rsidR="003B2779" w:rsidRPr="003B2779">
        <w:rPr>
          <w:sz w:val="24"/>
          <w:szCs w:val="24"/>
        </w:rPr>
        <w:t>1998</w:t>
      </w:r>
      <w:r w:rsidRPr="003B2779">
        <w:rPr>
          <w:sz w:val="24"/>
          <w:szCs w:val="24"/>
        </w:rPr>
        <w:t>,</w:t>
      </w:r>
      <w:r w:rsidRPr="00D30AFF">
        <w:rPr>
          <w:sz w:val="24"/>
          <w:szCs w:val="24"/>
        </w:rPr>
        <w:t xml:space="preserve"> the ECB </w:t>
      </w:r>
      <w:r w:rsidRPr="003B2779">
        <w:rPr>
          <w:sz w:val="24"/>
          <w:szCs w:val="24"/>
        </w:rPr>
        <w:t>had seldom</w:t>
      </w:r>
      <w:r w:rsidRPr="00D30AFF">
        <w:rPr>
          <w:sz w:val="24"/>
          <w:szCs w:val="24"/>
        </w:rPr>
        <w:t xml:space="preserve"> been in a position to ask individual states to change their policy. With the Eurocrisis, this changed (Henning</w:t>
      </w:r>
      <w:r w:rsidR="00E938F5">
        <w:rPr>
          <w:sz w:val="24"/>
          <w:szCs w:val="24"/>
        </w:rPr>
        <w:t>, 2017</w:t>
      </w:r>
      <w:r w:rsidR="008A5AFF">
        <w:rPr>
          <w:sz w:val="24"/>
          <w:szCs w:val="24"/>
        </w:rPr>
        <w:t>,</w:t>
      </w:r>
      <w:r w:rsidR="00072A6C">
        <w:rPr>
          <w:sz w:val="24"/>
          <w:szCs w:val="24"/>
        </w:rPr>
        <w:t xml:space="preserve"> </w:t>
      </w:r>
      <w:r w:rsidR="008A5AFF">
        <w:rPr>
          <w:sz w:val="24"/>
          <w:szCs w:val="24"/>
        </w:rPr>
        <w:t>66-69</w:t>
      </w:r>
      <w:r w:rsidRPr="00D30AFF">
        <w:rPr>
          <w:sz w:val="24"/>
          <w:szCs w:val="24"/>
        </w:rPr>
        <w:t>)</w:t>
      </w:r>
      <w:r w:rsidR="004F001B">
        <w:rPr>
          <w:sz w:val="24"/>
          <w:szCs w:val="24"/>
        </w:rPr>
        <w:t xml:space="preserve"> as financial distress gave the ECB leverage to insist on specific policy measures in return for financial assistance. This began in 2010 as Eurozone members began to face liquidity problems, and initial interventions from the central bank were aimed at averting the very public and visible bailouts that ultimately became necessary in the periphery countries.</w:t>
      </w:r>
    </w:p>
    <w:p w14:paraId="6A7B8218" w14:textId="1F485792" w:rsidR="004F001B" w:rsidRDefault="00870FAD" w:rsidP="009778B5">
      <w:pPr>
        <w:spacing w:line="480" w:lineRule="auto"/>
        <w:ind w:firstLine="720"/>
        <w:rPr>
          <w:sz w:val="24"/>
          <w:szCs w:val="24"/>
        </w:rPr>
      </w:pPr>
      <w:r>
        <w:rPr>
          <w:sz w:val="24"/>
          <w:szCs w:val="24"/>
        </w:rPr>
        <w:t>As the sovereign debt crisis in the Eurozone took hold, t</w:t>
      </w:r>
      <w:r w:rsidR="00130ADB" w:rsidRPr="00D30AFF">
        <w:rPr>
          <w:sz w:val="24"/>
          <w:szCs w:val="24"/>
        </w:rPr>
        <w:t>he ECB demanded of certain member states specific policy responses as a precondition for enhanced liquidity</w:t>
      </w:r>
      <w:r>
        <w:rPr>
          <w:sz w:val="24"/>
          <w:szCs w:val="24"/>
        </w:rPr>
        <w:t xml:space="preserve"> (</w:t>
      </w:r>
      <w:r w:rsidRPr="00D30AFF">
        <w:rPr>
          <w:sz w:val="24"/>
          <w:szCs w:val="24"/>
        </w:rPr>
        <w:t xml:space="preserve">Woodruff </w:t>
      </w:r>
      <w:r>
        <w:rPr>
          <w:sz w:val="24"/>
          <w:szCs w:val="24"/>
        </w:rPr>
        <w:t>2014)</w:t>
      </w:r>
      <w:r w:rsidR="00130ADB" w:rsidRPr="00D30AFF">
        <w:rPr>
          <w:sz w:val="24"/>
          <w:szCs w:val="24"/>
        </w:rPr>
        <w:t xml:space="preserve">. In the first case in 2010, Trichet made liquidity provision </w:t>
      </w:r>
      <w:r w:rsidR="00130ADB" w:rsidRPr="00D30AFF">
        <w:rPr>
          <w:sz w:val="24"/>
          <w:szCs w:val="24"/>
        </w:rPr>
        <w:lastRenderedPageBreak/>
        <w:t>conditional on both the Council’s adoption of a broader rescue mechanism (which became the European Fiscal Stability Fund) but also on specific austerity pledges by Greece, Portugal, and Ireland.  In Greece and Portugal, funding was also made conditional on pledges by opposition parties to respect the arrangements should t</w:t>
      </w:r>
      <w:r w:rsidR="00130ADB" w:rsidRPr="00FD20AD">
        <w:rPr>
          <w:sz w:val="24"/>
          <w:szCs w:val="24"/>
        </w:rPr>
        <w:t xml:space="preserve">hey come to power (2014: 100). </w:t>
      </w:r>
      <w:r w:rsidR="004F001B">
        <w:rPr>
          <w:sz w:val="24"/>
          <w:szCs w:val="24"/>
        </w:rPr>
        <w:t xml:space="preserve">The debt crisis therefore provided the ECB with a new </w:t>
      </w:r>
      <w:r w:rsidR="00622EB5">
        <w:rPr>
          <w:sz w:val="24"/>
          <w:szCs w:val="24"/>
        </w:rPr>
        <w:t>“</w:t>
      </w:r>
      <w:r w:rsidR="004F001B">
        <w:rPr>
          <w:sz w:val="24"/>
          <w:szCs w:val="24"/>
        </w:rPr>
        <w:t>hard</w:t>
      </w:r>
      <w:r w:rsidR="00622EB5">
        <w:rPr>
          <w:sz w:val="24"/>
          <w:szCs w:val="24"/>
        </w:rPr>
        <w:t>”</w:t>
      </w:r>
      <w:r w:rsidR="004F001B">
        <w:rPr>
          <w:sz w:val="24"/>
          <w:szCs w:val="24"/>
        </w:rPr>
        <w:t xml:space="preserve"> instrument to determine member state fiscal policy, a central concern of monetary union that had eluded the </w:t>
      </w:r>
      <w:r w:rsidR="00216502">
        <w:rPr>
          <w:sz w:val="24"/>
          <w:szCs w:val="24"/>
        </w:rPr>
        <w:t xml:space="preserve">easily disregarded </w:t>
      </w:r>
      <w:r w:rsidR="00CC2C54">
        <w:rPr>
          <w:sz w:val="24"/>
          <w:szCs w:val="24"/>
        </w:rPr>
        <w:t xml:space="preserve">requirements of the </w:t>
      </w:r>
      <w:r w:rsidR="004F001B">
        <w:rPr>
          <w:sz w:val="24"/>
          <w:szCs w:val="24"/>
        </w:rPr>
        <w:t xml:space="preserve">Stability and Growth </w:t>
      </w:r>
      <w:r w:rsidR="00D75190">
        <w:rPr>
          <w:sz w:val="24"/>
          <w:szCs w:val="24"/>
        </w:rPr>
        <w:t>Pact (Wyplosz 2013)</w:t>
      </w:r>
      <w:r w:rsidR="004F001B">
        <w:rPr>
          <w:sz w:val="24"/>
          <w:szCs w:val="24"/>
        </w:rPr>
        <w:t>.</w:t>
      </w:r>
    </w:p>
    <w:p w14:paraId="538C9DF7" w14:textId="62A68B41" w:rsidR="005D33C5" w:rsidRDefault="00BB2789">
      <w:pPr>
        <w:spacing w:line="480" w:lineRule="auto"/>
        <w:rPr>
          <w:sz w:val="24"/>
          <w:szCs w:val="24"/>
        </w:rPr>
      </w:pPr>
      <w:r>
        <w:rPr>
          <w:sz w:val="24"/>
          <w:szCs w:val="24"/>
        </w:rPr>
        <w:tab/>
        <w:t xml:space="preserve">However this opportunity was exploited by ECB governor </w:t>
      </w:r>
      <w:r w:rsidR="00130ADB" w:rsidRPr="00FD20AD">
        <w:rPr>
          <w:sz w:val="24"/>
          <w:szCs w:val="24"/>
        </w:rPr>
        <w:t xml:space="preserve">Trichet </w:t>
      </w:r>
      <w:r>
        <w:rPr>
          <w:sz w:val="24"/>
          <w:szCs w:val="24"/>
        </w:rPr>
        <w:t xml:space="preserve">to go well beyond fiscal and monetary matters and developed implied conditionality in other areas, notably the labour market, and in countries not subject to economic adjustment programmes. Trichet </w:t>
      </w:r>
      <w:r w:rsidR="00130ADB" w:rsidRPr="00FD20AD">
        <w:rPr>
          <w:sz w:val="24"/>
          <w:szCs w:val="24"/>
        </w:rPr>
        <w:t xml:space="preserve">sent detailed letters to the governments of Italy and Spain in late summer 2011 calling for </w:t>
      </w:r>
      <w:r w:rsidR="00622EB5">
        <w:rPr>
          <w:sz w:val="24"/>
          <w:szCs w:val="24"/>
        </w:rPr>
        <w:t>“</w:t>
      </w:r>
      <w:r w:rsidR="00130ADB" w:rsidRPr="00FD20AD">
        <w:rPr>
          <w:sz w:val="24"/>
          <w:szCs w:val="24"/>
        </w:rPr>
        <w:t>intensified austerity, labor market reforms and a liberalized reorganization of collective bargaining</w:t>
      </w:r>
      <w:r w:rsidR="00622EB5">
        <w:rPr>
          <w:sz w:val="24"/>
          <w:szCs w:val="24"/>
        </w:rPr>
        <w:t>”</w:t>
      </w:r>
      <w:r w:rsidR="00130ADB" w:rsidRPr="00FD20AD">
        <w:rPr>
          <w:sz w:val="24"/>
          <w:szCs w:val="24"/>
        </w:rPr>
        <w:t xml:space="preserve"> (Woodruff 2014</w:t>
      </w:r>
      <w:r w:rsidR="006159D4">
        <w:rPr>
          <w:sz w:val="24"/>
          <w:szCs w:val="24"/>
        </w:rPr>
        <w:t>,</w:t>
      </w:r>
      <w:r w:rsidR="00130ADB" w:rsidRPr="00FD20AD">
        <w:rPr>
          <w:sz w:val="24"/>
          <w:szCs w:val="24"/>
        </w:rPr>
        <w:t xml:space="preserve"> 100). </w:t>
      </w:r>
      <w:r w:rsidR="00F62E15">
        <w:rPr>
          <w:sz w:val="24"/>
          <w:szCs w:val="24"/>
        </w:rPr>
        <w:t xml:space="preserve">Like in the formal bailouts, the letters included </w:t>
      </w:r>
      <w:r w:rsidR="00104CB4">
        <w:rPr>
          <w:sz w:val="24"/>
          <w:szCs w:val="24"/>
        </w:rPr>
        <w:t xml:space="preserve">very </w:t>
      </w:r>
      <w:r w:rsidR="00F62E15">
        <w:rPr>
          <w:sz w:val="24"/>
          <w:szCs w:val="24"/>
        </w:rPr>
        <w:t>specific recommendations</w:t>
      </w:r>
      <w:r w:rsidR="00104CB4">
        <w:rPr>
          <w:sz w:val="24"/>
          <w:szCs w:val="24"/>
        </w:rPr>
        <w:t>. In the Italian letter, the government was exhorted</w:t>
      </w:r>
      <w:r w:rsidR="00F62E15">
        <w:rPr>
          <w:sz w:val="24"/>
          <w:szCs w:val="24"/>
        </w:rPr>
        <w:t xml:space="preserve"> to freeze public sector salaries</w:t>
      </w:r>
      <w:r w:rsidR="00104CB4">
        <w:rPr>
          <w:sz w:val="24"/>
          <w:szCs w:val="24"/>
        </w:rPr>
        <w:t xml:space="preserve"> in order to hit its deficit target, </w:t>
      </w:r>
      <w:r w:rsidR="00F62E15">
        <w:rPr>
          <w:sz w:val="24"/>
          <w:szCs w:val="24"/>
        </w:rPr>
        <w:t xml:space="preserve">but also </w:t>
      </w:r>
      <w:r w:rsidR="00104CB4">
        <w:rPr>
          <w:sz w:val="24"/>
          <w:szCs w:val="24"/>
        </w:rPr>
        <w:t xml:space="preserve">privatize local utilities, </w:t>
      </w:r>
      <w:r w:rsidR="00F62E15">
        <w:rPr>
          <w:sz w:val="24"/>
          <w:szCs w:val="24"/>
        </w:rPr>
        <w:t xml:space="preserve">change labour market regulations and practices, </w:t>
      </w:r>
      <w:r w:rsidR="00104CB4">
        <w:rPr>
          <w:sz w:val="24"/>
          <w:szCs w:val="24"/>
        </w:rPr>
        <w:t xml:space="preserve">and even abolish the provincial tier of the administration, </w:t>
      </w:r>
      <w:r w:rsidR="00F62E15">
        <w:rPr>
          <w:sz w:val="24"/>
          <w:szCs w:val="24"/>
        </w:rPr>
        <w:t>none of which could reasonably be considered to be within the ECB’s remit</w:t>
      </w:r>
      <w:r w:rsidR="00104CB4">
        <w:rPr>
          <w:sz w:val="24"/>
          <w:szCs w:val="24"/>
        </w:rPr>
        <w:t xml:space="preserve"> (Corriere della sera 2011)</w:t>
      </w:r>
      <w:r w:rsidR="00F62E15">
        <w:rPr>
          <w:sz w:val="24"/>
          <w:szCs w:val="24"/>
        </w:rPr>
        <w:t xml:space="preserve">. </w:t>
      </w:r>
      <w:r w:rsidR="00130ADB" w:rsidRPr="00FD20AD">
        <w:rPr>
          <w:sz w:val="24"/>
          <w:szCs w:val="24"/>
        </w:rPr>
        <w:t>While the letters did not mention enhanced liquidity conditions then being considered by the ECB, press reports indicate that most observers understood the reforms to be a quid pro quo for ECB bond purchases, and both governments made the suggested changes</w:t>
      </w:r>
      <w:r w:rsidR="007B6287" w:rsidRPr="000F0337">
        <w:rPr>
          <w:sz w:val="24"/>
          <w:szCs w:val="24"/>
        </w:rPr>
        <w:t>, including</w:t>
      </w:r>
      <w:r w:rsidR="00130ADB" w:rsidRPr="00FD20AD">
        <w:rPr>
          <w:sz w:val="24"/>
          <w:szCs w:val="24"/>
        </w:rPr>
        <w:t xml:space="preserve"> </w:t>
      </w:r>
      <w:r w:rsidR="004C137E">
        <w:rPr>
          <w:sz w:val="24"/>
          <w:szCs w:val="24"/>
        </w:rPr>
        <w:t xml:space="preserve">in </w:t>
      </w:r>
      <w:r w:rsidR="004C137E">
        <w:rPr>
          <w:sz w:val="24"/>
          <w:szCs w:val="24"/>
        </w:rPr>
        <w:lastRenderedPageBreak/>
        <w:t>the Italian case the deposing of Silvio Berlusconi as Prime Minister and his replacement by the former European Commissioner Monti</w:t>
      </w:r>
      <w:r w:rsidR="00262AC3">
        <w:rPr>
          <w:sz w:val="24"/>
          <w:szCs w:val="24"/>
        </w:rPr>
        <w:t xml:space="preserve"> (Klein 2017)</w:t>
      </w:r>
      <w:r w:rsidR="004C137E">
        <w:rPr>
          <w:sz w:val="24"/>
          <w:szCs w:val="24"/>
        </w:rPr>
        <w:t xml:space="preserve">. </w:t>
      </w:r>
    </w:p>
    <w:p w14:paraId="4AC13577" w14:textId="6E4F8D15" w:rsidR="009E640D" w:rsidRDefault="00B863ED">
      <w:pPr>
        <w:spacing w:line="480" w:lineRule="auto"/>
        <w:rPr>
          <w:sz w:val="24"/>
          <w:szCs w:val="24"/>
        </w:rPr>
      </w:pPr>
      <w:r>
        <w:rPr>
          <w:sz w:val="24"/>
          <w:szCs w:val="24"/>
        </w:rPr>
        <w:tab/>
        <w:t xml:space="preserve">Under Trichet’s successor </w:t>
      </w:r>
      <w:r w:rsidR="00FF35E3">
        <w:rPr>
          <w:sz w:val="24"/>
          <w:szCs w:val="24"/>
        </w:rPr>
        <w:t xml:space="preserve">Mario </w:t>
      </w:r>
      <w:r>
        <w:rPr>
          <w:sz w:val="24"/>
          <w:szCs w:val="24"/>
        </w:rPr>
        <w:t>Draghi</w:t>
      </w:r>
      <w:r w:rsidR="009778B5">
        <w:rPr>
          <w:sz w:val="24"/>
          <w:szCs w:val="24"/>
        </w:rPr>
        <w:t>,</w:t>
      </w:r>
      <w:r>
        <w:rPr>
          <w:sz w:val="24"/>
          <w:szCs w:val="24"/>
        </w:rPr>
        <w:t xml:space="preserve"> ECB involvement was ext</w:t>
      </w:r>
      <w:r w:rsidR="00FF35E3">
        <w:rPr>
          <w:sz w:val="24"/>
          <w:szCs w:val="24"/>
        </w:rPr>
        <w:t>ended further, albeit less crude</w:t>
      </w:r>
      <w:r>
        <w:rPr>
          <w:sz w:val="24"/>
          <w:szCs w:val="24"/>
        </w:rPr>
        <w:t>ly</w:t>
      </w:r>
      <w:r w:rsidR="00AC16FD">
        <w:rPr>
          <w:sz w:val="24"/>
          <w:szCs w:val="24"/>
        </w:rPr>
        <w:t>. Under Draghi t</w:t>
      </w:r>
      <w:r w:rsidR="00130ADB" w:rsidRPr="00FD20AD">
        <w:rPr>
          <w:sz w:val="24"/>
          <w:szCs w:val="24"/>
        </w:rPr>
        <w:t xml:space="preserve">he ECB </w:t>
      </w:r>
      <w:r w:rsidR="00AC16FD">
        <w:rPr>
          <w:sz w:val="24"/>
          <w:szCs w:val="24"/>
        </w:rPr>
        <w:t xml:space="preserve">promoted </w:t>
      </w:r>
      <w:r w:rsidR="00130ADB" w:rsidRPr="00FD20AD">
        <w:rPr>
          <w:sz w:val="24"/>
          <w:szCs w:val="24"/>
        </w:rPr>
        <w:t>the idea of a new “Fiscal Compact” that would effectively constitutionalize the recent German-Swiss innovation of a federal “debt brake.” Pushing the Fiscal Compact was one of the first moves of new ECB-President Mario Draghi in late fall 2011, and access to the ESM was made conditional on ratification of the Fiscal Compact (</w:t>
      </w:r>
      <w:r w:rsidR="004167DD">
        <w:rPr>
          <w:sz w:val="24"/>
          <w:szCs w:val="24"/>
        </w:rPr>
        <w:t>European Parliament 2014,</w:t>
      </w:r>
      <w:r w:rsidR="00130ADB" w:rsidRPr="00FD20AD">
        <w:rPr>
          <w:sz w:val="24"/>
          <w:szCs w:val="24"/>
        </w:rPr>
        <w:t xml:space="preserve"> 102).</w:t>
      </w:r>
      <w:r w:rsidR="00AC16FD">
        <w:rPr>
          <w:sz w:val="24"/>
          <w:szCs w:val="24"/>
        </w:rPr>
        <w:t xml:space="preserve"> As a result, some member states (</w:t>
      </w:r>
      <w:r w:rsidR="00DF3959">
        <w:rPr>
          <w:sz w:val="24"/>
          <w:szCs w:val="24"/>
        </w:rPr>
        <w:t xml:space="preserve">including </w:t>
      </w:r>
      <w:r w:rsidR="00AC16FD">
        <w:rPr>
          <w:sz w:val="24"/>
          <w:szCs w:val="24"/>
        </w:rPr>
        <w:t xml:space="preserve">Greece, Spain, Italy, </w:t>
      </w:r>
      <w:r w:rsidR="00DF3959">
        <w:rPr>
          <w:sz w:val="24"/>
          <w:szCs w:val="24"/>
        </w:rPr>
        <w:t xml:space="preserve">and </w:t>
      </w:r>
      <w:r w:rsidR="00AC16FD">
        <w:rPr>
          <w:sz w:val="24"/>
          <w:szCs w:val="24"/>
        </w:rPr>
        <w:t>Portugal) were required to amend their constitutions to incorporate commitments to balanced budgets</w:t>
      </w:r>
      <w:r w:rsidR="00DF3959">
        <w:rPr>
          <w:sz w:val="24"/>
          <w:szCs w:val="24"/>
        </w:rPr>
        <w:t xml:space="preserve"> (European Parliament 2014)</w:t>
      </w:r>
      <w:r w:rsidR="00AC16FD">
        <w:rPr>
          <w:sz w:val="24"/>
          <w:szCs w:val="24"/>
        </w:rPr>
        <w:t xml:space="preserve">. </w:t>
      </w:r>
    </w:p>
    <w:p w14:paraId="16781740" w14:textId="7822F089" w:rsidR="00200CB5" w:rsidRDefault="00870FAD" w:rsidP="009778B5">
      <w:pPr>
        <w:spacing w:line="480" w:lineRule="auto"/>
        <w:ind w:firstLine="720"/>
        <w:rPr>
          <w:sz w:val="24"/>
          <w:szCs w:val="24"/>
          <w:highlight w:val="yellow"/>
        </w:rPr>
      </w:pPr>
      <w:r>
        <w:rPr>
          <w:sz w:val="24"/>
          <w:szCs w:val="24"/>
        </w:rPr>
        <w:t xml:space="preserve">The crisis was finally brought under control when </w:t>
      </w:r>
      <w:r w:rsidR="00130ADB" w:rsidRPr="00FD20AD">
        <w:rPr>
          <w:sz w:val="24"/>
          <w:szCs w:val="24"/>
        </w:rPr>
        <w:t xml:space="preserve">the ECB acted in a future-oriented way to embed conditionality into a provisional program, that of Outright Monetary Transactions. Under Draghi’s leadership, the ECB embedded conditionality into any future use of OMT, which allowed the ECB to engage in unlimited intervention in bond markets. </w:t>
      </w:r>
      <w:r w:rsidR="00200CB5" w:rsidRPr="00FD20AD">
        <w:rPr>
          <w:sz w:val="24"/>
          <w:szCs w:val="24"/>
        </w:rPr>
        <w:t xml:space="preserve">In other words, monetary policy responses were conditional on </w:t>
      </w:r>
      <w:r w:rsidR="00200CB5">
        <w:rPr>
          <w:sz w:val="24"/>
          <w:szCs w:val="24"/>
        </w:rPr>
        <w:t xml:space="preserve">fiscal policy changes or on </w:t>
      </w:r>
      <w:r w:rsidR="00200CB5" w:rsidRPr="00FD20AD">
        <w:rPr>
          <w:sz w:val="24"/>
          <w:szCs w:val="24"/>
        </w:rPr>
        <w:t xml:space="preserve">labor market or other structural reforms. </w:t>
      </w:r>
    </w:p>
    <w:p w14:paraId="31FE2E78" w14:textId="77777777" w:rsidR="001A1CB9" w:rsidRDefault="001A1CB9">
      <w:pPr>
        <w:spacing w:line="480" w:lineRule="auto"/>
        <w:rPr>
          <w:sz w:val="24"/>
          <w:szCs w:val="24"/>
        </w:rPr>
      </w:pPr>
    </w:p>
    <w:p w14:paraId="7F496EA8" w14:textId="2A07713E" w:rsidR="001A1CB9" w:rsidRPr="009778B5" w:rsidRDefault="001B4B6A" w:rsidP="00236EC3">
      <w:pPr>
        <w:spacing w:line="480" w:lineRule="auto"/>
        <w:outlineLvl w:val="0"/>
        <w:rPr>
          <w:b/>
          <w:sz w:val="24"/>
          <w:szCs w:val="24"/>
        </w:rPr>
      </w:pPr>
      <w:r w:rsidRPr="009778B5">
        <w:rPr>
          <w:b/>
          <w:sz w:val="24"/>
          <w:szCs w:val="24"/>
        </w:rPr>
        <w:t>From Lever to Club, and Back Again?</w:t>
      </w:r>
    </w:p>
    <w:p w14:paraId="6CBE33A7" w14:textId="5F0DF3E0" w:rsidR="009E640D" w:rsidRDefault="00130ADB">
      <w:pPr>
        <w:spacing w:line="480" w:lineRule="auto"/>
        <w:rPr>
          <w:sz w:val="24"/>
          <w:szCs w:val="24"/>
        </w:rPr>
      </w:pPr>
      <w:r w:rsidRPr="00FD20AD">
        <w:rPr>
          <w:sz w:val="24"/>
          <w:szCs w:val="24"/>
        </w:rPr>
        <w:lastRenderedPageBreak/>
        <w:t>These new Commission and ECB roles in exercising conditionality in core state functions help shed light on otherwise puzzling developments elsewhere in the literature.</w:t>
      </w:r>
      <w:r w:rsidR="00862F1E">
        <w:rPr>
          <w:rStyle w:val="FootnoteReference"/>
          <w:sz w:val="24"/>
          <w:szCs w:val="24"/>
        </w:rPr>
        <w:footnoteReference w:id="12"/>
      </w:r>
      <w:r w:rsidRPr="00FD20AD">
        <w:rPr>
          <w:sz w:val="24"/>
          <w:szCs w:val="24"/>
        </w:rPr>
        <w:t xml:space="preserve"> For example, new research on the European Council (Puetter 2014) explicitly denies any prominent role for </w:t>
      </w:r>
      <w:r w:rsidR="00622EB5">
        <w:rPr>
          <w:sz w:val="24"/>
          <w:szCs w:val="24"/>
        </w:rPr>
        <w:t>“</w:t>
      </w:r>
      <w:r w:rsidRPr="00FD20AD">
        <w:rPr>
          <w:sz w:val="24"/>
          <w:szCs w:val="24"/>
        </w:rPr>
        <w:t>hierarchy</w:t>
      </w:r>
      <w:r w:rsidR="00622EB5">
        <w:rPr>
          <w:sz w:val="24"/>
          <w:szCs w:val="24"/>
        </w:rPr>
        <w:t>”</w:t>
      </w:r>
      <w:r w:rsidRPr="00FD20AD">
        <w:rPr>
          <w:sz w:val="24"/>
          <w:szCs w:val="24"/>
        </w:rPr>
        <w:t xml:space="preserve"> in the </w:t>
      </w:r>
      <w:r w:rsidR="00622EB5">
        <w:rPr>
          <w:sz w:val="24"/>
          <w:szCs w:val="24"/>
        </w:rPr>
        <w:t>“</w:t>
      </w:r>
      <w:r w:rsidRPr="00FD20AD">
        <w:rPr>
          <w:sz w:val="24"/>
          <w:szCs w:val="24"/>
        </w:rPr>
        <w:t>new</w:t>
      </w:r>
      <w:r w:rsidR="00622EB5">
        <w:rPr>
          <w:sz w:val="24"/>
          <w:szCs w:val="24"/>
        </w:rPr>
        <w:t>”</w:t>
      </w:r>
      <w:r w:rsidRPr="00FD20AD">
        <w:rPr>
          <w:sz w:val="24"/>
          <w:szCs w:val="24"/>
        </w:rPr>
        <w:t xml:space="preserve"> domains of economic governance and monetary policy</w:t>
      </w:r>
      <w:r w:rsidR="00103673">
        <w:rPr>
          <w:sz w:val="24"/>
          <w:szCs w:val="24"/>
        </w:rPr>
        <w:t xml:space="preserve"> (Puetter 2014).</w:t>
      </w:r>
      <w:r w:rsidRPr="00FD20AD">
        <w:rPr>
          <w:sz w:val="24"/>
          <w:szCs w:val="24"/>
        </w:rPr>
        <w:t xml:space="preserve"> A</w:t>
      </w:r>
      <w:r w:rsidR="00535662">
        <w:rPr>
          <w:sz w:val="24"/>
          <w:szCs w:val="24"/>
        </w:rPr>
        <w:t>ccording to this view, a</w:t>
      </w:r>
      <w:r w:rsidRPr="00FD20AD">
        <w:rPr>
          <w:sz w:val="24"/>
          <w:szCs w:val="24"/>
        </w:rPr>
        <w:t xml:space="preserve">s member states have grown wary of the </w:t>
      </w:r>
      <w:r w:rsidR="004C4ECE">
        <w:rPr>
          <w:sz w:val="24"/>
          <w:szCs w:val="24"/>
        </w:rPr>
        <w:t>C</w:t>
      </w:r>
      <w:r w:rsidRPr="00FD20AD">
        <w:rPr>
          <w:sz w:val="24"/>
          <w:szCs w:val="24"/>
        </w:rPr>
        <w:t xml:space="preserve">ommunity </w:t>
      </w:r>
      <w:r w:rsidR="004C4ECE">
        <w:rPr>
          <w:sz w:val="24"/>
          <w:szCs w:val="24"/>
        </w:rPr>
        <w:t>M</w:t>
      </w:r>
      <w:r w:rsidRPr="00FD20AD">
        <w:rPr>
          <w:sz w:val="24"/>
          <w:szCs w:val="24"/>
        </w:rPr>
        <w:t xml:space="preserve">ethod, they have developed important new instruments in economic policy, but these have relied on an intergovernmental process marked by substantial and sustained </w:t>
      </w:r>
      <w:r w:rsidR="00622EB5">
        <w:rPr>
          <w:sz w:val="24"/>
          <w:szCs w:val="24"/>
        </w:rPr>
        <w:t>“</w:t>
      </w:r>
      <w:r w:rsidRPr="00FD20AD">
        <w:rPr>
          <w:sz w:val="24"/>
          <w:szCs w:val="24"/>
        </w:rPr>
        <w:t>deliberation.</w:t>
      </w:r>
      <w:r w:rsidR="00622EB5">
        <w:rPr>
          <w:sz w:val="24"/>
          <w:szCs w:val="24"/>
        </w:rPr>
        <w:t>”</w:t>
      </w:r>
      <w:r w:rsidRPr="00FD20AD">
        <w:rPr>
          <w:rStyle w:val="FootnoteReference"/>
          <w:sz w:val="24"/>
          <w:szCs w:val="24"/>
        </w:rPr>
        <w:footnoteReference w:id="13"/>
      </w:r>
      <w:r w:rsidRPr="00FD20AD">
        <w:rPr>
          <w:sz w:val="24"/>
          <w:szCs w:val="24"/>
        </w:rPr>
        <w:t xml:space="preserve"> This has entailed a major shift by the Council away from its prior focus on legislative work and towards inter-state coordination in various fora. Integration thus increases but without legal delegation but instead by cooperation from which defection remains an open possibility.</w:t>
      </w:r>
    </w:p>
    <w:p w14:paraId="57D09104" w14:textId="7705AAAC" w:rsidR="009E640D" w:rsidRDefault="00130ADB" w:rsidP="009778B5">
      <w:pPr>
        <w:spacing w:line="480" w:lineRule="auto"/>
        <w:ind w:firstLine="720"/>
        <w:rPr>
          <w:sz w:val="24"/>
          <w:szCs w:val="24"/>
        </w:rPr>
      </w:pPr>
      <w:r w:rsidRPr="00FD20AD">
        <w:rPr>
          <w:sz w:val="24"/>
          <w:szCs w:val="24"/>
        </w:rPr>
        <w:t>Applying this broad argument to the case of economic policy, Puetter finds that the member states have sought to limit the Commission’s role in these new areas and have also prevented ECJ oversight by placing them in new treaties (e.g. ESM) or intergovernmental agreements (e.g., Fiscal Compact). Puetter is convincing in showing that the instruments of control at the Council level are not legally binding, and we can accept the idea that states can break these commitments. The ev</w:t>
      </w:r>
      <w:r w:rsidR="0029718A">
        <w:rPr>
          <w:sz w:val="24"/>
          <w:szCs w:val="24"/>
        </w:rPr>
        <w:t>idence for this is substantial</w:t>
      </w:r>
      <w:r w:rsidR="008B6CB8">
        <w:rPr>
          <w:sz w:val="24"/>
          <w:szCs w:val="24"/>
        </w:rPr>
        <w:t xml:space="preserve"> (Hallerberg </w:t>
      </w:r>
      <w:r w:rsidR="009778B5">
        <w:rPr>
          <w:sz w:val="24"/>
          <w:szCs w:val="24"/>
        </w:rPr>
        <w:t>and Baerg 2016)</w:t>
      </w:r>
      <w:r w:rsidR="006A4669">
        <w:rPr>
          <w:sz w:val="24"/>
          <w:szCs w:val="24"/>
        </w:rPr>
        <w:t>.</w:t>
      </w:r>
      <w:r w:rsidR="009778B5">
        <w:rPr>
          <w:sz w:val="24"/>
          <w:szCs w:val="24"/>
        </w:rPr>
        <w:t xml:space="preserve"> </w:t>
      </w:r>
      <w:r w:rsidR="00CF23FE">
        <w:rPr>
          <w:sz w:val="24"/>
          <w:szCs w:val="24"/>
        </w:rPr>
        <w:t xml:space="preserve">Where we break from Puetter is our insistence that quite a lot of conditionality and </w:t>
      </w:r>
      <w:r w:rsidR="00622EB5">
        <w:rPr>
          <w:sz w:val="24"/>
          <w:szCs w:val="24"/>
        </w:rPr>
        <w:t>“</w:t>
      </w:r>
      <w:r w:rsidR="00CF23FE">
        <w:rPr>
          <w:sz w:val="24"/>
          <w:szCs w:val="24"/>
        </w:rPr>
        <w:t>hierarchy</w:t>
      </w:r>
      <w:r w:rsidR="00622EB5">
        <w:rPr>
          <w:sz w:val="24"/>
          <w:szCs w:val="24"/>
        </w:rPr>
        <w:t>”</w:t>
      </w:r>
      <w:r w:rsidR="00CF23FE">
        <w:rPr>
          <w:sz w:val="24"/>
          <w:szCs w:val="24"/>
        </w:rPr>
        <w:t xml:space="preserve"> is being </w:t>
      </w:r>
      <w:r w:rsidR="00CF23FE">
        <w:rPr>
          <w:sz w:val="24"/>
          <w:szCs w:val="24"/>
        </w:rPr>
        <w:lastRenderedPageBreak/>
        <w:t>used (see also Börzel</w:t>
      </w:r>
      <w:r w:rsidR="006A4669">
        <w:rPr>
          <w:sz w:val="24"/>
          <w:szCs w:val="24"/>
        </w:rPr>
        <w:t xml:space="preserve"> </w:t>
      </w:r>
      <w:r w:rsidR="00721725">
        <w:rPr>
          <w:sz w:val="24"/>
          <w:szCs w:val="24"/>
        </w:rPr>
        <w:t>2016</w:t>
      </w:r>
      <w:r w:rsidR="00CF23FE">
        <w:rPr>
          <w:sz w:val="24"/>
          <w:szCs w:val="24"/>
        </w:rPr>
        <w:t xml:space="preserve">). Thus, we insist on the crucial point that—whatever deliberation is going on at the Council level—other </w:t>
      </w:r>
      <w:r w:rsidRPr="00FD20AD">
        <w:rPr>
          <w:sz w:val="24"/>
          <w:szCs w:val="24"/>
        </w:rPr>
        <w:t xml:space="preserve">agents, such as the ECB and the Commission, are </w:t>
      </w:r>
      <w:r w:rsidR="004C4ECE">
        <w:rPr>
          <w:sz w:val="24"/>
          <w:szCs w:val="24"/>
        </w:rPr>
        <w:t>both willing and</w:t>
      </w:r>
      <w:r w:rsidR="004C4ECE" w:rsidRPr="00FD20AD">
        <w:rPr>
          <w:sz w:val="24"/>
          <w:szCs w:val="24"/>
        </w:rPr>
        <w:t xml:space="preserve"> </w:t>
      </w:r>
      <w:r w:rsidRPr="00FD20AD">
        <w:rPr>
          <w:sz w:val="24"/>
          <w:szCs w:val="24"/>
        </w:rPr>
        <w:t xml:space="preserve">able to flank </w:t>
      </w:r>
      <w:r w:rsidR="004C4ECE">
        <w:rPr>
          <w:sz w:val="24"/>
          <w:szCs w:val="24"/>
        </w:rPr>
        <w:t>and try to</w:t>
      </w:r>
      <w:r w:rsidR="004C4ECE" w:rsidRPr="00FD20AD">
        <w:rPr>
          <w:sz w:val="24"/>
          <w:szCs w:val="24"/>
        </w:rPr>
        <w:t xml:space="preserve"> </w:t>
      </w:r>
      <w:r w:rsidRPr="00FD20AD">
        <w:rPr>
          <w:sz w:val="24"/>
          <w:szCs w:val="24"/>
        </w:rPr>
        <w:t xml:space="preserve">enforce the agreed policies. </w:t>
      </w:r>
    </w:p>
    <w:p w14:paraId="0D1B4F54" w14:textId="530B3495" w:rsidR="00486A0E" w:rsidRDefault="00CF23FE" w:rsidP="009778B5">
      <w:pPr>
        <w:spacing w:line="480" w:lineRule="auto"/>
        <w:ind w:firstLine="720"/>
        <w:rPr>
          <w:sz w:val="24"/>
          <w:szCs w:val="24"/>
        </w:rPr>
      </w:pPr>
      <w:r>
        <w:rPr>
          <w:sz w:val="24"/>
          <w:szCs w:val="24"/>
        </w:rPr>
        <w:t>A related case is that of Macroeconomic Conditionality</w:t>
      </w:r>
      <w:r w:rsidR="003B2779">
        <w:rPr>
          <w:sz w:val="24"/>
          <w:szCs w:val="24"/>
        </w:rPr>
        <w:t>, which was introduced into the structural funds programming for the 2014-2020 budget period</w:t>
      </w:r>
      <w:r w:rsidR="00F7637D">
        <w:rPr>
          <w:sz w:val="24"/>
          <w:szCs w:val="24"/>
        </w:rPr>
        <w:t xml:space="preserve"> (Jouen 2015). </w:t>
      </w:r>
      <w:r>
        <w:rPr>
          <w:sz w:val="24"/>
          <w:szCs w:val="24"/>
        </w:rPr>
        <w:t>The core idea of this legislation introduced is that a member state’s structural fund access would depend on the state’s compliance with broader requirements of economic governance (van Hecke, Bursens, and Beyers 2016). A group of states known as the “Friends of Better Spending” and consisting of Austria, Denmark, Germany, the Netherlands, Sweden, and the UK supported this proposal, which won the backing of the Council. The core idea is that if a member state fails to comply with steps listed under macroeconomic coordination and subsequently fall into a too-large budget deficit, its access to struct</w:t>
      </w:r>
      <w:r w:rsidR="007E6710">
        <w:rPr>
          <w:sz w:val="24"/>
          <w:szCs w:val="24"/>
        </w:rPr>
        <w:t>ural funds would be suspended. Indeed, t</w:t>
      </w:r>
      <w:r>
        <w:rPr>
          <w:sz w:val="24"/>
          <w:szCs w:val="24"/>
        </w:rPr>
        <w:t>his proposal was opposed by the associations of regional governments on the grounds that regional governments could lose access to funding as a result of (national) spending patterns they cannot control</w:t>
      </w:r>
      <w:r w:rsidR="00F7637D">
        <w:rPr>
          <w:sz w:val="24"/>
          <w:szCs w:val="24"/>
        </w:rPr>
        <w:t xml:space="preserve"> (van Hecke, Bursens, and Beyers 2016)</w:t>
      </w:r>
      <w:r>
        <w:rPr>
          <w:sz w:val="24"/>
          <w:szCs w:val="24"/>
        </w:rPr>
        <w:t>.</w:t>
      </w:r>
      <w:r w:rsidR="007E6710">
        <w:rPr>
          <w:sz w:val="24"/>
          <w:szCs w:val="24"/>
        </w:rPr>
        <w:t xml:space="preserve"> The final legislation foresees that structural fund projects can be</w:t>
      </w:r>
      <w:r w:rsidR="006A4669">
        <w:rPr>
          <w:sz w:val="24"/>
          <w:szCs w:val="24"/>
        </w:rPr>
        <w:t xml:space="preserve"> </w:t>
      </w:r>
      <w:r w:rsidR="007E6710">
        <w:rPr>
          <w:sz w:val="24"/>
          <w:szCs w:val="24"/>
        </w:rPr>
        <w:t xml:space="preserve">“suspended” </w:t>
      </w:r>
      <w:r w:rsidR="00486A0E">
        <w:rPr>
          <w:sz w:val="24"/>
          <w:szCs w:val="24"/>
        </w:rPr>
        <w:t xml:space="preserve"> </w:t>
      </w:r>
      <w:r w:rsidR="007E6710">
        <w:rPr>
          <w:sz w:val="24"/>
          <w:szCs w:val="24"/>
        </w:rPr>
        <w:t>by the Commission if a state is in excessive deficit and also “cancelled” if such deficits persist</w:t>
      </w:r>
      <w:r w:rsidR="00F7637D">
        <w:rPr>
          <w:sz w:val="24"/>
          <w:szCs w:val="24"/>
        </w:rPr>
        <w:t xml:space="preserve"> (Jouen 2015, 5)</w:t>
      </w:r>
      <w:r w:rsidR="007E6710">
        <w:rPr>
          <w:sz w:val="24"/>
          <w:szCs w:val="24"/>
        </w:rPr>
        <w:t>.</w:t>
      </w:r>
    </w:p>
    <w:p w14:paraId="0D42D33F" w14:textId="55C57B06" w:rsidR="00B22934" w:rsidRDefault="00486A0E" w:rsidP="009778B5">
      <w:pPr>
        <w:spacing w:line="480" w:lineRule="auto"/>
        <w:ind w:firstLine="720"/>
        <w:rPr>
          <w:sz w:val="24"/>
          <w:szCs w:val="24"/>
        </w:rPr>
      </w:pPr>
      <w:r>
        <w:rPr>
          <w:sz w:val="24"/>
          <w:szCs w:val="24"/>
        </w:rPr>
        <w:t xml:space="preserve">The application of these arrangements has evolved </w:t>
      </w:r>
      <w:r w:rsidR="00727FB7">
        <w:rPr>
          <w:sz w:val="24"/>
          <w:szCs w:val="24"/>
        </w:rPr>
        <w:t xml:space="preserve">recently </w:t>
      </w:r>
      <w:r>
        <w:rPr>
          <w:sz w:val="24"/>
          <w:szCs w:val="24"/>
        </w:rPr>
        <w:t xml:space="preserve">as the most acute phase of the Eurozone crisis has been overcome, </w:t>
      </w:r>
      <w:r w:rsidR="00937125">
        <w:rPr>
          <w:sz w:val="24"/>
          <w:szCs w:val="24"/>
        </w:rPr>
        <w:t>particularly since the beginning of quantitative easing</w:t>
      </w:r>
      <w:r w:rsidR="001D0861">
        <w:rPr>
          <w:sz w:val="24"/>
          <w:szCs w:val="24"/>
        </w:rPr>
        <w:t xml:space="preserve"> </w:t>
      </w:r>
      <w:r w:rsidR="00727FB7">
        <w:rPr>
          <w:sz w:val="24"/>
          <w:szCs w:val="24"/>
        </w:rPr>
        <w:t>substantially diminished</w:t>
      </w:r>
      <w:r w:rsidR="001D0861">
        <w:rPr>
          <w:sz w:val="24"/>
          <w:szCs w:val="24"/>
        </w:rPr>
        <w:t xml:space="preserve"> member state financing </w:t>
      </w:r>
      <w:r w:rsidR="001D0861">
        <w:rPr>
          <w:sz w:val="24"/>
          <w:szCs w:val="24"/>
        </w:rPr>
        <w:lastRenderedPageBreak/>
        <w:t>pressures</w:t>
      </w:r>
      <w:r w:rsidR="00727FB7">
        <w:rPr>
          <w:sz w:val="24"/>
          <w:szCs w:val="24"/>
        </w:rPr>
        <w:t xml:space="preserve"> (E</w:t>
      </w:r>
      <w:r w:rsidR="00C36618">
        <w:rPr>
          <w:sz w:val="24"/>
          <w:szCs w:val="24"/>
        </w:rPr>
        <w:t xml:space="preserve">uropean Central </w:t>
      </w:r>
      <w:r w:rsidR="00727FB7">
        <w:rPr>
          <w:sz w:val="24"/>
          <w:szCs w:val="24"/>
        </w:rPr>
        <w:t>B</w:t>
      </w:r>
      <w:r w:rsidR="00C36618">
        <w:rPr>
          <w:sz w:val="24"/>
          <w:szCs w:val="24"/>
        </w:rPr>
        <w:t>ank</w:t>
      </w:r>
      <w:r w:rsidR="00727FB7">
        <w:rPr>
          <w:sz w:val="24"/>
          <w:szCs w:val="24"/>
        </w:rPr>
        <w:t xml:space="preserve"> 2015)</w:t>
      </w:r>
      <w:r w:rsidR="001D0861">
        <w:rPr>
          <w:sz w:val="24"/>
          <w:szCs w:val="24"/>
        </w:rPr>
        <w:t>. T</w:t>
      </w:r>
      <w:r w:rsidR="005F0D5E">
        <w:rPr>
          <w:sz w:val="24"/>
          <w:szCs w:val="24"/>
        </w:rPr>
        <w:t>he need to avert a run on sovereign debt and national banking systems has been superseded to some extent by concerns over the legitimacy of supranational micromanaging and the rise of populist forces demanding a rest</w:t>
      </w:r>
      <w:r w:rsidR="006A4669">
        <w:rPr>
          <w:sz w:val="24"/>
          <w:szCs w:val="24"/>
        </w:rPr>
        <w:t>o</w:t>
      </w:r>
      <w:r w:rsidR="005F0D5E">
        <w:rPr>
          <w:sz w:val="24"/>
          <w:szCs w:val="24"/>
        </w:rPr>
        <w:t>ration of national sovereignty</w:t>
      </w:r>
      <w:r w:rsidR="00621D6E">
        <w:rPr>
          <w:sz w:val="24"/>
          <w:szCs w:val="24"/>
        </w:rPr>
        <w:t>, most notably in Greece, Spain and Italy (Hopkin 2015)</w:t>
      </w:r>
      <w:r w:rsidR="005F0D5E">
        <w:rPr>
          <w:sz w:val="24"/>
          <w:szCs w:val="24"/>
        </w:rPr>
        <w:t>.</w:t>
      </w:r>
      <w:r w:rsidR="00E848B5">
        <w:rPr>
          <w:sz w:val="24"/>
          <w:szCs w:val="24"/>
        </w:rPr>
        <w:t xml:space="preserve"> The failure of some of the more optimistic forecasts for economic recovery have undermined the credibility of </w:t>
      </w:r>
      <w:r w:rsidR="00621D6E">
        <w:rPr>
          <w:sz w:val="24"/>
          <w:szCs w:val="24"/>
        </w:rPr>
        <w:t xml:space="preserve">arguments for strict budgetary policy: even the alleged success stories such as Spain and Ireland still carry eye-watering levels of debt and have seen living standards struggle to recover, whilst Greece remains trapped in a form of permanent external surveillance and financial dependence. </w:t>
      </w:r>
      <w:r w:rsidR="00E848B5">
        <w:rPr>
          <w:sz w:val="24"/>
          <w:szCs w:val="24"/>
        </w:rPr>
        <w:t xml:space="preserve">This shift has brought a softening of the European institutions’ stance on conditionality and a less ambitious approach to structural reforms and debt reduction in the troubled member states. </w:t>
      </w:r>
    </w:p>
    <w:p w14:paraId="1D392A2B" w14:textId="77777777" w:rsidR="00B22D6F" w:rsidRDefault="00B22D6F" w:rsidP="00677131">
      <w:pPr>
        <w:spacing w:after="0" w:line="480" w:lineRule="auto"/>
        <w:rPr>
          <w:rFonts w:cs="Times New Roman"/>
          <w:color w:val="000000"/>
          <w:sz w:val="24"/>
          <w:szCs w:val="24"/>
          <w:shd w:val="clear" w:color="auto" w:fill="FFFFFF"/>
        </w:rPr>
      </w:pPr>
    </w:p>
    <w:p w14:paraId="35137855" w14:textId="77777777" w:rsidR="00CE3CB8" w:rsidRPr="00CE3CB8" w:rsidRDefault="00CE3CB8" w:rsidP="00236EC3">
      <w:pPr>
        <w:spacing w:after="0" w:line="480" w:lineRule="auto"/>
        <w:outlineLvl w:val="0"/>
        <w:rPr>
          <w:rFonts w:cs="Times New Roman"/>
          <w:b/>
          <w:color w:val="000000"/>
          <w:sz w:val="24"/>
          <w:szCs w:val="24"/>
          <w:shd w:val="clear" w:color="auto" w:fill="FFFFFF"/>
        </w:rPr>
      </w:pPr>
      <w:r w:rsidRPr="00CE3CB8">
        <w:rPr>
          <w:rFonts w:cs="Times New Roman"/>
          <w:b/>
          <w:color w:val="000000"/>
          <w:sz w:val="24"/>
          <w:szCs w:val="24"/>
          <w:shd w:val="clear" w:color="auto" w:fill="FFFFFF"/>
        </w:rPr>
        <w:t>Conclusions</w:t>
      </w:r>
    </w:p>
    <w:p w14:paraId="46FC1E02" w14:textId="77777777" w:rsidR="00CE3CB8" w:rsidRDefault="00CE3CB8" w:rsidP="00677131">
      <w:pPr>
        <w:spacing w:after="0" w:line="480" w:lineRule="auto"/>
        <w:rPr>
          <w:rFonts w:cs="Times New Roman"/>
          <w:color w:val="000000"/>
          <w:sz w:val="24"/>
          <w:szCs w:val="24"/>
          <w:shd w:val="clear" w:color="auto" w:fill="FFFFFF"/>
        </w:rPr>
      </w:pPr>
    </w:p>
    <w:p w14:paraId="5118175B" w14:textId="7A6C593A" w:rsidR="00092EE0" w:rsidRDefault="00092EE0" w:rsidP="00677131">
      <w:pPr>
        <w:widowControl w:val="0"/>
        <w:autoSpaceDE w:val="0"/>
        <w:autoSpaceDN w:val="0"/>
        <w:adjustRightInd w:val="0"/>
        <w:spacing w:line="480" w:lineRule="auto"/>
        <w:rPr>
          <w:rFonts w:cs="Times New Roman"/>
          <w:color w:val="000000"/>
          <w:sz w:val="24"/>
          <w:szCs w:val="24"/>
          <w:shd w:val="clear" w:color="auto" w:fill="FFFFFF"/>
        </w:rPr>
      </w:pPr>
      <w:r>
        <w:rPr>
          <w:rFonts w:cs="Times New Roman"/>
          <w:color w:val="000000"/>
          <w:sz w:val="24"/>
          <w:szCs w:val="24"/>
          <w:shd w:val="clear" w:color="auto" w:fill="FFFFFF"/>
        </w:rPr>
        <w:t xml:space="preserve">This paper has </w:t>
      </w:r>
      <w:r w:rsidR="001D0861">
        <w:rPr>
          <w:rFonts w:cs="Times New Roman"/>
          <w:color w:val="000000"/>
          <w:sz w:val="24"/>
          <w:szCs w:val="24"/>
          <w:shd w:val="clear" w:color="auto" w:fill="FFFFFF"/>
        </w:rPr>
        <w:t>analyzed</w:t>
      </w:r>
      <w:r w:rsidR="00BB016A">
        <w:rPr>
          <w:rFonts w:cs="Times New Roman"/>
          <w:color w:val="000000"/>
          <w:sz w:val="24"/>
          <w:szCs w:val="24"/>
          <w:shd w:val="clear" w:color="auto" w:fill="FFFFFF"/>
        </w:rPr>
        <w:t xml:space="preserve"> </w:t>
      </w:r>
      <w:r>
        <w:rPr>
          <w:rFonts w:cs="Times New Roman"/>
          <w:color w:val="000000"/>
          <w:sz w:val="24"/>
          <w:szCs w:val="24"/>
          <w:shd w:val="clear" w:color="auto" w:fill="FFFFFF"/>
        </w:rPr>
        <w:t xml:space="preserve">how the EU came to develop conditional instruments during the enlargement process of the 2000s and then began to develop similar logics again after the onset of the global financial crisis in 2008. Our central worry is </w:t>
      </w:r>
      <w:r>
        <w:rPr>
          <w:rFonts w:cs="Cambria"/>
          <w:sz w:val="24"/>
          <w:szCs w:val="24"/>
        </w:rPr>
        <w:t>that t</w:t>
      </w:r>
      <w:r w:rsidRPr="00573273">
        <w:rPr>
          <w:rFonts w:cs="Cambria"/>
          <w:sz w:val="24"/>
          <w:szCs w:val="24"/>
        </w:rPr>
        <w:t xml:space="preserve">he contemporary EU’s overextension of its conditionality tools may result in a kind of simplistic and </w:t>
      </w:r>
      <w:r w:rsidR="00622EB5">
        <w:rPr>
          <w:rFonts w:cs="Cambria"/>
          <w:sz w:val="24"/>
          <w:szCs w:val="24"/>
        </w:rPr>
        <w:t>“</w:t>
      </w:r>
      <w:r w:rsidRPr="00573273">
        <w:rPr>
          <w:rFonts w:cs="Cambria"/>
          <w:sz w:val="24"/>
          <w:szCs w:val="24"/>
        </w:rPr>
        <w:t>truncated</w:t>
      </w:r>
      <w:r w:rsidR="00622EB5">
        <w:rPr>
          <w:rFonts w:cs="Cambria"/>
          <w:sz w:val="24"/>
          <w:szCs w:val="24"/>
        </w:rPr>
        <w:t>”</w:t>
      </w:r>
      <w:r w:rsidRPr="00573273">
        <w:rPr>
          <w:rFonts w:cs="Cambria"/>
          <w:sz w:val="24"/>
          <w:szCs w:val="24"/>
        </w:rPr>
        <w:t xml:space="preserve"> developmentalism. In some cases, this set of tools seems highly inappropriate in some of the contexts they are being used.</w:t>
      </w:r>
    </w:p>
    <w:p w14:paraId="7FC807F9" w14:textId="3A54EA29" w:rsidR="0010694E" w:rsidRDefault="00CE3CB8" w:rsidP="00A80AD7">
      <w:pPr>
        <w:spacing w:after="0" w:line="480" w:lineRule="auto"/>
        <w:ind w:firstLine="720"/>
        <w:rPr>
          <w:rFonts w:cs="Times New Roman"/>
          <w:color w:val="000000"/>
          <w:sz w:val="24"/>
          <w:szCs w:val="24"/>
          <w:shd w:val="clear" w:color="auto" w:fill="FFFFFF"/>
        </w:rPr>
      </w:pPr>
      <w:r>
        <w:rPr>
          <w:rFonts w:cs="Times New Roman"/>
          <w:color w:val="000000"/>
          <w:sz w:val="24"/>
          <w:szCs w:val="24"/>
          <w:shd w:val="clear" w:color="auto" w:fill="FFFFFF"/>
        </w:rPr>
        <w:lastRenderedPageBreak/>
        <w:t>This paper shows that</w:t>
      </w:r>
      <w:r w:rsidR="001F3731">
        <w:rPr>
          <w:rFonts w:cs="Times New Roman"/>
          <w:color w:val="000000"/>
          <w:sz w:val="24"/>
          <w:szCs w:val="24"/>
          <w:shd w:val="clear" w:color="auto" w:fill="FFFFFF"/>
        </w:rPr>
        <w:t xml:space="preserve"> t</w:t>
      </w:r>
      <w:r w:rsidR="00B22D6F">
        <w:rPr>
          <w:rFonts w:cs="Times New Roman"/>
          <w:color w:val="000000"/>
          <w:sz w:val="24"/>
          <w:szCs w:val="24"/>
          <w:shd w:val="clear" w:color="auto" w:fill="FFFFFF"/>
        </w:rPr>
        <w:t>he</w:t>
      </w:r>
      <w:r w:rsidR="00861DD3">
        <w:rPr>
          <w:rFonts w:cs="Times New Roman"/>
          <w:color w:val="000000"/>
          <w:sz w:val="24"/>
          <w:szCs w:val="24"/>
          <w:shd w:val="clear" w:color="auto" w:fill="FFFFFF"/>
        </w:rPr>
        <w:t xml:space="preserve"> recent</w:t>
      </w:r>
      <w:r w:rsidR="00B22D6F">
        <w:rPr>
          <w:rFonts w:cs="Times New Roman"/>
          <w:color w:val="000000"/>
          <w:sz w:val="24"/>
          <w:szCs w:val="24"/>
          <w:shd w:val="clear" w:color="auto" w:fill="FFFFFF"/>
        </w:rPr>
        <w:t xml:space="preserve"> Southern European experience </w:t>
      </w:r>
      <w:r w:rsidR="00861DD3">
        <w:rPr>
          <w:rFonts w:cs="Times New Roman"/>
          <w:color w:val="000000"/>
          <w:sz w:val="24"/>
          <w:szCs w:val="24"/>
          <w:shd w:val="clear" w:color="auto" w:fill="FFFFFF"/>
        </w:rPr>
        <w:t xml:space="preserve">suggests conditionality has significant limitations in achieving the goal of structural reform, and works differently in cases where countries are already inside the EU and the eurozone. </w:t>
      </w:r>
      <w:r w:rsidR="00684146">
        <w:rPr>
          <w:rFonts w:cs="Times New Roman"/>
          <w:color w:val="000000"/>
          <w:sz w:val="24"/>
          <w:szCs w:val="24"/>
          <w:shd w:val="clear" w:color="auto" w:fill="FFFFFF"/>
        </w:rPr>
        <w:t>One obvious difference is that, in the absence of a specific reward to be dangled before national level policymakers, elected politicians have less incentive and fewer resources to mobilize political support for reforms. The experience of the same countries’ accession to the single currency in the 1990s is instructiv</w:t>
      </w:r>
      <w:r w:rsidR="00727FB7">
        <w:rPr>
          <w:rFonts w:cs="Times New Roman"/>
          <w:color w:val="000000"/>
          <w:sz w:val="24"/>
          <w:szCs w:val="24"/>
          <w:shd w:val="clear" w:color="auto" w:fill="FFFFFF"/>
        </w:rPr>
        <w:t>e—</w:t>
      </w:r>
      <w:r w:rsidR="00684146">
        <w:rPr>
          <w:rFonts w:cs="Times New Roman"/>
          <w:color w:val="000000"/>
          <w:sz w:val="24"/>
          <w:szCs w:val="24"/>
          <w:shd w:val="clear" w:color="auto" w:fill="FFFFFF"/>
        </w:rPr>
        <w:t xml:space="preserve">policymakers were able to win support for unpopular measures by evoking the sunny uplands of a more prosperous future within the euro area. Romano Prodi’s </w:t>
      </w:r>
      <w:r w:rsidR="00622EB5">
        <w:rPr>
          <w:rFonts w:cs="Times New Roman"/>
          <w:color w:val="000000"/>
          <w:sz w:val="24"/>
          <w:szCs w:val="24"/>
          <w:shd w:val="clear" w:color="auto" w:fill="FFFFFF"/>
        </w:rPr>
        <w:t>“</w:t>
      </w:r>
      <w:r w:rsidR="00684146">
        <w:rPr>
          <w:rFonts w:cs="Times New Roman"/>
          <w:color w:val="000000"/>
          <w:sz w:val="24"/>
          <w:szCs w:val="24"/>
          <w:shd w:val="clear" w:color="auto" w:fill="FFFFFF"/>
        </w:rPr>
        <w:t>Eurotax</w:t>
      </w:r>
      <w:r w:rsidR="00622EB5">
        <w:rPr>
          <w:rFonts w:cs="Times New Roman"/>
          <w:color w:val="000000"/>
          <w:sz w:val="24"/>
          <w:szCs w:val="24"/>
          <w:shd w:val="clear" w:color="auto" w:fill="FFFFFF"/>
        </w:rPr>
        <w:t>”</w:t>
      </w:r>
      <w:r w:rsidR="00684146">
        <w:rPr>
          <w:rFonts w:cs="Times New Roman"/>
          <w:color w:val="000000"/>
          <w:sz w:val="24"/>
          <w:szCs w:val="24"/>
          <w:shd w:val="clear" w:color="auto" w:fill="FFFFFF"/>
        </w:rPr>
        <w:t xml:space="preserve"> is a good example of this. More short-term negotiations on the release of bailout funds</w:t>
      </w:r>
      <w:r w:rsidR="0010694E">
        <w:rPr>
          <w:rFonts w:cs="Times New Roman"/>
          <w:color w:val="000000"/>
          <w:sz w:val="24"/>
          <w:szCs w:val="24"/>
          <w:shd w:val="clear" w:color="auto" w:fill="FFFFFF"/>
        </w:rPr>
        <w:t xml:space="preserve"> or the provision of central bank financing</w:t>
      </w:r>
      <w:r w:rsidR="00684146">
        <w:rPr>
          <w:rFonts w:cs="Times New Roman"/>
          <w:color w:val="000000"/>
          <w:sz w:val="24"/>
          <w:szCs w:val="24"/>
          <w:shd w:val="clear" w:color="auto" w:fill="FFFFFF"/>
        </w:rPr>
        <w:t xml:space="preserve"> lack these characteristics, in particular because national policymakers are aware that the bailouts are of mutual advantage to creditors and debtors, but also because the nature of the political path to the reward precludes </w:t>
      </w:r>
      <w:r w:rsidR="0010694E">
        <w:rPr>
          <w:rFonts w:cs="Times New Roman"/>
          <w:color w:val="000000"/>
          <w:sz w:val="24"/>
          <w:szCs w:val="24"/>
          <w:shd w:val="clear" w:color="auto" w:fill="FFFFFF"/>
        </w:rPr>
        <w:t>political mobilization around it.</w:t>
      </w:r>
    </w:p>
    <w:p w14:paraId="75D51382" w14:textId="079AFDA7" w:rsidR="001D0861" w:rsidRDefault="0010694E" w:rsidP="00A80AD7">
      <w:pPr>
        <w:spacing w:after="0" w:line="480" w:lineRule="auto"/>
        <w:ind w:firstLine="720"/>
        <w:rPr>
          <w:rFonts w:cs="Times New Roman"/>
          <w:color w:val="000000"/>
          <w:sz w:val="24"/>
          <w:szCs w:val="24"/>
          <w:shd w:val="clear" w:color="auto" w:fill="FFFFFF"/>
        </w:rPr>
      </w:pPr>
      <w:r>
        <w:rPr>
          <w:rFonts w:cs="Times New Roman"/>
          <w:color w:val="000000"/>
          <w:sz w:val="24"/>
          <w:szCs w:val="24"/>
          <w:shd w:val="clear" w:color="auto" w:fill="FFFFFF"/>
        </w:rPr>
        <w:t>The other obvious difference is that the policies upon which financial aid is made conditional</w:t>
      </w:r>
      <w:r w:rsidR="00A632D6">
        <w:rPr>
          <w:rFonts w:cs="Times New Roman"/>
          <w:color w:val="000000"/>
          <w:sz w:val="24"/>
          <w:szCs w:val="24"/>
          <w:shd w:val="clear" w:color="auto" w:fill="FFFFFF"/>
        </w:rPr>
        <w:t xml:space="preserve"> are unable to achieve the broad goal of structural reform that implicitly or explicitly informs them. </w:t>
      </w:r>
      <w:r w:rsidR="001F3731">
        <w:rPr>
          <w:rFonts w:cs="Times New Roman"/>
          <w:color w:val="000000"/>
          <w:sz w:val="24"/>
          <w:szCs w:val="24"/>
          <w:shd w:val="clear" w:color="auto" w:fill="FFFFFF"/>
        </w:rPr>
        <w:t xml:space="preserve"> Specific fiscal requirements aimed at reducing deficits do not preclude </w:t>
      </w:r>
      <w:r w:rsidR="00092EE0">
        <w:rPr>
          <w:rFonts w:cs="Times New Roman"/>
          <w:color w:val="000000"/>
          <w:sz w:val="24"/>
          <w:szCs w:val="24"/>
          <w:shd w:val="clear" w:color="auto" w:fill="FFFFFF"/>
        </w:rPr>
        <w:t>that</w:t>
      </w:r>
      <w:r w:rsidR="001F3731">
        <w:rPr>
          <w:rFonts w:cs="Times New Roman"/>
          <w:color w:val="000000"/>
          <w:sz w:val="24"/>
          <w:szCs w:val="24"/>
          <w:shd w:val="clear" w:color="auto" w:fill="FFFFFF"/>
        </w:rPr>
        <w:t xml:space="preserve"> inefficient, corrupt or clientelistic patterns of public spending</w:t>
      </w:r>
      <w:r w:rsidR="00332032">
        <w:rPr>
          <w:rFonts w:cs="Times New Roman"/>
          <w:color w:val="000000"/>
          <w:sz w:val="24"/>
          <w:szCs w:val="24"/>
          <w:shd w:val="clear" w:color="auto" w:fill="FFFFFF"/>
        </w:rPr>
        <w:t xml:space="preserve"> and regulation can continue. Exhortations to reform economic institutions, such as labour market regulations, can fall on both the legislative process, as measures are watered down (such as for instance labour reform in Italy), or in implementation, as judicial institutions reverse or nullify the intended effects of reform. The essential weakness remains that conditionality sits uneasily with </w:t>
      </w:r>
      <w:r w:rsidR="00332032">
        <w:rPr>
          <w:rFonts w:cs="Times New Roman"/>
          <w:color w:val="000000"/>
          <w:sz w:val="24"/>
          <w:szCs w:val="24"/>
          <w:shd w:val="clear" w:color="auto" w:fill="FFFFFF"/>
        </w:rPr>
        <w:lastRenderedPageBreak/>
        <w:t>member state-level democratic institutions. If what the Troika or the Commission want is unacceptable to democratically elected representatives, or even to those involving in implementing policy, then it is likely to fail. In this sense there is a principal-agent dynamic, with the member state governments acting as agents with far greater knowledge and control of national institutions than any external monitors can muster.</w:t>
      </w:r>
    </w:p>
    <w:p w14:paraId="2A491CBE" w14:textId="55C982A0" w:rsidR="001D0861" w:rsidRDefault="001D0861" w:rsidP="006A4669">
      <w:pPr>
        <w:spacing w:line="480" w:lineRule="auto"/>
        <w:ind w:firstLine="720"/>
        <w:rPr>
          <w:rFonts w:cs="Times New Roman"/>
          <w:color w:val="000000"/>
          <w:sz w:val="24"/>
          <w:szCs w:val="24"/>
          <w:shd w:val="clear" w:color="auto" w:fill="FFFFFF"/>
        </w:rPr>
      </w:pPr>
      <w:r>
        <w:rPr>
          <w:rFonts w:cs="Times New Roman"/>
          <w:color w:val="000000"/>
          <w:sz w:val="24"/>
          <w:szCs w:val="24"/>
          <w:shd w:val="clear" w:color="auto" w:fill="FFFFFF"/>
        </w:rPr>
        <w:t>We can conclude that this new conditionality ha</w:t>
      </w:r>
      <w:r w:rsidRPr="002234D3">
        <w:rPr>
          <w:rFonts w:cs="Times New Roman"/>
          <w:color w:val="000000"/>
          <w:sz w:val="24"/>
          <w:szCs w:val="24"/>
          <w:shd w:val="clear" w:color="auto" w:fill="FFFFFF"/>
        </w:rPr>
        <w:t>s</w:t>
      </w:r>
      <w:r>
        <w:rPr>
          <w:rFonts w:cs="Times New Roman"/>
          <w:color w:val="000000"/>
          <w:sz w:val="24"/>
          <w:szCs w:val="24"/>
          <w:shd w:val="clear" w:color="auto" w:fill="FFFFFF"/>
        </w:rPr>
        <w:t xml:space="preserve"> proved</w:t>
      </w:r>
      <w:r w:rsidRPr="002234D3">
        <w:rPr>
          <w:rFonts w:cs="Times New Roman"/>
          <w:color w:val="000000"/>
          <w:sz w:val="24"/>
          <w:szCs w:val="24"/>
          <w:shd w:val="clear" w:color="auto" w:fill="FFFFFF"/>
        </w:rPr>
        <w:t xml:space="preserve"> maximalist and aggressive</w:t>
      </w:r>
      <w:r>
        <w:rPr>
          <w:rFonts w:cs="Times New Roman"/>
          <w:color w:val="000000"/>
          <w:sz w:val="24"/>
          <w:szCs w:val="24"/>
          <w:shd w:val="clear" w:color="auto" w:fill="FFFFFF"/>
        </w:rPr>
        <w:t>, to some degree by design; and it was</w:t>
      </w:r>
      <w:r w:rsidRPr="002234D3">
        <w:rPr>
          <w:rFonts w:cs="Times New Roman"/>
          <w:color w:val="000000"/>
          <w:sz w:val="24"/>
          <w:szCs w:val="24"/>
          <w:shd w:val="clear" w:color="auto" w:fill="FFFFFF"/>
        </w:rPr>
        <w:t xml:space="preserve"> unlikely to bear the fruit th</w:t>
      </w:r>
      <w:r>
        <w:rPr>
          <w:rFonts w:cs="Times New Roman"/>
          <w:color w:val="000000"/>
          <w:sz w:val="24"/>
          <w:szCs w:val="24"/>
          <w:shd w:val="clear" w:color="auto" w:fill="FFFFFF"/>
        </w:rPr>
        <w:t>e Council and Commission desired, given the flawed nature of the theories underpinning the policy programme deployed and the predictable political backlash to the bullying nature of some of the adjustment programmes imposed as conditions of financial rescues</w:t>
      </w:r>
      <w:r w:rsidRPr="002234D3">
        <w:rPr>
          <w:rFonts w:cs="Times New Roman"/>
          <w:color w:val="000000"/>
          <w:sz w:val="24"/>
          <w:szCs w:val="24"/>
          <w:shd w:val="clear" w:color="auto" w:fill="FFFFFF"/>
        </w:rPr>
        <w:t>.</w:t>
      </w:r>
      <w:r>
        <w:rPr>
          <w:rFonts w:cs="Times New Roman"/>
          <w:color w:val="000000"/>
          <w:sz w:val="24"/>
          <w:szCs w:val="24"/>
          <w:shd w:val="clear" w:color="auto" w:fill="FFFFFF"/>
        </w:rPr>
        <w:t xml:space="preserve"> </w:t>
      </w:r>
      <w:r w:rsidR="005D0B68">
        <w:rPr>
          <w:rFonts w:cs="Times New Roman"/>
          <w:color w:val="000000"/>
          <w:sz w:val="24"/>
          <w:szCs w:val="24"/>
          <w:shd w:val="clear" w:color="auto" w:fill="FFFFFF"/>
        </w:rPr>
        <w:t xml:space="preserve">In sum, up to now conditionality in the </w:t>
      </w:r>
      <w:r>
        <w:rPr>
          <w:rFonts w:cs="Times New Roman"/>
          <w:color w:val="000000"/>
          <w:sz w:val="24"/>
          <w:szCs w:val="24"/>
          <w:shd w:val="clear" w:color="auto" w:fill="FFFFFF"/>
        </w:rPr>
        <w:t>eurozone</w:t>
      </w:r>
      <w:r w:rsidR="005D0B68">
        <w:rPr>
          <w:rFonts w:cs="Times New Roman"/>
          <w:color w:val="000000"/>
          <w:sz w:val="24"/>
          <w:szCs w:val="24"/>
          <w:shd w:val="clear" w:color="auto" w:fill="FFFFFF"/>
        </w:rPr>
        <w:t xml:space="preserve"> context seems to be working much as the experience of structural adjustment programmes in other parts of the world would predict. As Greer </w:t>
      </w:r>
      <w:r w:rsidR="00A34B37">
        <w:rPr>
          <w:rFonts w:cs="Times New Roman"/>
          <w:color w:val="000000"/>
          <w:sz w:val="24"/>
          <w:szCs w:val="24"/>
          <w:shd w:val="clear" w:color="auto" w:fill="FFFFFF"/>
        </w:rPr>
        <w:t xml:space="preserve">(2014) </w:t>
      </w:r>
      <w:r w:rsidR="006466B1">
        <w:rPr>
          <w:rFonts w:cs="Times New Roman"/>
          <w:color w:val="000000"/>
          <w:sz w:val="24"/>
          <w:szCs w:val="24"/>
          <w:shd w:val="clear" w:color="auto" w:fill="FFFFFF"/>
        </w:rPr>
        <w:t>explains</w:t>
      </w:r>
      <w:r w:rsidR="005D0B68" w:rsidRPr="005D0B68">
        <w:rPr>
          <w:rFonts w:cs="Times New Roman"/>
          <w:color w:val="000000"/>
          <w:sz w:val="24"/>
          <w:szCs w:val="24"/>
          <w:shd w:val="clear" w:color="auto" w:fill="FFFFFF"/>
        </w:rPr>
        <w:t xml:space="preserve">, </w:t>
      </w:r>
      <w:r w:rsidR="00622EB5">
        <w:rPr>
          <w:rFonts w:cs="Times New Roman"/>
          <w:color w:val="000000"/>
          <w:sz w:val="24"/>
          <w:szCs w:val="24"/>
          <w:shd w:val="clear" w:color="auto" w:fill="FFFFFF"/>
        </w:rPr>
        <w:t>“</w:t>
      </w:r>
      <w:r w:rsidR="005D0B68" w:rsidRPr="005D0B68">
        <w:rPr>
          <w:rFonts w:cs="Times New Roman"/>
          <w:color w:val="000000"/>
          <w:sz w:val="24"/>
          <w:shd w:val="clear" w:color="auto" w:fill="FFFFFF"/>
        </w:rPr>
        <w:t xml:space="preserve">The null hypotheses from the large literature on structural adjustment policies suggest that the </w:t>
      </w:r>
      <w:r w:rsidR="006466B1">
        <w:rPr>
          <w:rFonts w:cs="Times New Roman"/>
          <w:color w:val="000000"/>
          <w:sz w:val="24"/>
          <w:shd w:val="clear" w:color="auto" w:fill="FFFFFF"/>
        </w:rPr>
        <w:t>(they)</w:t>
      </w:r>
      <w:r w:rsidR="005D0B68" w:rsidRPr="005D0B68">
        <w:rPr>
          <w:rFonts w:cs="Times New Roman"/>
          <w:color w:val="000000"/>
          <w:sz w:val="24"/>
          <w:shd w:val="clear" w:color="auto" w:fill="FFFFFF"/>
        </w:rPr>
        <w:t xml:space="preserve"> will: be badly implemented; be neutral or bad for growth; be bad for equity and the poor; have unpredictable policy consequences; and will allow incumbent elites to preserve their positions</w:t>
      </w:r>
      <w:r w:rsidR="00A34B37">
        <w:rPr>
          <w:rFonts w:cs="Times New Roman"/>
          <w:color w:val="000000"/>
          <w:sz w:val="24"/>
          <w:shd w:val="clear" w:color="auto" w:fill="FFFFFF"/>
        </w:rPr>
        <w:t>.</w:t>
      </w:r>
      <w:r>
        <w:rPr>
          <w:rFonts w:cs="Times New Roman"/>
          <w:color w:val="000000"/>
          <w:sz w:val="24"/>
          <w:shd w:val="clear" w:color="auto" w:fill="FFFFFF"/>
        </w:rPr>
        <w:t>”</w:t>
      </w:r>
      <w:r w:rsidR="005D0B68" w:rsidRPr="005D0B68">
        <w:rPr>
          <w:rFonts w:cs="Times New Roman"/>
          <w:color w:val="000000"/>
          <w:sz w:val="24"/>
          <w:shd w:val="clear" w:color="auto" w:fill="FFFFFF"/>
        </w:rPr>
        <w:t xml:space="preserve"> Preliminary evidence from </w:t>
      </w:r>
      <w:r w:rsidR="006466B1">
        <w:rPr>
          <w:rFonts w:cs="Times New Roman"/>
          <w:color w:val="000000"/>
          <w:sz w:val="24"/>
          <w:shd w:val="clear" w:color="auto" w:fill="FFFFFF"/>
        </w:rPr>
        <w:t>Southern Europe</w:t>
      </w:r>
      <w:r w:rsidR="005D0B68" w:rsidRPr="005D0B68">
        <w:rPr>
          <w:rFonts w:cs="Times New Roman"/>
          <w:color w:val="000000"/>
          <w:sz w:val="24"/>
          <w:shd w:val="clear" w:color="auto" w:fill="FFFFFF"/>
        </w:rPr>
        <w:t xml:space="preserve"> confirms that the same problems</w:t>
      </w:r>
      <w:r w:rsidR="006466B1">
        <w:rPr>
          <w:rFonts w:cs="Times New Roman"/>
          <w:color w:val="000000"/>
          <w:sz w:val="24"/>
          <w:shd w:val="clear" w:color="auto" w:fill="FFFFFF"/>
        </w:rPr>
        <w:t xml:space="preserve"> are arising</w:t>
      </w:r>
      <w:r w:rsidR="005D0B68" w:rsidRPr="005D0B68">
        <w:rPr>
          <w:rFonts w:cs="Times New Roman"/>
          <w:color w:val="000000"/>
          <w:sz w:val="24"/>
          <w:shd w:val="clear" w:color="auto" w:fill="FFFFFF"/>
        </w:rPr>
        <w:t xml:space="preserve">. </w:t>
      </w:r>
      <w:r w:rsidR="006466B1">
        <w:rPr>
          <w:rFonts w:cs="Times New Roman"/>
          <w:color w:val="000000"/>
          <w:sz w:val="24"/>
          <w:shd w:val="clear" w:color="auto" w:fill="FFFFFF"/>
        </w:rPr>
        <w:t>One caveat to this, however, is that established partisan and governing elites in Southern Europe are under severe pressure, with electoral breakthroughs by populist alternatives in Greece, Italy and Spain threatening an outright rejection of the policy prescriptions imposed from outside.</w:t>
      </w:r>
    </w:p>
    <w:p w14:paraId="42442258" w14:textId="2EA5086C" w:rsidR="001D0861" w:rsidRDefault="001D0861">
      <w:pPr>
        <w:spacing w:line="480" w:lineRule="auto"/>
        <w:ind w:firstLine="720"/>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This is in contrast to the more benign role conditionality appeared to play in the enlargement process. By comparing the cases we can see that conditionality has been more likely to succeed when used as a </w:t>
      </w:r>
      <w:r w:rsidR="00A80AD7">
        <w:rPr>
          <w:rFonts w:cs="Times New Roman"/>
          <w:color w:val="000000"/>
          <w:sz w:val="24"/>
          <w:szCs w:val="24"/>
          <w:shd w:val="clear" w:color="auto" w:fill="FFFFFF"/>
        </w:rPr>
        <w:t>“</w:t>
      </w:r>
      <w:r>
        <w:rPr>
          <w:rFonts w:cs="Times New Roman"/>
          <w:color w:val="000000"/>
          <w:sz w:val="24"/>
          <w:szCs w:val="24"/>
          <w:shd w:val="clear" w:color="auto" w:fill="FFFFFF"/>
        </w:rPr>
        <w:t>lever</w:t>
      </w:r>
      <w:r w:rsidR="00A80AD7">
        <w:rPr>
          <w:rFonts w:cs="Times New Roman"/>
          <w:color w:val="000000"/>
          <w:sz w:val="24"/>
          <w:szCs w:val="24"/>
          <w:shd w:val="clear" w:color="auto" w:fill="FFFFFF"/>
        </w:rPr>
        <w:t>”</w:t>
      </w:r>
      <w:r>
        <w:rPr>
          <w:rFonts w:cs="Times New Roman"/>
          <w:color w:val="000000"/>
          <w:sz w:val="24"/>
          <w:szCs w:val="24"/>
          <w:shd w:val="clear" w:color="auto" w:fill="FFFFFF"/>
        </w:rPr>
        <w:t xml:space="preserve"> to facilitate reforms by supportive national elites, particularly when relating to the politically less controversial non-core state functions involved in the membership perspective, and where the European institutions have the ability to control the rewards for compliance. In the Eurozone debt crisis</w:t>
      </w:r>
      <w:r w:rsidR="00A80AD7">
        <w:rPr>
          <w:rFonts w:cs="Times New Roman"/>
          <w:color w:val="000000"/>
          <w:sz w:val="24"/>
          <w:szCs w:val="24"/>
          <w:shd w:val="clear" w:color="auto" w:fill="FFFFFF"/>
        </w:rPr>
        <w:t>,</w:t>
      </w:r>
      <w:r>
        <w:rPr>
          <w:rFonts w:cs="Times New Roman"/>
          <w:color w:val="000000"/>
          <w:sz w:val="24"/>
          <w:szCs w:val="24"/>
          <w:shd w:val="clear" w:color="auto" w:fill="FFFFFF"/>
        </w:rPr>
        <w:t xml:space="preserve"> these conditions have been lacking. National elites were often less than supportive, particularly since the measures imposed were politically highly sensitive, and extremely painful for national populations in the short-term, with uncertain benefits in the long term. Although the ability to provide financial assistance was an important reward available for compliance, it preceded the actual implementation of the conditional measures, </w:t>
      </w:r>
      <w:r w:rsidR="00A471F0">
        <w:rPr>
          <w:rFonts w:cs="Times New Roman"/>
          <w:color w:val="000000"/>
          <w:sz w:val="24"/>
          <w:szCs w:val="24"/>
          <w:shd w:val="clear" w:color="auto" w:fill="FFFFFF"/>
        </w:rPr>
        <w:t>whereas the long-term reward, a return to economic growth, was not in the gift of European decision-makers.</w:t>
      </w:r>
    </w:p>
    <w:p w14:paraId="5EEC1DC4" w14:textId="6909D2A5" w:rsidR="00A471F0" w:rsidRDefault="00A471F0">
      <w:pPr>
        <w:spacing w:line="480" w:lineRule="auto"/>
        <w:ind w:firstLine="720"/>
        <w:rPr>
          <w:rFonts w:cs="Times New Roman"/>
          <w:color w:val="000000"/>
          <w:sz w:val="24"/>
          <w:szCs w:val="24"/>
          <w:shd w:val="clear" w:color="auto" w:fill="FFFFFF"/>
        </w:rPr>
      </w:pPr>
      <w:r>
        <w:rPr>
          <w:rFonts w:cs="Times New Roman"/>
          <w:color w:val="000000"/>
          <w:sz w:val="24"/>
          <w:szCs w:val="24"/>
          <w:shd w:val="clear" w:color="auto" w:fill="FFFFFF"/>
        </w:rPr>
        <w:t xml:space="preserve">Not only has this latest episode of conditionality had decidedly mixed results in policy evaluation terms, it has ruthlessly exposed to European decision-makers and voters the trade-offs involved in participation in the European project, and in particular its monetary aspect. European Union membership can mean non-elected technocrats arriving on missions to open up member state governments’ books and demand the implementation of deeply unpopular policy measures, with little pretence that there is much scope for negotiation. Predictably, this has placed pro-European political elites in debtor countries under political pressure, creating opportunities for nationalistic appeals to make electoral hay. Even when the </w:t>
      </w:r>
      <w:r>
        <w:rPr>
          <w:rFonts w:cs="Times New Roman"/>
          <w:color w:val="000000"/>
          <w:sz w:val="24"/>
          <w:szCs w:val="24"/>
          <w:shd w:val="clear" w:color="auto" w:fill="FFFFFF"/>
        </w:rPr>
        <w:lastRenderedPageBreak/>
        <w:t>populist threat can be held off, as in Spain and Italy, member state governments can appeal to European decision-makers for a softer touch, for fear of something worse. The limits of conditionality are ultimately to be found in the electoral nexus at the member state level.</w:t>
      </w:r>
    </w:p>
    <w:p w14:paraId="1EA3AC76" w14:textId="0946448E" w:rsidR="00D41594" w:rsidRDefault="00D41594">
      <w:pPr>
        <w:spacing w:after="0" w:line="240" w:lineRule="auto"/>
        <w:rPr>
          <w:rFonts w:cs="Times New Roman"/>
          <w:color w:val="000000"/>
          <w:sz w:val="24"/>
          <w:szCs w:val="24"/>
          <w:shd w:val="clear" w:color="auto" w:fill="FFFFFF"/>
        </w:rPr>
      </w:pPr>
      <w:r>
        <w:rPr>
          <w:rFonts w:cs="Times New Roman"/>
          <w:color w:val="000000"/>
          <w:sz w:val="24"/>
          <w:szCs w:val="24"/>
          <w:shd w:val="clear" w:color="auto" w:fill="FFFFFF"/>
        </w:rPr>
        <w:br w:type="page"/>
      </w:r>
    </w:p>
    <w:p w14:paraId="671F9DF0" w14:textId="77777777" w:rsidR="00D41594" w:rsidRDefault="00D41594" w:rsidP="00236EC3">
      <w:pPr>
        <w:spacing w:after="0" w:line="240" w:lineRule="auto"/>
        <w:ind w:left="-720"/>
        <w:jc w:val="center"/>
        <w:outlineLvl w:val="0"/>
        <w:rPr>
          <w:rFonts w:ascii="Cambria" w:hAnsi="Cambria" w:cs="Times New Roman"/>
          <w:sz w:val="24"/>
          <w:szCs w:val="24"/>
        </w:rPr>
      </w:pPr>
      <w:r w:rsidRPr="001504C3">
        <w:rPr>
          <w:rFonts w:ascii="Cambria" w:hAnsi="Cambria" w:cs="Times New Roman"/>
          <w:sz w:val="24"/>
          <w:szCs w:val="24"/>
        </w:rPr>
        <w:lastRenderedPageBreak/>
        <w:t xml:space="preserve">Works Cited </w:t>
      </w:r>
    </w:p>
    <w:p w14:paraId="79077C8D" w14:textId="77777777" w:rsidR="00236EC3" w:rsidRDefault="00236EC3" w:rsidP="00236EC3">
      <w:pPr>
        <w:spacing w:after="0" w:line="240" w:lineRule="auto"/>
        <w:ind w:left="-720"/>
        <w:jc w:val="center"/>
        <w:outlineLvl w:val="0"/>
        <w:rPr>
          <w:rFonts w:ascii="Cambria" w:hAnsi="Cambria" w:cs="Times New Roman"/>
          <w:sz w:val="24"/>
          <w:szCs w:val="24"/>
        </w:rPr>
      </w:pPr>
    </w:p>
    <w:p w14:paraId="507C756A" w14:textId="77777777" w:rsidR="00452ACD" w:rsidRDefault="00452ACD" w:rsidP="00D41594">
      <w:pPr>
        <w:spacing w:after="0" w:line="240" w:lineRule="auto"/>
        <w:ind w:left="-720"/>
        <w:jc w:val="center"/>
        <w:rPr>
          <w:rFonts w:ascii="Cambria" w:hAnsi="Cambria" w:cs="Times New Roman"/>
          <w:sz w:val="24"/>
          <w:szCs w:val="24"/>
        </w:rPr>
      </w:pPr>
    </w:p>
    <w:p w14:paraId="2FCF8A95" w14:textId="4A56A512"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Aslund, Ånders (2010). </w:t>
      </w:r>
      <w:r w:rsidRPr="001504C3">
        <w:rPr>
          <w:rFonts w:ascii="Cambria" w:hAnsi="Cambria" w:cs="Times New Roman"/>
          <w:i/>
          <w:sz w:val="24"/>
          <w:szCs w:val="24"/>
        </w:rPr>
        <w:t xml:space="preserve">The Last Shall Be the First: The East European Financial Crisis. </w:t>
      </w:r>
      <w:r w:rsidRPr="001504C3">
        <w:rPr>
          <w:rFonts w:ascii="Cambria" w:hAnsi="Cambria" w:cs="Times New Roman"/>
          <w:sz w:val="24"/>
          <w:szCs w:val="24"/>
        </w:rPr>
        <w:t>Washington DC: Peterson Institute for International Economics.</w:t>
      </w:r>
    </w:p>
    <w:p w14:paraId="4804458D" w14:textId="77777777" w:rsidR="00D41594" w:rsidRPr="001504C3" w:rsidRDefault="00D41594" w:rsidP="00D41594">
      <w:pPr>
        <w:spacing w:after="0" w:line="240" w:lineRule="auto"/>
        <w:rPr>
          <w:rFonts w:ascii="Cambria" w:hAnsi="Cambria" w:cs="Times New Roman"/>
          <w:sz w:val="24"/>
          <w:szCs w:val="24"/>
        </w:rPr>
      </w:pPr>
    </w:p>
    <w:p w14:paraId="66ED20BD" w14:textId="77777777" w:rsidR="00D41594" w:rsidRPr="001504C3" w:rsidRDefault="00D41594" w:rsidP="00D41594">
      <w:pPr>
        <w:ind w:left="720" w:hanging="720"/>
        <w:rPr>
          <w:rFonts w:ascii="Cambria" w:hAnsi="Cambria" w:cs="Times New Roman"/>
          <w:sz w:val="24"/>
          <w:szCs w:val="24"/>
        </w:rPr>
      </w:pPr>
      <w:r w:rsidRPr="001504C3">
        <w:rPr>
          <w:rFonts w:ascii="Cambria" w:hAnsi="Cambria" w:cs="Times New Roman"/>
          <w:sz w:val="24"/>
          <w:szCs w:val="24"/>
        </w:rPr>
        <w:t xml:space="preserve">Ban, Cornel (2017). </w:t>
      </w:r>
      <w:r w:rsidRPr="001504C3">
        <w:rPr>
          <w:rFonts w:ascii="Cambria" w:hAnsi="Cambria" w:cs="Times New Roman"/>
          <w:i/>
          <w:sz w:val="24"/>
          <w:szCs w:val="24"/>
        </w:rPr>
        <w:t>Ruling Ideas: How Global Neoliberalism Goes Local</w:t>
      </w:r>
      <w:r w:rsidRPr="001504C3">
        <w:rPr>
          <w:rFonts w:ascii="Cambria" w:hAnsi="Cambria" w:cs="Times New Roman"/>
          <w:sz w:val="24"/>
          <w:szCs w:val="24"/>
        </w:rPr>
        <w:t>. New York: Oxford University Press.</w:t>
      </w:r>
    </w:p>
    <w:p w14:paraId="320DEFCB" w14:textId="77777777" w:rsidR="00D41594" w:rsidRPr="001504C3" w:rsidRDefault="00D41594" w:rsidP="00D41594">
      <w:pPr>
        <w:ind w:left="720" w:hanging="720"/>
        <w:rPr>
          <w:rFonts w:ascii="Cambria" w:eastAsia="Times New Roman" w:hAnsi="Cambria" w:cs="Times New Roman"/>
          <w:color w:val="333333"/>
          <w:spacing w:val="4"/>
          <w:sz w:val="24"/>
          <w:szCs w:val="24"/>
          <w:shd w:val="clear" w:color="auto" w:fill="FCFCFC"/>
        </w:rPr>
      </w:pPr>
      <w:r w:rsidRPr="001504C3">
        <w:rPr>
          <w:rFonts w:ascii="Cambria" w:hAnsi="Cambria" w:cs="Times New Roman"/>
          <w:sz w:val="24"/>
          <w:szCs w:val="24"/>
        </w:rPr>
        <w:t xml:space="preserve">Blyth, Mark (2017), ‘After the Brits Have Gone and the Trumpets Have Sounded: Turning a Drama into A Crisis That Will Not Go to Waste.’ </w:t>
      </w:r>
      <w:r w:rsidRPr="001504C3">
        <w:rPr>
          <w:rFonts w:ascii="Cambria" w:hAnsi="Cambria" w:cs="Times New Roman"/>
          <w:i/>
          <w:sz w:val="24"/>
          <w:szCs w:val="24"/>
        </w:rPr>
        <w:t>Intereconomics</w:t>
      </w:r>
      <w:r w:rsidRPr="001504C3">
        <w:rPr>
          <w:rFonts w:ascii="Cambria" w:hAnsi="Cambria" w:cs="Times New Roman"/>
          <w:sz w:val="24"/>
          <w:szCs w:val="24"/>
        </w:rPr>
        <w:t xml:space="preserve">, 51:6, </w:t>
      </w:r>
      <w:r w:rsidRPr="001504C3">
        <w:rPr>
          <w:rFonts w:ascii="Cambria" w:eastAsia="Times New Roman" w:hAnsi="Cambria" w:cs="Times New Roman"/>
          <w:color w:val="333333"/>
          <w:spacing w:val="4"/>
          <w:sz w:val="24"/>
          <w:szCs w:val="24"/>
          <w:shd w:val="clear" w:color="auto" w:fill="FCFCFC"/>
        </w:rPr>
        <w:t>324–331.</w:t>
      </w:r>
    </w:p>
    <w:p w14:paraId="5BB4FF42"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Blyth, Mark (2013). </w:t>
      </w:r>
      <w:r w:rsidRPr="001504C3">
        <w:rPr>
          <w:rFonts w:ascii="Cambria" w:hAnsi="Cambria" w:cs="Times New Roman"/>
          <w:i/>
          <w:sz w:val="24"/>
          <w:szCs w:val="24"/>
        </w:rPr>
        <w:t>Austerity. The History of a Dangerous Idea</w:t>
      </w:r>
      <w:r w:rsidRPr="001504C3">
        <w:rPr>
          <w:rFonts w:ascii="Cambria" w:hAnsi="Cambria" w:cs="Times New Roman"/>
          <w:sz w:val="24"/>
          <w:szCs w:val="24"/>
        </w:rPr>
        <w:t>. New York: Oxford University Press.</w:t>
      </w:r>
    </w:p>
    <w:p w14:paraId="49B16FE0" w14:textId="77777777" w:rsidR="00D41594" w:rsidRPr="001504C3" w:rsidRDefault="00D41594" w:rsidP="00D41594">
      <w:pPr>
        <w:spacing w:after="0" w:line="240" w:lineRule="auto"/>
        <w:ind w:left="720" w:hanging="720"/>
        <w:rPr>
          <w:rFonts w:ascii="Cambria" w:hAnsi="Cambria" w:cs="Times New Roman"/>
          <w:sz w:val="24"/>
          <w:szCs w:val="24"/>
        </w:rPr>
      </w:pPr>
    </w:p>
    <w:p w14:paraId="371DC99B"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Bohle, Dorothee and Wade Jacoby (2017). ‘Lean, Special, or Consensual? Vulnerability and External Buffering in the Small States of East-Central Europe.’ </w:t>
      </w:r>
      <w:r w:rsidRPr="001504C3">
        <w:rPr>
          <w:rFonts w:ascii="Cambria" w:hAnsi="Cambria" w:cs="Times New Roman"/>
          <w:i/>
          <w:sz w:val="24"/>
          <w:szCs w:val="24"/>
        </w:rPr>
        <w:t xml:space="preserve">Comparative Politics, </w:t>
      </w:r>
      <w:r w:rsidRPr="001504C3">
        <w:rPr>
          <w:rFonts w:ascii="Cambria" w:hAnsi="Cambria" w:cs="Times New Roman"/>
          <w:sz w:val="24"/>
          <w:szCs w:val="24"/>
        </w:rPr>
        <w:t>49:2, 191–209.</w:t>
      </w:r>
    </w:p>
    <w:p w14:paraId="0CCC0200" w14:textId="77777777" w:rsidR="00D41594" w:rsidRPr="001504C3" w:rsidRDefault="00D41594" w:rsidP="00D41594">
      <w:pPr>
        <w:spacing w:after="0" w:line="240" w:lineRule="auto"/>
        <w:ind w:left="720" w:hanging="720"/>
        <w:rPr>
          <w:rFonts w:ascii="Cambria" w:hAnsi="Cambria" w:cs="Times New Roman"/>
          <w:sz w:val="24"/>
          <w:szCs w:val="24"/>
        </w:rPr>
      </w:pPr>
    </w:p>
    <w:p w14:paraId="09756071"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Börzel, Tanja A. (2011). ‘When Europeanization Hits Limited Statehood: The Western Balkans as a Test Case for the Transformative Power of Europe.’ </w:t>
      </w:r>
      <w:r w:rsidRPr="001504C3">
        <w:rPr>
          <w:rFonts w:ascii="Cambria" w:hAnsi="Cambria" w:cs="Times New Roman"/>
          <w:i/>
          <w:sz w:val="24"/>
          <w:szCs w:val="24"/>
        </w:rPr>
        <w:t xml:space="preserve">KFG Working Paper Series, </w:t>
      </w:r>
      <w:r w:rsidRPr="001504C3">
        <w:rPr>
          <w:rFonts w:ascii="Cambria" w:hAnsi="Cambria" w:cs="Times New Roman"/>
          <w:sz w:val="24"/>
          <w:szCs w:val="24"/>
        </w:rPr>
        <w:t>30, 5–15.</w:t>
      </w:r>
    </w:p>
    <w:p w14:paraId="7701897E" w14:textId="77777777" w:rsidR="00D41594" w:rsidRPr="001504C3" w:rsidRDefault="00D41594" w:rsidP="00D41594">
      <w:pPr>
        <w:spacing w:after="0" w:line="240" w:lineRule="auto"/>
        <w:ind w:left="720" w:hanging="720"/>
        <w:rPr>
          <w:rFonts w:ascii="Cambria" w:hAnsi="Cambria" w:cs="Times New Roman"/>
          <w:sz w:val="24"/>
          <w:szCs w:val="24"/>
        </w:rPr>
      </w:pPr>
    </w:p>
    <w:p w14:paraId="11049AB1"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Börzel, Tanja A. (2016). ‘From EU Governance of Crisis to Crisis of Eu Governance: Regulatory Failure, Redistributive Conflict and Eurosceptic Publics.’ </w:t>
      </w:r>
      <w:r w:rsidRPr="001504C3">
        <w:rPr>
          <w:rFonts w:ascii="Cambria" w:hAnsi="Cambria" w:cs="Times New Roman"/>
          <w:i/>
          <w:sz w:val="24"/>
          <w:szCs w:val="24"/>
        </w:rPr>
        <w:t xml:space="preserve">Journal of Common Market Studies, </w:t>
      </w:r>
      <w:r w:rsidRPr="001504C3">
        <w:rPr>
          <w:rFonts w:ascii="Cambria" w:hAnsi="Cambria" w:cs="Times New Roman"/>
          <w:sz w:val="24"/>
          <w:szCs w:val="24"/>
        </w:rPr>
        <w:t>54: Supplement 1, 8–31.</w:t>
      </w:r>
    </w:p>
    <w:p w14:paraId="78AF2BC6" w14:textId="77777777" w:rsidR="00D41594" w:rsidRPr="001504C3" w:rsidRDefault="00D41594" w:rsidP="00D41594">
      <w:pPr>
        <w:spacing w:after="0" w:line="240" w:lineRule="auto"/>
        <w:ind w:left="720" w:hanging="720"/>
        <w:rPr>
          <w:rFonts w:ascii="Cambria" w:hAnsi="Cambria" w:cs="Times New Roman"/>
          <w:sz w:val="24"/>
          <w:szCs w:val="24"/>
        </w:rPr>
      </w:pPr>
    </w:p>
    <w:p w14:paraId="732F42F6"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Brunnermeier, Markus K., Harold James, and Jean-Pierre Landau (2016). </w:t>
      </w:r>
      <w:r w:rsidRPr="001504C3">
        <w:rPr>
          <w:rFonts w:ascii="Cambria" w:hAnsi="Cambria" w:cs="Times New Roman"/>
          <w:i/>
          <w:sz w:val="24"/>
          <w:szCs w:val="24"/>
        </w:rPr>
        <w:t xml:space="preserve">The Euro and the Battle of Ideas. </w:t>
      </w:r>
      <w:r w:rsidRPr="001504C3">
        <w:rPr>
          <w:rFonts w:ascii="Cambria" w:hAnsi="Cambria" w:cs="Times New Roman"/>
          <w:sz w:val="24"/>
          <w:szCs w:val="24"/>
        </w:rPr>
        <w:t>Princeton: Princeton University Press.</w:t>
      </w:r>
    </w:p>
    <w:p w14:paraId="7728D744" w14:textId="77777777" w:rsidR="00D41594" w:rsidRPr="001504C3" w:rsidRDefault="00D41594" w:rsidP="00D41594">
      <w:pPr>
        <w:spacing w:after="0" w:line="240" w:lineRule="auto"/>
        <w:ind w:left="720" w:hanging="720"/>
        <w:rPr>
          <w:rFonts w:ascii="Cambria" w:hAnsi="Cambria" w:cs="Times New Roman"/>
          <w:sz w:val="24"/>
          <w:szCs w:val="24"/>
        </w:rPr>
      </w:pPr>
    </w:p>
    <w:p w14:paraId="74D74E4D"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Bruszt, László and Julia Langbein (2015). ‘Development By Stealth: Governing Market Integration in the eastern Peripheries of the European Union.’ </w:t>
      </w:r>
      <w:r w:rsidRPr="001504C3">
        <w:rPr>
          <w:rFonts w:ascii="Cambria" w:hAnsi="Cambria" w:cs="Times New Roman"/>
          <w:i/>
          <w:sz w:val="24"/>
          <w:szCs w:val="24"/>
        </w:rPr>
        <w:t xml:space="preserve">MAXCAP Working Paper Series, </w:t>
      </w:r>
      <w:r w:rsidRPr="001504C3">
        <w:rPr>
          <w:rFonts w:ascii="Cambria" w:hAnsi="Cambria" w:cs="Times New Roman"/>
          <w:sz w:val="24"/>
          <w:szCs w:val="24"/>
        </w:rPr>
        <w:t>17, 6–24.</w:t>
      </w:r>
    </w:p>
    <w:p w14:paraId="02E3D0E5" w14:textId="77777777" w:rsidR="00D41594" w:rsidRPr="001504C3" w:rsidRDefault="00D41594" w:rsidP="00D41594">
      <w:pPr>
        <w:spacing w:after="0" w:line="240" w:lineRule="auto"/>
        <w:ind w:left="720" w:hanging="720"/>
        <w:rPr>
          <w:rFonts w:ascii="Cambria" w:hAnsi="Cambria" w:cs="Times New Roman"/>
          <w:sz w:val="24"/>
          <w:szCs w:val="24"/>
        </w:rPr>
      </w:pPr>
    </w:p>
    <w:p w14:paraId="78D18A79"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Bruszt, László and Gerald A. McDermott (2014). ‘Introduction: The Governance of Transnational Regulatory Integration and Development’ in </w:t>
      </w:r>
      <w:r w:rsidRPr="001504C3">
        <w:rPr>
          <w:rFonts w:ascii="Cambria" w:hAnsi="Cambria" w:cs="Times New Roman"/>
          <w:i/>
          <w:sz w:val="24"/>
          <w:szCs w:val="24"/>
        </w:rPr>
        <w:t>Leveling the Playing Field</w:t>
      </w:r>
      <w:r w:rsidRPr="001504C3">
        <w:rPr>
          <w:rFonts w:ascii="Cambria" w:hAnsi="Cambria" w:cs="Times New Roman"/>
          <w:sz w:val="24"/>
          <w:szCs w:val="24"/>
        </w:rPr>
        <w:t xml:space="preserve">. Oxford: Oxford University Press. </w:t>
      </w:r>
    </w:p>
    <w:p w14:paraId="19BA4763" w14:textId="77777777" w:rsidR="00D41594" w:rsidRPr="001504C3" w:rsidRDefault="00D41594" w:rsidP="00D41594">
      <w:pPr>
        <w:pStyle w:val="NormalWeb"/>
        <w:spacing w:after="0"/>
        <w:ind w:left="720" w:hanging="720"/>
        <w:rPr>
          <w:rFonts w:ascii="Cambria" w:hAnsi="Cambria"/>
        </w:rPr>
      </w:pPr>
    </w:p>
    <w:p w14:paraId="1A515C16" w14:textId="77777777" w:rsidR="00D41594" w:rsidRDefault="00D41594" w:rsidP="00D41594">
      <w:pPr>
        <w:pStyle w:val="NormalWeb"/>
        <w:spacing w:after="0"/>
        <w:ind w:left="720" w:hanging="720"/>
        <w:rPr>
          <w:rFonts w:ascii="Cambria" w:hAnsi="Cambria"/>
        </w:rPr>
      </w:pPr>
      <w:r w:rsidRPr="001504C3">
        <w:rPr>
          <w:rFonts w:ascii="Cambria" w:hAnsi="Cambria"/>
        </w:rPr>
        <w:t xml:space="preserve">Bruszt, László and Visnja Vukov (2017). ‘Making States for the Single Market: European integration and the reshaping of economic states in the Southern and Eastern peripheries of Europe.’ </w:t>
      </w:r>
      <w:r w:rsidRPr="001504C3">
        <w:rPr>
          <w:rFonts w:ascii="Cambria" w:hAnsi="Cambria"/>
          <w:i/>
        </w:rPr>
        <w:t xml:space="preserve">West European Politics, </w:t>
      </w:r>
      <w:r w:rsidRPr="001504C3">
        <w:rPr>
          <w:rFonts w:ascii="Cambria" w:hAnsi="Cambria"/>
        </w:rPr>
        <w:t>40:4, 663–87.</w:t>
      </w:r>
    </w:p>
    <w:p w14:paraId="3C1E585E" w14:textId="77777777" w:rsidR="00552C34" w:rsidRPr="001504C3" w:rsidRDefault="00552C34" w:rsidP="00D41594">
      <w:pPr>
        <w:pStyle w:val="NormalWeb"/>
        <w:spacing w:after="0"/>
        <w:ind w:left="720" w:hanging="720"/>
        <w:rPr>
          <w:rFonts w:ascii="Cambria" w:hAnsi="Cambria"/>
        </w:rPr>
      </w:pPr>
    </w:p>
    <w:p w14:paraId="3E467788" w14:textId="33BB0B00" w:rsidR="00D41594" w:rsidRDefault="00D41594" w:rsidP="00D41594">
      <w:pPr>
        <w:pStyle w:val="NormalWeb"/>
        <w:spacing w:after="0"/>
        <w:ind w:left="720" w:hanging="720"/>
        <w:rPr>
          <w:rFonts w:ascii="Cambria" w:hAnsi="Cambria"/>
          <w:color w:val="000000"/>
        </w:rPr>
      </w:pPr>
      <w:r w:rsidRPr="001504C3">
        <w:rPr>
          <w:rFonts w:ascii="Cambria" w:hAnsi="Cambria"/>
          <w:color w:val="000000"/>
        </w:rPr>
        <w:lastRenderedPageBreak/>
        <w:t xml:space="preserve">Buck, Tobias (2016). ‘Spain Recoups only a Fraction of Funds Pumped into Bank Bailouts’, </w:t>
      </w:r>
      <w:r w:rsidRPr="001504C3">
        <w:rPr>
          <w:rFonts w:ascii="Cambria" w:hAnsi="Cambria"/>
          <w:i/>
          <w:color w:val="000000"/>
        </w:rPr>
        <w:t xml:space="preserve">Financial Times </w:t>
      </w:r>
      <w:r w:rsidRPr="001504C3">
        <w:rPr>
          <w:rFonts w:ascii="Cambria" w:hAnsi="Cambria"/>
          <w:color w:val="000000"/>
        </w:rPr>
        <w:t xml:space="preserve">September 6. </w:t>
      </w:r>
      <w:hyperlink r:id="rId7" w:history="1">
        <w:r w:rsidR="00931525" w:rsidRPr="00C364EA">
          <w:rPr>
            <w:rStyle w:val="Hyperlink"/>
            <w:rFonts w:ascii="Cambria" w:hAnsi="Cambria"/>
          </w:rPr>
          <w:t>https://www.ft.com/content/6ca8fcb0-743b-11e6-b60a-de4532d5ea35</w:t>
        </w:r>
      </w:hyperlink>
    </w:p>
    <w:p w14:paraId="67CA00D3" w14:textId="77777777" w:rsidR="00931525" w:rsidRPr="001504C3" w:rsidRDefault="00931525" w:rsidP="00D41594">
      <w:pPr>
        <w:pStyle w:val="NormalWeb"/>
        <w:spacing w:after="0"/>
        <w:ind w:left="720" w:hanging="720"/>
        <w:rPr>
          <w:rFonts w:ascii="Cambria" w:hAnsi="Cambria"/>
          <w:color w:val="000000"/>
        </w:rPr>
      </w:pPr>
    </w:p>
    <w:p w14:paraId="30647772" w14:textId="627BA2B8"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Carare, Alina (2209). ‘IMF Survey: Hungary Succeeds in Early Return to Market Financing.’ </w:t>
      </w:r>
      <w:r w:rsidRPr="001504C3">
        <w:rPr>
          <w:rFonts w:ascii="Cambria" w:hAnsi="Cambria"/>
          <w:i/>
          <w:color w:val="000000"/>
        </w:rPr>
        <w:t>IMF Country Focus</w:t>
      </w:r>
      <w:r w:rsidRPr="001504C3">
        <w:rPr>
          <w:rFonts w:ascii="Cambria" w:hAnsi="Cambria"/>
          <w:color w:val="000000"/>
        </w:rPr>
        <w:t xml:space="preserve"> available at </w:t>
      </w:r>
      <w:hyperlink r:id="rId8" w:history="1">
        <w:r w:rsidRPr="001504C3">
          <w:rPr>
            <w:rStyle w:val="Hyperlink"/>
            <w:rFonts w:ascii="Cambria" w:hAnsi="Cambria"/>
          </w:rPr>
          <w:t>https://www.imf.org/en/News/Articles/2015/09/28/04/53/socar073009b</w:t>
        </w:r>
      </w:hyperlink>
    </w:p>
    <w:p w14:paraId="19471E7E" w14:textId="77777777" w:rsidR="00D41594" w:rsidRPr="001504C3" w:rsidRDefault="00D41594" w:rsidP="00D41594">
      <w:pPr>
        <w:pStyle w:val="NormalWeb"/>
        <w:spacing w:after="0"/>
        <w:ind w:left="720" w:hanging="720"/>
        <w:rPr>
          <w:rFonts w:ascii="Cambria" w:hAnsi="Cambria"/>
          <w:color w:val="000000"/>
        </w:rPr>
      </w:pPr>
    </w:p>
    <w:p w14:paraId="58698597" w14:textId="77777777" w:rsidR="00D41594" w:rsidRPr="001504C3" w:rsidRDefault="00D41594" w:rsidP="00D41594">
      <w:pPr>
        <w:pStyle w:val="NormalWeb"/>
        <w:spacing w:after="0"/>
        <w:ind w:left="720" w:hanging="720"/>
        <w:rPr>
          <w:rFonts w:ascii="Cambria" w:hAnsi="Cambria"/>
        </w:rPr>
      </w:pPr>
      <w:r w:rsidRPr="001504C3">
        <w:rPr>
          <w:rFonts w:ascii="Cambria" w:hAnsi="Cambria"/>
          <w:color w:val="000000"/>
        </w:rPr>
        <w:t xml:space="preserve">Chalmers, Damian, Markus Jachtenfuchs  and Christoph Joerges, eds. (2016). </w:t>
      </w:r>
      <w:r w:rsidRPr="001504C3">
        <w:rPr>
          <w:rFonts w:ascii="Cambria" w:hAnsi="Cambria"/>
          <w:i/>
          <w:iCs/>
          <w:color w:val="000000"/>
        </w:rPr>
        <w:t>The End of the Eurocrats Dream: Adjusting to European Diversity.</w:t>
      </w:r>
      <w:r w:rsidRPr="001504C3">
        <w:rPr>
          <w:rFonts w:ascii="Cambria" w:hAnsi="Cambria"/>
          <w:color w:val="000000"/>
        </w:rPr>
        <w:t xml:space="preserve"> Cambridge: Cambridge University Press.</w:t>
      </w:r>
    </w:p>
    <w:p w14:paraId="6336C613" w14:textId="77777777" w:rsidR="00D41594" w:rsidRPr="001504C3" w:rsidRDefault="00D41594" w:rsidP="00D41594">
      <w:pPr>
        <w:spacing w:after="0" w:line="240" w:lineRule="auto"/>
        <w:ind w:left="720" w:hanging="720"/>
        <w:rPr>
          <w:rFonts w:ascii="Cambria" w:hAnsi="Cambria" w:cs="Times New Roman"/>
          <w:sz w:val="24"/>
          <w:szCs w:val="24"/>
        </w:rPr>
      </w:pPr>
    </w:p>
    <w:p w14:paraId="631982AE" w14:textId="77777777" w:rsidR="00552C34" w:rsidRDefault="00D41594" w:rsidP="00931525">
      <w:pPr>
        <w:spacing w:line="240" w:lineRule="auto"/>
        <w:ind w:left="720" w:hanging="720"/>
        <w:rPr>
          <w:rFonts w:ascii="Cambria" w:hAnsi="Cambria" w:cs="Times New Roman"/>
          <w:sz w:val="24"/>
          <w:szCs w:val="24"/>
        </w:rPr>
      </w:pPr>
      <w:r w:rsidRPr="001504C3">
        <w:rPr>
          <w:rFonts w:ascii="Cambria" w:hAnsi="Cambria" w:cs="Times New Roman"/>
          <w:sz w:val="24"/>
          <w:szCs w:val="24"/>
        </w:rPr>
        <w:t xml:space="preserve">Corriere della sera (2011). ‘Il documento segreto della Bce: ridurre gli stipendi pubblici’, </w:t>
      </w:r>
      <w:r w:rsidRPr="001504C3">
        <w:rPr>
          <w:rFonts w:ascii="Cambria" w:hAnsi="Cambria" w:cs="Times New Roman"/>
          <w:i/>
          <w:sz w:val="24"/>
          <w:szCs w:val="24"/>
        </w:rPr>
        <w:t>Corriere della sera</w:t>
      </w:r>
      <w:r w:rsidRPr="001504C3">
        <w:rPr>
          <w:rFonts w:ascii="Cambria" w:hAnsi="Cambria" w:cs="Times New Roman"/>
          <w:sz w:val="24"/>
          <w:szCs w:val="24"/>
        </w:rPr>
        <w:t xml:space="preserve">, 29 September. </w:t>
      </w:r>
      <w:hyperlink r:id="rId9" w:history="1">
        <w:r w:rsidRPr="001504C3">
          <w:rPr>
            <w:rStyle w:val="Hyperlink"/>
            <w:rFonts w:ascii="Cambria" w:hAnsi="Cambria" w:cs="Times New Roman"/>
            <w:sz w:val="24"/>
            <w:szCs w:val="24"/>
          </w:rPr>
          <w:t>http://www.corriere.it/economia/11_settembre_29/sensini_documento_bce_e68f29d6-ea58-11e0-ae06-4da866778017.shtml</w:t>
        </w:r>
      </w:hyperlink>
    </w:p>
    <w:p w14:paraId="4886CF81" w14:textId="5BA0CF45" w:rsidR="005C3566" w:rsidRDefault="005C3566" w:rsidP="00236EC3">
      <w:pPr>
        <w:spacing w:line="240" w:lineRule="auto"/>
        <w:ind w:left="720" w:hanging="720"/>
        <w:rPr>
          <w:rFonts w:ascii="Cambria" w:hAnsi="Cambria" w:cs="Times New Roman"/>
          <w:sz w:val="24"/>
          <w:szCs w:val="24"/>
        </w:rPr>
      </w:pPr>
      <w:r>
        <w:rPr>
          <w:rFonts w:ascii="Cambria" w:hAnsi="Cambria" w:cs="Times New Roman"/>
          <w:sz w:val="24"/>
          <w:szCs w:val="24"/>
        </w:rPr>
        <w:t>De Grauwe, Paul (2010). ‘</w:t>
      </w:r>
      <w:r w:rsidRPr="00236EC3">
        <w:rPr>
          <w:rFonts w:ascii="Cambria" w:hAnsi="Cambria" w:cs="Times New Roman"/>
          <w:bCs/>
          <w:sz w:val="24"/>
          <w:szCs w:val="24"/>
        </w:rPr>
        <w:t>Why a Tougher Stability and Growth Pact is a Bad Idea</w:t>
      </w:r>
      <w:r>
        <w:rPr>
          <w:rFonts w:ascii="Cambria" w:hAnsi="Cambria" w:cs="Times New Roman"/>
          <w:bCs/>
          <w:sz w:val="24"/>
          <w:szCs w:val="24"/>
        </w:rPr>
        <w:t xml:space="preserve">’, </w:t>
      </w:r>
      <w:r w:rsidR="00C77A33" w:rsidRPr="00236EC3">
        <w:rPr>
          <w:rFonts w:ascii="Cambria" w:hAnsi="Cambria" w:cs="Times New Roman"/>
          <w:bCs/>
          <w:i/>
          <w:sz w:val="24"/>
          <w:szCs w:val="24"/>
        </w:rPr>
        <w:t>Vox</w:t>
      </w:r>
      <w:r w:rsidR="00C77A33">
        <w:rPr>
          <w:rFonts w:ascii="Cambria" w:hAnsi="Cambria" w:cs="Times New Roman"/>
          <w:bCs/>
          <w:i/>
          <w:sz w:val="24"/>
          <w:szCs w:val="24"/>
        </w:rPr>
        <w:t>Eu</w:t>
      </w:r>
      <w:r w:rsidR="00C77A33">
        <w:rPr>
          <w:rFonts w:ascii="Cambria" w:hAnsi="Cambria" w:cs="Times New Roman"/>
          <w:bCs/>
          <w:sz w:val="24"/>
          <w:szCs w:val="24"/>
        </w:rPr>
        <w:t>,</w:t>
      </w:r>
      <w:r w:rsidR="00C77A33">
        <w:rPr>
          <w:rFonts w:ascii="Cambria" w:hAnsi="Cambria" w:cs="Times New Roman"/>
          <w:bCs/>
          <w:i/>
          <w:sz w:val="24"/>
          <w:szCs w:val="24"/>
        </w:rPr>
        <w:t xml:space="preserve"> </w:t>
      </w:r>
      <w:r w:rsidR="00C77A33">
        <w:rPr>
          <w:rFonts w:ascii="Cambria" w:hAnsi="Cambria" w:cs="Times New Roman"/>
          <w:bCs/>
          <w:sz w:val="24"/>
          <w:szCs w:val="24"/>
        </w:rPr>
        <w:t>4 October.</w:t>
      </w:r>
      <w:r w:rsidR="00C77A33">
        <w:rPr>
          <w:rFonts w:ascii="Cambria" w:hAnsi="Cambria" w:cs="Times New Roman"/>
          <w:bCs/>
          <w:i/>
          <w:sz w:val="24"/>
          <w:szCs w:val="24"/>
        </w:rPr>
        <w:t xml:space="preserve"> </w:t>
      </w:r>
      <w:r w:rsidR="00C77A33" w:rsidRPr="00236EC3">
        <w:rPr>
          <w:rFonts w:ascii="Cambria" w:hAnsi="Cambria" w:cs="Times New Roman"/>
          <w:bCs/>
          <w:sz w:val="24"/>
          <w:szCs w:val="24"/>
        </w:rPr>
        <w:t>http://voxeu.org/article/why-tougher-stability-and-growth-pact-bad-idea</w:t>
      </w:r>
    </w:p>
    <w:p w14:paraId="59BCC6DE" w14:textId="64B72E64" w:rsidR="00D41594" w:rsidRDefault="00D41594" w:rsidP="00931525">
      <w:pPr>
        <w:spacing w:line="240" w:lineRule="auto"/>
        <w:ind w:left="720" w:hanging="720"/>
        <w:rPr>
          <w:rFonts w:ascii="Cambria" w:hAnsi="Cambria" w:cs="Times New Roman"/>
          <w:sz w:val="24"/>
          <w:szCs w:val="24"/>
        </w:rPr>
      </w:pPr>
      <w:r w:rsidRPr="001504C3">
        <w:rPr>
          <w:rFonts w:ascii="Cambria" w:hAnsi="Cambria" w:cs="Times New Roman"/>
          <w:sz w:val="24"/>
          <w:szCs w:val="24"/>
        </w:rPr>
        <w:t xml:space="preserve">Dimitrova, Antoaneta (2002). ‘Enlargement, Institution-Building and the EU’s Administrative Capacity Requirement.’ </w:t>
      </w:r>
      <w:r w:rsidRPr="001504C3">
        <w:rPr>
          <w:rFonts w:ascii="Cambria" w:hAnsi="Cambria" w:cs="Times New Roman"/>
          <w:i/>
          <w:sz w:val="24"/>
          <w:szCs w:val="24"/>
        </w:rPr>
        <w:t xml:space="preserve">West European Politics, </w:t>
      </w:r>
      <w:r w:rsidRPr="001504C3">
        <w:rPr>
          <w:rFonts w:ascii="Cambria" w:hAnsi="Cambria" w:cs="Times New Roman"/>
          <w:sz w:val="24"/>
          <w:szCs w:val="24"/>
        </w:rPr>
        <w:t>25:2, 171–90.</w:t>
      </w:r>
    </w:p>
    <w:p w14:paraId="2BBCF7F3" w14:textId="77777777" w:rsidR="00552C34" w:rsidRPr="001504C3" w:rsidRDefault="00552C34" w:rsidP="00D41594">
      <w:pPr>
        <w:spacing w:after="0" w:line="240" w:lineRule="auto"/>
        <w:ind w:left="720" w:hanging="720"/>
        <w:rPr>
          <w:rFonts w:ascii="Cambria" w:hAnsi="Cambria" w:cs="Times New Roman"/>
          <w:sz w:val="24"/>
          <w:szCs w:val="24"/>
        </w:rPr>
      </w:pPr>
    </w:p>
    <w:p w14:paraId="3A262058" w14:textId="77777777" w:rsidR="00D41594"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Dyson, Kenneth and Kevin Featherstone (1996). ‘Italy and EMU as a “Vincolo Esterno”: Empowering the Technocrats, Transforming the State.’ </w:t>
      </w:r>
      <w:r w:rsidRPr="001504C3">
        <w:rPr>
          <w:rFonts w:ascii="Cambria" w:hAnsi="Cambria"/>
          <w:i/>
          <w:iCs/>
          <w:color w:val="000000"/>
        </w:rPr>
        <w:t>South European Society and Politics</w:t>
      </w:r>
      <w:r w:rsidRPr="001504C3">
        <w:rPr>
          <w:rFonts w:ascii="Cambria" w:hAnsi="Cambria"/>
          <w:color w:val="000000"/>
        </w:rPr>
        <w:t> 1:2, 272-299.</w:t>
      </w:r>
    </w:p>
    <w:p w14:paraId="0B80E438" w14:textId="77777777" w:rsidR="00552C34" w:rsidRPr="001504C3" w:rsidRDefault="00552C34" w:rsidP="00D41594">
      <w:pPr>
        <w:pStyle w:val="NormalWeb"/>
        <w:spacing w:after="0"/>
        <w:ind w:left="720" w:hanging="720"/>
        <w:rPr>
          <w:rFonts w:ascii="Cambria" w:hAnsi="Cambria"/>
          <w:color w:val="000000"/>
        </w:rPr>
      </w:pPr>
    </w:p>
    <w:p w14:paraId="63B3A6CF"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Dyson, Kenneth and Kevin Featherstone (1999). </w:t>
      </w:r>
      <w:r w:rsidRPr="001504C3">
        <w:rPr>
          <w:rFonts w:ascii="Cambria" w:hAnsi="Cambria"/>
          <w:i/>
          <w:color w:val="000000"/>
        </w:rPr>
        <w:t>The Road to Maastricht. Negotiating Economic and Monetary Union</w:t>
      </w:r>
      <w:r w:rsidRPr="001504C3">
        <w:rPr>
          <w:rFonts w:ascii="Cambria" w:hAnsi="Cambria"/>
          <w:color w:val="000000"/>
        </w:rPr>
        <w:t>. Oxford: Oxford University Press.</w:t>
      </w:r>
    </w:p>
    <w:p w14:paraId="7E13410A" w14:textId="77777777" w:rsidR="00D41594" w:rsidRPr="001504C3" w:rsidRDefault="00D41594" w:rsidP="00D41594">
      <w:pPr>
        <w:pStyle w:val="NormalWeb"/>
        <w:spacing w:after="0"/>
        <w:ind w:left="720" w:hanging="720"/>
        <w:rPr>
          <w:rFonts w:ascii="Cambria" w:hAnsi="Cambria"/>
          <w:color w:val="000000"/>
        </w:rPr>
      </w:pPr>
    </w:p>
    <w:p w14:paraId="386724F6" w14:textId="6274F0BA" w:rsidR="00C36618" w:rsidRPr="00C36618" w:rsidRDefault="00EB2C51" w:rsidP="00C36618">
      <w:pPr>
        <w:pStyle w:val="NormalWeb"/>
        <w:spacing w:after="0"/>
        <w:ind w:left="720" w:hanging="720"/>
        <w:rPr>
          <w:rFonts w:ascii="Cambria" w:hAnsi="Cambria"/>
          <w:bCs/>
          <w:color w:val="000000"/>
        </w:rPr>
      </w:pPr>
      <w:r>
        <w:rPr>
          <w:rFonts w:ascii="Cambria" w:hAnsi="Cambria"/>
          <w:color w:val="000000"/>
        </w:rPr>
        <w:t xml:space="preserve">European Central Bank (2015). </w:t>
      </w:r>
      <w:r w:rsidR="00C36618">
        <w:rPr>
          <w:rFonts w:ascii="Cambria" w:hAnsi="Cambria"/>
          <w:color w:val="000000"/>
        </w:rPr>
        <w:t>‘</w:t>
      </w:r>
      <w:r w:rsidRPr="00236EC3">
        <w:rPr>
          <w:rFonts w:ascii="Cambria" w:hAnsi="Cambria"/>
          <w:bCs/>
          <w:color w:val="000000"/>
        </w:rPr>
        <w:t>The Governing Council’s Expanded Asset Pu</w:t>
      </w:r>
      <w:r w:rsidR="00C36618" w:rsidRPr="00C36618">
        <w:rPr>
          <w:rFonts w:ascii="Cambria" w:hAnsi="Cambria"/>
          <w:bCs/>
          <w:color w:val="000000"/>
        </w:rPr>
        <w:t>rchase Programme</w:t>
      </w:r>
      <w:r w:rsidR="00C36618">
        <w:rPr>
          <w:rFonts w:ascii="Cambria" w:hAnsi="Cambria"/>
          <w:bCs/>
          <w:color w:val="000000"/>
        </w:rPr>
        <w:t xml:space="preserve">’, </w:t>
      </w:r>
      <w:r w:rsidR="00C36618" w:rsidRPr="00236EC3">
        <w:rPr>
          <w:rFonts w:ascii="Cambria" w:hAnsi="Cambria"/>
          <w:bCs/>
          <w:i/>
          <w:color w:val="000000"/>
        </w:rPr>
        <w:t>ECB Economic Bulletin</w:t>
      </w:r>
      <w:r w:rsidR="00C36618" w:rsidRPr="00C36618">
        <w:rPr>
          <w:rFonts w:ascii="Cambria" w:hAnsi="Cambria"/>
          <w:bCs/>
          <w:color w:val="000000"/>
        </w:rPr>
        <w:t xml:space="preserve"> </w:t>
      </w:r>
      <w:r w:rsidR="00C36618">
        <w:rPr>
          <w:rFonts w:ascii="Cambria" w:hAnsi="Cambria"/>
          <w:bCs/>
          <w:color w:val="000000"/>
        </w:rPr>
        <w:t xml:space="preserve">1/2015: 15-18. </w:t>
      </w:r>
      <w:r w:rsidR="00C36618" w:rsidRPr="00C36618">
        <w:rPr>
          <w:rFonts w:ascii="Cambria" w:hAnsi="Cambria"/>
          <w:bCs/>
          <w:color w:val="000000"/>
        </w:rPr>
        <w:t>https://www.ecb.europa.eu/pub/pdf/other/eb201501_focus01.en.pdf</w:t>
      </w:r>
    </w:p>
    <w:p w14:paraId="7765B640" w14:textId="4A0FEDDD" w:rsidR="00EB2C51" w:rsidRPr="00C36618" w:rsidRDefault="00EB2C51" w:rsidP="00236EC3">
      <w:pPr>
        <w:pStyle w:val="NormalWeb"/>
        <w:spacing w:after="0"/>
        <w:rPr>
          <w:rFonts w:ascii="Cambria" w:hAnsi="Cambria"/>
          <w:color w:val="000000"/>
        </w:rPr>
      </w:pPr>
    </w:p>
    <w:p w14:paraId="43B327C6" w14:textId="77777777" w:rsidR="00D41594" w:rsidRPr="001504C3" w:rsidRDefault="00D41594" w:rsidP="00236EC3">
      <w:pPr>
        <w:pStyle w:val="NormalWeb"/>
        <w:spacing w:after="0"/>
        <w:rPr>
          <w:rFonts w:ascii="Cambria" w:hAnsi="Cambria"/>
          <w:color w:val="000000"/>
        </w:rPr>
      </w:pPr>
      <w:r w:rsidRPr="001504C3">
        <w:rPr>
          <w:rFonts w:ascii="Cambria" w:hAnsi="Cambria"/>
          <w:color w:val="000000"/>
        </w:rPr>
        <w:t xml:space="preserve">European Commission (2010). ‘Report on Greek Government Deficit and Debt Statistics’. January. Brussels: European Commission. </w:t>
      </w:r>
      <w:hyperlink r:id="rId10" w:history="1">
        <w:r w:rsidRPr="001504C3">
          <w:rPr>
            <w:rStyle w:val="Hyperlink"/>
            <w:rFonts w:ascii="Cambria" w:hAnsi="Cambria"/>
          </w:rPr>
          <w:t>http://ec.europa.eu/eurostat/documents/4187653/6404656/COM_2010_report_greek/c8523cfa-d3c1-4954-8ea1-64bb11e59b3a</w:t>
        </w:r>
      </w:hyperlink>
    </w:p>
    <w:p w14:paraId="4B09BC9B" w14:textId="77777777" w:rsidR="00D41594" w:rsidRPr="001504C3" w:rsidRDefault="00D41594" w:rsidP="00D41594">
      <w:pPr>
        <w:pStyle w:val="NormalWeb"/>
        <w:spacing w:after="0"/>
        <w:rPr>
          <w:rFonts w:ascii="Cambria" w:hAnsi="Cambria"/>
          <w:color w:val="000000"/>
        </w:rPr>
      </w:pPr>
    </w:p>
    <w:p w14:paraId="4F9572CE" w14:textId="2F5AC5E0" w:rsidR="00D41594" w:rsidRPr="001504C3" w:rsidRDefault="00D41594" w:rsidP="00D41594">
      <w:pPr>
        <w:pStyle w:val="NormalWeb"/>
        <w:spacing w:after="0"/>
        <w:ind w:left="720" w:hanging="720"/>
        <w:rPr>
          <w:rFonts w:ascii="Cambria" w:hAnsi="Cambria"/>
        </w:rPr>
      </w:pPr>
      <w:r w:rsidRPr="001504C3">
        <w:rPr>
          <w:rFonts w:ascii="Cambria" w:hAnsi="Cambria"/>
          <w:color w:val="000000"/>
        </w:rPr>
        <w:lastRenderedPageBreak/>
        <w:t xml:space="preserve">European Commission (2010). ‘Economic Adjustment Programme for Greece’, </w:t>
      </w:r>
      <w:r w:rsidRPr="001504C3">
        <w:rPr>
          <w:rFonts w:ascii="Cambria" w:hAnsi="Cambria"/>
          <w:i/>
          <w:iCs/>
          <w:color w:val="000000"/>
        </w:rPr>
        <w:t>Occasional Papers,</w:t>
      </w:r>
      <w:r w:rsidRPr="001504C3">
        <w:rPr>
          <w:rFonts w:ascii="Cambria" w:hAnsi="Cambria"/>
          <w:color w:val="000000"/>
        </w:rPr>
        <w:t xml:space="preserve"> 61, 3–90. </w:t>
      </w:r>
      <w:r w:rsidR="00436D28">
        <w:rPr>
          <w:rFonts w:ascii="Cambria" w:hAnsi="Cambria"/>
          <w:color w:val="000000"/>
        </w:rPr>
        <w:t xml:space="preserve">Brussels: </w:t>
      </w:r>
      <w:r w:rsidR="00436D28" w:rsidRPr="001504C3">
        <w:rPr>
          <w:rFonts w:ascii="Cambria" w:hAnsi="Cambria"/>
          <w:color w:val="000000"/>
        </w:rPr>
        <w:t>Directorate General for Economic and Financial Affairs</w:t>
      </w:r>
      <w:r w:rsidR="00436D28">
        <w:rPr>
          <w:rFonts w:ascii="Cambria" w:hAnsi="Cambria"/>
          <w:color w:val="000000"/>
        </w:rPr>
        <w:t xml:space="preserve">. </w:t>
      </w:r>
      <w:hyperlink r:id="rId11" w:history="1">
        <w:r w:rsidRPr="001504C3">
          <w:rPr>
            <w:rStyle w:val="Hyperlink"/>
            <w:rFonts w:ascii="Cambria" w:hAnsi="Cambria"/>
            <w:color w:val="1155CC"/>
          </w:rPr>
          <w:t>http://ec.europa.eu/economy_finance/publications/occasional_paper/2010/pdf/ocp61_en.pdf</w:t>
        </w:r>
      </w:hyperlink>
    </w:p>
    <w:p w14:paraId="33622347" w14:textId="77777777" w:rsidR="00D41594" w:rsidRPr="001504C3" w:rsidRDefault="00D41594" w:rsidP="00D41594">
      <w:pPr>
        <w:spacing w:after="0" w:line="240" w:lineRule="auto"/>
        <w:ind w:left="720" w:hanging="720"/>
        <w:rPr>
          <w:rFonts w:ascii="Cambria" w:eastAsia="Times New Roman" w:hAnsi="Cambria" w:cs="Times New Roman"/>
          <w:color w:val="000000"/>
          <w:sz w:val="24"/>
          <w:szCs w:val="24"/>
        </w:rPr>
      </w:pPr>
    </w:p>
    <w:p w14:paraId="1B11C094" w14:textId="277BEFEA" w:rsidR="00436D28" w:rsidRPr="00C36618" w:rsidRDefault="00436D28" w:rsidP="00C36618">
      <w:pPr>
        <w:spacing w:after="0" w:line="240" w:lineRule="auto"/>
        <w:ind w:left="720" w:hanging="720"/>
        <w:rPr>
          <w:rFonts w:ascii="Cambria" w:eastAsia="Times New Roman" w:hAnsi="Cambria" w:cs="Times New Roman"/>
          <w:color w:val="000000"/>
          <w:sz w:val="24"/>
          <w:szCs w:val="24"/>
        </w:rPr>
      </w:pPr>
      <w:r>
        <w:rPr>
          <w:rFonts w:ascii="Cambria" w:eastAsia="Times New Roman" w:hAnsi="Cambria" w:cs="Times New Roman"/>
          <w:color w:val="000000"/>
          <w:sz w:val="24"/>
          <w:szCs w:val="24"/>
        </w:rPr>
        <w:t>European Commission</w:t>
      </w:r>
      <w:r w:rsidRPr="00436D28">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(2012</w:t>
      </w:r>
      <w:r w:rsidRPr="00436D28">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w:t>
      </w:r>
      <w:r w:rsidRPr="00C36618">
        <w:rPr>
          <w:rFonts w:ascii="Cambria" w:eastAsia="Times New Roman" w:hAnsi="Cambria" w:cs="Times New Roman"/>
          <w:color w:val="000000"/>
          <w:sz w:val="24"/>
          <w:szCs w:val="24"/>
        </w:rPr>
        <w:t>‘T</w:t>
      </w:r>
      <w:r w:rsidRPr="00236EC3">
        <w:rPr>
          <w:rFonts w:ascii="Cambria" w:eastAsia="Times New Roman" w:hAnsi="Cambria" w:cs="Times New Roman"/>
          <w:color w:val="000000"/>
          <w:sz w:val="24"/>
          <w:szCs w:val="24"/>
        </w:rPr>
        <w:t xml:space="preserve">he Financial Sector Adjustment Programme for Spain’, </w:t>
      </w:r>
      <w:r w:rsidRPr="00236EC3">
        <w:rPr>
          <w:rFonts w:ascii="Cambria" w:eastAsia="Times New Roman" w:hAnsi="Cambria" w:cs="Times New Roman"/>
          <w:i/>
          <w:color w:val="000000"/>
          <w:sz w:val="24"/>
          <w:szCs w:val="24"/>
        </w:rPr>
        <w:t>Occasional Papers</w:t>
      </w:r>
      <w:r w:rsidRPr="00236EC3">
        <w:rPr>
          <w:rFonts w:ascii="Cambria" w:eastAsia="Times New Roman" w:hAnsi="Cambria" w:cs="Times New Roman"/>
          <w:color w:val="000000"/>
          <w:sz w:val="24"/>
          <w:szCs w:val="24"/>
        </w:rPr>
        <w:t xml:space="preserve"> 118 (October). Brussels:</w:t>
      </w:r>
      <w:r w:rsidRPr="00C36618">
        <w:rPr>
          <w:rFonts w:ascii="Cambria" w:eastAsia="Times New Roman" w:hAnsi="Cambria" w:cs="Times New Roman"/>
          <w:color w:val="000000"/>
          <w:sz w:val="24"/>
          <w:szCs w:val="24"/>
        </w:rPr>
        <w:t xml:space="preserve"> Directorate General for Economic and Finan</w:t>
      </w:r>
      <w:r w:rsidRPr="005C3566">
        <w:rPr>
          <w:rFonts w:ascii="Cambria" w:eastAsia="Times New Roman" w:hAnsi="Cambria" w:cs="Times New Roman"/>
          <w:color w:val="000000"/>
          <w:sz w:val="24"/>
          <w:szCs w:val="24"/>
        </w:rPr>
        <w:t>cial Affairs.</w:t>
      </w:r>
      <w:r>
        <w:rPr>
          <w:rFonts w:ascii="Cambria" w:eastAsia="Times New Roman" w:hAnsi="Cambria" w:cs="Times New Roman"/>
          <w:color w:val="000000"/>
          <w:sz w:val="24"/>
          <w:szCs w:val="24"/>
        </w:rPr>
        <w:t xml:space="preserve"> </w:t>
      </w:r>
      <w:r w:rsidRPr="00436D28">
        <w:rPr>
          <w:rFonts w:ascii="Cambria" w:eastAsia="Times New Roman" w:hAnsi="Cambria" w:cs="Times New Roman"/>
          <w:color w:val="000000"/>
          <w:sz w:val="24"/>
          <w:szCs w:val="24"/>
        </w:rPr>
        <w:t>http://ec.europa.eu/economy_finance/publications/occasional_paper/2012/pdf/ocp118_en.pdf</w:t>
      </w:r>
    </w:p>
    <w:p w14:paraId="13DC5F05" w14:textId="77777777" w:rsidR="00436D28" w:rsidRDefault="00436D28" w:rsidP="00D41594">
      <w:pPr>
        <w:spacing w:after="0" w:line="240" w:lineRule="auto"/>
        <w:ind w:left="720" w:hanging="720"/>
        <w:rPr>
          <w:rFonts w:ascii="Cambria" w:eastAsia="Times New Roman" w:hAnsi="Cambria" w:cs="Times New Roman"/>
          <w:color w:val="000000"/>
          <w:sz w:val="24"/>
          <w:szCs w:val="24"/>
        </w:rPr>
      </w:pPr>
    </w:p>
    <w:p w14:paraId="56F0177C" w14:textId="77777777" w:rsidR="00D41594" w:rsidRDefault="00D41594" w:rsidP="00D41594">
      <w:pPr>
        <w:spacing w:after="0" w:line="240" w:lineRule="auto"/>
        <w:ind w:left="720" w:hanging="720"/>
        <w:rPr>
          <w:rFonts w:ascii="Cambria" w:eastAsia="Times New Roman" w:hAnsi="Cambria" w:cs="Times New Roman"/>
          <w:color w:val="1155CC"/>
          <w:sz w:val="24"/>
          <w:szCs w:val="24"/>
          <w:u w:val="single"/>
        </w:rPr>
      </w:pPr>
      <w:r w:rsidRPr="001504C3">
        <w:rPr>
          <w:rFonts w:ascii="Cambria" w:eastAsia="Times New Roman" w:hAnsi="Cambria" w:cs="Times New Roman"/>
          <w:color w:val="000000"/>
          <w:sz w:val="24"/>
          <w:szCs w:val="24"/>
        </w:rPr>
        <w:t xml:space="preserve">Eurogroup, “Eurogroup Statement,” 21 February 2012 </w:t>
      </w:r>
      <w:hyperlink r:id="rId12" w:history="1">
        <w:r w:rsidRPr="001504C3">
          <w:rPr>
            <w:rFonts w:ascii="Cambria" w:eastAsia="Times New Roman" w:hAnsi="Cambria" w:cs="Times New Roman"/>
            <w:color w:val="1155CC"/>
            <w:sz w:val="24"/>
            <w:szCs w:val="24"/>
            <w:u w:val="single"/>
          </w:rPr>
          <w:t>http://www.consilium.europa.eu/uedocs/cms_data/docs/pressdata/en/ecofin/128075.pdf</w:t>
        </w:r>
      </w:hyperlink>
    </w:p>
    <w:p w14:paraId="3631B36C" w14:textId="77777777" w:rsidR="00552C34" w:rsidRPr="001504C3" w:rsidRDefault="00552C34" w:rsidP="00D41594">
      <w:pPr>
        <w:spacing w:after="0" w:line="240" w:lineRule="auto"/>
        <w:ind w:left="720" w:hanging="720"/>
        <w:rPr>
          <w:rFonts w:ascii="Cambria" w:eastAsia="Times New Roman" w:hAnsi="Cambria" w:cs="Times New Roman"/>
          <w:sz w:val="24"/>
          <w:szCs w:val="24"/>
        </w:rPr>
      </w:pPr>
    </w:p>
    <w:p w14:paraId="53C1CED5" w14:textId="77777777" w:rsidR="00D41594" w:rsidRDefault="00D41594" w:rsidP="00D41594">
      <w:pPr>
        <w:pStyle w:val="NormalWeb"/>
        <w:spacing w:after="0"/>
        <w:ind w:left="720" w:hanging="720"/>
        <w:rPr>
          <w:rFonts w:ascii="Cambria" w:hAnsi="Cambria"/>
        </w:rPr>
      </w:pPr>
      <w:r w:rsidRPr="001504C3">
        <w:rPr>
          <w:rFonts w:ascii="Cambria" w:hAnsi="Cambria"/>
        </w:rPr>
        <w:t xml:space="preserve">European Parliament (2014). ‘Article 136 TFEU, ESM, Fiscal Stability Treaty. Ratification Requirements and Present Situation in the Member States’, Directorate General For Internal Policies. Policy Department C: Citizens' Rights And Constitutional Affairs. </w:t>
      </w:r>
      <w:hyperlink r:id="rId13" w:history="1">
        <w:r w:rsidRPr="001504C3">
          <w:rPr>
            <w:rStyle w:val="Hyperlink"/>
            <w:rFonts w:ascii="Cambria" w:hAnsi="Cambria"/>
          </w:rPr>
          <w:t>http://www.europarl.europa.eu/meetdocs/2009_2014/documents/afco/dv/2014-01-15_pe462455_v21_/2014-01-15_pe462455_v21_en.pdf</w:t>
        </w:r>
      </w:hyperlink>
    </w:p>
    <w:p w14:paraId="132965C3" w14:textId="77777777" w:rsidR="00552C34" w:rsidRPr="001504C3" w:rsidRDefault="00552C34" w:rsidP="00D41594">
      <w:pPr>
        <w:pStyle w:val="NormalWeb"/>
        <w:spacing w:after="0"/>
        <w:ind w:left="720" w:hanging="720"/>
        <w:rPr>
          <w:rFonts w:ascii="Cambria" w:hAnsi="Cambria"/>
        </w:rPr>
      </w:pPr>
    </w:p>
    <w:p w14:paraId="4FEF5555" w14:textId="4865E716" w:rsidR="00236EC3" w:rsidRDefault="00D41594" w:rsidP="00D41594">
      <w:pPr>
        <w:pStyle w:val="NormalWeb"/>
        <w:spacing w:after="0"/>
        <w:ind w:left="720" w:hanging="720"/>
        <w:rPr>
          <w:rStyle w:val="Hyperlink"/>
          <w:rFonts w:ascii="Cambria" w:hAnsi="Cambria"/>
        </w:rPr>
      </w:pPr>
      <w:r w:rsidRPr="001504C3">
        <w:rPr>
          <w:rFonts w:ascii="Cambria" w:hAnsi="Cambria"/>
          <w:color w:val="000000"/>
        </w:rPr>
        <w:t xml:space="preserve">European Stability Mechanism (2018). ‘Spain: a Fast and Effective Programme’, </w:t>
      </w:r>
      <w:hyperlink r:id="rId14" w:history="1">
        <w:r w:rsidRPr="001504C3">
          <w:rPr>
            <w:rStyle w:val="Hyperlink"/>
            <w:rFonts w:ascii="Cambria" w:hAnsi="Cambria"/>
          </w:rPr>
          <w:t>https://www.esm.europa.eu/assistance/spain</w:t>
        </w:r>
      </w:hyperlink>
    </w:p>
    <w:p w14:paraId="3AD7885E" w14:textId="77777777" w:rsidR="00236EC3" w:rsidRDefault="00236EC3" w:rsidP="00D41594">
      <w:pPr>
        <w:pStyle w:val="NormalWeb"/>
        <w:spacing w:after="0"/>
        <w:ind w:left="720" w:hanging="720"/>
        <w:rPr>
          <w:rFonts w:ascii="Cambria" w:hAnsi="Cambria"/>
          <w:color w:val="000000"/>
        </w:rPr>
      </w:pPr>
    </w:p>
    <w:p w14:paraId="6FC12DE3" w14:textId="3DBD0446" w:rsidR="00236EC3" w:rsidRPr="00236EC3" w:rsidRDefault="00236EC3" w:rsidP="00236EC3">
      <w:pPr>
        <w:pStyle w:val="NormalWeb"/>
        <w:spacing w:after="0"/>
        <w:ind w:left="720" w:hanging="720"/>
        <w:rPr>
          <w:rFonts w:ascii="Cambria Math" w:hAnsi="Cambria Math"/>
        </w:rPr>
      </w:pPr>
      <w:r w:rsidRPr="00236EC3">
        <w:rPr>
          <w:rFonts w:ascii="Cambria Math" w:hAnsi="Cambria Math"/>
        </w:rPr>
        <w:t>Ferrera, Maurizio and Elisabetta Gualmini</w:t>
      </w:r>
      <w:r>
        <w:rPr>
          <w:rFonts w:ascii="Cambria Math" w:hAnsi="Cambria Math"/>
        </w:rPr>
        <w:t xml:space="preserve"> (</w:t>
      </w:r>
      <w:r w:rsidRPr="00983EA9">
        <w:rPr>
          <w:rFonts w:ascii="Cambria Math" w:hAnsi="Cambria Math"/>
        </w:rPr>
        <w:t>2010</w:t>
      </w:r>
      <w:r>
        <w:rPr>
          <w:rFonts w:ascii="Cambria Math" w:hAnsi="Cambria Math"/>
        </w:rPr>
        <w:t>)</w:t>
      </w:r>
      <w:r w:rsidRPr="00236EC3">
        <w:rPr>
          <w:rFonts w:ascii="Cambria Math" w:hAnsi="Cambria Math"/>
        </w:rPr>
        <w:t>. </w:t>
      </w:r>
      <w:r w:rsidRPr="00236EC3">
        <w:rPr>
          <w:rFonts w:ascii="Cambria Math" w:hAnsi="Cambria Math"/>
          <w:i/>
        </w:rPr>
        <w:t>Rescued by Europe?: Social and Labour Market Reforms in Italy from Maastricht to Berlusconi</w:t>
      </w:r>
      <w:r w:rsidRPr="00236EC3">
        <w:rPr>
          <w:rFonts w:ascii="Cambria Math" w:hAnsi="Cambria Math"/>
        </w:rPr>
        <w:t xml:space="preserve">. </w:t>
      </w:r>
      <w:r>
        <w:rPr>
          <w:rFonts w:ascii="Cambria Math" w:hAnsi="Cambria Math"/>
        </w:rPr>
        <w:t xml:space="preserve">Amsterdam: </w:t>
      </w:r>
      <w:r w:rsidRPr="00236EC3">
        <w:rPr>
          <w:rFonts w:ascii="Cambria Math" w:hAnsi="Cambria Math"/>
        </w:rPr>
        <w:t>Amsterdam University Press.</w:t>
      </w:r>
    </w:p>
    <w:p w14:paraId="79974AF2" w14:textId="77777777" w:rsidR="00236EC3" w:rsidRPr="00236EC3" w:rsidRDefault="00236EC3" w:rsidP="00236EC3">
      <w:pPr>
        <w:pStyle w:val="NormalWeb"/>
        <w:spacing w:after="0"/>
        <w:ind w:left="720" w:hanging="720"/>
      </w:pPr>
    </w:p>
    <w:p w14:paraId="288CF3E4" w14:textId="77777777" w:rsidR="00D41594" w:rsidRPr="001504C3" w:rsidRDefault="00D41594" w:rsidP="00D41594">
      <w:pPr>
        <w:pStyle w:val="NormalWeb"/>
        <w:spacing w:after="0"/>
        <w:ind w:left="720" w:hanging="720"/>
        <w:rPr>
          <w:rFonts w:ascii="Cambria" w:hAnsi="Cambria"/>
        </w:rPr>
      </w:pPr>
      <w:r w:rsidRPr="001504C3">
        <w:rPr>
          <w:rFonts w:ascii="Cambria" w:hAnsi="Cambria"/>
          <w:color w:val="000000"/>
        </w:rPr>
        <w:t xml:space="preserve">Geithner, Timothy (2012). </w:t>
      </w:r>
      <w:r w:rsidRPr="001504C3">
        <w:rPr>
          <w:rFonts w:ascii="Cambria" w:hAnsi="Cambria"/>
          <w:i/>
          <w:iCs/>
          <w:color w:val="000000"/>
        </w:rPr>
        <w:t>Stress Test: Reflections on Financial Crises.</w:t>
      </w:r>
      <w:r w:rsidRPr="001504C3">
        <w:rPr>
          <w:rFonts w:ascii="Cambria" w:hAnsi="Cambria"/>
          <w:color w:val="000000"/>
        </w:rPr>
        <w:t xml:space="preserve"> New York: Random House.</w:t>
      </w:r>
    </w:p>
    <w:p w14:paraId="4275326B" w14:textId="77777777" w:rsidR="00D41594" w:rsidRPr="001504C3" w:rsidRDefault="00D41594" w:rsidP="00D41594">
      <w:pPr>
        <w:pStyle w:val="NormalWeb"/>
        <w:spacing w:after="0"/>
        <w:ind w:left="720" w:hanging="720"/>
        <w:rPr>
          <w:rFonts w:ascii="Cambria" w:hAnsi="Cambria"/>
        </w:rPr>
      </w:pPr>
    </w:p>
    <w:p w14:paraId="251BFC61" w14:textId="77777777" w:rsidR="00D41594" w:rsidRDefault="00D41594" w:rsidP="00D41594">
      <w:pPr>
        <w:pStyle w:val="NormalWeb"/>
        <w:spacing w:after="0"/>
        <w:ind w:left="720" w:hanging="720"/>
        <w:rPr>
          <w:rFonts w:ascii="Cambria" w:hAnsi="Cambria"/>
          <w:color w:val="000000"/>
        </w:rPr>
      </w:pPr>
      <w:r w:rsidRPr="001504C3">
        <w:rPr>
          <w:rFonts w:ascii="Cambria" w:hAnsi="Cambria"/>
        </w:rPr>
        <w:t xml:space="preserve">Grabbe, Heather (1999). ‘A Partnership for Accession? The Implications of EU Conditionality for the Central and East European Applicants.’ </w:t>
      </w:r>
      <w:r w:rsidRPr="001504C3">
        <w:rPr>
          <w:rFonts w:ascii="Cambria" w:hAnsi="Cambria"/>
          <w:i/>
        </w:rPr>
        <w:t xml:space="preserve">RSC Working Papers, </w:t>
      </w:r>
      <w:r w:rsidRPr="001504C3">
        <w:rPr>
          <w:rFonts w:ascii="Cambria" w:hAnsi="Cambria"/>
        </w:rPr>
        <w:t>12.</w:t>
      </w:r>
      <w:r w:rsidRPr="001504C3">
        <w:rPr>
          <w:rFonts w:ascii="Cambria" w:hAnsi="Cambria"/>
          <w:color w:val="000000"/>
        </w:rPr>
        <w:t xml:space="preserve"> </w:t>
      </w:r>
    </w:p>
    <w:p w14:paraId="12A46D30" w14:textId="77777777" w:rsidR="00552C34" w:rsidRPr="001504C3" w:rsidRDefault="00552C34" w:rsidP="00D41594">
      <w:pPr>
        <w:pStyle w:val="NormalWeb"/>
        <w:spacing w:after="0"/>
        <w:ind w:left="720" w:hanging="720"/>
        <w:rPr>
          <w:rFonts w:ascii="Cambria" w:hAnsi="Cambria"/>
          <w:color w:val="000000"/>
        </w:rPr>
      </w:pPr>
    </w:p>
    <w:p w14:paraId="3DADCFFC" w14:textId="77777777" w:rsidR="00D41594" w:rsidRDefault="00D41594" w:rsidP="00D41594">
      <w:pPr>
        <w:pStyle w:val="NormalWeb"/>
        <w:spacing w:after="0"/>
        <w:ind w:left="720" w:hanging="720"/>
        <w:rPr>
          <w:rFonts w:ascii="Cambria" w:hAnsi="Cambria"/>
          <w:bCs/>
          <w:color w:val="000000"/>
        </w:rPr>
      </w:pPr>
      <w:r w:rsidRPr="001504C3">
        <w:rPr>
          <w:rFonts w:ascii="Cambria" w:hAnsi="Cambria"/>
          <w:color w:val="000000"/>
        </w:rPr>
        <w:t>Greer, Scott (2014). ‘</w:t>
      </w:r>
      <w:r w:rsidRPr="001504C3">
        <w:rPr>
          <w:rFonts w:ascii="Cambria" w:hAnsi="Cambria"/>
          <w:bCs/>
          <w:color w:val="000000"/>
        </w:rPr>
        <w:t xml:space="preserve">Structural Adjustment Comes to Europe: Lessons for the Eurozone from the Conditionality Debates’, </w:t>
      </w:r>
      <w:r w:rsidRPr="001504C3">
        <w:rPr>
          <w:rFonts w:ascii="Cambria" w:hAnsi="Cambria"/>
          <w:bCs/>
          <w:i/>
          <w:color w:val="000000"/>
        </w:rPr>
        <w:t>Global Social Policy</w:t>
      </w:r>
      <w:r w:rsidRPr="001504C3">
        <w:rPr>
          <w:rFonts w:ascii="Cambria" w:hAnsi="Cambria"/>
          <w:bCs/>
          <w:color w:val="000000"/>
        </w:rPr>
        <w:t>, 14(1) 51–71.</w:t>
      </w:r>
    </w:p>
    <w:p w14:paraId="48FD84A8" w14:textId="77777777" w:rsidR="00552C34" w:rsidRPr="001504C3" w:rsidRDefault="00552C34" w:rsidP="00D41594">
      <w:pPr>
        <w:pStyle w:val="NormalWeb"/>
        <w:spacing w:after="0"/>
        <w:ind w:left="720" w:hanging="720"/>
        <w:rPr>
          <w:rFonts w:ascii="Cambria" w:hAnsi="Cambria"/>
          <w:bCs/>
          <w:i/>
          <w:color w:val="000000"/>
        </w:rPr>
      </w:pPr>
    </w:p>
    <w:p w14:paraId="5010B99B" w14:textId="77777777" w:rsidR="00D41594" w:rsidRPr="001504C3" w:rsidRDefault="00D41594" w:rsidP="00D41594">
      <w:pPr>
        <w:pStyle w:val="NormalWeb"/>
        <w:spacing w:after="0"/>
        <w:ind w:left="720" w:hanging="720"/>
        <w:rPr>
          <w:rFonts w:ascii="Cambria" w:hAnsi="Cambria"/>
        </w:rPr>
      </w:pPr>
      <w:r w:rsidRPr="001504C3">
        <w:rPr>
          <w:rFonts w:ascii="Cambria" w:hAnsi="Cambria"/>
          <w:color w:val="000000"/>
        </w:rPr>
        <w:lastRenderedPageBreak/>
        <w:t xml:space="preserve">Griffiths, Jesse and Konstantinos Todoulos (2014). ‘Conditionally Yours.’ </w:t>
      </w:r>
      <w:r w:rsidRPr="001504C3">
        <w:rPr>
          <w:rFonts w:ascii="Cambria" w:hAnsi="Cambria"/>
          <w:i/>
          <w:iCs/>
          <w:color w:val="000000"/>
        </w:rPr>
        <w:t>European Network on Debt and Development</w:t>
      </w:r>
      <w:r w:rsidRPr="001504C3">
        <w:rPr>
          <w:rFonts w:ascii="Cambria" w:hAnsi="Cambria"/>
          <w:color w:val="000000"/>
        </w:rPr>
        <w:t>, 15.</w:t>
      </w:r>
    </w:p>
    <w:p w14:paraId="2CAD5EF4" w14:textId="77777777" w:rsidR="00D41594" w:rsidRPr="001504C3" w:rsidRDefault="00D41594" w:rsidP="00D41594">
      <w:pPr>
        <w:pStyle w:val="NormalWeb"/>
        <w:spacing w:after="0"/>
        <w:ind w:left="720" w:hanging="720"/>
        <w:rPr>
          <w:rFonts w:ascii="Cambria" w:hAnsi="Cambria"/>
          <w:color w:val="000000"/>
        </w:rPr>
      </w:pPr>
    </w:p>
    <w:p w14:paraId="122082D9"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Hallerberg, Mark and Nicole Rae Baerg (2016). ‘The EU’s Rules Should have Stopped the Eurocrisis: Why Didn't They?’ </w:t>
      </w:r>
      <w:r w:rsidRPr="001504C3">
        <w:rPr>
          <w:rFonts w:ascii="Cambria" w:hAnsi="Cambria"/>
          <w:i/>
          <w:color w:val="000000"/>
        </w:rPr>
        <w:t xml:space="preserve">Monkey Cage </w:t>
      </w:r>
      <w:r w:rsidRPr="001504C3">
        <w:rPr>
          <w:rFonts w:ascii="Cambria" w:hAnsi="Cambria"/>
          <w:color w:val="000000"/>
        </w:rPr>
        <w:t>blog, May 4.</w:t>
      </w:r>
    </w:p>
    <w:p w14:paraId="044867E6" w14:textId="77777777" w:rsidR="00D41594" w:rsidRPr="001504C3" w:rsidRDefault="00D41594" w:rsidP="00D41594">
      <w:pPr>
        <w:pStyle w:val="NormalWeb"/>
        <w:spacing w:after="0"/>
        <w:ind w:left="720" w:hanging="720"/>
        <w:rPr>
          <w:rFonts w:ascii="Cambria" w:hAnsi="Cambria"/>
          <w:color w:val="000000"/>
        </w:rPr>
      </w:pPr>
    </w:p>
    <w:p w14:paraId="68C68458" w14:textId="26BC1593" w:rsidR="00D41594" w:rsidRPr="001504C3" w:rsidRDefault="00D41594" w:rsidP="00236EC3">
      <w:pPr>
        <w:pStyle w:val="NormalWeb"/>
        <w:ind w:left="720" w:hanging="720"/>
        <w:rPr>
          <w:rFonts w:ascii="Cambria" w:hAnsi="Cambria"/>
          <w:color w:val="000000"/>
        </w:rPr>
      </w:pPr>
      <w:r w:rsidRPr="001504C3">
        <w:rPr>
          <w:rFonts w:ascii="Cambria" w:hAnsi="Cambria"/>
          <w:color w:val="000000"/>
        </w:rPr>
        <w:t xml:space="preserve">Hopkin, Jonathan (2015). ‘The Troubled South: The Euro Experience in Italy and Spain.’ In Mark Blyth and Matthias Matthijs (eds). </w:t>
      </w:r>
      <w:r w:rsidRPr="001504C3">
        <w:rPr>
          <w:rFonts w:ascii="Cambria" w:hAnsi="Cambria"/>
          <w:i/>
          <w:color w:val="000000"/>
        </w:rPr>
        <w:t>The Future of the Euro</w:t>
      </w:r>
      <w:r w:rsidRPr="001504C3">
        <w:rPr>
          <w:rFonts w:ascii="Cambria" w:hAnsi="Cambria"/>
          <w:color w:val="000000"/>
        </w:rPr>
        <w:t>. New York: Oxford University Press</w:t>
      </w:r>
      <w:r w:rsidR="00236EC3">
        <w:rPr>
          <w:rFonts w:ascii="Cambria" w:hAnsi="Cambria"/>
          <w:color w:val="000000"/>
        </w:rPr>
        <w:t>, pp.</w:t>
      </w:r>
      <w:r w:rsidR="00236EC3" w:rsidRPr="00236EC3">
        <w:rPr>
          <w:rFonts w:ascii="Cambria" w:hAnsi="Cambria"/>
          <w:color w:val="000000"/>
        </w:rPr>
        <w:t>161-184</w:t>
      </w:r>
      <w:r w:rsidRPr="001504C3">
        <w:rPr>
          <w:rFonts w:ascii="Cambria" w:hAnsi="Cambria"/>
          <w:color w:val="000000"/>
        </w:rPr>
        <w:t>.</w:t>
      </w:r>
    </w:p>
    <w:p w14:paraId="22D0211A" w14:textId="77777777" w:rsidR="00D41594" w:rsidRPr="001504C3" w:rsidRDefault="00D41594" w:rsidP="00D41594">
      <w:pPr>
        <w:pStyle w:val="NormalWeb"/>
        <w:spacing w:after="0"/>
        <w:ind w:left="720" w:hanging="720"/>
        <w:rPr>
          <w:rFonts w:ascii="Cambria" w:hAnsi="Cambria"/>
          <w:color w:val="000000"/>
        </w:rPr>
      </w:pPr>
    </w:p>
    <w:p w14:paraId="2592A2F6"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Henning, C. Randall (2011). ‘Coordinating Regional and Multilateral Financial Institutions.’ </w:t>
      </w:r>
      <w:r w:rsidRPr="001504C3">
        <w:rPr>
          <w:rFonts w:ascii="Cambria" w:hAnsi="Cambria"/>
          <w:i/>
          <w:iCs/>
          <w:color w:val="000000"/>
        </w:rPr>
        <w:t>Peterson Institute for International Economics Working Paper</w:t>
      </w:r>
      <w:r w:rsidRPr="001504C3">
        <w:rPr>
          <w:rFonts w:ascii="Cambria" w:hAnsi="Cambria"/>
          <w:color w:val="000000"/>
        </w:rPr>
        <w:t>, 11:9.</w:t>
      </w:r>
    </w:p>
    <w:p w14:paraId="058279E8" w14:textId="77777777" w:rsidR="00D41594" w:rsidRPr="001504C3" w:rsidRDefault="00D41594" w:rsidP="00D41594">
      <w:pPr>
        <w:pStyle w:val="NormalWeb"/>
        <w:spacing w:after="0"/>
        <w:ind w:left="720" w:hanging="720"/>
        <w:rPr>
          <w:rFonts w:ascii="Cambria" w:hAnsi="Cambria"/>
        </w:rPr>
      </w:pPr>
    </w:p>
    <w:p w14:paraId="798B7825" w14:textId="77777777" w:rsidR="00D41594" w:rsidRPr="001504C3" w:rsidRDefault="00D41594" w:rsidP="00236EC3">
      <w:pPr>
        <w:spacing w:after="0" w:line="240" w:lineRule="auto"/>
        <w:ind w:left="720" w:hanging="720"/>
        <w:outlineLvl w:val="0"/>
        <w:rPr>
          <w:rFonts w:ascii="Cambria" w:hAnsi="Cambria" w:cs="Times New Roman"/>
          <w:color w:val="000000"/>
          <w:sz w:val="24"/>
          <w:szCs w:val="24"/>
        </w:rPr>
      </w:pPr>
      <w:r w:rsidRPr="001504C3">
        <w:rPr>
          <w:rFonts w:ascii="Cambria" w:hAnsi="Cambria" w:cs="Times New Roman"/>
          <w:color w:val="000000"/>
          <w:sz w:val="24"/>
          <w:szCs w:val="24"/>
        </w:rPr>
        <w:t xml:space="preserve">Henning, Randall C. (2017). </w:t>
      </w:r>
      <w:r w:rsidRPr="001504C3">
        <w:rPr>
          <w:rFonts w:ascii="Cambria" w:hAnsi="Cambria" w:cs="Times New Roman"/>
          <w:i/>
          <w:iCs/>
          <w:color w:val="000000"/>
          <w:sz w:val="24"/>
          <w:szCs w:val="24"/>
        </w:rPr>
        <w:t>Tangled Governance</w:t>
      </w:r>
      <w:r w:rsidRPr="001504C3">
        <w:rPr>
          <w:rFonts w:ascii="Cambria" w:hAnsi="Cambria" w:cs="Times New Roman"/>
          <w:color w:val="000000"/>
          <w:sz w:val="24"/>
          <w:szCs w:val="24"/>
        </w:rPr>
        <w:t>. Oxford: Oxford University Press.</w:t>
      </w:r>
    </w:p>
    <w:p w14:paraId="768D0C7D" w14:textId="77777777" w:rsidR="00D41594" w:rsidRPr="001504C3" w:rsidRDefault="00D41594" w:rsidP="00D41594">
      <w:pPr>
        <w:spacing w:after="0" w:line="240" w:lineRule="auto"/>
        <w:ind w:left="720" w:hanging="720"/>
        <w:rPr>
          <w:rFonts w:ascii="Cambria" w:hAnsi="Cambria" w:cs="Times New Roman"/>
          <w:color w:val="000000"/>
          <w:sz w:val="24"/>
          <w:szCs w:val="24"/>
        </w:rPr>
      </w:pPr>
    </w:p>
    <w:p w14:paraId="7807132B" w14:textId="01C0D272" w:rsidR="00931525" w:rsidRPr="001504C3" w:rsidRDefault="00D41594" w:rsidP="00931525">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IMF (2011). ‘Greece: Letter of Intent, Memorandum of Economic and Financial Policies, and Technical Memorandum of Understanding’. Washington DC; IMF. </w:t>
      </w:r>
      <w:hyperlink r:id="rId15" w:history="1">
        <w:r w:rsidR="00931525" w:rsidRPr="00C364EA">
          <w:rPr>
            <w:rStyle w:val="Hyperlink"/>
            <w:rFonts w:ascii="Cambria" w:hAnsi="Cambria" w:cs="Times New Roman"/>
            <w:sz w:val="24"/>
            <w:szCs w:val="24"/>
          </w:rPr>
          <w:t>http://www.imf.org/external/np/loi/2011/grc/113011.pdf</w:t>
        </w:r>
      </w:hyperlink>
    </w:p>
    <w:p w14:paraId="54194A06" w14:textId="77777777" w:rsidR="00D41594" w:rsidRPr="001504C3" w:rsidRDefault="00D41594" w:rsidP="00D41594">
      <w:pPr>
        <w:spacing w:after="0" w:line="240" w:lineRule="auto"/>
        <w:rPr>
          <w:rFonts w:ascii="Cambria" w:hAnsi="Cambria" w:cs="Times New Roman"/>
          <w:sz w:val="24"/>
          <w:szCs w:val="24"/>
        </w:rPr>
      </w:pPr>
    </w:p>
    <w:p w14:paraId="6939BAD1"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Jacoby, Wade (2004). </w:t>
      </w:r>
      <w:r w:rsidRPr="001504C3">
        <w:rPr>
          <w:rFonts w:ascii="Cambria" w:hAnsi="Cambria" w:cs="Times New Roman"/>
          <w:i/>
          <w:sz w:val="24"/>
          <w:szCs w:val="24"/>
        </w:rPr>
        <w:t xml:space="preserve">The Enlargement of the European Union and NATO: Ordering from the Menu in Central Europe. </w:t>
      </w:r>
      <w:r w:rsidRPr="001504C3">
        <w:rPr>
          <w:rFonts w:ascii="Cambria" w:hAnsi="Cambria" w:cs="Times New Roman"/>
          <w:sz w:val="24"/>
          <w:szCs w:val="24"/>
        </w:rPr>
        <w:t xml:space="preserve">Cambridge: Cambridge University Press. </w:t>
      </w:r>
    </w:p>
    <w:p w14:paraId="66C0E0AE" w14:textId="77777777" w:rsidR="00D41594" w:rsidRPr="001504C3" w:rsidRDefault="00D41594" w:rsidP="00D41594">
      <w:pPr>
        <w:spacing w:after="0" w:line="240" w:lineRule="auto"/>
        <w:ind w:left="720" w:hanging="720"/>
        <w:rPr>
          <w:rFonts w:ascii="Cambria" w:hAnsi="Cambria" w:cs="Times New Roman"/>
          <w:sz w:val="24"/>
          <w:szCs w:val="24"/>
        </w:rPr>
      </w:pPr>
    </w:p>
    <w:p w14:paraId="10785D9D"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Jacoby, Wade (2006). ‘Inspiration , Coalition, and Substitution: External Influences on Postcommunist Transformations.’ </w:t>
      </w:r>
      <w:r w:rsidRPr="001504C3">
        <w:rPr>
          <w:rFonts w:ascii="Cambria" w:hAnsi="Cambria" w:cs="Times New Roman"/>
          <w:i/>
          <w:sz w:val="24"/>
          <w:szCs w:val="24"/>
        </w:rPr>
        <w:t xml:space="preserve">World Politics, </w:t>
      </w:r>
      <w:r w:rsidRPr="001504C3">
        <w:rPr>
          <w:rFonts w:ascii="Cambria" w:hAnsi="Cambria" w:cs="Times New Roman"/>
          <w:sz w:val="24"/>
          <w:szCs w:val="24"/>
        </w:rPr>
        <w:t>58:4, 623–52.</w:t>
      </w:r>
    </w:p>
    <w:p w14:paraId="74AC00D0" w14:textId="77777777" w:rsidR="00D41594" w:rsidRPr="001504C3" w:rsidRDefault="00D41594" w:rsidP="00D41594">
      <w:pPr>
        <w:pStyle w:val="NormalWeb"/>
        <w:spacing w:after="0"/>
        <w:ind w:left="720" w:hanging="720"/>
        <w:rPr>
          <w:rFonts w:ascii="Cambria" w:hAnsi="Cambria"/>
        </w:rPr>
      </w:pPr>
    </w:p>
    <w:p w14:paraId="05A80EEC" w14:textId="77777777" w:rsidR="00D41594" w:rsidRPr="001504C3" w:rsidRDefault="00D41594" w:rsidP="00D41594">
      <w:pPr>
        <w:pStyle w:val="NormalWeb"/>
        <w:spacing w:after="0"/>
        <w:ind w:left="720" w:hanging="720"/>
        <w:rPr>
          <w:rFonts w:ascii="Cambria" w:hAnsi="Cambria"/>
        </w:rPr>
      </w:pPr>
      <w:r w:rsidRPr="001504C3">
        <w:rPr>
          <w:rFonts w:ascii="Cambria" w:hAnsi="Cambria"/>
        </w:rPr>
        <w:t xml:space="preserve">Jacoby, Wade (2015). ‘Europe’s New German Problem: The Timing of Politics and the Politics of Timing’ in Matthias Matthijs and Mark Blyth (eds.), </w:t>
      </w:r>
      <w:r w:rsidRPr="001504C3">
        <w:rPr>
          <w:rFonts w:ascii="Cambria" w:hAnsi="Cambria"/>
          <w:i/>
        </w:rPr>
        <w:t xml:space="preserve">The Future of the Euro. </w:t>
      </w:r>
      <w:r w:rsidRPr="001504C3">
        <w:rPr>
          <w:rFonts w:ascii="Cambria" w:hAnsi="Cambria"/>
        </w:rPr>
        <w:t xml:space="preserve">Oxford: Oxford University Press.   </w:t>
      </w:r>
    </w:p>
    <w:p w14:paraId="1B5121D1" w14:textId="77777777" w:rsidR="00D41594" w:rsidRPr="001504C3" w:rsidRDefault="00D41594" w:rsidP="00D41594">
      <w:pPr>
        <w:pStyle w:val="NormalWeb"/>
        <w:spacing w:after="0"/>
        <w:ind w:left="720" w:hanging="720"/>
        <w:rPr>
          <w:rFonts w:ascii="Cambria" w:hAnsi="Cambria"/>
          <w:color w:val="000000"/>
        </w:rPr>
      </w:pPr>
    </w:p>
    <w:p w14:paraId="128B1D9B"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Jouen, Marjorie (2015). ‘The Macroeconomic Conditionality: The Story of a Triple Penalty for the Regions,” Notre Europe, Policy paper 131, 4–5.</w:t>
      </w:r>
    </w:p>
    <w:p w14:paraId="7DFB6C24" w14:textId="77777777" w:rsidR="00D41594" w:rsidRPr="001504C3" w:rsidRDefault="00D41594" w:rsidP="00D41594">
      <w:pPr>
        <w:pStyle w:val="NormalWeb"/>
        <w:spacing w:after="0"/>
        <w:ind w:left="720" w:hanging="720"/>
        <w:rPr>
          <w:rFonts w:ascii="Cambria" w:hAnsi="Cambria"/>
        </w:rPr>
      </w:pPr>
    </w:p>
    <w:p w14:paraId="4D7084C9" w14:textId="48204654" w:rsidR="008236A6" w:rsidRPr="00236EC3" w:rsidRDefault="008236A6" w:rsidP="00C36618">
      <w:pPr>
        <w:spacing w:after="0" w:line="240" w:lineRule="auto"/>
        <w:ind w:left="720" w:hanging="720"/>
        <w:rPr>
          <w:rFonts w:ascii="Cambria" w:hAnsi="Cambria" w:cs="Times New Roman"/>
          <w:bCs/>
          <w:sz w:val="24"/>
          <w:szCs w:val="24"/>
        </w:rPr>
      </w:pPr>
      <w:r w:rsidRPr="00C36618">
        <w:rPr>
          <w:rFonts w:ascii="Cambria" w:hAnsi="Cambria" w:cs="Times New Roman"/>
          <w:sz w:val="24"/>
          <w:szCs w:val="24"/>
        </w:rPr>
        <w:t>Kincaid, G. Russell (2016). ‘</w:t>
      </w:r>
      <w:r w:rsidRPr="00236EC3">
        <w:rPr>
          <w:rFonts w:ascii="Cambria" w:hAnsi="Cambria" w:cs="Times New Roman"/>
          <w:bCs/>
          <w:sz w:val="24"/>
          <w:szCs w:val="24"/>
        </w:rPr>
        <w:t>The IMF’s Role in the Euro Area Crisis: What are the Lessons from the IMF’s Participation in the Troika?’</w:t>
      </w:r>
      <w:r w:rsidR="00436D28" w:rsidRPr="00C36618">
        <w:rPr>
          <w:rFonts w:ascii="Cambria" w:hAnsi="Cambria" w:cs="Times New Roman"/>
          <w:bCs/>
          <w:sz w:val="24"/>
          <w:szCs w:val="24"/>
        </w:rPr>
        <w:t xml:space="preserve">, </w:t>
      </w:r>
      <w:r w:rsidR="00436D28" w:rsidRPr="00236EC3">
        <w:rPr>
          <w:rFonts w:ascii="Cambria" w:hAnsi="Cambria" w:cs="Times New Roman"/>
          <w:bCs/>
          <w:sz w:val="24"/>
          <w:szCs w:val="24"/>
        </w:rPr>
        <w:t xml:space="preserve">Independent Evaluation Office </w:t>
      </w:r>
      <w:r w:rsidR="00436D28" w:rsidRPr="00236EC3">
        <w:rPr>
          <w:rFonts w:ascii="Cambria" w:hAnsi="Cambria" w:cs="Times New Roman"/>
          <w:bCs/>
          <w:i/>
          <w:iCs/>
          <w:sz w:val="24"/>
          <w:szCs w:val="24"/>
        </w:rPr>
        <w:t xml:space="preserve">of the </w:t>
      </w:r>
      <w:r w:rsidR="00436D28" w:rsidRPr="00236EC3">
        <w:rPr>
          <w:rFonts w:ascii="Cambria" w:hAnsi="Cambria" w:cs="Times New Roman"/>
          <w:bCs/>
          <w:sz w:val="24"/>
          <w:szCs w:val="24"/>
        </w:rPr>
        <w:t>International Monetary Fund Background Paper. July.</w:t>
      </w:r>
      <w:r w:rsidR="00436D28">
        <w:rPr>
          <w:rFonts w:ascii="Cambria" w:hAnsi="Cambria" w:cs="Times New Roman"/>
          <w:bCs/>
          <w:sz w:val="24"/>
          <w:szCs w:val="24"/>
        </w:rPr>
        <w:t xml:space="preserve"> </w:t>
      </w:r>
      <w:r w:rsidR="00436D28" w:rsidRPr="00436D28">
        <w:rPr>
          <w:rFonts w:ascii="Cambria" w:hAnsi="Cambria" w:cs="Times New Roman"/>
          <w:bCs/>
          <w:sz w:val="24"/>
          <w:szCs w:val="24"/>
        </w:rPr>
        <w:t>http://www.ieo-imf.org/ieo/files/completedevaluations/EAC__BP_16-02_06__The_IMF_s_Role_in_the_Troika.PDF</w:t>
      </w:r>
    </w:p>
    <w:p w14:paraId="2AD72B20" w14:textId="1B9E4464" w:rsidR="008236A6" w:rsidRPr="00C36618" w:rsidRDefault="008236A6" w:rsidP="00D41594">
      <w:pPr>
        <w:spacing w:after="0" w:line="240" w:lineRule="auto"/>
        <w:ind w:left="720" w:hanging="720"/>
        <w:rPr>
          <w:rFonts w:ascii="Cambria" w:hAnsi="Cambria" w:cs="Times New Roman"/>
          <w:sz w:val="24"/>
          <w:szCs w:val="24"/>
        </w:rPr>
      </w:pPr>
    </w:p>
    <w:p w14:paraId="3170A10F"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Kelemen, R. Daniel (2017). ‘Europe’s Other Democratic Deficit: National Authoritarianism in Europe’s Democratic Union.’ </w:t>
      </w:r>
      <w:r w:rsidRPr="001504C3">
        <w:rPr>
          <w:rFonts w:ascii="Cambria" w:hAnsi="Cambria" w:cs="Times New Roman"/>
          <w:i/>
          <w:sz w:val="24"/>
          <w:szCs w:val="24"/>
        </w:rPr>
        <w:t xml:space="preserve">Government and Opposition, </w:t>
      </w:r>
      <w:r w:rsidRPr="001504C3">
        <w:rPr>
          <w:rFonts w:ascii="Cambria" w:hAnsi="Cambria" w:cs="Times New Roman"/>
          <w:sz w:val="24"/>
          <w:szCs w:val="24"/>
        </w:rPr>
        <w:t>52:2, 211–38.</w:t>
      </w:r>
    </w:p>
    <w:p w14:paraId="48DF7937" w14:textId="77777777" w:rsidR="00D41594" w:rsidRPr="001504C3" w:rsidRDefault="00D41594" w:rsidP="00D41594">
      <w:pPr>
        <w:spacing w:after="0" w:line="240" w:lineRule="auto"/>
        <w:ind w:left="720" w:hanging="720"/>
        <w:rPr>
          <w:rFonts w:ascii="Cambria" w:hAnsi="Cambria" w:cs="Times New Roman"/>
          <w:sz w:val="24"/>
          <w:szCs w:val="24"/>
        </w:rPr>
      </w:pPr>
    </w:p>
    <w:p w14:paraId="403A18BC"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Kelley, Judith (2006a). ‘New Wine in Old Wineskins: Promoting Political reforms through the New European Neighbourhood Policy.’ </w:t>
      </w:r>
      <w:r w:rsidRPr="001504C3">
        <w:rPr>
          <w:rFonts w:ascii="Cambria" w:hAnsi="Cambria" w:cs="Times New Roman"/>
          <w:i/>
          <w:sz w:val="24"/>
          <w:szCs w:val="24"/>
        </w:rPr>
        <w:t xml:space="preserve">Journal of Common Market Studies, </w:t>
      </w:r>
      <w:r w:rsidRPr="001504C3">
        <w:rPr>
          <w:rFonts w:ascii="Cambria" w:hAnsi="Cambria" w:cs="Times New Roman"/>
          <w:sz w:val="24"/>
          <w:szCs w:val="24"/>
        </w:rPr>
        <w:t>44:1, 29–55.</w:t>
      </w:r>
    </w:p>
    <w:p w14:paraId="0FD3B167" w14:textId="77777777" w:rsidR="00D41594" w:rsidRPr="001504C3" w:rsidRDefault="00D41594" w:rsidP="00D41594">
      <w:pPr>
        <w:spacing w:after="0" w:line="240" w:lineRule="auto"/>
        <w:ind w:left="720" w:hanging="720"/>
        <w:rPr>
          <w:rFonts w:ascii="Cambria" w:hAnsi="Cambria" w:cs="Times New Roman"/>
          <w:sz w:val="24"/>
          <w:szCs w:val="24"/>
        </w:rPr>
      </w:pPr>
    </w:p>
    <w:p w14:paraId="47496C5F"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Kelley, Judith (2006b). </w:t>
      </w:r>
      <w:r w:rsidRPr="001504C3">
        <w:rPr>
          <w:rFonts w:ascii="Cambria" w:hAnsi="Cambria" w:cs="Times New Roman"/>
          <w:i/>
          <w:sz w:val="24"/>
          <w:szCs w:val="24"/>
        </w:rPr>
        <w:t xml:space="preserve">Ethnic Politics in Europe: The Power of Norms and Incentives. </w:t>
      </w:r>
      <w:r w:rsidRPr="001504C3">
        <w:rPr>
          <w:rFonts w:ascii="Cambria" w:hAnsi="Cambria" w:cs="Times New Roman"/>
          <w:sz w:val="24"/>
          <w:szCs w:val="24"/>
        </w:rPr>
        <w:t xml:space="preserve">Princeton: Princeton University Press. </w:t>
      </w:r>
    </w:p>
    <w:p w14:paraId="66CF5BF1" w14:textId="77777777" w:rsidR="00D41594" w:rsidRPr="001504C3" w:rsidRDefault="00D41594" w:rsidP="00D41594">
      <w:pPr>
        <w:spacing w:after="0" w:line="240" w:lineRule="auto"/>
        <w:ind w:left="720" w:hanging="720"/>
        <w:rPr>
          <w:rFonts w:ascii="Cambria" w:hAnsi="Cambria" w:cs="Times New Roman"/>
          <w:sz w:val="24"/>
          <w:szCs w:val="24"/>
        </w:rPr>
      </w:pPr>
    </w:p>
    <w:p w14:paraId="3C0707D0" w14:textId="77777777" w:rsidR="00D41594" w:rsidRPr="001504C3" w:rsidRDefault="00D41594" w:rsidP="00D41594">
      <w:pPr>
        <w:spacing w:line="240" w:lineRule="auto"/>
        <w:ind w:left="720" w:hanging="720"/>
        <w:rPr>
          <w:rFonts w:ascii="Cambria" w:hAnsi="Cambria" w:cs="Times New Roman"/>
          <w:sz w:val="24"/>
          <w:szCs w:val="24"/>
        </w:rPr>
      </w:pPr>
      <w:r w:rsidRPr="001504C3">
        <w:rPr>
          <w:rFonts w:ascii="Cambria" w:hAnsi="Cambria" w:cs="Times New Roman"/>
          <w:sz w:val="24"/>
          <w:szCs w:val="24"/>
        </w:rPr>
        <w:t xml:space="preserve">Klein, Matthew (2017). ‘The Euro is not a Punishment System’, </w:t>
      </w:r>
      <w:r w:rsidRPr="001504C3">
        <w:rPr>
          <w:rFonts w:ascii="Cambria" w:hAnsi="Cambria" w:cs="Times New Roman"/>
          <w:i/>
          <w:sz w:val="24"/>
          <w:szCs w:val="24"/>
        </w:rPr>
        <w:t>Financial Times</w:t>
      </w:r>
      <w:r w:rsidRPr="001504C3">
        <w:rPr>
          <w:rFonts w:ascii="Cambria" w:hAnsi="Cambria" w:cs="Times New Roman"/>
          <w:sz w:val="24"/>
          <w:szCs w:val="24"/>
        </w:rPr>
        <w:t xml:space="preserve">, 9 November. </w:t>
      </w:r>
      <w:hyperlink r:id="rId16" w:history="1">
        <w:r w:rsidRPr="001504C3">
          <w:rPr>
            <w:rStyle w:val="Hyperlink"/>
            <w:rFonts w:ascii="Cambria" w:hAnsi="Cambria" w:cs="Times New Roman"/>
            <w:sz w:val="24"/>
            <w:szCs w:val="24"/>
          </w:rPr>
          <w:t>https://ftalphaville.ft.com/2017/11/09/2195680/the-euro-is-not-a-punishment-system/</w:t>
        </w:r>
      </w:hyperlink>
    </w:p>
    <w:p w14:paraId="74C3998A" w14:textId="77777777" w:rsidR="00D41594" w:rsidRPr="001504C3" w:rsidRDefault="00D41594" w:rsidP="00D41594">
      <w:pPr>
        <w:pStyle w:val="NormalWeb"/>
        <w:spacing w:after="0"/>
        <w:ind w:left="720" w:hanging="720"/>
        <w:rPr>
          <w:rFonts w:ascii="Cambria" w:hAnsi="Cambria"/>
        </w:rPr>
      </w:pPr>
      <w:r w:rsidRPr="001504C3">
        <w:rPr>
          <w:rFonts w:ascii="Cambria" w:hAnsi="Cambria"/>
        </w:rPr>
        <w:t xml:space="preserve">Krugman, Paul (1994). </w:t>
      </w:r>
      <w:r w:rsidRPr="001504C3">
        <w:rPr>
          <w:rFonts w:ascii="Cambria" w:hAnsi="Cambria"/>
          <w:i/>
        </w:rPr>
        <w:t>Peddling Prosperity: Economic Sense and Nonsense in an Age of Diminished Expectations.</w:t>
      </w:r>
      <w:r w:rsidRPr="001504C3">
        <w:rPr>
          <w:rFonts w:ascii="Cambria" w:hAnsi="Cambria"/>
        </w:rPr>
        <w:t xml:space="preserve"> New York: W. W. Norton &amp; Company.</w:t>
      </w:r>
    </w:p>
    <w:p w14:paraId="0EE64151" w14:textId="77777777" w:rsidR="00D41594" w:rsidRPr="001504C3" w:rsidRDefault="00D41594" w:rsidP="00D41594">
      <w:pPr>
        <w:pStyle w:val="NormalWeb"/>
        <w:spacing w:after="0"/>
        <w:ind w:left="720" w:hanging="720"/>
        <w:rPr>
          <w:rFonts w:ascii="Cambria" w:hAnsi="Cambria"/>
        </w:rPr>
      </w:pPr>
    </w:p>
    <w:p w14:paraId="32646F68"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rPr>
        <w:t xml:space="preserve">Lavenex, Sandra, and Frank Schimmelfennig (2007). ‘Relations with the Wider Europe.’ </w:t>
      </w:r>
      <w:r w:rsidRPr="001504C3">
        <w:rPr>
          <w:rFonts w:ascii="Cambria" w:hAnsi="Cambria"/>
          <w:i/>
        </w:rPr>
        <w:t xml:space="preserve">Journal of Common Market Studies, </w:t>
      </w:r>
      <w:r w:rsidRPr="001504C3">
        <w:rPr>
          <w:rFonts w:ascii="Cambria" w:hAnsi="Cambria"/>
        </w:rPr>
        <w:t>45: Supplement 1, 143–62.</w:t>
      </w:r>
      <w:r w:rsidRPr="001504C3">
        <w:rPr>
          <w:rFonts w:ascii="Cambria" w:hAnsi="Cambria"/>
          <w:color w:val="000000"/>
        </w:rPr>
        <w:t xml:space="preserve"> </w:t>
      </w:r>
    </w:p>
    <w:p w14:paraId="5212BE59" w14:textId="77777777" w:rsidR="00D41594" w:rsidRPr="001504C3" w:rsidRDefault="00D41594" w:rsidP="00D41594">
      <w:pPr>
        <w:pStyle w:val="NormalWeb"/>
        <w:spacing w:after="0"/>
        <w:ind w:left="720" w:hanging="720"/>
        <w:rPr>
          <w:rFonts w:ascii="Cambria" w:hAnsi="Cambria"/>
          <w:color w:val="000000"/>
        </w:rPr>
      </w:pPr>
    </w:p>
    <w:p w14:paraId="341D46CE"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Lütz, Susanne and Matthias Kranke (2014). ‘The European Rescue of the Washington Consensus? EU and IMF Lending to Central and East European Countries.” </w:t>
      </w:r>
      <w:r w:rsidRPr="001504C3">
        <w:rPr>
          <w:rFonts w:ascii="Cambria" w:hAnsi="Cambria"/>
          <w:i/>
          <w:color w:val="000000"/>
        </w:rPr>
        <w:t>Review of International Political Economy</w:t>
      </w:r>
      <w:r w:rsidRPr="001504C3">
        <w:rPr>
          <w:rFonts w:ascii="Cambria" w:hAnsi="Cambria"/>
          <w:color w:val="000000"/>
        </w:rPr>
        <w:t>, 21:2, 310-338.</w:t>
      </w:r>
    </w:p>
    <w:p w14:paraId="62322AF2" w14:textId="77777777" w:rsidR="00D41594" w:rsidRPr="001504C3" w:rsidRDefault="00D41594" w:rsidP="00D41594">
      <w:pPr>
        <w:pStyle w:val="NormalWeb"/>
        <w:spacing w:after="0"/>
        <w:ind w:left="720" w:hanging="720"/>
        <w:rPr>
          <w:rFonts w:ascii="Cambria" w:hAnsi="Cambria"/>
          <w:color w:val="000000"/>
        </w:rPr>
      </w:pPr>
    </w:p>
    <w:p w14:paraId="39A66526"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Matthijs, Matthias and Mark Blyth (2015). </w:t>
      </w:r>
      <w:r w:rsidRPr="001504C3">
        <w:rPr>
          <w:rFonts w:ascii="Cambria" w:hAnsi="Cambria"/>
          <w:i/>
          <w:iCs/>
          <w:color w:val="000000"/>
        </w:rPr>
        <w:t>The Future of the Euro</w:t>
      </w:r>
      <w:r w:rsidRPr="001504C3">
        <w:rPr>
          <w:rFonts w:ascii="Cambria" w:hAnsi="Cambria"/>
          <w:color w:val="000000"/>
        </w:rPr>
        <w:t>. Oxford: Oxford University Press.</w:t>
      </w:r>
    </w:p>
    <w:p w14:paraId="3F833779" w14:textId="77777777" w:rsidR="00D41594" w:rsidRPr="001504C3" w:rsidRDefault="00D41594" w:rsidP="00D41594">
      <w:pPr>
        <w:pStyle w:val="NormalWeb"/>
        <w:spacing w:after="0"/>
        <w:ind w:left="720" w:hanging="720"/>
        <w:rPr>
          <w:rFonts w:ascii="Cambria" w:hAnsi="Cambria"/>
        </w:rPr>
      </w:pPr>
    </w:p>
    <w:p w14:paraId="27F4008A" w14:textId="77777777" w:rsidR="00D41594" w:rsidRPr="001504C3" w:rsidRDefault="00D41594" w:rsidP="00D41594">
      <w:pPr>
        <w:pStyle w:val="NormalWeb"/>
        <w:spacing w:after="0"/>
        <w:ind w:left="720" w:hanging="720"/>
        <w:rPr>
          <w:rFonts w:ascii="Cambria" w:hAnsi="Cambria"/>
        </w:rPr>
      </w:pPr>
      <w:r w:rsidRPr="001504C3">
        <w:rPr>
          <w:rFonts w:ascii="Cambria" w:hAnsi="Cambria"/>
        </w:rPr>
        <w:t xml:space="preserve">Matthijs, Matthias and Kathleen McNamara (2015). ‘The Euro Crisis’ Theory Effect: Northern Saints, Southern Sinners, and the Demise of the Eurobond.’ </w:t>
      </w:r>
      <w:r w:rsidRPr="001504C3">
        <w:rPr>
          <w:rFonts w:ascii="Cambria" w:hAnsi="Cambria"/>
          <w:i/>
        </w:rPr>
        <w:t xml:space="preserve">Journal of European Integration, </w:t>
      </w:r>
      <w:r w:rsidRPr="001504C3">
        <w:rPr>
          <w:rFonts w:ascii="Cambria" w:hAnsi="Cambria"/>
        </w:rPr>
        <w:t>37:2, 229–45.</w:t>
      </w:r>
    </w:p>
    <w:p w14:paraId="56C570F8" w14:textId="77777777" w:rsidR="00D41594" w:rsidRPr="001504C3" w:rsidRDefault="00D41594" w:rsidP="00D41594">
      <w:pPr>
        <w:pStyle w:val="NormalWeb"/>
        <w:spacing w:after="0"/>
        <w:ind w:left="720" w:hanging="720"/>
        <w:rPr>
          <w:rFonts w:ascii="Cambria" w:hAnsi="Cambria"/>
          <w:color w:val="000000"/>
        </w:rPr>
      </w:pPr>
    </w:p>
    <w:p w14:paraId="6F8BB4D4" w14:textId="77777777" w:rsidR="00D41594" w:rsidRPr="001504C3" w:rsidRDefault="00D41594" w:rsidP="00D41594">
      <w:pPr>
        <w:pStyle w:val="NormalWeb"/>
        <w:spacing w:after="0"/>
        <w:ind w:left="720" w:hanging="720"/>
        <w:rPr>
          <w:rFonts w:ascii="Cambria" w:hAnsi="Cambria"/>
        </w:rPr>
      </w:pPr>
      <w:r w:rsidRPr="001504C3">
        <w:rPr>
          <w:rFonts w:ascii="Cambria" w:hAnsi="Cambria"/>
          <w:color w:val="000000"/>
        </w:rPr>
        <w:t xml:space="preserve">Minder, Raphael and James Kanter. 2012. ‘Spanish Banks Agree to Layoffs and Other Cuts to Receive Rescue Funds in Return.’ </w:t>
      </w:r>
      <w:r w:rsidRPr="001504C3">
        <w:rPr>
          <w:rFonts w:ascii="Cambria" w:hAnsi="Cambria"/>
          <w:i/>
          <w:color w:val="000000"/>
        </w:rPr>
        <w:t xml:space="preserve">New York Times. </w:t>
      </w:r>
      <w:r w:rsidRPr="001504C3">
        <w:rPr>
          <w:rFonts w:ascii="Cambria" w:hAnsi="Cambria"/>
          <w:color w:val="000000"/>
        </w:rPr>
        <w:t>November 28.</w:t>
      </w:r>
    </w:p>
    <w:p w14:paraId="5DA527F1" w14:textId="77777777" w:rsidR="00D41594" w:rsidRPr="001504C3" w:rsidRDefault="00D41594" w:rsidP="00D41594">
      <w:pPr>
        <w:pStyle w:val="NormalWeb"/>
        <w:spacing w:after="0"/>
        <w:ind w:left="720" w:hanging="720"/>
        <w:rPr>
          <w:rFonts w:ascii="Cambria" w:hAnsi="Cambria"/>
          <w:color w:val="000000"/>
        </w:rPr>
      </w:pPr>
    </w:p>
    <w:p w14:paraId="23FA3D5E" w14:textId="77777777" w:rsidR="00D41594" w:rsidRPr="001504C3" w:rsidRDefault="00D41594" w:rsidP="00D41594">
      <w:pPr>
        <w:pStyle w:val="NormalWeb"/>
        <w:spacing w:after="0"/>
        <w:ind w:left="720" w:hanging="720"/>
        <w:rPr>
          <w:rFonts w:ascii="Cambria" w:hAnsi="Cambria"/>
        </w:rPr>
      </w:pPr>
      <w:r w:rsidRPr="001504C3">
        <w:rPr>
          <w:rFonts w:ascii="Cambria" w:hAnsi="Cambria"/>
          <w:color w:val="000000"/>
        </w:rPr>
        <w:t xml:space="preserve">Neuger, James G. and Anabela Reis. 2011. ‘Portugal’s $111 Billion Bailout Approved as EU Prods Greece to Sell Assets.’ </w:t>
      </w:r>
      <w:r w:rsidRPr="001504C3">
        <w:rPr>
          <w:rFonts w:ascii="Cambria" w:hAnsi="Cambria"/>
          <w:i/>
          <w:color w:val="000000"/>
        </w:rPr>
        <w:t xml:space="preserve">Bloomberg News. </w:t>
      </w:r>
      <w:r w:rsidRPr="001504C3">
        <w:rPr>
          <w:rFonts w:ascii="Cambria" w:hAnsi="Cambria"/>
          <w:color w:val="000000"/>
        </w:rPr>
        <w:t>May 16.</w:t>
      </w:r>
    </w:p>
    <w:p w14:paraId="5210F971" w14:textId="77777777" w:rsidR="00D41594" w:rsidRPr="001504C3" w:rsidRDefault="00D41594" w:rsidP="00D41594">
      <w:pPr>
        <w:pStyle w:val="NormalWeb"/>
        <w:spacing w:after="0"/>
        <w:ind w:left="720" w:hanging="720"/>
        <w:rPr>
          <w:rFonts w:ascii="Cambria" w:hAnsi="Cambria"/>
          <w:color w:val="000000"/>
        </w:rPr>
      </w:pPr>
    </w:p>
    <w:p w14:paraId="703E4A07" w14:textId="77777777" w:rsidR="00D41594" w:rsidRPr="001504C3" w:rsidRDefault="00D41594" w:rsidP="00D41594">
      <w:pPr>
        <w:pStyle w:val="NormalWeb"/>
        <w:spacing w:after="0"/>
        <w:ind w:left="720" w:hanging="720"/>
        <w:rPr>
          <w:rFonts w:ascii="Cambria" w:hAnsi="Cambria"/>
        </w:rPr>
      </w:pPr>
      <w:r w:rsidRPr="001504C3">
        <w:rPr>
          <w:rFonts w:ascii="Cambria" w:hAnsi="Cambria"/>
          <w:color w:val="000000"/>
        </w:rPr>
        <w:t xml:space="preserve">Petrakis, Maria and Natalie Weeks. 2010. ‘Greece Outlines Conditions of EU-IMF Package: Summary.’ </w:t>
      </w:r>
      <w:r w:rsidRPr="001504C3">
        <w:rPr>
          <w:rFonts w:ascii="Cambria" w:hAnsi="Cambria"/>
          <w:i/>
          <w:color w:val="000000"/>
        </w:rPr>
        <w:t>Bloomberg</w:t>
      </w:r>
      <w:r w:rsidRPr="001504C3">
        <w:rPr>
          <w:rFonts w:ascii="Cambria" w:hAnsi="Cambria"/>
          <w:color w:val="000000"/>
        </w:rPr>
        <w:t xml:space="preserve"> </w:t>
      </w:r>
      <w:r w:rsidRPr="001504C3">
        <w:rPr>
          <w:rFonts w:ascii="Cambria" w:hAnsi="Cambria"/>
          <w:i/>
          <w:color w:val="000000"/>
        </w:rPr>
        <w:t>News</w:t>
      </w:r>
      <w:r w:rsidRPr="001504C3">
        <w:rPr>
          <w:rFonts w:ascii="Cambria" w:hAnsi="Cambria"/>
          <w:color w:val="000000"/>
        </w:rPr>
        <w:t>. May 2.</w:t>
      </w:r>
    </w:p>
    <w:p w14:paraId="20AAD08D" w14:textId="77777777" w:rsidR="00D41594" w:rsidRPr="001504C3" w:rsidRDefault="00D41594" w:rsidP="00D41594">
      <w:pPr>
        <w:pStyle w:val="NormalWeb"/>
        <w:spacing w:after="0"/>
        <w:rPr>
          <w:rFonts w:ascii="Cambria" w:hAnsi="Cambria"/>
          <w:color w:val="000000"/>
        </w:rPr>
      </w:pPr>
    </w:p>
    <w:p w14:paraId="540F7B2D"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 xml:space="preserve">Puetter, Uwe (2014). </w:t>
      </w:r>
      <w:r w:rsidRPr="001504C3">
        <w:rPr>
          <w:rFonts w:ascii="Cambria" w:hAnsi="Cambria"/>
          <w:i/>
          <w:iCs/>
          <w:color w:val="000000"/>
        </w:rPr>
        <w:t>The European Council and the Council: New intergovernmentalism and institutional change</w:t>
      </w:r>
      <w:r w:rsidRPr="001504C3">
        <w:rPr>
          <w:rFonts w:ascii="Cambria" w:hAnsi="Cambria"/>
          <w:color w:val="000000"/>
        </w:rPr>
        <w:t>. Oxford: Oxford University Press.</w:t>
      </w:r>
    </w:p>
    <w:p w14:paraId="70F551E6" w14:textId="77777777" w:rsidR="00D41594" w:rsidRPr="001504C3" w:rsidRDefault="00D41594" w:rsidP="00D41594">
      <w:pPr>
        <w:pStyle w:val="NormalWeb"/>
        <w:spacing w:after="0"/>
        <w:ind w:left="720" w:hanging="720"/>
        <w:rPr>
          <w:rFonts w:ascii="Cambria" w:hAnsi="Cambria"/>
        </w:rPr>
      </w:pPr>
    </w:p>
    <w:p w14:paraId="0E53DB9E" w14:textId="77777777" w:rsidR="00D41594" w:rsidRPr="001504C3" w:rsidRDefault="00D41594" w:rsidP="00D41594">
      <w:pPr>
        <w:spacing w:after="0" w:line="240" w:lineRule="auto"/>
        <w:ind w:left="720" w:hanging="720"/>
        <w:rPr>
          <w:rFonts w:ascii="Cambria" w:hAnsi="Cambria" w:cs="Times New Roman"/>
          <w:color w:val="333333"/>
          <w:sz w:val="24"/>
          <w:szCs w:val="24"/>
          <w:shd w:val="clear" w:color="auto" w:fill="FFFFFF"/>
        </w:rPr>
      </w:pPr>
      <w:r w:rsidRPr="001504C3">
        <w:rPr>
          <w:rFonts w:ascii="Cambria" w:hAnsi="Cambria" w:cs="Times New Roman"/>
          <w:sz w:val="24"/>
          <w:szCs w:val="24"/>
        </w:rPr>
        <w:t xml:space="preserve">Scheppele, Kim Lane (2015). ‘Understanding Hungary’s Constitutional Revolution’ in Armin von Bogdandy  and Pá Sonnevend (eds.), </w:t>
      </w:r>
      <w:r w:rsidRPr="001504C3">
        <w:rPr>
          <w:rStyle w:val="m5185335995738171105source"/>
          <w:rFonts w:ascii="Cambria" w:hAnsi="Cambria" w:cs="Times New Roman"/>
          <w:i/>
          <w:iCs/>
          <w:color w:val="333333"/>
          <w:sz w:val="24"/>
          <w:szCs w:val="24"/>
          <w:bdr w:val="none" w:sz="0" w:space="0" w:color="auto" w:frame="1"/>
          <w:shd w:val="clear" w:color="auto" w:fill="FFFFFF"/>
        </w:rPr>
        <w:t>Constitutional Crisis in the European Constitutional Area</w:t>
      </w:r>
      <w:r w:rsidRPr="001504C3">
        <w:rPr>
          <w:rFonts w:ascii="Cambria" w:hAnsi="Cambria" w:cs="Times New Roman"/>
          <w:color w:val="333333"/>
          <w:sz w:val="24"/>
          <w:szCs w:val="24"/>
          <w:shd w:val="clear" w:color="auto" w:fill="FFFFFF"/>
        </w:rPr>
        <w:t xml:space="preserve">. Oxford: Hart Publishing, 111–24. </w:t>
      </w:r>
    </w:p>
    <w:p w14:paraId="421D0800" w14:textId="77777777" w:rsidR="00D41594" w:rsidRPr="001504C3" w:rsidRDefault="00D41594" w:rsidP="00D41594">
      <w:pPr>
        <w:spacing w:after="0" w:line="240" w:lineRule="auto"/>
        <w:ind w:left="720" w:hanging="720"/>
        <w:rPr>
          <w:rFonts w:ascii="Cambria" w:hAnsi="Cambria" w:cs="Times New Roman"/>
          <w:sz w:val="24"/>
          <w:szCs w:val="24"/>
        </w:rPr>
      </w:pPr>
    </w:p>
    <w:p w14:paraId="6EC8CC67"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Smith, Karen E. (2003). </w:t>
      </w:r>
      <w:r w:rsidRPr="001504C3">
        <w:rPr>
          <w:rFonts w:ascii="Cambria" w:hAnsi="Cambria" w:cs="Times New Roman"/>
          <w:i/>
          <w:sz w:val="24"/>
          <w:szCs w:val="24"/>
        </w:rPr>
        <w:t xml:space="preserve">European Union Foreign Policy in a Changing World. </w:t>
      </w:r>
      <w:r w:rsidRPr="001504C3">
        <w:rPr>
          <w:rFonts w:ascii="Cambria" w:hAnsi="Cambria" w:cs="Times New Roman"/>
          <w:sz w:val="24"/>
          <w:szCs w:val="24"/>
        </w:rPr>
        <w:t>Cambridge: Polity Press.</w:t>
      </w:r>
    </w:p>
    <w:p w14:paraId="2856748B" w14:textId="77777777" w:rsidR="00D41594" w:rsidRPr="001504C3" w:rsidRDefault="00D41594" w:rsidP="00D41594">
      <w:pPr>
        <w:spacing w:after="0" w:line="240" w:lineRule="auto"/>
        <w:ind w:left="720" w:hanging="720"/>
        <w:rPr>
          <w:rFonts w:ascii="Cambria" w:hAnsi="Cambria" w:cs="Times New Roman"/>
          <w:sz w:val="24"/>
          <w:szCs w:val="24"/>
        </w:rPr>
      </w:pPr>
    </w:p>
    <w:p w14:paraId="17C1CC58"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Steunenberg, Bernard and Antoanet Dimitrova (2007). ‘Compliance in the EU Enlargement Process: The limits of conditionality.’ </w:t>
      </w:r>
      <w:r w:rsidRPr="001504C3">
        <w:rPr>
          <w:rFonts w:ascii="Cambria" w:hAnsi="Cambria" w:cs="Times New Roman"/>
          <w:i/>
          <w:sz w:val="24"/>
          <w:szCs w:val="24"/>
        </w:rPr>
        <w:t xml:space="preserve">European Integration online Papers, </w:t>
      </w:r>
      <w:r w:rsidRPr="001504C3">
        <w:rPr>
          <w:rFonts w:ascii="Cambria" w:hAnsi="Cambria" w:cs="Times New Roman"/>
          <w:sz w:val="24"/>
          <w:szCs w:val="24"/>
        </w:rPr>
        <w:t xml:space="preserve">11. </w:t>
      </w:r>
      <w:hyperlink r:id="rId17" w:history="1">
        <w:r w:rsidRPr="001504C3">
          <w:rPr>
            <w:rStyle w:val="Hyperlink"/>
            <w:rFonts w:ascii="Cambria" w:hAnsi="Cambria" w:cs="Times New Roman"/>
            <w:sz w:val="24"/>
            <w:szCs w:val="24"/>
          </w:rPr>
          <w:t>http://eiop.or.at/eiop/pdf/2007-005.pdf</w:t>
        </w:r>
      </w:hyperlink>
      <w:r w:rsidRPr="001504C3">
        <w:rPr>
          <w:rFonts w:ascii="Cambria" w:hAnsi="Cambria" w:cs="Times New Roman"/>
          <w:sz w:val="24"/>
          <w:szCs w:val="24"/>
        </w:rPr>
        <w:t xml:space="preserve">. </w:t>
      </w:r>
    </w:p>
    <w:p w14:paraId="00C90944" w14:textId="77777777" w:rsidR="00D41594" w:rsidRPr="001504C3" w:rsidRDefault="00D41594" w:rsidP="00D41594">
      <w:pPr>
        <w:spacing w:after="0" w:line="240" w:lineRule="auto"/>
        <w:ind w:left="720" w:hanging="720"/>
        <w:rPr>
          <w:rFonts w:ascii="Cambria" w:hAnsi="Cambria" w:cs="Times New Roman"/>
          <w:sz w:val="24"/>
          <w:szCs w:val="24"/>
        </w:rPr>
      </w:pPr>
    </w:p>
    <w:p w14:paraId="3B751925"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Tanzi, Vito and Ludger Schuknecht (2000). </w:t>
      </w:r>
      <w:r w:rsidRPr="001504C3">
        <w:rPr>
          <w:rFonts w:ascii="Cambria" w:hAnsi="Cambria" w:cs="Times New Roman"/>
          <w:i/>
          <w:sz w:val="24"/>
          <w:szCs w:val="24"/>
        </w:rPr>
        <w:t>Public Spending in the 20</w:t>
      </w:r>
      <w:r w:rsidRPr="001504C3">
        <w:rPr>
          <w:rFonts w:ascii="Cambria" w:hAnsi="Cambria" w:cs="Times New Roman"/>
          <w:i/>
          <w:sz w:val="24"/>
          <w:szCs w:val="24"/>
          <w:vertAlign w:val="superscript"/>
        </w:rPr>
        <w:t>th</w:t>
      </w:r>
      <w:r w:rsidRPr="001504C3">
        <w:rPr>
          <w:rFonts w:ascii="Cambria" w:hAnsi="Cambria" w:cs="Times New Roman"/>
          <w:i/>
          <w:sz w:val="24"/>
          <w:szCs w:val="24"/>
        </w:rPr>
        <w:t xml:space="preserve"> Century</w:t>
      </w:r>
      <w:r w:rsidRPr="001504C3">
        <w:rPr>
          <w:rFonts w:ascii="Cambria" w:hAnsi="Cambria" w:cs="Times New Roman"/>
          <w:sz w:val="24"/>
          <w:szCs w:val="24"/>
        </w:rPr>
        <w:t>. New York: Cambridge University Press.</w:t>
      </w:r>
    </w:p>
    <w:p w14:paraId="16527710" w14:textId="77777777" w:rsidR="00D41594" w:rsidRPr="001504C3" w:rsidRDefault="00D41594" w:rsidP="00D41594">
      <w:pPr>
        <w:spacing w:after="0" w:line="240" w:lineRule="auto"/>
        <w:ind w:left="720" w:hanging="720"/>
        <w:rPr>
          <w:rFonts w:ascii="Cambria" w:hAnsi="Cambria" w:cs="Times New Roman"/>
          <w:sz w:val="24"/>
          <w:szCs w:val="24"/>
        </w:rPr>
      </w:pPr>
    </w:p>
    <w:p w14:paraId="74AE5EDA" w14:textId="77777777" w:rsidR="00D41594" w:rsidRPr="001504C3" w:rsidRDefault="00D41594" w:rsidP="00D41594">
      <w:pPr>
        <w:spacing w:after="0" w:line="240" w:lineRule="auto"/>
        <w:ind w:left="720" w:hanging="720"/>
        <w:rPr>
          <w:rFonts w:ascii="Cambria" w:hAnsi="Cambria" w:cs="Times New Roman"/>
          <w:sz w:val="24"/>
          <w:szCs w:val="24"/>
        </w:rPr>
      </w:pPr>
      <w:r w:rsidRPr="001504C3">
        <w:rPr>
          <w:rFonts w:ascii="Cambria" w:hAnsi="Cambria" w:cs="Times New Roman"/>
          <w:sz w:val="24"/>
          <w:szCs w:val="24"/>
        </w:rPr>
        <w:t xml:space="preserve">Timmer, Marcel P., Abdul Azeez Erumban, Bart Los, Rober Stehrer, and Gaaitzen J. de Vries (2014). ‘Slicing Up Global Value Chains.’ </w:t>
      </w:r>
      <w:r w:rsidRPr="001504C3">
        <w:rPr>
          <w:rFonts w:ascii="Cambria" w:hAnsi="Cambria" w:cs="Times New Roman"/>
          <w:i/>
          <w:sz w:val="24"/>
          <w:szCs w:val="24"/>
        </w:rPr>
        <w:t xml:space="preserve">Journal of Economic Perspectives, </w:t>
      </w:r>
      <w:r w:rsidRPr="001504C3">
        <w:rPr>
          <w:rFonts w:ascii="Cambria" w:hAnsi="Cambria" w:cs="Times New Roman"/>
          <w:sz w:val="24"/>
          <w:szCs w:val="24"/>
        </w:rPr>
        <w:t>28:2, 99–118.</w:t>
      </w:r>
    </w:p>
    <w:p w14:paraId="6079BA51" w14:textId="77777777" w:rsidR="00D41594" w:rsidRPr="001504C3" w:rsidRDefault="00D41594" w:rsidP="00D41594">
      <w:pPr>
        <w:pStyle w:val="NormalWeb"/>
        <w:spacing w:after="0"/>
        <w:ind w:left="720" w:hanging="720"/>
        <w:rPr>
          <w:rFonts w:ascii="Cambria" w:hAnsi="Cambria"/>
          <w:color w:val="000000"/>
        </w:rPr>
      </w:pPr>
    </w:p>
    <w:p w14:paraId="38EDAFA2" w14:textId="77777777" w:rsidR="00D41594" w:rsidRPr="001504C3" w:rsidRDefault="00D41594" w:rsidP="00D41594">
      <w:pPr>
        <w:pStyle w:val="NormalWeb"/>
        <w:spacing w:after="0"/>
        <w:ind w:left="720" w:hanging="720"/>
        <w:rPr>
          <w:rFonts w:ascii="Cambria" w:hAnsi="Cambria"/>
          <w:color w:val="000000"/>
        </w:rPr>
      </w:pPr>
      <w:r w:rsidRPr="001504C3">
        <w:rPr>
          <w:rFonts w:ascii="Cambria" w:hAnsi="Cambria"/>
          <w:color w:val="000000"/>
        </w:rPr>
        <w:t>Van Hecke, Matti, Peter Bursens, and Jan Beyers (2016). ‘Listening to the Regional Voice: Discerning Patterns of Regional Representation in EU Policy-Making’. CES Conference, Philadelphia.</w:t>
      </w:r>
    </w:p>
    <w:p w14:paraId="1177BD82" w14:textId="77777777" w:rsidR="00D41594" w:rsidRPr="001504C3" w:rsidRDefault="00D41594" w:rsidP="00D41594">
      <w:pPr>
        <w:pStyle w:val="NormalWeb"/>
        <w:spacing w:after="0"/>
        <w:ind w:left="720" w:hanging="720"/>
        <w:rPr>
          <w:rFonts w:ascii="Cambria" w:hAnsi="Cambria"/>
        </w:rPr>
      </w:pPr>
    </w:p>
    <w:p w14:paraId="39ADEE08" w14:textId="77777777" w:rsidR="00D41594" w:rsidRDefault="00D41594" w:rsidP="00D41594">
      <w:pPr>
        <w:pStyle w:val="NormalWeb"/>
        <w:spacing w:after="0"/>
        <w:ind w:left="720" w:hanging="720"/>
        <w:rPr>
          <w:rStyle w:val="Hyperlink"/>
          <w:rFonts w:ascii="Cambria" w:hAnsi="Cambria"/>
        </w:rPr>
      </w:pPr>
      <w:r w:rsidRPr="001504C3">
        <w:rPr>
          <w:rFonts w:ascii="Cambria" w:hAnsi="Cambria"/>
        </w:rPr>
        <w:t xml:space="preserve">Waldman, Steven Randy (2015). ‘Greece,’ </w:t>
      </w:r>
      <w:r w:rsidRPr="001504C3">
        <w:rPr>
          <w:rFonts w:ascii="Cambria" w:hAnsi="Cambria"/>
          <w:i/>
        </w:rPr>
        <w:t>Interfluidity</w:t>
      </w:r>
      <w:r w:rsidRPr="001504C3">
        <w:rPr>
          <w:rFonts w:ascii="Cambria" w:hAnsi="Cambria"/>
        </w:rPr>
        <w:t xml:space="preserve"> blog, 4 July. </w:t>
      </w:r>
      <w:hyperlink r:id="rId18" w:history="1">
        <w:r w:rsidRPr="001504C3">
          <w:rPr>
            <w:rStyle w:val="Hyperlink"/>
            <w:rFonts w:ascii="Cambria" w:hAnsi="Cambria"/>
          </w:rPr>
          <w:t>http://www.interfluidity.com/v2/5965.html</w:t>
        </w:r>
      </w:hyperlink>
    </w:p>
    <w:p w14:paraId="53BB06DA" w14:textId="77777777" w:rsidR="00D41594" w:rsidRPr="001504C3" w:rsidRDefault="00D41594" w:rsidP="00D41594">
      <w:pPr>
        <w:pStyle w:val="NormalWeb"/>
        <w:spacing w:after="0"/>
        <w:ind w:left="720" w:hanging="720"/>
        <w:rPr>
          <w:rFonts w:ascii="Cambria" w:hAnsi="Cambria"/>
        </w:rPr>
      </w:pPr>
    </w:p>
    <w:p w14:paraId="60917F86" w14:textId="77777777" w:rsidR="00D41594" w:rsidRDefault="00D41594" w:rsidP="00236EC3">
      <w:pPr>
        <w:pStyle w:val="NormalWeb"/>
        <w:spacing w:after="0"/>
        <w:ind w:left="720" w:hanging="720"/>
        <w:outlineLvl w:val="0"/>
        <w:rPr>
          <w:rFonts w:ascii="Cambria" w:hAnsi="Cambria"/>
          <w:i/>
          <w:iCs/>
          <w:color w:val="000000"/>
        </w:rPr>
      </w:pPr>
      <w:r w:rsidRPr="001504C3">
        <w:rPr>
          <w:rFonts w:ascii="Cambria" w:hAnsi="Cambria"/>
          <w:color w:val="000000"/>
        </w:rPr>
        <w:t xml:space="preserve">Woodruff, David M. (2014). ‘Governing by Panic’, </w:t>
      </w:r>
      <w:r w:rsidRPr="001504C3">
        <w:rPr>
          <w:rFonts w:ascii="Cambria" w:hAnsi="Cambria"/>
          <w:i/>
          <w:iCs/>
          <w:color w:val="000000"/>
        </w:rPr>
        <w:t>Politics &amp; Society </w:t>
      </w:r>
      <w:r w:rsidRPr="001504C3">
        <w:rPr>
          <w:rFonts w:ascii="Cambria" w:hAnsi="Cambria"/>
          <w:iCs/>
          <w:color w:val="000000"/>
        </w:rPr>
        <w:t>44(1): 81-116</w:t>
      </w:r>
      <w:r w:rsidRPr="001504C3">
        <w:rPr>
          <w:rFonts w:ascii="Cambria" w:hAnsi="Cambria"/>
          <w:i/>
          <w:iCs/>
          <w:color w:val="000000"/>
        </w:rPr>
        <w:t>.</w:t>
      </w:r>
    </w:p>
    <w:p w14:paraId="4902B642" w14:textId="77777777" w:rsidR="00D41594" w:rsidRPr="001504C3" w:rsidRDefault="00D41594" w:rsidP="00D41594">
      <w:pPr>
        <w:pStyle w:val="NormalWeb"/>
        <w:spacing w:after="0"/>
        <w:ind w:left="720" w:hanging="720"/>
        <w:rPr>
          <w:rFonts w:ascii="Cambria" w:hAnsi="Cambria"/>
          <w:i/>
          <w:iCs/>
          <w:color w:val="000000"/>
        </w:rPr>
      </w:pPr>
    </w:p>
    <w:p w14:paraId="48D6109F" w14:textId="77777777" w:rsidR="00D41594" w:rsidRDefault="00D41594" w:rsidP="00D41594">
      <w:pPr>
        <w:pStyle w:val="NormalWeb"/>
        <w:spacing w:after="0"/>
        <w:ind w:left="720" w:hanging="720"/>
        <w:rPr>
          <w:rStyle w:val="Hyperlink"/>
          <w:rFonts w:ascii="Cambria" w:hAnsi="Cambria"/>
        </w:rPr>
      </w:pPr>
      <w:r w:rsidRPr="001504C3">
        <w:rPr>
          <w:rFonts w:ascii="Cambria" w:hAnsi="Cambria"/>
          <w:color w:val="000000"/>
        </w:rPr>
        <w:t xml:space="preserve">Wroughton, Lesley, Howard Schneider and Dina Kyriakidou (2015). ‘How the IMF’s Misadventure in Greece is Changing the Fund’, </w:t>
      </w:r>
      <w:r w:rsidRPr="001504C3">
        <w:rPr>
          <w:rFonts w:ascii="Cambria" w:hAnsi="Cambria"/>
          <w:i/>
          <w:color w:val="000000"/>
        </w:rPr>
        <w:t>Reuters Investigates</w:t>
      </w:r>
      <w:r w:rsidRPr="001504C3">
        <w:rPr>
          <w:rFonts w:ascii="Cambria" w:hAnsi="Cambria"/>
          <w:color w:val="000000"/>
        </w:rPr>
        <w:t xml:space="preserve">, 25 August. </w:t>
      </w:r>
      <w:hyperlink r:id="rId19" w:history="1">
        <w:r w:rsidRPr="001504C3">
          <w:rPr>
            <w:rStyle w:val="Hyperlink"/>
            <w:rFonts w:ascii="Cambria" w:hAnsi="Cambria"/>
          </w:rPr>
          <w:t>https://www.reuters.com/investigates/special-report/imf-greece/</w:t>
        </w:r>
      </w:hyperlink>
    </w:p>
    <w:p w14:paraId="0AF7391C" w14:textId="77777777" w:rsidR="00C77A33" w:rsidRDefault="00C77A33" w:rsidP="00D41594">
      <w:pPr>
        <w:pStyle w:val="NormalWeb"/>
        <w:spacing w:after="0"/>
        <w:ind w:left="720" w:hanging="720"/>
        <w:rPr>
          <w:rStyle w:val="Hyperlink"/>
          <w:rFonts w:ascii="Cambria" w:hAnsi="Cambria"/>
        </w:rPr>
      </w:pPr>
    </w:p>
    <w:p w14:paraId="50BB5C47" w14:textId="4975C2D2" w:rsidR="00C77A33" w:rsidRPr="00C77A33" w:rsidRDefault="00C77A33" w:rsidP="00C77A33">
      <w:pPr>
        <w:pStyle w:val="NormalWeb"/>
        <w:spacing w:after="0"/>
        <w:ind w:left="720" w:hanging="720"/>
        <w:rPr>
          <w:rFonts w:ascii="Cambria" w:hAnsi="Cambria"/>
        </w:rPr>
      </w:pPr>
      <w:r w:rsidRPr="00236EC3">
        <w:rPr>
          <w:rStyle w:val="Hyperlink"/>
          <w:rFonts w:ascii="Cambria" w:hAnsi="Cambria"/>
          <w:color w:val="auto"/>
          <w:u w:val="none"/>
        </w:rPr>
        <w:t xml:space="preserve">Wyplosz, Charles (2013). </w:t>
      </w:r>
      <w:r>
        <w:rPr>
          <w:rStyle w:val="Hyperlink"/>
          <w:rFonts w:ascii="Cambria" w:hAnsi="Cambria"/>
          <w:color w:val="auto"/>
          <w:u w:val="none"/>
        </w:rPr>
        <w:t>‘</w:t>
      </w:r>
      <w:r w:rsidRPr="00C77A33">
        <w:rPr>
          <w:rFonts w:ascii="Cambria" w:hAnsi="Cambria"/>
        </w:rPr>
        <w:t>Europe’s Quest</w:t>
      </w:r>
      <w:r>
        <w:rPr>
          <w:rFonts w:ascii="PMingLiU" w:eastAsia="PMingLiU" w:hAnsi="PMingLiU" w:cs="PMingLiU"/>
        </w:rPr>
        <w:t xml:space="preserve"> </w:t>
      </w:r>
      <w:r>
        <w:rPr>
          <w:rFonts w:ascii="Cambria" w:hAnsi="Cambria"/>
        </w:rPr>
        <w:t xml:space="preserve">for Fiscal Discipline’, </w:t>
      </w:r>
      <w:r w:rsidRPr="00236EC3">
        <w:rPr>
          <w:rFonts w:ascii="Cambria" w:hAnsi="Cambria"/>
          <w:i/>
        </w:rPr>
        <w:t>Economic Papers</w:t>
      </w:r>
      <w:r>
        <w:rPr>
          <w:rFonts w:ascii="Cambria" w:hAnsi="Cambria"/>
        </w:rPr>
        <w:t xml:space="preserve"> 498 (April). Brussels: European Commission, Directorate for Economic and Financial Affairs. </w:t>
      </w:r>
      <w:r w:rsidRPr="00C77A33">
        <w:rPr>
          <w:rFonts w:ascii="Cambria" w:hAnsi="Cambria"/>
        </w:rPr>
        <w:t>http://ec.europa.eu/economy_finance/publications/economic_paper/2013/pdf/ecp498_en.pdf</w:t>
      </w:r>
    </w:p>
    <w:p w14:paraId="0516B8C5" w14:textId="77777777" w:rsidR="00D41594" w:rsidRPr="001504C3" w:rsidRDefault="00D41594" w:rsidP="00D41594">
      <w:pPr>
        <w:rPr>
          <w:rFonts w:ascii="Cambria" w:hAnsi="Cambria"/>
          <w:sz w:val="24"/>
          <w:szCs w:val="24"/>
        </w:rPr>
      </w:pPr>
    </w:p>
    <w:p w14:paraId="67C0B654" w14:textId="77777777" w:rsidR="001D0861" w:rsidRDefault="001D0861" w:rsidP="00A80AD7">
      <w:pPr>
        <w:spacing w:line="480" w:lineRule="auto"/>
        <w:ind w:firstLine="720"/>
        <w:rPr>
          <w:rFonts w:cs="Times New Roman"/>
          <w:color w:val="000000"/>
          <w:sz w:val="24"/>
          <w:szCs w:val="24"/>
          <w:shd w:val="clear" w:color="auto" w:fill="FFFFFF"/>
        </w:rPr>
      </w:pPr>
    </w:p>
    <w:p w14:paraId="1D682632" w14:textId="77777777" w:rsidR="00264628" w:rsidRDefault="00264628" w:rsidP="00677131">
      <w:pPr>
        <w:spacing w:line="480" w:lineRule="auto"/>
        <w:rPr>
          <w:rFonts w:cs="Times New Roman"/>
          <w:color w:val="000000"/>
          <w:sz w:val="24"/>
          <w:szCs w:val="24"/>
          <w:shd w:val="clear" w:color="auto" w:fill="FFFFFF"/>
        </w:rPr>
      </w:pPr>
    </w:p>
    <w:sectPr w:rsidR="00264628" w:rsidSect="00F47876">
      <w:headerReference w:type="even" r:id="rId20"/>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178B7" w14:textId="77777777" w:rsidR="00C331BE" w:rsidRDefault="00C331BE" w:rsidP="00627ED0">
      <w:pPr>
        <w:spacing w:after="0" w:line="240" w:lineRule="auto"/>
      </w:pPr>
      <w:r>
        <w:separator/>
      </w:r>
    </w:p>
  </w:endnote>
  <w:endnote w:type="continuationSeparator" w:id="0">
    <w:p w14:paraId="1E770F1E" w14:textId="77777777" w:rsidR="00C331BE" w:rsidRDefault="00C331BE" w:rsidP="0062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590D1" w14:textId="77777777" w:rsidR="00C331BE" w:rsidRDefault="00C331BE" w:rsidP="00627ED0">
      <w:pPr>
        <w:spacing w:after="0" w:line="240" w:lineRule="auto"/>
      </w:pPr>
      <w:r>
        <w:separator/>
      </w:r>
    </w:p>
  </w:footnote>
  <w:footnote w:type="continuationSeparator" w:id="0">
    <w:p w14:paraId="47FB4458" w14:textId="77777777" w:rsidR="00C331BE" w:rsidRDefault="00C331BE" w:rsidP="00627ED0">
      <w:pPr>
        <w:spacing w:after="0" w:line="240" w:lineRule="auto"/>
      </w:pPr>
      <w:r>
        <w:continuationSeparator/>
      </w:r>
    </w:p>
  </w:footnote>
  <w:footnote w:id="1">
    <w:p w14:paraId="65291DD4" w14:textId="459A678D" w:rsidR="00622EB5" w:rsidRDefault="00622EB5">
      <w:pPr>
        <w:pStyle w:val="FootnoteText"/>
      </w:pPr>
      <w:r>
        <w:rPr>
          <w:rStyle w:val="FootnoteReference"/>
        </w:rPr>
        <w:footnoteRef/>
      </w:r>
      <w:r>
        <w:t xml:space="preserve"> We do not, however, pursue here a causal argument that each stage of conditionality determined the subsequent one. Demonstrating this connection would require additional interviews in all major EU institutions.</w:t>
      </w:r>
    </w:p>
  </w:footnote>
  <w:footnote w:id="2">
    <w:p w14:paraId="5375A305" w14:textId="78B5D375" w:rsidR="00622EB5" w:rsidRDefault="00622EB5" w:rsidP="00627ED0">
      <w:pPr>
        <w:pStyle w:val="FootnoteText"/>
      </w:pPr>
      <w:r>
        <w:rPr>
          <w:rStyle w:val="FootnoteReference"/>
        </w:rPr>
        <w:footnoteRef/>
      </w:r>
      <w:r>
        <w:t xml:space="preserve"> </w:t>
      </w:r>
      <w:r>
        <w:rPr>
          <w:rFonts w:cs="Times New Roman"/>
          <w:lang w:val="de-DE"/>
        </w:rPr>
        <w:t xml:space="preserve">Lütz </w:t>
      </w:r>
      <w:r w:rsidRPr="003D5916">
        <w:rPr>
          <w:rFonts w:cs="Times New Roman"/>
          <w:lang w:val="de-DE"/>
        </w:rPr>
        <w:t>and Kranke</w:t>
      </w:r>
      <w:r>
        <w:rPr>
          <w:rFonts w:cs="Times New Roman"/>
          <w:lang w:val="de-DE"/>
        </w:rPr>
        <w:t xml:space="preserve"> stress the more orthodox position of the EU Commission relative to the more lenient IMF (2014)</w:t>
      </w:r>
      <w:r>
        <w:rPr>
          <w:rFonts w:cs="Calibri"/>
        </w:rPr>
        <w:t>, while Woodruff stresses the extreme orthodoxy of the ECB (2014). Of course, both the Commission and even the “independent” ECB are subject to strong pressures by powerful member states, many of whom have pushed hard for conditionality to be imposed on debtors.</w:t>
      </w:r>
    </w:p>
  </w:footnote>
  <w:footnote w:id="3">
    <w:p w14:paraId="62FBE555" w14:textId="74710C79" w:rsidR="00622EB5" w:rsidRDefault="00622EB5">
      <w:pPr>
        <w:pStyle w:val="FootnoteText"/>
      </w:pPr>
      <w:r>
        <w:rPr>
          <w:rStyle w:val="FootnoteReference"/>
        </w:rPr>
        <w:footnoteRef/>
      </w:r>
      <w:r>
        <w:t xml:space="preserve"> To be sure, the EU’s Copenhagen criteria, which included democratic rule and a functional market economy, clearly did involve core state functions. We treat these as a pre-requirement for opening negotiations and would not deny that the EU thus had some influence over core state functions. Our point is that the EU generally did not use its formal conditionality instruments for core state functions. For a list of the 35 screening chapters, see </w:t>
      </w:r>
      <w:r w:rsidRPr="000861D3">
        <w:t>https://ec.europa.eu/neighbourhood-enlargement/policy/conditions-membership/chapters-of-the-acquis_en</w:t>
      </w:r>
      <w:r>
        <w:t>.</w:t>
      </w:r>
    </w:p>
  </w:footnote>
  <w:footnote w:id="4">
    <w:p w14:paraId="7499EB02" w14:textId="77777777" w:rsidR="00622EB5" w:rsidRDefault="00622EB5">
      <w:pPr>
        <w:pStyle w:val="FootnoteText"/>
      </w:pPr>
      <w:r>
        <w:rPr>
          <w:rStyle w:val="FootnoteReference"/>
        </w:rPr>
        <w:footnoteRef/>
      </w:r>
      <w:r>
        <w:t xml:space="preserve"> Hungary and Romania are not EMU members, and Latvia was not at the time of the IMF program.</w:t>
      </w:r>
    </w:p>
  </w:footnote>
  <w:footnote w:id="5">
    <w:p w14:paraId="4FD9929A" w14:textId="77777777" w:rsidR="00622EB5" w:rsidRDefault="00622EB5">
      <w:pPr>
        <w:pStyle w:val="FootnoteText"/>
      </w:pPr>
      <w:r>
        <w:rPr>
          <w:rStyle w:val="FootnoteReference"/>
        </w:rPr>
        <w:footnoteRef/>
      </w:r>
      <w:r>
        <w:t xml:space="preserve"> Official pre-accession assistance for the relevant 2000-2006 budgetary period amounted to 22 billion euro, which includes, Phare, ISPA, and SAPARD. See </w:t>
      </w:r>
      <w:r w:rsidRPr="000F2458">
        <w:t>http://ec.europa.eu/enlargement/archives/questions_and_answers/11-22_en.htm#costs</w:t>
      </w:r>
    </w:p>
  </w:footnote>
  <w:footnote w:id="6">
    <w:p w14:paraId="68DA06EB" w14:textId="77777777" w:rsidR="00622EB5" w:rsidRDefault="00622EB5">
      <w:pPr>
        <w:pStyle w:val="FootnoteText"/>
      </w:pPr>
      <w:r>
        <w:rPr>
          <w:rStyle w:val="FootnoteReference"/>
        </w:rPr>
        <w:footnoteRef/>
      </w:r>
      <w:r>
        <w:t xml:space="preserve"> Add data on the deterioration of debt/GDP levels in some Southern economies during the period of austerity. </w:t>
      </w:r>
    </w:p>
  </w:footnote>
  <w:footnote w:id="7">
    <w:p w14:paraId="0F485192" w14:textId="77777777" w:rsidR="00622EB5" w:rsidRDefault="00622EB5">
      <w:pPr>
        <w:pStyle w:val="FootnoteText"/>
      </w:pPr>
      <w:r>
        <w:rPr>
          <w:rStyle w:val="FootnoteReference"/>
        </w:rPr>
        <w:footnoteRef/>
      </w:r>
      <w:r>
        <w:t xml:space="preserve"> Woodruff (2014) links conditional policies also to ordoliberal ideological impulses emanating mostly from Germany. Thus, we do not insist that CEE experiences were the only route through which ideas about conditionality entered the EU institutions. </w:t>
      </w:r>
    </w:p>
  </w:footnote>
  <w:footnote w:id="8">
    <w:p w14:paraId="60BCDFD0" w14:textId="1A5A918A" w:rsidR="00622EB5" w:rsidRDefault="00622EB5">
      <w:pPr>
        <w:pStyle w:val="FootnoteText"/>
      </w:pPr>
      <w:r>
        <w:rPr>
          <w:rStyle w:val="FootnoteReference"/>
        </w:rPr>
        <w:footnoteRef/>
      </w:r>
      <w:r>
        <w:t xml:space="preserve"> The World bank also added a small amount ($1.3 billion).</w:t>
      </w:r>
    </w:p>
  </w:footnote>
  <w:footnote w:id="9">
    <w:p w14:paraId="0B62840D" w14:textId="33E2E575" w:rsidR="00622EB5" w:rsidRDefault="00622EB5">
      <w:pPr>
        <w:pStyle w:val="FootnoteText"/>
      </w:pPr>
      <w:r>
        <w:rPr>
          <w:rStyle w:val="FootnoteReference"/>
        </w:rPr>
        <w:footnoteRef/>
      </w:r>
      <w:r>
        <w:t xml:space="preserve"> </w:t>
      </w:r>
      <w:r>
        <w:rPr>
          <w:rFonts w:cs="Cambria"/>
        </w:rPr>
        <w:t>The</w:t>
      </w:r>
      <w:r w:rsidRPr="00503A40">
        <w:rPr>
          <w:rFonts w:cs="Cambria"/>
        </w:rPr>
        <w:t xml:space="preserve"> ECB </w:t>
      </w:r>
      <w:r>
        <w:rPr>
          <w:rFonts w:cs="Cambria"/>
        </w:rPr>
        <w:t>had little involvement in these programs because</w:t>
      </w:r>
      <w:r w:rsidRPr="00503A40">
        <w:rPr>
          <w:rFonts w:cs="Cambria"/>
        </w:rPr>
        <w:t xml:space="preserve"> the</w:t>
      </w:r>
      <w:r>
        <w:rPr>
          <w:rFonts w:cs="Cambria"/>
        </w:rPr>
        <w:t>se</w:t>
      </w:r>
      <w:r w:rsidRPr="00503A40">
        <w:rPr>
          <w:rFonts w:cs="Cambria"/>
        </w:rPr>
        <w:t xml:space="preserve"> CEE states were not Eurozone</w:t>
      </w:r>
      <w:r>
        <w:rPr>
          <w:rFonts w:ascii="PMingLiU" w:eastAsia="PMingLiU" w:hAnsi="PMingLiU" w:cs="PMingLiU"/>
        </w:rPr>
        <w:t xml:space="preserve"> </w:t>
      </w:r>
      <w:r>
        <w:rPr>
          <w:rFonts w:cs="Cambria"/>
        </w:rPr>
        <w:t>members, though Latvia later joined the EMU. See Aslund 2010.</w:t>
      </w:r>
    </w:p>
  </w:footnote>
  <w:footnote w:id="10">
    <w:p w14:paraId="694F9621" w14:textId="771DF740" w:rsidR="00622EB5" w:rsidRDefault="00622EB5">
      <w:pPr>
        <w:pStyle w:val="FootnoteText"/>
      </w:pPr>
      <w:r>
        <w:rPr>
          <w:rStyle w:val="FootnoteReference"/>
        </w:rPr>
        <w:footnoteRef/>
      </w:r>
      <w:r>
        <w:t xml:space="preserve"> Romania’s exit from its IMF program took longer. For details, see Ban (2017).</w:t>
      </w:r>
    </w:p>
  </w:footnote>
  <w:footnote w:id="11">
    <w:p w14:paraId="15B35406" w14:textId="77777777" w:rsidR="00622EB5" w:rsidRDefault="00622EB5" w:rsidP="00E01B57">
      <w:pPr>
        <w:pStyle w:val="FootnoteText"/>
        <w:tabs>
          <w:tab w:val="left" w:pos="284"/>
        </w:tabs>
        <w:spacing w:after="200"/>
      </w:pPr>
      <w:r>
        <w:rPr>
          <w:rStyle w:val="FootnoteReference"/>
        </w:rPr>
        <w:footnoteRef/>
      </w:r>
      <w:r>
        <w:t xml:space="preserve"> “</w:t>
      </w:r>
      <w:r w:rsidRPr="000F0337">
        <w:rPr>
          <w:bCs/>
        </w:rPr>
        <w:t>Eurozone approves massive Greece bail-out”</w:t>
      </w:r>
      <w:r>
        <w:t xml:space="preserve"> , </w:t>
      </w:r>
      <w:r w:rsidRPr="000F0337">
        <w:rPr>
          <w:i/>
        </w:rPr>
        <w:t>BBC News</w:t>
      </w:r>
      <w:r>
        <w:t xml:space="preserve">, 2 May 2010 </w:t>
      </w:r>
      <w:r w:rsidRPr="00885703">
        <w:t>http://news.bbc.co.uk/1/hi/business/8656649.stm</w:t>
      </w:r>
    </w:p>
  </w:footnote>
  <w:footnote w:id="12">
    <w:p w14:paraId="679E751A" w14:textId="77777777" w:rsidR="00622EB5" w:rsidRDefault="00622EB5">
      <w:pPr>
        <w:pStyle w:val="FootnoteText"/>
      </w:pPr>
      <w:r>
        <w:rPr>
          <w:rStyle w:val="FootnoteReference"/>
        </w:rPr>
        <w:footnoteRef/>
      </w:r>
      <w:r>
        <w:t xml:space="preserve"> </w:t>
      </w:r>
      <w:r>
        <w:rPr>
          <w:rFonts w:cs="Cambria"/>
        </w:rPr>
        <w:t>The ECB also</w:t>
      </w:r>
      <w:r w:rsidRPr="00573273">
        <w:rPr>
          <w:rFonts w:cs="Cambria"/>
        </w:rPr>
        <w:t xml:space="preserve"> use</w:t>
      </w:r>
      <w:r>
        <w:rPr>
          <w:rFonts w:cs="Cambria"/>
        </w:rPr>
        <w:t>d</w:t>
      </w:r>
      <w:r w:rsidRPr="00573273">
        <w:rPr>
          <w:rFonts w:cs="Cambria"/>
        </w:rPr>
        <w:t xml:space="preserve"> conditionality </w:t>
      </w:r>
      <w:r>
        <w:rPr>
          <w:rFonts w:cs="Cambria"/>
        </w:rPr>
        <w:t>on the question of exactly</w:t>
      </w:r>
      <w:r w:rsidRPr="00573273">
        <w:rPr>
          <w:rFonts w:cs="Cambria"/>
        </w:rPr>
        <w:t xml:space="preserve"> how the Irish retire</w:t>
      </w:r>
      <w:r>
        <w:rPr>
          <w:rFonts w:cs="Cambria"/>
        </w:rPr>
        <w:t>d</w:t>
      </w:r>
      <w:r w:rsidRPr="00573273">
        <w:rPr>
          <w:rFonts w:cs="Cambria"/>
        </w:rPr>
        <w:t xml:space="preserve"> bond debt.</w:t>
      </w:r>
    </w:p>
  </w:footnote>
  <w:footnote w:id="13">
    <w:p w14:paraId="12967C90" w14:textId="63FA4681" w:rsidR="00622EB5" w:rsidRDefault="00622EB5" w:rsidP="004A2A4A">
      <w:pPr>
        <w:pStyle w:val="FootnoteText"/>
      </w:pPr>
      <w:r>
        <w:rPr>
          <w:rStyle w:val="FootnoteReference"/>
        </w:rPr>
        <w:footnoteRef/>
      </w:r>
      <w:r>
        <w:t xml:space="preserve"> Puetter (2014) extends this argument to foreign policy and employment policy as other examples of new domains of Council/European Council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3EBD" w14:textId="77777777" w:rsidR="00622EB5" w:rsidRDefault="00622EB5" w:rsidP="008617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30429" w14:textId="77777777" w:rsidR="00622EB5" w:rsidRDefault="00622EB5" w:rsidP="00A009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CB3A" w14:textId="77777777" w:rsidR="00622EB5" w:rsidRDefault="00622EB5" w:rsidP="008617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02D3">
      <w:rPr>
        <w:rStyle w:val="PageNumber"/>
        <w:noProof/>
      </w:rPr>
      <w:t>1</w:t>
    </w:r>
    <w:r>
      <w:rPr>
        <w:rStyle w:val="PageNumber"/>
      </w:rPr>
      <w:fldChar w:fldCharType="end"/>
    </w:r>
  </w:p>
  <w:p w14:paraId="4BAE6F27" w14:textId="2115DB32" w:rsidR="00622EB5" w:rsidRDefault="00622EB5" w:rsidP="00480D9E">
    <w:pPr>
      <w:pStyle w:val="Header"/>
      <w:ind w:right="360"/>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D0"/>
    <w:rsid w:val="00004AE4"/>
    <w:rsid w:val="00012864"/>
    <w:rsid w:val="000136A0"/>
    <w:rsid w:val="0001427C"/>
    <w:rsid w:val="00021428"/>
    <w:rsid w:val="000268DB"/>
    <w:rsid w:val="0003504A"/>
    <w:rsid w:val="00041682"/>
    <w:rsid w:val="00042932"/>
    <w:rsid w:val="00045078"/>
    <w:rsid w:val="00055C5D"/>
    <w:rsid w:val="00055D79"/>
    <w:rsid w:val="0007295E"/>
    <w:rsid w:val="00072A6C"/>
    <w:rsid w:val="00074409"/>
    <w:rsid w:val="00081775"/>
    <w:rsid w:val="000861D3"/>
    <w:rsid w:val="00092EE0"/>
    <w:rsid w:val="00095CE9"/>
    <w:rsid w:val="000A2797"/>
    <w:rsid w:val="000B1643"/>
    <w:rsid w:val="000C1458"/>
    <w:rsid w:val="000C4960"/>
    <w:rsid w:val="000C4C3C"/>
    <w:rsid w:val="000C5E10"/>
    <w:rsid w:val="000D1085"/>
    <w:rsid w:val="000D117A"/>
    <w:rsid w:val="000D4867"/>
    <w:rsid w:val="000E27D6"/>
    <w:rsid w:val="000E67F5"/>
    <w:rsid w:val="000E6F8E"/>
    <w:rsid w:val="000E787B"/>
    <w:rsid w:val="000F0337"/>
    <w:rsid w:val="000F2458"/>
    <w:rsid w:val="00103673"/>
    <w:rsid w:val="00104CB4"/>
    <w:rsid w:val="0010694E"/>
    <w:rsid w:val="00114852"/>
    <w:rsid w:val="00117593"/>
    <w:rsid w:val="0012461A"/>
    <w:rsid w:val="001269D1"/>
    <w:rsid w:val="00130ADB"/>
    <w:rsid w:val="00131E81"/>
    <w:rsid w:val="001625EB"/>
    <w:rsid w:val="00181CD0"/>
    <w:rsid w:val="00193A66"/>
    <w:rsid w:val="00194D1E"/>
    <w:rsid w:val="00197E51"/>
    <w:rsid w:val="001A1CB9"/>
    <w:rsid w:val="001A2A89"/>
    <w:rsid w:val="001A6B16"/>
    <w:rsid w:val="001B4B6A"/>
    <w:rsid w:val="001C0F1E"/>
    <w:rsid w:val="001C37DD"/>
    <w:rsid w:val="001D0861"/>
    <w:rsid w:val="001E1D23"/>
    <w:rsid w:val="001E4E60"/>
    <w:rsid w:val="001F0432"/>
    <w:rsid w:val="001F3731"/>
    <w:rsid w:val="00200CB5"/>
    <w:rsid w:val="00210619"/>
    <w:rsid w:val="002116A9"/>
    <w:rsid w:val="00216502"/>
    <w:rsid w:val="00216C14"/>
    <w:rsid w:val="002234D3"/>
    <w:rsid w:val="00225767"/>
    <w:rsid w:val="002262C5"/>
    <w:rsid w:val="00230F61"/>
    <w:rsid w:val="002314EA"/>
    <w:rsid w:val="002316D5"/>
    <w:rsid w:val="00236EC3"/>
    <w:rsid w:val="002378C0"/>
    <w:rsid w:val="00241CB2"/>
    <w:rsid w:val="002575BD"/>
    <w:rsid w:val="002575DB"/>
    <w:rsid w:val="00262AC3"/>
    <w:rsid w:val="00264628"/>
    <w:rsid w:val="0029248A"/>
    <w:rsid w:val="0029718A"/>
    <w:rsid w:val="002A5826"/>
    <w:rsid w:val="002A60E9"/>
    <w:rsid w:val="002D0A78"/>
    <w:rsid w:val="002D3B68"/>
    <w:rsid w:val="002E3653"/>
    <w:rsid w:val="002E386D"/>
    <w:rsid w:val="00312917"/>
    <w:rsid w:val="00315F8A"/>
    <w:rsid w:val="003176FF"/>
    <w:rsid w:val="00332032"/>
    <w:rsid w:val="00353D6E"/>
    <w:rsid w:val="0035405E"/>
    <w:rsid w:val="0037727B"/>
    <w:rsid w:val="00385ABE"/>
    <w:rsid w:val="00391D56"/>
    <w:rsid w:val="003A17DF"/>
    <w:rsid w:val="003B1D19"/>
    <w:rsid w:val="003B2779"/>
    <w:rsid w:val="003B491A"/>
    <w:rsid w:val="003B5977"/>
    <w:rsid w:val="003C2101"/>
    <w:rsid w:val="003C4F82"/>
    <w:rsid w:val="003D0D61"/>
    <w:rsid w:val="003D17EF"/>
    <w:rsid w:val="003E4C0F"/>
    <w:rsid w:val="003F49FC"/>
    <w:rsid w:val="003F7654"/>
    <w:rsid w:val="00414BC6"/>
    <w:rsid w:val="004167DD"/>
    <w:rsid w:val="00424330"/>
    <w:rsid w:val="004311D6"/>
    <w:rsid w:val="00436672"/>
    <w:rsid w:val="00436D28"/>
    <w:rsid w:val="00442621"/>
    <w:rsid w:val="00444A8C"/>
    <w:rsid w:val="00444C96"/>
    <w:rsid w:val="00452ACD"/>
    <w:rsid w:val="0045459D"/>
    <w:rsid w:val="00460B56"/>
    <w:rsid w:val="00460BAB"/>
    <w:rsid w:val="00480D9E"/>
    <w:rsid w:val="00486A0E"/>
    <w:rsid w:val="00492681"/>
    <w:rsid w:val="004A2A4A"/>
    <w:rsid w:val="004A3B9B"/>
    <w:rsid w:val="004B0EA9"/>
    <w:rsid w:val="004C137E"/>
    <w:rsid w:val="004C4C5B"/>
    <w:rsid w:val="004C4ECE"/>
    <w:rsid w:val="004D131E"/>
    <w:rsid w:val="004D17B7"/>
    <w:rsid w:val="004E40C2"/>
    <w:rsid w:val="004F001B"/>
    <w:rsid w:val="004F1388"/>
    <w:rsid w:val="00503A40"/>
    <w:rsid w:val="0052062B"/>
    <w:rsid w:val="00525196"/>
    <w:rsid w:val="00535662"/>
    <w:rsid w:val="005401A7"/>
    <w:rsid w:val="00546347"/>
    <w:rsid w:val="00552C34"/>
    <w:rsid w:val="005615FB"/>
    <w:rsid w:val="005821B5"/>
    <w:rsid w:val="005833DE"/>
    <w:rsid w:val="00597EA9"/>
    <w:rsid w:val="005A4915"/>
    <w:rsid w:val="005A6305"/>
    <w:rsid w:val="005B01FE"/>
    <w:rsid w:val="005C3566"/>
    <w:rsid w:val="005D0B68"/>
    <w:rsid w:val="005D33C5"/>
    <w:rsid w:val="005D481D"/>
    <w:rsid w:val="005F0679"/>
    <w:rsid w:val="005F0D5E"/>
    <w:rsid w:val="005F2E61"/>
    <w:rsid w:val="005F5ABF"/>
    <w:rsid w:val="006027E9"/>
    <w:rsid w:val="00604967"/>
    <w:rsid w:val="00606455"/>
    <w:rsid w:val="006159D4"/>
    <w:rsid w:val="006209B9"/>
    <w:rsid w:val="00621D6E"/>
    <w:rsid w:val="00622EB5"/>
    <w:rsid w:val="00625330"/>
    <w:rsid w:val="00627ED0"/>
    <w:rsid w:val="00637C8E"/>
    <w:rsid w:val="006409E8"/>
    <w:rsid w:val="00642898"/>
    <w:rsid w:val="006466B1"/>
    <w:rsid w:val="00647C13"/>
    <w:rsid w:val="00671E81"/>
    <w:rsid w:val="00672D1C"/>
    <w:rsid w:val="006756B4"/>
    <w:rsid w:val="00677131"/>
    <w:rsid w:val="00684146"/>
    <w:rsid w:val="006A2C2F"/>
    <w:rsid w:val="006A4669"/>
    <w:rsid w:val="006A5297"/>
    <w:rsid w:val="006C0E75"/>
    <w:rsid w:val="006D3023"/>
    <w:rsid w:val="006D54AD"/>
    <w:rsid w:val="006D5D64"/>
    <w:rsid w:val="006E0208"/>
    <w:rsid w:val="006F2967"/>
    <w:rsid w:val="00701C58"/>
    <w:rsid w:val="00721725"/>
    <w:rsid w:val="007243D4"/>
    <w:rsid w:val="00727FB7"/>
    <w:rsid w:val="00742F8F"/>
    <w:rsid w:val="00747082"/>
    <w:rsid w:val="00766C4D"/>
    <w:rsid w:val="00767FDE"/>
    <w:rsid w:val="00772242"/>
    <w:rsid w:val="00776D68"/>
    <w:rsid w:val="00790455"/>
    <w:rsid w:val="007943D0"/>
    <w:rsid w:val="007A7587"/>
    <w:rsid w:val="007A7E55"/>
    <w:rsid w:val="007B6287"/>
    <w:rsid w:val="007C4EDA"/>
    <w:rsid w:val="007E6710"/>
    <w:rsid w:val="007F53E5"/>
    <w:rsid w:val="00800CDD"/>
    <w:rsid w:val="008016F6"/>
    <w:rsid w:val="00810492"/>
    <w:rsid w:val="008236A6"/>
    <w:rsid w:val="00824351"/>
    <w:rsid w:val="00834811"/>
    <w:rsid w:val="008353A5"/>
    <w:rsid w:val="008457B4"/>
    <w:rsid w:val="00852DA3"/>
    <w:rsid w:val="00854166"/>
    <w:rsid w:val="008617B1"/>
    <w:rsid w:val="00861DD3"/>
    <w:rsid w:val="00862F1E"/>
    <w:rsid w:val="00864E42"/>
    <w:rsid w:val="00866BF3"/>
    <w:rsid w:val="00870FAD"/>
    <w:rsid w:val="00881F45"/>
    <w:rsid w:val="00885703"/>
    <w:rsid w:val="008878BE"/>
    <w:rsid w:val="0089089A"/>
    <w:rsid w:val="00897B44"/>
    <w:rsid w:val="008A38AE"/>
    <w:rsid w:val="008A5AFF"/>
    <w:rsid w:val="008A6D4E"/>
    <w:rsid w:val="008B5C6B"/>
    <w:rsid w:val="008B6336"/>
    <w:rsid w:val="008B6CB8"/>
    <w:rsid w:val="008C1120"/>
    <w:rsid w:val="008C267F"/>
    <w:rsid w:val="008D2E29"/>
    <w:rsid w:val="008D3E0C"/>
    <w:rsid w:val="008D69BF"/>
    <w:rsid w:val="008F346F"/>
    <w:rsid w:val="008F66A1"/>
    <w:rsid w:val="00902090"/>
    <w:rsid w:val="009146A0"/>
    <w:rsid w:val="00924B1C"/>
    <w:rsid w:val="00926221"/>
    <w:rsid w:val="00931525"/>
    <w:rsid w:val="00935E0F"/>
    <w:rsid w:val="00937125"/>
    <w:rsid w:val="00940269"/>
    <w:rsid w:val="00957E3E"/>
    <w:rsid w:val="00962944"/>
    <w:rsid w:val="009644F4"/>
    <w:rsid w:val="0097413C"/>
    <w:rsid w:val="0097518D"/>
    <w:rsid w:val="009778B5"/>
    <w:rsid w:val="009B4972"/>
    <w:rsid w:val="009B7C7F"/>
    <w:rsid w:val="009C5C48"/>
    <w:rsid w:val="009D60FE"/>
    <w:rsid w:val="009E03CC"/>
    <w:rsid w:val="009E0B78"/>
    <w:rsid w:val="009E4B4E"/>
    <w:rsid w:val="009E640D"/>
    <w:rsid w:val="009F0987"/>
    <w:rsid w:val="009F4886"/>
    <w:rsid w:val="00A0095C"/>
    <w:rsid w:val="00A23B42"/>
    <w:rsid w:val="00A34B37"/>
    <w:rsid w:val="00A36E34"/>
    <w:rsid w:val="00A471F0"/>
    <w:rsid w:val="00A57FA7"/>
    <w:rsid w:val="00A632D6"/>
    <w:rsid w:val="00A707E2"/>
    <w:rsid w:val="00A72EE7"/>
    <w:rsid w:val="00A80AD7"/>
    <w:rsid w:val="00A8369C"/>
    <w:rsid w:val="00AA43F6"/>
    <w:rsid w:val="00AA6FC4"/>
    <w:rsid w:val="00AB2662"/>
    <w:rsid w:val="00AB66FC"/>
    <w:rsid w:val="00AC02D3"/>
    <w:rsid w:val="00AC0766"/>
    <w:rsid w:val="00AC0813"/>
    <w:rsid w:val="00AC16FD"/>
    <w:rsid w:val="00AD2876"/>
    <w:rsid w:val="00AD7E46"/>
    <w:rsid w:val="00AF24D7"/>
    <w:rsid w:val="00B00CDB"/>
    <w:rsid w:val="00B02103"/>
    <w:rsid w:val="00B0449D"/>
    <w:rsid w:val="00B0769C"/>
    <w:rsid w:val="00B13CAF"/>
    <w:rsid w:val="00B22934"/>
    <w:rsid w:val="00B22D6F"/>
    <w:rsid w:val="00B368D0"/>
    <w:rsid w:val="00B3729C"/>
    <w:rsid w:val="00B42640"/>
    <w:rsid w:val="00B55B80"/>
    <w:rsid w:val="00B55C2D"/>
    <w:rsid w:val="00B60BA3"/>
    <w:rsid w:val="00B71F6A"/>
    <w:rsid w:val="00B73483"/>
    <w:rsid w:val="00B73490"/>
    <w:rsid w:val="00B74907"/>
    <w:rsid w:val="00B765FE"/>
    <w:rsid w:val="00B76A4E"/>
    <w:rsid w:val="00B774D9"/>
    <w:rsid w:val="00B8091C"/>
    <w:rsid w:val="00B8326A"/>
    <w:rsid w:val="00B83ED2"/>
    <w:rsid w:val="00B850FD"/>
    <w:rsid w:val="00B863ED"/>
    <w:rsid w:val="00B900AC"/>
    <w:rsid w:val="00B91457"/>
    <w:rsid w:val="00B92425"/>
    <w:rsid w:val="00B95A19"/>
    <w:rsid w:val="00B97936"/>
    <w:rsid w:val="00BB016A"/>
    <w:rsid w:val="00BB1F5B"/>
    <w:rsid w:val="00BB2789"/>
    <w:rsid w:val="00BB3EF7"/>
    <w:rsid w:val="00BB603E"/>
    <w:rsid w:val="00BE3548"/>
    <w:rsid w:val="00BE43C0"/>
    <w:rsid w:val="00C0646E"/>
    <w:rsid w:val="00C14FFC"/>
    <w:rsid w:val="00C162DC"/>
    <w:rsid w:val="00C21BFD"/>
    <w:rsid w:val="00C22C75"/>
    <w:rsid w:val="00C331BE"/>
    <w:rsid w:val="00C36618"/>
    <w:rsid w:val="00C534AF"/>
    <w:rsid w:val="00C57A39"/>
    <w:rsid w:val="00C627D7"/>
    <w:rsid w:val="00C62B74"/>
    <w:rsid w:val="00C77A33"/>
    <w:rsid w:val="00CA698E"/>
    <w:rsid w:val="00CB10F5"/>
    <w:rsid w:val="00CB73ED"/>
    <w:rsid w:val="00CC2C54"/>
    <w:rsid w:val="00CC4C9B"/>
    <w:rsid w:val="00CC5F75"/>
    <w:rsid w:val="00CC7DB1"/>
    <w:rsid w:val="00CD3FA5"/>
    <w:rsid w:val="00CD43A6"/>
    <w:rsid w:val="00CD64C5"/>
    <w:rsid w:val="00CE3CB8"/>
    <w:rsid w:val="00CF23FE"/>
    <w:rsid w:val="00D11978"/>
    <w:rsid w:val="00D159A3"/>
    <w:rsid w:val="00D30AFF"/>
    <w:rsid w:val="00D353B5"/>
    <w:rsid w:val="00D41594"/>
    <w:rsid w:val="00D615EE"/>
    <w:rsid w:val="00D75190"/>
    <w:rsid w:val="00D7612C"/>
    <w:rsid w:val="00D84779"/>
    <w:rsid w:val="00D95DD0"/>
    <w:rsid w:val="00DA2EFE"/>
    <w:rsid w:val="00DA3EC5"/>
    <w:rsid w:val="00DB0A72"/>
    <w:rsid w:val="00DB58DD"/>
    <w:rsid w:val="00DB7AB2"/>
    <w:rsid w:val="00DC2439"/>
    <w:rsid w:val="00DC4AB5"/>
    <w:rsid w:val="00DD3F0B"/>
    <w:rsid w:val="00DE5511"/>
    <w:rsid w:val="00DE5927"/>
    <w:rsid w:val="00DF0152"/>
    <w:rsid w:val="00DF28C4"/>
    <w:rsid w:val="00DF37A3"/>
    <w:rsid w:val="00DF3959"/>
    <w:rsid w:val="00DF7FC2"/>
    <w:rsid w:val="00E0170F"/>
    <w:rsid w:val="00E0173E"/>
    <w:rsid w:val="00E01B57"/>
    <w:rsid w:val="00E12178"/>
    <w:rsid w:val="00E12760"/>
    <w:rsid w:val="00E46EDE"/>
    <w:rsid w:val="00E840D1"/>
    <w:rsid w:val="00E848B5"/>
    <w:rsid w:val="00E938F5"/>
    <w:rsid w:val="00EA27B6"/>
    <w:rsid w:val="00EB0559"/>
    <w:rsid w:val="00EB07E8"/>
    <w:rsid w:val="00EB2C51"/>
    <w:rsid w:val="00EC4E70"/>
    <w:rsid w:val="00EC7CE9"/>
    <w:rsid w:val="00ED0A7B"/>
    <w:rsid w:val="00ED4357"/>
    <w:rsid w:val="00ED7DAD"/>
    <w:rsid w:val="00EE401D"/>
    <w:rsid w:val="00EF13EC"/>
    <w:rsid w:val="00EF57B6"/>
    <w:rsid w:val="00F00899"/>
    <w:rsid w:val="00F02C1B"/>
    <w:rsid w:val="00F07F3B"/>
    <w:rsid w:val="00F13CB0"/>
    <w:rsid w:val="00F170BC"/>
    <w:rsid w:val="00F32638"/>
    <w:rsid w:val="00F3735A"/>
    <w:rsid w:val="00F43D24"/>
    <w:rsid w:val="00F45292"/>
    <w:rsid w:val="00F45672"/>
    <w:rsid w:val="00F47876"/>
    <w:rsid w:val="00F5115F"/>
    <w:rsid w:val="00F5341D"/>
    <w:rsid w:val="00F5541F"/>
    <w:rsid w:val="00F62E15"/>
    <w:rsid w:val="00F65377"/>
    <w:rsid w:val="00F7637D"/>
    <w:rsid w:val="00F91885"/>
    <w:rsid w:val="00F96599"/>
    <w:rsid w:val="00F97DCF"/>
    <w:rsid w:val="00FB256C"/>
    <w:rsid w:val="00FB3B3D"/>
    <w:rsid w:val="00FB5C5C"/>
    <w:rsid w:val="00FB720C"/>
    <w:rsid w:val="00FB75B2"/>
    <w:rsid w:val="00FC6041"/>
    <w:rsid w:val="00FC7992"/>
    <w:rsid w:val="00FD20AD"/>
    <w:rsid w:val="00FE2215"/>
    <w:rsid w:val="00FF087C"/>
    <w:rsid w:val="00FF35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0B220"/>
  <w15:docId w15:val="{DA6415CA-0175-1B4F-BA9A-E79D2AA4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7ED0"/>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ED0"/>
  </w:style>
  <w:style w:type="paragraph" w:styleId="FootnoteText">
    <w:name w:val="footnote text"/>
    <w:basedOn w:val="Normal"/>
    <w:link w:val="FootnoteTextChar"/>
    <w:uiPriority w:val="99"/>
    <w:unhideWhenUsed/>
    <w:rsid w:val="00627ED0"/>
    <w:pPr>
      <w:spacing w:after="0" w:line="240" w:lineRule="auto"/>
    </w:pPr>
    <w:rPr>
      <w:sz w:val="24"/>
      <w:szCs w:val="24"/>
    </w:rPr>
  </w:style>
  <w:style w:type="character" w:customStyle="1" w:styleId="FootnoteTextChar">
    <w:name w:val="Footnote Text Char"/>
    <w:basedOn w:val="DefaultParagraphFont"/>
    <w:link w:val="FootnoteText"/>
    <w:uiPriority w:val="99"/>
    <w:rsid w:val="00627ED0"/>
    <w:rPr>
      <w:rFonts w:eastAsiaTheme="minorHAnsi"/>
    </w:rPr>
  </w:style>
  <w:style w:type="character" w:styleId="FootnoteReference">
    <w:name w:val="footnote reference"/>
    <w:basedOn w:val="DefaultParagraphFont"/>
    <w:uiPriority w:val="99"/>
    <w:unhideWhenUsed/>
    <w:rsid w:val="00627ED0"/>
    <w:rPr>
      <w:vertAlign w:val="superscript"/>
    </w:rPr>
  </w:style>
  <w:style w:type="paragraph" w:styleId="NormalWeb">
    <w:name w:val="Normal (Web)"/>
    <w:basedOn w:val="Normal"/>
    <w:uiPriority w:val="99"/>
    <w:rsid w:val="005D0B68"/>
    <w:rPr>
      <w:rFonts w:ascii="Times New Roman" w:hAnsi="Times New Roman"/>
      <w:sz w:val="24"/>
      <w:szCs w:val="24"/>
    </w:rPr>
  </w:style>
  <w:style w:type="paragraph" w:styleId="BalloonText">
    <w:name w:val="Balloon Text"/>
    <w:basedOn w:val="Normal"/>
    <w:link w:val="BalloonTextChar"/>
    <w:rsid w:val="00B60B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B60BA3"/>
    <w:rPr>
      <w:rFonts w:ascii="Lucida Grande" w:eastAsiaTheme="minorHAnsi" w:hAnsi="Lucida Grande" w:cs="Lucida Grande"/>
      <w:sz w:val="18"/>
      <w:szCs w:val="18"/>
    </w:rPr>
  </w:style>
  <w:style w:type="character" w:styleId="CommentReference">
    <w:name w:val="annotation reference"/>
    <w:basedOn w:val="DefaultParagraphFont"/>
    <w:rsid w:val="00B60BA3"/>
    <w:rPr>
      <w:sz w:val="18"/>
      <w:szCs w:val="18"/>
    </w:rPr>
  </w:style>
  <w:style w:type="paragraph" w:styleId="CommentText">
    <w:name w:val="annotation text"/>
    <w:basedOn w:val="Normal"/>
    <w:link w:val="CommentTextChar"/>
    <w:rsid w:val="00B60BA3"/>
    <w:pPr>
      <w:spacing w:line="240" w:lineRule="auto"/>
    </w:pPr>
    <w:rPr>
      <w:sz w:val="24"/>
      <w:szCs w:val="24"/>
    </w:rPr>
  </w:style>
  <w:style w:type="character" w:customStyle="1" w:styleId="CommentTextChar">
    <w:name w:val="Comment Text Char"/>
    <w:basedOn w:val="DefaultParagraphFont"/>
    <w:link w:val="CommentText"/>
    <w:rsid w:val="00B60BA3"/>
    <w:rPr>
      <w:rFonts w:eastAsiaTheme="minorHAnsi"/>
    </w:rPr>
  </w:style>
  <w:style w:type="paragraph" w:styleId="CommentSubject">
    <w:name w:val="annotation subject"/>
    <w:basedOn w:val="CommentText"/>
    <w:next w:val="CommentText"/>
    <w:link w:val="CommentSubjectChar"/>
    <w:rsid w:val="00B60BA3"/>
    <w:rPr>
      <w:b/>
      <w:bCs/>
      <w:sz w:val="20"/>
      <w:szCs w:val="20"/>
    </w:rPr>
  </w:style>
  <w:style w:type="character" w:customStyle="1" w:styleId="CommentSubjectChar">
    <w:name w:val="Comment Subject Char"/>
    <w:basedOn w:val="CommentTextChar"/>
    <w:link w:val="CommentSubject"/>
    <w:rsid w:val="00B60BA3"/>
    <w:rPr>
      <w:rFonts w:eastAsiaTheme="minorHAnsi"/>
      <w:b/>
      <w:bCs/>
      <w:sz w:val="20"/>
      <w:szCs w:val="20"/>
    </w:rPr>
  </w:style>
  <w:style w:type="table" w:styleId="TableGrid">
    <w:name w:val="Table Grid"/>
    <w:basedOn w:val="TableNormal"/>
    <w:rsid w:val="00D76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C4C5B"/>
    <w:pPr>
      <w:tabs>
        <w:tab w:val="center" w:pos="4320"/>
        <w:tab w:val="right" w:pos="8640"/>
      </w:tabs>
      <w:spacing w:after="0" w:line="240" w:lineRule="auto"/>
    </w:pPr>
  </w:style>
  <w:style w:type="character" w:customStyle="1" w:styleId="HeaderChar">
    <w:name w:val="Header Char"/>
    <w:basedOn w:val="DefaultParagraphFont"/>
    <w:link w:val="Header"/>
    <w:rsid w:val="004C4C5B"/>
    <w:rPr>
      <w:rFonts w:eastAsiaTheme="minorHAnsi"/>
      <w:sz w:val="22"/>
      <w:szCs w:val="22"/>
    </w:rPr>
  </w:style>
  <w:style w:type="paragraph" w:styleId="Footer">
    <w:name w:val="footer"/>
    <w:basedOn w:val="Normal"/>
    <w:link w:val="FooterChar"/>
    <w:rsid w:val="004C4C5B"/>
    <w:pPr>
      <w:tabs>
        <w:tab w:val="center" w:pos="4320"/>
        <w:tab w:val="right" w:pos="8640"/>
      </w:tabs>
      <w:spacing w:after="0" w:line="240" w:lineRule="auto"/>
    </w:pPr>
  </w:style>
  <w:style w:type="character" w:customStyle="1" w:styleId="FooterChar">
    <w:name w:val="Footer Char"/>
    <w:basedOn w:val="DefaultParagraphFont"/>
    <w:link w:val="Footer"/>
    <w:rsid w:val="004C4C5B"/>
    <w:rPr>
      <w:rFonts w:eastAsiaTheme="minorHAnsi"/>
      <w:sz w:val="22"/>
      <w:szCs w:val="22"/>
    </w:rPr>
  </w:style>
  <w:style w:type="paragraph" w:styleId="Revision">
    <w:name w:val="Revision"/>
    <w:hidden/>
    <w:rsid w:val="005D481D"/>
    <w:rPr>
      <w:rFonts w:eastAsiaTheme="minorHAnsi"/>
      <w:sz w:val="22"/>
      <w:szCs w:val="22"/>
    </w:rPr>
  </w:style>
  <w:style w:type="paragraph" w:styleId="EndnoteText">
    <w:name w:val="endnote text"/>
    <w:basedOn w:val="Normal"/>
    <w:link w:val="EndnoteTextChar"/>
    <w:rsid w:val="00130ADB"/>
    <w:pPr>
      <w:spacing w:after="0" w:line="240" w:lineRule="auto"/>
    </w:pPr>
    <w:rPr>
      <w:sz w:val="24"/>
      <w:szCs w:val="24"/>
    </w:rPr>
  </w:style>
  <w:style w:type="character" w:customStyle="1" w:styleId="EndnoteTextChar">
    <w:name w:val="Endnote Text Char"/>
    <w:basedOn w:val="DefaultParagraphFont"/>
    <w:link w:val="EndnoteText"/>
    <w:rsid w:val="00130ADB"/>
    <w:rPr>
      <w:rFonts w:eastAsiaTheme="minorHAnsi"/>
    </w:rPr>
  </w:style>
  <w:style w:type="character" w:styleId="EndnoteReference">
    <w:name w:val="endnote reference"/>
    <w:basedOn w:val="DefaultParagraphFont"/>
    <w:rsid w:val="00130ADB"/>
    <w:rPr>
      <w:vertAlign w:val="superscript"/>
    </w:rPr>
  </w:style>
  <w:style w:type="character" w:styleId="PageNumber">
    <w:name w:val="page number"/>
    <w:basedOn w:val="DefaultParagraphFont"/>
    <w:semiHidden/>
    <w:unhideWhenUsed/>
    <w:rsid w:val="00460BAB"/>
  </w:style>
  <w:style w:type="character" w:styleId="Hyperlink">
    <w:name w:val="Hyperlink"/>
    <w:basedOn w:val="DefaultParagraphFont"/>
    <w:uiPriority w:val="99"/>
    <w:unhideWhenUsed/>
    <w:rsid w:val="00D41594"/>
    <w:rPr>
      <w:color w:val="0000FF"/>
      <w:u w:val="single"/>
    </w:rPr>
  </w:style>
  <w:style w:type="character" w:customStyle="1" w:styleId="m5185335995738171105source">
    <w:name w:val="m_5185335995738171105source"/>
    <w:basedOn w:val="DefaultParagraphFont"/>
    <w:rsid w:val="00D41594"/>
  </w:style>
  <w:style w:type="character" w:styleId="FollowedHyperlink">
    <w:name w:val="FollowedHyperlink"/>
    <w:basedOn w:val="DefaultParagraphFont"/>
    <w:semiHidden/>
    <w:unhideWhenUsed/>
    <w:rsid w:val="00552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591">
      <w:bodyDiv w:val="1"/>
      <w:marLeft w:val="0"/>
      <w:marRight w:val="0"/>
      <w:marTop w:val="0"/>
      <w:marBottom w:val="0"/>
      <w:divBdr>
        <w:top w:val="none" w:sz="0" w:space="0" w:color="auto"/>
        <w:left w:val="none" w:sz="0" w:space="0" w:color="auto"/>
        <w:bottom w:val="none" w:sz="0" w:space="0" w:color="auto"/>
        <w:right w:val="none" w:sz="0" w:space="0" w:color="auto"/>
      </w:divBdr>
    </w:div>
    <w:div w:id="14157005">
      <w:bodyDiv w:val="1"/>
      <w:marLeft w:val="0"/>
      <w:marRight w:val="0"/>
      <w:marTop w:val="0"/>
      <w:marBottom w:val="0"/>
      <w:divBdr>
        <w:top w:val="none" w:sz="0" w:space="0" w:color="auto"/>
        <w:left w:val="none" w:sz="0" w:space="0" w:color="auto"/>
        <w:bottom w:val="none" w:sz="0" w:space="0" w:color="auto"/>
        <w:right w:val="none" w:sz="0" w:space="0" w:color="auto"/>
      </w:divBdr>
      <w:divsChild>
        <w:div w:id="1745179310">
          <w:marLeft w:val="0"/>
          <w:marRight w:val="0"/>
          <w:marTop w:val="0"/>
          <w:marBottom w:val="0"/>
          <w:divBdr>
            <w:top w:val="none" w:sz="0" w:space="0" w:color="auto"/>
            <w:left w:val="none" w:sz="0" w:space="0" w:color="auto"/>
            <w:bottom w:val="none" w:sz="0" w:space="0" w:color="auto"/>
            <w:right w:val="none" w:sz="0" w:space="0" w:color="auto"/>
          </w:divBdr>
          <w:divsChild>
            <w:div w:id="1549294975">
              <w:marLeft w:val="0"/>
              <w:marRight w:val="0"/>
              <w:marTop w:val="0"/>
              <w:marBottom w:val="0"/>
              <w:divBdr>
                <w:top w:val="none" w:sz="0" w:space="0" w:color="auto"/>
                <w:left w:val="none" w:sz="0" w:space="0" w:color="auto"/>
                <w:bottom w:val="none" w:sz="0" w:space="0" w:color="auto"/>
                <w:right w:val="none" w:sz="0" w:space="0" w:color="auto"/>
              </w:divBdr>
              <w:divsChild>
                <w:div w:id="1083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5616">
      <w:bodyDiv w:val="1"/>
      <w:marLeft w:val="0"/>
      <w:marRight w:val="0"/>
      <w:marTop w:val="0"/>
      <w:marBottom w:val="0"/>
      <w:divBdr>
        <w:top w:val="none" w:sz="0" w:space="0" w:color="auto"/>
        <w:left w:val="none" w:sz="0" w:space="0" w:color="auto"/>
        <w:bottom w:val="none" w:sz="0" w:space="0" w:color="auto"/>
        <w:right w:val="none" w:sz="0" w:space="0" w:color="auto"/>
      </w:divBdr>
      <w:divsChild>
        <w:div w:id="1867212013">
          <w:marLeft w:val="0"/>
          <w:marRight w:val="0"/>
          <w:marTop w:val="0"/>
          <w:marBottom w:val="0"/>
          <w:divBdr>
            <w:top w:val="none" w:sz="0" w:space="0" w:color="auto"/>
            <w:left w:val="none" w:sz="0" w:space="0" w:color="auto"/>
            <w:bottom w:val="none" w:sz="0" w:space="0" w:color="auto"/>
            <w:right w:val="none" w:sz="0" w:space="0" w:color="auto"/>
          </w:divBdr>
          <w:divsChild>
            <w:div w:id="117920973">
              <w:marLeft w:val="0"/>
              <w:marRight w:val="0"/>
              <w:marTop w:val="0"/>
              <w:marBottom w:val="0"/>
              <w:divBdr>
                <w:top w:val="none" w:sz="0" w:space="0" w:color="auto"/>
                <w:left w:val="none" w:sz="0" w:space="0" w:color="auto"/>
                <w:bottom w:val="none" w:sz="0" w:space="0" w:color="auto"/>
                <w:right w:val="none" w:sz="0" w:space="0" w:color="auto"/>
              </w:divBdr>
              <w:divsChild>
                <w:div w:id="1772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082">
      <w:bodyDiv w:val="1"/>
      <w:marLeft w:val="0"/>
      <w:marRight w:val="0"/>
      <w:marTop w:val="0"/>
      <w:marBottom w:val="0"/>
      <w:divBdr>
        <w:top w:val="none" w:sz="0" w:space="0" w:color="auto"/>
        <w:left w:val="none" w:sz="0" w:space="0" w:color="auto"/>
        <w:bottom w:val="none" w:sz="0" w:space="0" w:color="auto"/>
        <w:right w:val="none" w:sz="0" w:space="0" w:color="auto"/>
      </w:divBdr>
    </w:div>
    <w:div w:id="110976668">
      <w:bodyDiv w:val="1"/>
      <w:marLeft w:val="0"/>
      <w:marRight w:val="0"/>
      <w:marTop w:val="0"/>
      <w:marBottom w:val="0"/>
      <w:divBdr>
        <w:top w:val="none" w:sz="0" w:space="0" w:color="auto"/>
        <w:left w:val="none" w:sz="0" w:space="0" w:color="auto"/>
        <w:bottom w:val="none" w:sz="0" w:space="0" w:color="auto"/>
        <w:right w:val="none" w:sz="0" w:space="0" w:color="auto"/>
      </w:divBdr>
    </w:div>
    <w:div w:id="120653157">
      <w:bodyDiv w:val="1"/>
      <w:marLeft w:val="0"/>
      <w:marRight w:val="0"/>
      <w:marTop w:val="0"/>
      <w:marBottom w:val="0"/>
      <w:divBdr>
        <w:top w:val="none" w:sz="0" w:space="0" w:color="auto"/>
        <w:left w:val="none" w:sz="0" w:space="0" w:color="auto"/>
        <w:bottom w:val="none" w:sz="0" w:space="0" w:color="auto"/>
        <w:right w:val="none" w:sz="0" w:space="0" w:color="auto"/>
      </w:divBdr>
      <w:divsChild>
        <w:div w:id="1327904969">
          <w:marLeft w:val="0"/>
          <w:marRight w:val="0"/>
          <w:marTop w:val="0"/>
          <w:marBottom w:val="0"/>
          <w:divBdr>
            <w:top w:val="none" w:sz="0" w:space="0" w:color="auto"/>
            <w:left w:val="none" w:sz="0" w:space="0" w:color="auto"/>
            <w:bottom w:val="none" w:sz="0" w:space="0" w:color="auto"/>
            <w:right w:val="none" w:sz="0" w:space="0" w:color="auto"/>
          </w:divBdr>
          <w:divsChild>
            <w:div w:id="917133020">
              <w:marLeft w:val="0"/>
              <w:marRight w:val="0"/>
              <w:marTop w:val="0"/>
              <w:marBottom w:val="0"/>
              <w:divBdr>
                <w:top w:val="none" w:sz="0" w:space="0" w:color="auto"/>
                <w:left w:val="none" w:sz="0" w:space="0" w:color="auto"/>
                <w:bottom w:val="none" w:sz="0" w:space="0" w:color="auto"/>
                <w:right w:val="none" w:sz="0" w:space="0" w:color="auto"/>
              </w:divBdr>
              <w:divsChild>
                <w:div w:id="1319385960">
                  <w:marLeft w:val="0"/>
                  <w:marRight w:val="0"/>
                  <w:marTop w:val="0"/>
                  <w:marBottom w:val="0"/>
                  <w:divBdr>
                    <w:top w:val="none" w:sz="0" w:space="0" w:color="auto"/>
                    <w:left w:val="none" w:sz="0" w:space="0" w:color="auto"/>
                    <w:bottom w:val="none" w:sz="0" w:space="0" w:color="auto"/>
                    <w:right w:val="none" w:sz="0" w:space="0" w:color="auto"/>
                  </w:divBdr>
                  <w:divsChild>
                    <w:div w:id="327094727">
                      <w:marLeft w:val="0"/>
                      <w:marRight w:val="0"/>
                      <w:marTop w:val="0"/>
                      <w:marBottom w:val="0"/>
                      <w:divBdr>
                        <w:top w:val="none" w:sz="0" w:space="0" w:color="auto"/>
                        <w:left w:val="none" w:sz="0" w:space="0" w:color="auto"/>
                        <w:bottom w:val="none" w:sz="0" w:space="0" w:color="auto"/>
                        <w:right w:val="none" w:sz="0" w:space="0" w:color="auto"/>
                      </w:divBdr>
                    </w:div>
                    <w:div w:id="495654078">
                      <w:marLeft w:val="0"/>
                      <w:marRight w:val="0"/>
                      <w:marTop w:val="0"/>
                      <w:marBottom w:val="0"/>
                      <w:divBdr>
                        <w:top w:val="none" w:sz="0" w:space="0" w:color="auto"/>
                        <w:left w:val="none" w:sz="0" w:space="0" w:color="auto"/>
                        <w:bottom w:val="none" w:sz="0" w:space="0" w:color="auto"/>
                        <w:right w:val="none" w:sz="0" w:space="0" w:color="auto"/>
                      </w:divBdr>
                    </w:div>
                  </w:divsChild>
                </w:div>
                <w:div w:id="1382170342">
                  <w:marLeft w:val="0"/>
                  <w:marRight w:val="0"/>
                  <w:marTop w:val="0"/>
                  <w:marBottom w:val="0"/>
                  <w:divBdr>
                    <w:top w:val="none" w:sz="0" w:space="0" w:color="auto"/>
                    <w:left w:val="none" w:sz="0" w:space="0" w:color="auto"/>
                    <w:bottom w:val="none" w:sz="0" w:space="0" w:color="auto"/>
                    <w:right w:val="none" w:sz="0" w:space="0" w:color="auto"/>
                  </w:divBdr>
                  <w:divsChild>
                    <w:div w:id="647980311">
                      <w:marLeft w:val="0"/>
                      <w:marRight w:val="0"/>
                      <w:marTop w:val="0"/>
                      <w:marBottom w:val="0"/>
                      <w:divBdr>
                        <w:top w:val="none" w:sz="0" w:space="0" w:color="auto"/>
                        <w:left w:val="none" w:sz="0" w:space="0" w:color="auto"/>
                        <w:bottom w:val="none" w:sz="0" w:space="0" w:color="auto"/>
                        <w:right w:val="none" w:sz="0" w:space="0" w:color="auto"/>
                      </w:divBdr>
                    </w:div>
                  </w:divsChild>
                </w:div>
                <w:div w:id="440498122">
                  <w:marLeft w:val="0"/>
                  <w:marRight w:val="0"/>
                  <w:marTop w:val="0"/>
                  <w:marBottom w:val="0"/>
                  <w:divBdr>
                    <w:top w:val="none" w:sz="0" w:space="0" w:color="auto"/>
                    <w:left w:val="none" w:sz="0" w:space="0" w:color="auto"/>
                    <w:bottom w:val="none" w:sz="0" w:space="0" w:color="auto"/>
                    <w:right w:val="none" w:sz="0" w:space="0" w:color="auto"/>
                  </w:divBdr>
                  <w:divsChild>
                    <w:div w:id="5557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5549">
      <w:bodyDiv w:val="1"/>
      <w:marLeft w:val="0"/>
      <w:marRight w:val="0"/>
      <w:marTop w:val="0"/>
      <w:marBottom w:val="0"/>
      <w:divBdr>
        <w:top w:val="none" w:sz="0" w:space="0" w:color="auto"/>
        <w:left w:val="none" w:sz="0" w:space="0" w:color="auto"/>
        <w:bottom w:val="none" w:sz="0" w:space="0" w:color="auto"/>
        <w:right w:val="none" w:sz="0" w:space="0" w:color="auto"/>
      </w:divBdr>
      <w:divsChild>
        <w:div w:id="555632091">
          <w:marLeft w:val="0"/>
          <w:marRight w:val="0"/>
          <w:marTop w:val="0"/>
          <w:marBottom w:val="0"/>
          <w:divBdr>
            <w:top w:val="none" w:sz="0" w:space="0" w:color="auto"/>
            <w:left w:val="none" w:sz="0" w:space="0" w:color="auto"/>
            <w:bottom w:val="none" w:sz="0" w:space="0" w:color="auto"/>
            <w:right w:val="none" w:sz="0" w:space="0" w:color="auto"/>
          </w:divBdr>
          <w:divsChild>
            <w:div w:id="1445076201">
              <w:marLeft w:val="0"/>
              <w:marRight w:val="0"/>
              <w:marTop w:val="0"/>
              <w:marBottom w:val="0"/>
              <w:divBdr>
                <w:top w:val="none" w:sz="0" w:space="0" w:color="auto"/>
                <w:left w:val="none" w:sz="0" w:space="0" w:color="auto"/>
                <w:bottom w:val="none" w:sz="0" w:space="0" w:color="auto"/>
                <w:right w:val="none" w:sz="0" w:space="0" w:color="auto"/>
              </w:divBdr>
              <w:divsChild>
                <w:div w:id="18573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2340">
      <w:bodyDiv w:val="1"/>
      <w:marLeft w:val="0"/>
      <w:marRight w:val="0"/>
      <w:marTop w:val="0"/>
      <w:marBottom w:val="0"/>
      <w:divBdr>
        <w:top w:val="none" w:sz="0" w:space="0" w:color="auto"/>
        <w:left w:val="none" w:sz="0" w:space="0" w:color="auto"/>
        <w:bottom w:val="none" w:sz="0" w:space="0" w:color="auto"/>
        <w:right w:val="none" w:sz="0" w:space="0" w:color="auto"/>
      </w:divBdr>
    </w:div>
    <w:div w:id="233702147">
      <w:bodyDiv w:val="1"/>
      <w:marLeft w:val="0"/>
      <w:marRight w:val="0"/>
      <w:marTop w:val="0"/>
      <w:marBottom w:val="0"/>
      <w:divBdr>
        <w:top w:val="none" w:sz="0" w:space="0" w:color="auto"/>
        <w:left w:val="none" w:sz="0" w:space="0" w:color="auto"/>
        <w:bottom w:val="none" w:sz="0" w:space="0" w:color="auto"/>
        <w:right w:val="none" w:sz="0" w:space="0" w:color="auto"/>
      </w:divBdr>
    </w:div>
    <w:div w:id="248271451">
      <w:bodyDiv w:val="1"/>
      <w:marLeft w:val="0"/>
      <w:marRight w:val="0"/>
      <w:marTop w:val="0"/>
      <w:marBottom w:val="0"/>
      <w:divBdr>
        <w:top w:val="none" w:sz="0" w:space="0" w:color="auto"/>
        <w:left w:val="none" w:sz="0" w:space="0" w:color="auto"/>
        <w:bottom w:val="none" w:sz="0" w:space="0" w:color="auto"/>
        <w:right w:val="none" w:sz="0" w:space="0" w:color="auto"/>
      </w:divBdr>
    </w:div>
    <w:div w:id="258027600">
      <w:bodyDiv w:val="1"/>
      <w:marLeft w:val="0"/>
      <w:marRight w:val="0"/>
      <w:marTop w:val="0"/>
      <w:marBottom w:val="0"/>
      <w:divBdr>
        <w:top w:val="none" w:sz="0" w:space="0" w:color="auto"/>
        <w:left w:val="none" w:sz="0" w:space="0" w:color="auto"/>
        <w:bottom w:val="none" w:sz="0" w:space="0" w:color="auto"/>
        <w:right w:val="none" w:sz="0" w:space="0" w:color="auto"/>
      </w:divBdr>
      <w:divsChild>
        <w:div w:id="229966979">
          <w:marLeft w:val="0"/>
          <w:marRight w:val="0"/>
          <w:marTop w:val="0"/>
          <w:marBottom w:val="0"/>
          <w:divBdr>
            <w:top w:val="none" w:sz="0" w:space="0" w:color="auto"/>
            <w:left w:val="none" w:sz="0" w:space="0" w:color="auto"/>
            <w:bottom w:val="none" w:sz="0" w:space="0" w:color="auto"/>
            <w:right w:val="none" w:sz="0" w:space="0" w:color="auto"/>
          </w:divBdr>
          <w:divsChild>
            <w:div w:id="282543603">
              <w:marLeft w:val="0"/>
              <w:marRight w:val="0"/>
              <w:marTop w:val="0"/>
              <w:marBottom w:val="0"/>
              <w:divBdr>
                <w:top w:val="none" w:sz="0" w:space="0" w:color="auto"/>
                <w:left w:val="none" w:sz="0" w:space="0" w:color="auto"/>
                <w:bottom w:val="none" w:sz="0" w:space="0" w:color="auto"/>
                <w:right w:val="none" w:sz="0" w:space="0" w:color="auto"/>
              </w:divBdr>
              <w:divsChild>
                <w:div w:id="880172532">
                  <w:marLeft w:val="0"/>
                  <w:marRight w:val="0"/>
                  <w:marTop w:val="0"/>
                  <w:marBottom w:val="0"/>
                  <w:divBdr>
                    <w:top w:val="none" w:sz="0" w:space="0" w:color="auto"/>
                    <w:left w:val="none" w:sz="0" w:space="0" w:color="auto"/>
                    <w:bottom w:val="none" w:sz="0" w:space="0" w:color="auto"/>
                    <w:right w:val="none" w:sz="0" w:space="0" w:color="auto"/>
                  </w:divBdr>
                  <w:divsChild>
                    <w:div w:id="2078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6948">
      <w:bodyDiv w:val="1"/>
      <w:marLeft w:val="0"/>
      <w:marRight w:val="0"/>
      <w:marTop w:val="0"/>
      <w:marBottom w:val="0"/>
      <w:divBdr>
        <w:top w:val="none" w:sz="0" w:space="0" w:color="auto"/>
        <w:left w:val="none" w:sz="0" w:space="0" w:color="auto"/>
        <w:bottom w:val="none" w:sz="0" w:space="0" w:color="auto"/>
        <w:right w:val="none" w:sz="0" w:space="0" w:color="auto"/>
      </w:divBdr>
      <w:divsChild>
        <w:div w:id="200172361">
          <w:marLeft w:val="0"/>
          <w:marRight w:val="0"/>
          <w:marTop w:val="0"/>
          <w:marBottom w:val="0"/>
          <w:divBdr>
            <w:top w:val="none" w:sz="0" w:space="0" w:color="auto"/>
            <w:left w:val="none" w:sz="0" w:space="0" w:color="auto"/>
            <w:bottom w:val="none" w:sz="0" w:space="0" w:color="auto"/>
            <w:right w:val="none" w:sz="0" w:space="0" w:color="auto"/>
          </w:divBdr>
          <w:divsChild>
            <w:div w:id="119153700">
              <w:marLeft w:val="0"/>
              <w:marRight w:val="0"/>
              <w:marTop w:val="0"/>
              <w:marBottom w:val="0"/>
              <w:divBdr>
                <w:top w:val="none" w:sz="0" w:space="0" w:color="auto"/>
                <w:left w:val="none" w:sz="0" w:space="0" w:color="auto"/>
                <w:bottom w:val="none" w:sz="0" w:space="0" w:color="auto"/>
                <w:right w:val="none" w:sz="0" w:space="0" w:color="auto"/>
              </w:divBdr>
              <w:divsChild>
                <w:div w:id="5797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8554">
      <w:bodyDiv w:val="1"/>
      <w:marLeft w:val="0"/>
      <w:marRight w:val="0"/>
      <w:marTop w:val="0"/>
      <w:marBottom w:val="0"/>
      <w:divBdr>
        <w:top w:val="none" w:sz="0" w:space="0" w:color="auto"/>
        <w:left w:val="none" w:sz="0" w:space="0" w:color="auto"/>
        <w:bottom w:val="none" w:sz="0" w:space="0" w:color="auto"/>
        <w:right w:val="none" w:sz="0" w:space="0" w:color="auto"/>
      </w:divBdr>
      <w:divsChild>
        <w:div w:id="563107359">
          <w:marLeft w:val="0"/>
          <w:marRight w:val="0"/>
          <w:marTop w:val="0"/>
          <w:marBottom w:val="0"/>
          <w:divBdr>
            <w:top w:val="none" w:sz="0" w:space="0" w:color="auto"/>
            <w:left w:val="none" w:sz="0" w:space="0" w:color="auto"/>
            <w:bottom w:val="none" w:sz="0" w:space="0" w:color="auto"/>
            <w:right w:val="none" w:sz="0" w:space="0" w:color="auto"/>
          </w:divBdr>
          <w:divsChild>
            <w:div w:id="1435902966">
              <w:marLeft w:val="0"/>
              <w:marRight w:val="0"/>
              <w:marTop w:val="0"/>
              <w:marBottom w:val="0"/>
              <w:divBdr>
                <w:top w:val="none" w:sz="0" w:space="0" w:color="auto"/>
                <w:left w:val="none" w:sz="0" w:space="0" w:color="auto"/>
                <w:bottom w:val="none" w:sz="0" w:space="0" w:color="auto"/>
                <w:right w:val="none" w:sz="0" w:space="0" w:color="auto"/>
              </w:divBdr>
              <w:divsChild>
                <w:div w:id="37976718">
                  <w:marLeft w:val="0"/>
                  <w:marRight w:val="0"/>
                  <w:marTop w:val="0"/>
                  <w:marBottom w:val="0"/>
                  <w:divBdr>
                    <w:top w:val="none" w:sz="0" w:space="0" w:color="auto"/>
                    <w:left w:val="none" w:sz="0" w:space="0" w:color="auto"/>
                    <w:bottom w:val="none" w:sz="0" w:space="0" w:color="auto"/>
                    <w:right w:val="none" w:sz="0" w:space="0" w:color="auto"/>
                  </w:divBdr>
                  <w:divsChild>
                    <w:div w:id="16403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3198">
      <w:bodyDiv w:val="1"/>
      <w:marLeft w:val="0"/>
      <w:marRight w:val="0"/>
      <w:marTop w:val="0"/>
      <w:marBottom w:val="0"/>
      <w:divBdr>
        <w:top w:val="none" w:sz="0" w:space="0" w:color="auto"/>
        <w:left w:val="none" w:sz="0" w:space="0" w:color="auto"/>
        <w:bottom w:val="none" w:sz="0" w:space="0" w:color="auto"/>
        <w:right w:val="none" w:sz="0" w:space="0" w:color="auto"/>
      </w:divBdr>
    </w:div>
    <w:div w:id="280383801">
      <w:bodyDiv w:val="1"/>
      <w:marLeft w:val="0"/>
      <w:marRight w:val="0"/>
      <w:marTop w:val="0"/>
      <w:marBottom w:val="0"/>
      <w:divBdr>
        <w:top w:val="none" w:sz="0" w:space="0" w:color="auto"/>
        <w:left w:val="none" w:sz="0" w:space="0" w:color="auto"/>
        <w:bottom w:val="none" w:sz="0" w:space="0" w:color="auto"/>
        <w:right w:val="none" w:sz="0" w:space="0" w:color="auto"/>
      </w:divBdr>
      <w:divsChild>
        <w:div w:id="2079748511">
          <w:marLeft w:val="0"/>
          <w:marRight w:val="0"/>
          <w:marTop w:val="0"/>
          <w:marBottom w:val="0"/>
          <w:divBdr>
            <w:top w:val="none" w:sz="0" w:space="0" w:color="auto"/>
            <w:left w:val="none" w:sz="0" w:space="0" w:color="auto"/>
            <w:bottom w:val="none" w:sz="0" w:space="0" w:color="auto"/>
            <w:right w:val="none" w:sz="0" w:space="0" w:color="auto"/>
          </w:divBdr>
          <w:divsChild>
            <w:div w:id="1342898549">
              <w:marLeft w:val="0"/>
              <w:marRight w:val="0"/>
              <w:marTop w:val="0"/>
              <w:marBottom w:val="0"/>
              <w:divBdr>
                <w:top w:val="none" w:sz="0" w:space="0" w:color="auto"/>
                <w:left w:val="none" w:sz="0" w:space="0" w:color="auto"/>
                <w:bottom w:val="none" w:sz="0" w:space="0" w:color="auto"/>
                <w:right w:val="none" w:sz="0" w:space="0" w:color="auto"/>
              </w:divBdr>
              <w:divsChild>
                <w:div w:id="1086152683">
                  <w:marLeft w:val="0"/>
                  <w:marRight w:val="0"/>
                  <w:marTop w:val="0"/>
                  <w:marBottom w:val="0"/>
                  <w:divBdr>
                    <w:top w:val="none" w:sz="0" w:space="0" w:color="auto"/>
                    <w:left w:val="none" w:sz="0" w:space="0" w:color="auto"/>
                    <w:bottom w:val="none" w:sz="0" w:space="0" w:color="auto"/>
                    <w:right w:val="none" w:sz="0" w:space="0" w:color="auto"/>
                  </w:divBdr>
                  <w:divsChild>
                    <w:div w:id="9260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34640">
      <w:bodyDiv w:val="1"/>
      <w:marLeft w:val="0"/>
      <w:marRight w:val="0"/>
      <w:marTop w:val="0"/>
      <w:marBottom w:val="0"/>
      <w:divBdr>
        <w:top w:val="none" w:sz="0" w:space="0" w:color="auto"/>
        <w:left w:val="none" w:sz="0" w:space="0" w:color="auto"/>
        <w:bottom w:val="none" w:sz="0" w:space="0" w:color="auto"/>
        <w:right w:val="none" w:sz="0" w:space="0" w:color="auto"/>
      </w:divBdr>
      <w:divsChild>
        <w:div w:id="1490632842">
          <w:marLeft w:val="0"/>
          <w:marRight w:val="0"/>
          <w:marTop w:val="0"/>
          <w:marBottom w:val="0"/>
          <w:divBdr>
            <w:top w:val="none" w:sz="0" w:space="0" w:color="auto"/>
            <w:left w:val="none" w:sz="0" w:space="0" w:color="auto"/>
            <w:bottom w:val="none" w:sz="0" w:space="0" w:color="auto"/>
            <w:right w:val="none" w:sz="0" w:space="0" w:color="auto"/>
          </w:divBdr>
          <w:divsChild>
            <w:div w:id="649552285">
              <w:marLeft w:val="0"/>
              <w:marRight w:val="0"/>
              <w:marTop w:val="0"/>
              <w:marBottom w:val="0"/>
              <w:divBdr>
                <w:top w:val="none" w:sz="0" w:space="0" w:color="auto"/>
                <w:left w:val="none" w:sz="0" w:space="0" w:color="auto"/>
                <w:bottom w:val="none" w:sz="0" w:space="0" w:color="auto"/>
                <w:right w:val="none" w:sz="0" w:space="0" w:color="auto"/>
              </w:divBdr>
              <w:divsChild>
                <w:div w:id="644968917">
                  <w:marLeft w:val="0"/>
                  <w:marRight w:val="0"/>
                  <w:marTop w:val="0"/>
                  <w:marBottom w:val="0"/>
                  <w:divBdr>
                    <w:top w:val="none" w:sz="0" w:space="0" w:color="auto"/>
                    <w:left w:val="none" w:sz="0" w:space="0" w:color="auto"/>
                    <w:bottom w:val="none" w:sz="0" w:space="0" w:color="auto"/>
                    <w:right w:val="none" w:sz="0" w:space="0" w:color="auto"/>
                  </w:divBdr>
                  <w:divsChild>
                    <w:div w:id="2013991158">
                      <w:marLeft w:val="0"/>
                      <w:marRight w:val="0"/>
                      <w:marTop w:val="0"/>
                      <w:marBottom w:val="0"/>
                      <w:divBdr>
                        <w:top w:val="none" w:sz="0" w:space="0" w:color="auto"/>
                        <w:left w:val="none" w:sz="0" w:space="0" w:color="auto"/>
                        <w:bottom w:val="none" w:sz="0" w:space="0" w:color="auto"/>
                        <w:right w:val="none" w:sz="0" w:space="0" w:color="auto"/>
                      </w:divBdr>
                    </w:div>
                    <w:div w:id="1229653410">
                      <w:marLeft w:val="0"/>
                      <w:marRight w:val="0"/>
                      <w:marTop w:val="0"/>
                      <w:marBottom w:val="0"/>
                      <w:divBdr>
                        <w:top w:val="none" w:sz="0" w:space="0" w:color="auto"/>
                        <w:left w:val="none" w:sz="0" w:space="0" w:color="auto"/>
                        <w:bottom w:val="none" w:sz="0" w:space="0" w:color="auto"/>
                        <w:right w:val="none" w:sz="0" w:space="0" w:color="auto"/>
                      </w:divBdr>
                    </w:div>
                  </w:divsChild>
                </w:div>
                <w:div w:id="1927223833">
                  <w:marLeft w:val="0"/>
                  <w:marRight w:val="0"/>
                  <w:marTop w:val="0"/>
                  <w:marBottom w:val="0"/>
                  <w:divBdr>
                    <w:top w:val="none" w:sz="0" w:space="0" w:color="auto"/>
                    <w:left w:val="none" w:sz="0" w:space="0" w:color="auto"/>
                    <w:bottom w:val="none" w:sz="0" w:space="0" w:color="auto"/>
                    <w:right w:val="none" w:sz="0" w:space="0" w:color="auto"/>
                  </w:divBdr>
                  <w:divsChild>
                    <w:div w:id="731545261">
                      <w:marLeft w:val="0"/>
                      <w:marRight w:val="0"/>
                      <w:marTop w:val="0"/>
                      <w:marBottom w:val="0"/>
                      <w:divBdr>
                        <w:top w:val="none" w:sz="0" w:space="0" w:color="auto"/>
                        <w:left w:val="none" w:sz="0" w:space="0" w:color="auto"/>
                        <w:bottom w:val="none" w:sz="0" w:space="0" w:color="auto"/>
                        <w:right w:val="none" w:sz="0" w:space="0" w:color="auto"/>
                      </w:divBdr>
                    </w:div>
                  </w:divsChild>
                </w:div>
                <w:div w:id="1862664333">
                  <w:marLeft w:val="0"/>
                  <w:marRight w:val="0"/>
                  <w:marTop w:val="0"/>
                  <w:marBottom w:val="0"/>
                  <w:divBdr>
                    <w:top w:val="none" w:sz="0" w:space="0" w:color="auto"/>
                    <w:left w:val="none" w:sz="0" w:space="0" w:color="auto"/>
                    <w:bottom w:val="none" w:sz="0" w:space="0" w:color="auto"/>
                    <w:right w:val="none" w:sz="0" w:space="0" w:color="auto"/>
                  </w:divBdr>
                  <w:divsChild>
                    <w:div w:id="82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4393">
      <w:bodyDiv w:val="1"/>
      <w:marLeft w:val="0"/>
      <w:marRight w:val="0"/>
      <w:marTop w:val="0"/>
      <w:marBottom w:val="0"/>
      <w:divBdr>
        <w:top w:val="none" w:sz="0" w:space="0" w:color="auto"/>
        <w:left w:val="none" w:sz="0" w:space="0" w:color="auto"/>
        <w:bottom w:val="none" w:sz="0" w:space="0" w:color="auto"/>
        <w:right w:val="none" w:sz="0" w:space="0" w:color="auto"/>
      </w:divBdr>
    </w:div>
    <w:div w:id="543105131">
      <w:bodyDiv w:val="1"/>
      <w:marLeft w:val="0"/>
      <w:marRight w:val="0"/>
      <w:marTop w:val="0"/>
      <w:marBottom w:val="0"/>
      <w:divBdr>
        <w:top w:val="none" w:sz="0" w:space="0" w:color="auto"/>
        <w:left w:val="none" w:sz="0" w:space="0" w:color="auto"/>
        <w:bottom w:val="none" w:sz="0" w:space="0" w:color="auto"/>
        <w:right w:val="none" w:sz="0" w:space="0" w:color="auto"/>
      </w:divBdr>
    </w:div>
    <w:div w:id="583683391">
      <w:bodyDiv w:val="1"/>
      <w:marLeft w:val="0"/>
      <w:marRight w:val="0"/>
      <w:marTop w:val="0"/>
      <w:marBottom w:val="0"/>
      <w:divBdr>
        <w:top w:val="none" w:sz="0" w:space="0" w:color="auto"/>
        <w:left w:val="none" w:sz="0" w:space="0" w:color="auto"/>
        <w:bottom w:val="none" w:sz="0" w:space="0" w:color="auto"/>
        <w:right w:val="none" w:sz="0" w:space="0" w:color="auto"/>
      </w:divBdr>
      <w:divsChild>
        <w:div w:id="1603682303">
          <w:marLeft w:val="0"/>
          <w:marRight w:val="0"/>
          <w:marTop w:val="0"/>
          <w:marBottom w:val="0"/>
          <w:divBdr>
            <w:top w:val="none" w:sz="0" w:space="0" w:color="auto"/>
            <w:left w:val="none" w:sz="0" w:space="0" w:color="auto"/>
            <w:bottom w:val="none" w:sz="0" w:space="0" w:color="auto"/>
            <w:right w:val="none" w:sz="0" w:space="0" w:color="auto"/>
          </w:divBdr>
          <w:divsChild>
            <w:div w:id="1491557061">
              <w:marLeft w:val="0"/>
              <w:marRight w:val="0"/>
              <w:marTop w:val="0"/>
              <w:marBottom w:val="0"/>
              <w:divBdr>
                <w:top w:val="none" w:sz="0" w:space="0" w:color="auto"/>
                <w:left w:val="none" w:sz="0" w:space="0" w:color="auto"/>
                <w:bottom w:val="none" w:sz="0" w:space="0" w:color="auto"/>
                <w:right w:val="none" w:sz="0" w:space="0" w:color="auto"/>
              </w:divBdr>
              <w:divsChild>
                <w:div w:id="1491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7492">
      <w:bodyDiv w:val="1"/>
      <w:marLeft w:val="0"/>
      <w:marRight w:val="0"/>
      <w:marTop w:val="0"/>
      <w:marBottom w:val="0"/>
      <w:divBdr>
        <w:top w:val="none" w:sz="0" w:space="0" w:color="auto"/>
        <w:left w:val="none" w:sz="0" w:space="0" w:color="auto"/>
        <w:bottom w:val="none" w:sz="0" w:space="0" w:color="auto"/>
        <w:right w:val="none" w:sz="0" w:space="0" w:color="auto"/>
      </w:divBdr>
      <w:divsChild>
        <w:div w:id="1766148169">
          <w:marLeft w:val="0"/>
          <w:marRight w:val="0"/>
          <w:marTop w:val="0"/>
          <w:marBottom w:val="0"/>
          <w:divBdr>
            <w:top w:val="none" w:sz="0" w:space="0" w:color="auto"/>
            <w:left w:val="none" w:sz="0" w:space="0" w:color="auto"/>
            <w:bottom w:val="none" w:sz="0" w:space="0" w:color="auto"/>
            <w:right w:val="none" w:sz="0" w:space="0" w:color="auto"/>
          </w:divBdr>
          <w:divsChild>
            <w:div w:id="1748962811">
              <w:marLeft w:val="0"/>
              <w:marRight w:val="0"/>
              <w:marTop w:val="0"/>
              <w:marBottom w:val="0"/>
              <w:divBdr>
                <w:top w:val="none" w:sz="0" w:space="0" w:color="auto"/>
                <w:left w:val="none" w:sz="0" w:space="0" w:color="auto"/>
                <w:bottom w:val="none" w:sz="0" w:space="0" w:color="auto"/>
                <w:right w:val="none" w:sz="0" w:space="0" w:color="auto"/>
              </w:divBdr>
              <w:divsChild>
                <w:div w:id="1383405892">
                  <w:marLeft w:val="0"/>
                  <w:marRight w:val="0"/>
                  <w:marTop w:val="0"/>
                  <w:marBottom w:val="0"/>
                  <w:divBdr>
                    <w:top w:val="none" w:sz="0" w:space="0" w:color="auto"/>
                    <w:left w:val="none" w:sz="0" w:space="0" w:color="auto"/>
                    <w:bottom w:val="none" w:sz="0" w:space="0" w:color="auto"/>
                    <w:right w:val="none" w:sz="0" w:space="0" w:color="auto"/>
                  </w:divBdr>
                  <w:divsChild>
                    <w:div w:id="5287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12044">
      <w:bodyDiv w:val="1"/>
      <w:marLeft w:val="0"/>
      <w:marRight w:val="0"/>
      <w:marTop w:val="0"/>
      <w:marBottom w:val="0"/>
      <w:divBdr>
        <w:top w:val="none" w:sz="0" w:space="0" w:color="auto"/>
        <w:left w:val="none" w:sz="0" w:space="0" w:color="auto"/>
        <w:bottom w:val="none" w:sz="0" w:space="0" w:color="auto"/>
        <w:right w:val="none" w:sz="0" w:space="0" w:color="auto"/>
      </w:divBdr>
    </w:div>
    <w:div w:id="827672122">
      <w:bodyDiv w:val="1"/>
      <w:marLeft w:val="0"/>
      <w:marRight w:val="0"/>
      <w:marTop w:val="0"/>
      <w:marBottom w:val="0"/>
      <w:divBdr>
        <w:top w:val="none" w:sz="0" w:space="0" w:color="auto"/>
        <w:left w:val="none" w:sz="0" w:space="0" w:color="auto"/>
        <w:bottom w:val="none" w:sz="0" w:space="0" w:color="auto"/>
        <w:right w:val="none" w:sz="0" w:space="0" w:color="auto"/>
      </w:divBdr>
    </w:div>
    <w:div w:id="889801755">
      <w:bodyDiv w:val="1"/>
      <w:marLeft w:val="0"/>
      <w:marRight w:val="0"/>
      <w:marTop w:val="0"/>
      <w:marBottom w:val="0"/>
      <w:divBdr>
        <w:top w:val="none" w:sz="0" w:space="0" w:color="auto"/>
        <w:left w:val="none" w:sz="0" w:space="0" w:color="auto"/>
        <w:bottom w:val="none" w:sz="0" w:space="0" w:color="auto"/>
        <w:right w:val="none" w:sz="0" w:space="0" w:color="auto"/>
      </w:divBdr>
      <w:divsChild>
        <w:div w:id="882328242">
          <w:marLeft w:val="0"/>
          <w:marRight w:val="0"/>
          <w:marTop w:val="0"/>
          <w:marBottom w:val="0"/>
          <w:divBdr>
            <w:top w:val="none" w:sz="0" w:space="0" w:color="auto"/>
            <w:left w:val="none" w:sz="0" w:space="0" w:color="auto"/>
            <w:bottom w:val="none" w:sz="0" w:space="0" w:color="auto"/>
            <w:right w:val="none" w:sz="0" w:space="0" w:color="auto"/>
          </w:divBdr>
          <w:divsChild>
            <w:div w:id="755590079">
              <w:marLeft w:val="0"/>
              <w:marRight w:val="0"/>
              <w:marTop w:val="0"/>
              <w:marBottom w:val="0"/>
              <w:divBdr>
                <w:top w:val="none" w:sz="0" w:space="0" w:color="auto"/>
                <w:left w:val="none" w:sz="0" w:space="0" w:color="auto"/>
                <w:bottom w:val="none" w:sz="0" w:space="0" w:color="auto"/>
                <w:right w:val="none" w:sz="0" w:space="0" w:color="auto"/>
              </w:divBdr>
              <w:divsChild>
                <w:div w:id="1394817393">
                  <w:marLeft w:val="0"/>
                  <w:marRight w:val="0"/>
                  <w:marTop w:val="0"/>
                  <w:marBottom w:val="0"/>
                  <w:divBdr>
                    <w:top w:val="none" w:sz="0" w:space="0" w:color="auto"/>
                    <w:left w:val="none" w:sz="0" w:space="0" w:color="auto"/>
                    <w:bottom w:val="none" w:sz="0" w:space="0" w:color="auto"/>
                    <w:right w:val="none" w:sz="0" w:space="0" w:color="auto"/>
                  </w:divBdr>
                  <w:divsChild>
                    <w:div w:id="4510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0765">
      <w:bodyDiv w:val="1"/>
      <w:marLeft w:val="0"/>
      <w:marRight w:val="0"/>
      <w:marTop w:val="0"/>
      <w:marBottom w:val="0"/>
      <w:divBdr>
        <w:top w:val="none" w:sz="0" w:space="0" w:color="auto"/>
        <w:left w:val="none" w:sz="0" w:space="0" w:color="auto"/>
        <w:bottom w:val="none" w:sz="0" w:space="0" w:color="auto"/>
        <w:right w:val="none" w:sz="0" w:space="0" w:color="auto"/>
      </w:divBdr>
    </w:div>
    <w:div w:id="997075909">
      <w:bodyDiv w:val="1"/>
      <w:marLeft w:val="0"/>
      <w:marRight w:val="0"/>
      <w:marTop w:val="0"/>
      <w:marBottom w:val="0"/>
      <w:divBdr>
        <w:top w:val="none" w:sz="0" w:space="0" w:color="auto"/>
        <w:left w:val="none" w:sz="0" w:space="0" w:color="auto"/>
        <w:bottom w:val="none" w:sz="0" w:space="0" w:color="auto"/>
        <w:right w:val="none" w:sz="0" w:space="0" w:color="auto"/>
      </w:divBdr>
      <w:divsChild>
        <w:div w:id="1102339377">
          <w:marLeft w:val="0"/>
          <w:marRight w:val="0"/>
          <w:marTop w:val="0"/>
          <w:marBottom w:val="0"/>
          <w:divBdr>
            <w:top w:val="none" w:sz="0" w:space="0" w:color="auto"/>
            <w:left w:val="none" w:sz="0" w:space="0" w:color="auto"/>
            <w:bottom w:val="none" w:sz="0" w:space="0" w:color="auto"/>
            <w:right w:val="none" w:sz="0" w:space="0" w:color="auto"/>
          </w:divBdr>
          <w:divsChild>
            <w:div w:id="17124102">
              <w:marLeft w:val="0"/>
              <w:marRight w:val="0"/>
              <w:marTop w:val="0"/>
              <w:marBottom w:val="0"/>
              <w:divBdr>
                <w:top w:val="none" w:sz="0" w:space="0" w:color="auto"/>
                <w:left w:val="none" w:sz="0" w:space="0" w:color="auto"/>
                <w:bottom w:val="none" w:sz="0" w:space="0" w:color="auto"/>
                <w:right w:val="none" w:sz="0" w:space="0" w:color="auto"/>
              </w:divBdr>
              <w:divsChild>
                <w:div w:id="8871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5517">
      <w:bodyDiv w:val="1"/>
      <w:marLeft w:val="0"/>
      <w:marRight w:val="0"/>
      <w:marTop w:val="0"/>
      <w:marBottom w:val="0"/>
      <w:divBdr>
        <w:top w:val="none" w:sz="0" w:space="0" w:color="auto"/>
        <w:left w:val="none" w:sz="0" w:space="0" w:color="auto"/>
        <w:bottom w:val="none" w:sz="0" w:space="0" w:color="auto"/>
        <w:right w:val="none" w:sz="0" w:space="0" w:color="auto"/>
      </w:divBdr>
    </w:div>
    <w:div w:id="1070468697">
      <w:bodyDiv w:val="1"/>
      <w:marLeft w:val="0"/>
      <w:marRight w:val="0"/>
      <w:marTop w:val="0"/>
      <w:marBottom w:val="0"/>
      <w:divBdr>
        <w:top w:val="none" w:sz="0" w:space="0" w:color="auto"/>
        <w:left w:val="none" w:sz="0" w:space="0" w:color="auto"/>
        <w:bottom w:val="none" w:sz="0" w:space="0" w:color="auto"/>
        <w:right w:val="none" w:sz="0" w:space="0" w:color="auto"/>
      </w:divBdr>
    </w:div>
    <w:div w:id="1152063037">
      <w:bodyDiv w:val="1"/>
      <w:marLeft w:val="0"/>
      <w:marRight w:val="0"/>
      <w:marTop w:val="0"/>
      <w:marBottom w:val="0"/>
      <w:divBdr>
        <w:top w:val="none" w:sz="0" w:space="0" w:color="auto"/>
        <w:left w:val="none" w:sz="0" w:space="0" w:color="auto"/>
        <w:bottom w:val="none" w:sz="0" w:space="0" w:color="auto"/>
        <w:right w:val="none" w:sz="0" w:space="0" w:color="auto"/>
      </w:divBdr>
    </w:div>
    <w:div w:id="1167285509">
      <w:bodyDiv w:val="1"/>
      <w:marLeft w:val="0"/>
      <w:marRight w:val="0"/>
      <w:marTop w:val="0"/>
      <w:marBottom w:val="0"/>
      <w:divBdr>
        <w:top w:val="none" w:sz="0" w:space="0" w:color="auto"/>
        <w:left w:val="none" w:sz="0" w:space="0" w:color="auto"/>
        <w:bottom w:val="none" w:sz="0" w:space="0" w:color="auto"/>
        <w:right w:val="none" w:sz="0" w:space="0" w:color="auto"/>
      </w:divBdr>
      <w:divsChild>
        <w:div w:id="629434550">
          <w:marLeft w:val="0"/>
          <w:marRight w:val="0"/>
          <w:marTop w:val="0"/>
          <w:marBottom w:val="0"/>
          <w:divBdr>
            <w:top w:val="none" w:sz="0" w:space="0" w:color="auto"/>
            <w:left w:val="none" w:sz="0" w:space="0" w:color="auto"/>
            <w:bottom w:val="none" w:sz="0" w:space="0" w:color="auto"/>
            <w:right w:val="none" w:sz="0" w:space="0" w:color="auto"/>
          </w:divBdr>
          <w:divsChild>
            <w:div w:id="320157544">
              <w:marLeft w:val="0"/>
              <w:marRight w:val="0"/>
              <w:marTop w:val="0"/>
              <w:marBottom w:val="0"/>
              <w:divBdr>
                <w:top w:val="none" w:sz="0" w:space="0" w:color="auto"/>
                <w:left w:val="none" w:sz="0" w:space="0" w:color="auto"/>
                <w:bottom w:val="none" w:sz="0" w:space="0" w:color="auto"/>
                <w:right w:val="none" w:sz="0" w:space="0" w:color="auto"/>
              </w:divBdr>
              <w:divsChild>
                <w:div w:id="674309527">
                  <w:marLeft w:val="0"/>
                  <w:marRight w:val="0"/>
                  <w:marTop w:val="0"/>
                  <w:marBottom w:val="0"/>
                  <w:divBdr>
                    <w:top w:val="none" w:sz="0" w:space="0" w:color="auto"/>
                    <w:left w:val="none" w:sz="0" w:space="0" w:color="auto"/>
                    <w:bottom w:val="none" w:sz="0" w:space="0" w:color="auto"/>
                    <w:right w:val="none" w:sz="0" w:space="0" w:color="auto"/>
                  </w:divBdr>
                  <w:divsChild>
                    <w:div w:id="745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2914">
      <w:bodyDiv w:val="1"/>
      <w:marLeft w:val="0"/>
      <w:marRight w:val="0"/>
      <w:marTop w:val="0"/>
      <w:marBottom w:val="0"/>
      <w:divBdr>
        <w:top w:val="none" w:sz="0" w:space="0" w:color="auto"/>
        <w:left w:val="none" w:sz="0" w:space="0" w:color="auto"/>
        <w:bottom w:val="none" w:sz="0" w:space="0" w:color="auto"/>
        <w:right w:val="none" w:sz="0" w:space="0" w:color="auto"/>
      </w:divBdr>
    </w:div>
    <w:div w:id="1192256687">
      <w:bodyDiv w:val="1"/>
      <w:marLeft w:val="0"/>
      <w:marRight w:val="0"/>
      <w:marTop w:val="0"/>
      <w:marBottom w:val="0"/>
      <w:divBdr>
        <w:top w:val="none" w:sz="0" w:space="0" w:color="auto"/>
        <w:left w:val="none" w:sz="0" w:space="0" w:color="auto"/>
        <w:bottom w:val="none" w:sz="0" w:space="0" w:color="auto"/>
        <w:right w:val="none" w:sz="0" w:space="0" w:color="auto"/>
      </w:divBdr>
      <w:divsChild>
        <w:div w:id="1696034308">
          <w:marLeft w:val="0"/>
          <w:marRight w:val="0"/>
          <w:marTop w:val="0"/>
          <w:marBottom w:val="0"/>
          <w:divBdr>
            <w:top w:val="none" w:sz="0" w:space="0" w:color="auto"/>
            <w:left w:val="none" w:sz="0" w:space="0" w:color="auto"/>
            <w:bottom w:val="none" w:sz="0" w:space="0" w:color="auto"/>
            <w:right w:val="none" w:sz="0" w:space="0" w:color="auto"/>
          </w:divBdr>
          <w:divsChild>
            <w:div w:id="423847472">
              <w:marLeft w:val="0"/>
              <w:marRight w:val="0"/>
              <w:marTop w:val="0"/>
              <w:marBottom w:val="0"/>
              <w:divBdr>
                <w:top w:val="none" w:sz="0" w:space="0" w:color="auto"/>
                <w:left w:val="none" w:sz="0" w:space="0" w:color="auto"/>
                <w:bottom w:val="none" w:sz="0" w:space="0" w:color="auto"/>
                <w:right w:val="none" w:sz="0" w:space="0" w:color="auto"/>
              </w:divBdr>
              <w:divsChild>
                <w:div w:id="12173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31876">
      <w:bodyDiv w:val="1"/>
      <w:marLeft w:val="0"/>
      <w:marRight w:val="0"/>
      <w:marTop w:val="0"/>
      <w:marBottom w:val="0"/>
      <w:divBdr>
        <w:top w:val="none" w:sz="0" w:space="0" w:color="auto"/>
        <w:left w:val="none" w:sz="0" w:space="0" w:color="auto"/>
        <w:bottom w:val="none" w:sz="0" w:space="0" w:color="auto"/>
        <w:right w:val="none" w:sz="0" w:space="0" w:color="auto"/>
      </w:divBdr>
      <w:divsChild>
        <w:div w:id="1954247770">
          <w:marLeft w:val="0"/>
          <w:marRight w:val="0"/>
          <w:marTop w:val="0"/>
          <w:marBottom w:val="0"/>
          <w:divBdr>
            <w:top w:val="none" w:sz="0" w:space="0" w:color="auto"/>
            <w:left w:val="none" w:sz="0" w:space="0" w:color="auto"/>
            <w:bottom w:val="none" w:sz="0" w:space="0" w:color="auto"/>
            <w:right w:val="none" w:sz="0" w:space="0" w:color="auto"/>
          </w:divBdr>
          <w:divsChild>
            <w:div w:id="547643558">
              <w:marLeft w:val="0"/>
              <w:marRight w:val="0"/>
              <w:marTop w:val="0"/>
              <w:marBottom w:val="0"/>
              <w:divBdr>
                <w:top w:val="none" w:sz="0" w:space="0" w:color="auto"/>
                <w:left w:val="none" w:sz="0" w:space="0" w:color="auto"/>
                <w:bottom w:val="none" w:sz="0" w:space="0" w:color="auto"/>
                <w:right w:val="none" w:sz="0" w:space="0" w:color="auto"/>
              </w:divBdr>
              <w:divsChild>
                <w:div w:id="761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5402">
      <w:bodyDiv w:val="1"/>
      <w:marLeft w:val="0"/>
      <w:marRight w:val="0"/>
      <w:marTop w:val="0"/>
      <w:marBottom w:val="0"/>
      <w:divBdr>
        <w:top w:val="none" w:sz="0" w:space="0" w:color="auto"/>
        <w:left w:val="none" w:sz="0" w:space="0" w:color="auto"/>
        <w:bottom w:val="none" w:sz="0" w:space="0" w:color="auto"/>
        <w:right w:val="none" w:sz="0" w:space="0" w:color="auto"/>
      </w:divBdr>
      <w:divsChild>
        <w:div w:id="892428053">
          <w:marLeft w:val="0"/>
          <w:marRight w:val="0"/>
          <w:marTop w:val="0"/>
          <w:marBottom w:val="0"/>
          <w:divBdr>
            <w:top w:val="none" w:sz="0" w:space="0" w:color="auto"/>
            <w:left w:val="none" w:sz="0" w:space="0" w:color="auto"/>
            <w:bottom w:val="none" w:sz="0" w:space="0" w:color="auto"/>
            <w:right w:val="none" w:sz="0" w:space="0" w:color="auto"/>
          </w:divBdr>
          <w:divsChild>
            <w:div w:id="598878776">
              <w:marLeft w:val="0"/>
              <w:marRight w:val="0"/>
              <w:marTop w:val="0"/>
              <w:marBottom w:val="0"/>
              <w:divBdr>
                <w:top w:val="none" w:sz="0" w:space="0" w:color="auto"/>
                <w:left w:val="none" w:sz="0" w:space="0" w:color="auto"/>
                <w:bottom w:val="none" w:sz="0" w:space="0" w:color="auto"/>
                <w:right w:val="none" w:sz="0" w:space="0" w:color="auto"/>
              </w:divBdr>
              <w:divsChild>
                <w:div w:id="1432050689">
                  <w:marLeft w:val="0"/>
                  <w:marRight w:val="0"/>
                  <w:marTop w:val="0"/>
                  <w:marBottom w:val="0"/>
                  <w:divBdr>
                    <w:top w:val="none" w:sz="0" w:space="0" w:color="auto"/>
                    <w:left w:val="none" w:sz="0" w:space="0" w:color="auto"/>
                    <w:bottom w:val="none" w:sz="0" w:space="0" w:color="auto"/>
                    <w:right w:val="none" w:sz="0" w:space="0" w:color="auto"/>
                  </w:divBdr>
                  <w:divsChild>
                    <w:div w:id="19915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107">
      <w:bodyDiv w:val="1"/>
      <w:marLeft w:val="0"/>
      <w:marRight w:val="0"/>
      <w:marTop w:val="0"/>
      <w:marBottom w:val="0"/>
      <w:divBdr>
        <w:top w:val="none" w:sz="0" w:space="0" w:color="auto"/>
        <w:left w:val="none" w:sz="0" w:space="0" w:color="auto"/>
        <w:bottom w:val="none" w:sz="0" w:space="0" w:color="auto"/>
        <w:right w:val="none" w:sz="0" w:space="0" w:color="auto"/>
      </w:divBdr>
    </w:div>
    <w:div w:id="1303387623">
      <w:bodyDiv w:val="1"/>
      <w:marLeft w:val="0"/>
      <w:marRight w:val="0"/>
      <w:marTop w:val="0"/>
      <w:marBottom w:val="0"/>
      <w:divBdr>
        <w:top w:val="none" w:sz="0" w:space="0" w:color="auto"/>
        <w:left w:val="none" w:sz="0" w:space="0" w:color="auto"/>
        <w:bottom w:val="none" w:sz="0" w:space="0" w:color="auto"/>
        <w:right w:val="none" w:sz="0" w:space="0" w:color="auto"/>
      </w:divBdr>
    </w:div>
    <w:div w:id="1374117360">
      <w:bodyDiv w:val="1"/>
      <w:marLeft w:val="0"/>
      <w:marRight w:val="0"/>
      <w:marTop w:val="0"/>
      <w:marBottom w:val="0"/>
      <w:divBdr>
        <w:top w:val="none" w:sz="0" w:space="0" w:color="auto"/>
        <w:left w:val="none" w:sz="0" w:space="0" w:color="auto"/>
        <w:bottom w:val="none" w:sz="0" w:space="0" w:color="auto"/>
        <w:right w:val="none" w:sz="0" w:space="0" w:color="auto"/>
      </w:divBdr>
      <w:divsChild>
        <w:div w:id="1619411111">
          <w:marLeft w:val="0"/>
          <w:marRight w:val="0"/>
          <w:marTop w:val="0"/>
          <w:marBottom w:val="0"/>
          <w:divBdr>
            <w:top w:val="none" w:sz="0" w:space="0" w:color="auto"/>
            <w:left w:val="none" w:sz="0" w:space="0" w:color="auto"/>
            <w:bottom w:val="none" w:sz="0" w:space="0" w:color="auto"/>
            <w:right w:val="none" w:sz="0" w:space="0" w:color="auto"/>
          </w:divBdr>
          <w:divsChild>
            <w:div w:id="901795117">
              <w:marLeft w:val="0"/>
              <w:marRight w:val="0"/>
              <w:marTop w:val="0"/>
              <w:marBottom w:val="0"/>
              <w:divBdr>
                <w:top w:val="none" w:sz="0" w:space="0" w:color="auto"/>
                <w:left w:val="none" w:sz="0" w:space="0" w:color="auto"/>
                <w:bottom w:val="none" w:sz="0" w:space="0" w:color="auto"/>
                <w:right w:val="none" w:sz="0" w:space="0" w:color="auto"/>
              </w:divBdr>
              <w:divsChild>
                <w:div w:id="12206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1673">
      <w:bodyDiv w:val="1"/>
      <w:marLeft w:val="0"/>
      <w:marRight w:val="0"/>
      <w:marTop w:val="0"/>
      <w:marBottom w:val="0"/>
      <w:divBdr>
        <w:top w:val="none" w:sz="0" w:space="0" w:color="auto"/>
        <w:left w:val="none" w:sz="0" w:space="0" w:color="auto"/>
        <w:bottom w:val="none" w:sz="0" w:space="0" w:color="auto"/>
        <w:right w:val="none" w:sz="0" w:space="0" w:color="auto"/>
      </w:divBdr>
      <w:divsChild>
        <w:div w:id="1622766072">
          <w:marLeft w:val="0"/>
          <w:marRight w:val="0"/>
          <w:marTop w:val="0"/>
          <w:marBottom w:val="0"/>
          <w:divBdr>
            <w:top w:val="none" w:sz="0" w:space="0" w:color="auto"/>
            <w:left w:val="none" w:sz="0" w:space="0" w:color="auto"/>
            <w:bottom w:val="none" w:sz="0" w:space="0" w:color="auto"/>
            <w:right w:val="none" w:sz="0" w:space="0" w:color="auto"/>
          </w:divBdr>
          <w:divsChild>
            <w:div w:id="673725490">
              <w:marLeft w:val="0"/>
              <w:marRight w:val="0"/>
              <w:marTop w:val="0"/>
              <w:marBottom w:val="0"/>
              <w:divBdr>
                <w:top w:val="none" w:sz="0" w:space="0" w:color="auto"/>
                <w:left w:val="none" w:sz="0" w:space="0" w:color="auto"/>
                <w:bottom w:val="none" w:sz="0" w:space="0" w:color="auto"/>
                <w:right w:val="none" w:sz="0" w:space="0" w:color="auto"/>
              </w:divBdr>
              <w:divsChild>
                <w:div w:id="1146898221">
                  <w:marLeft w:val="0"/>
                  <w:marRight w:val="0"/>
                  <w:marTop w:val="0"/>
                  <w:marBottom w:val="0"/>
                  <w:divBdr>
                    <w:top w:val="none" w:sz="0" w:space="0" w:color="auto"/>
                    <w:left w:val="none" w:sz="0" w:space="0" w:color="auto"/>
                    <w:bottom w:val="none" w:sz="0" w:space="0" w:color="auto"/>
                    <w:right w:val="none" w:sz="0" w:space="0" w:color="auto"/>
                  </w:divBdr>
                  <w:divsChild>
                    <w:div w:id="14960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9968">
      <w:bodyDiv w:val="1"/>
      <w:marLeft w:val="0"/>
      <w:marRight w:val="0"/>
      <w:marTop w:val="0"/>
      <w:marBottom w:val="0"/>
      <w:divBdr>
        <w:top w:val="none" w:sz="0" w:space="0" w:color="auto"/>
        <w:left w:val="none" w:sz="0" w:space="0" w:color="auto"/>
        <w:bottom w:val="none" w:sz="0" w:space="0" w:color="auto"/>
        <w:right w:val="none" w:sz="0" w:space="0" w:color="auto"/>
      </w:divBdr>
    </w:div>
    <w:div w:id="1640068530">
      <w:bodyDiv w:val="1"/>
      <w:marLeft w:val="0"/>
      <w:marRight w:val="0"/>
      <w:marTop w:val="0"/>
      <w:marBottom w:val="0"/>
      <w:divBdr>
        <w:top w:val="none" w:sz="0" w:space="0" w:color="auto"/>
        <w:left w:val="none" w:sz="0" w:space="0" w:color="auto"/>
        <w:bottom w:val="none" w:sz="0" w:space="0" w:color="auto"/>
        <w:right w:val="none" w:sz="0" w:space="0" w:color="auto"/>
      </w:divBdr>
      <w:divsChild>
        <w:div w:id="1252934580">
          <w:marLeft w:val="0"/>
          <w:marRight w:val="0"/>
          <w:marTop w:val="0"/>
          <w:marBottom w:val="0"/>
          <w:divBdr>
            <w:top w:val="none" w:sz="0" w:space="0" w:color="auto"/>
            <w:left w:val="none" w:sz="0" w:space="0" w:color="auto"/>
            <w:bottom w:val="none" w:sz="0" w:space="0" w:color="auto"/>
            <w:right w:val="none" w:sz="0" w:space="0" w:color="auto"/>
          </w:divBdr>
          <w:divsChild>
            <w:div w:id="1519734007">
              <w:marLeft w:val="0"/>
              <w:marRight w:val="0"/>
              <w:marTop w:val="0"/>
              <w:marBottom w:val="0"/>
              <w:divBdr>
                <w:top w:val="none" w:sz="0" w:space="0" w:color="auto"/>
                <w:left w:val="none" w:sz="0" w:space="0" w:color="auto"/>
                <w:bottom w:val="none" w:sz="0" w:space="0" w:color="auto"/>
                <w:right w:val="none" w:sz="0" w:space="0" w:color="auto"/>
              </w:divBdr>
              <w:divsChild>
                <w:div w:id="1871525971">
                  <w:marLeft w:val="0"/>
                  <w:marRight w:val="0"/>
                  <w:marTop w:val="0"/>
                  <w:marBottom w:val="0"/>
                  <w:divBdr>
                    <w:top w:val="none" w:sz="0" w:space="0" w:color="auto"/>
                    <w:left w:val="none" w:sz="0" w:space="0" w:color="auto"/>
                    <w:bottom w:val="none" w:sz="0" w:space="0" w:color="auto"/>
                    <w:right w:val="none" w:sz="0" w:space="0" w:color="auto"/>
                  </w:divBdr>
                  <w:divsChild>
                    <w:div w:id="1326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1728">
      <w:bodyDiv w:val="1"/>
      <w:marLeft w:val="0"/>
      <w:marRight w:val="0"/>
      <w:marTop w:val="0"/>
      <w:marBottom w:val="0"/>
      <w:divBdr>
        <w:top w:val="none" w:sz="0" w:space="0" w:color="auto"/>
        <w:left w:val="none" w:sz="0" w:space="0" w:color="auto"/>
        <w:bottom w:val="none" w:sz="0" w:space="0" w:color="auto"/>
        <w:right w:val="none" w:sz="0" w:space="0" w:color="auto"/>
      </w:divBdr>
    </w:div>
    <w:div w:id="1757821491">
      <w:bodyDiv w:val="1"/>
      <w:marLeft w:val="0"/>
      <w:marRight w:val="0"/>
      <w:marTop w:val="0"/>
      <w:marBottom w:val="0"/>
      <w:divBdr>
        <w:top w:val="none" w:sz="0" w:space="0" w:color="auto"/>
        <w:left w:val="none" w:sz="0" w:space="0" w:color="auto"/>
        <w:bottom w:val="none" w:sz="0" w:space="0" w:color="auto"/>
        <w:right w:val="none" w:sz="0" w:space="0" w:color="auto"/>
      </w:divBdr>
    </w:div>
    <w:div w:id="1791701224">
      <w:bodyDiv w:val="1"/>
      <w:marLeft w:val="0"/>
      <w:marRight w:val="0"/>
      <w:marTop w:val="0"/>
      <w:marBottom w:val="0"/>
      <w:divBdr>
        <w:top w:val="none" w:sz="0" w:space="0" w:color="auto"/>
        <w:left w:val="none" w:sz="0" w:space="0" w:color="auto"/>
        <w:bottom w:val="none" w:sz="0" w:space="0" w:color="auto"/>
        <w:right w:val="none" w:sz="0" w:space="0" w:color="auto"/>
      </w:divBdr>
    </w:div>
    <w:div w:id="1837069576">
      <w:bodyDiv w:val="1"/>
      <w:marLeft w:val="0"/>
      <w:marRight w:val="0"/>
      <w:marTop w:val="0"/>
      <w:marBottom w:val="0"/>
      <w:divBdr>
        <w:top w:val="none" w:sz="0" w:space="0" w:color="auto"/>
        <w:left w:val="none" w:sz="0" w:space="0" w:color="auto"/>
        <w:bottom w:val="none" w:sz="0" w:space="0" w:color="auto"/>
        <w:right w:val="none" w:sz="0" w:space="0" w:color="auto"/>
      </w:divBdr>
      <w:divsChild>
        <w:div w:id="144710921">
          <w:marLeft w:val="0"/>
          <w:marRight w:val="0"/>
          <w:marTop w:val="0"/>
          <w:marBottom w:val="0"/>
          <w:divBdr>
            <w:top w:val="none" w:sz="0" w:space="0" w:color="auto"/>
            <w:left w:val="none" w:sz="0" w:space="0" w:color="auto"/>
            <w:bottom w:val="none" w:sz="0" w:space="0" w:color="auto"/>
            <w:right w:val="none" w:sz="0" w:space="0" w:color="auto"/>
          </w:divBdr>
          <w:divsChild>
            <w:div w:id="1439450274">
              <w:marLeft w:val="0"/>
              <w:marRight w:val="0"/>
              <w:marTop w:val="0"/>
              <w:marBottom w:val="0"/>
              <w:divBdr>
                <w:top w:val="none" w:sz="0" w:space="0" w:color="auto"/>
                <w:left w:val="none" w:sz="0" w:space="0" w:color="auto"/>
                <w:bottom w:val="none" w:sz="0" w:space="0" w:color="auto"/>
                <w:right w:val="none" w:sz="0" w:space="0" w:color="auto"/>
              </w:divBdr>
              <w:divsChild>
                <w:div w:id="17225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1310">
      <w:bodyDiv w:val="1"/>
      <w:marLeft w:val="0"/>
      <w:marRight w:val="0"/>
      <w:marTop w:val="0"/>
      <w:marBottom w:val="0"/>
      <w:divBdr>
        <w:top w:val="none" w:sz="0" w:space="0" w:color="auto"/>
        <w:left w:val="none" w:sz="0" w:space="0" w:color="auto"/>
        <w:bottom w:val="none" w:sz="0" w:space="0" w:color="auto"/>
        <w:right w:val="none" w:sz="0" w:space="0" w:color="auto"/>
      </w:divBdr>
    </w:div>
    <w:div w:id="1884294109">
      <w:bodyDiv w:val="1"/>
      <w:marLeft w:val="0"/>
      <w:marRight w:val="0"/>
      <w:marTop w:val="0"/>
      <w:marBottom w:val="0"/>
      <w:divBdr>
        <w:top w:val="none" w:sz="0" w:space="0" w:color="auto"/>
        <w:left w:val="none" w:sz="0" w:space="0" w:color="auto"/>
        <w:bottom w:val="none" w:sz="0" w:space="0" w:color="auto"/>
        <w:right w:val="none" w:sz="0" w:space="0" w:color="auto"/>
      </w:divBdr>
    </w:div>
    <w:div w:id="1902405358">
      <w:bodyDiv w:val="1"/>
      <w:marLeft w:val="0"/>
      <w:marRight w:val="0"/>
      <w:marTop w:val="0"/>
      <w:marBottom w:val="0"/>
      <w:divBdr>
        <w:top w:val="none" w:sz="0" w:space="0" w:color="auto"/>
        <w:left w:val="none" w:sz="0" w:space="0" w:color="auto"/>
        <w:bottom w:val="none" w:sz="0" w:space="0" w:color="auto"/>
        <w:right w:val="none" w:sz="0" w:space="0" w:color="auto"/>
      </w:divBdr>
    </w:div>
    <w:div w:id="1941910665">
      <w:bodyDiv w:val="1"/>
      <w:marLeft w:val="0"/>
      <w:marRight w:val="0"/>
      <w:marTop w:val="0"/>
      <w:marBottom w:val="0"/>
      <w:divBdr>
        <w:top w:val="none" w:sz="0" w:space="0" w:color="auto"/>
        <w:left w:val="none" w:sz="0" w:space="0" w:color="auto"/>
        <w:bottom w:val="none" w:sz="0" w:space="0" w:color="auto"/>
        <w:right w:val="none" w:sz="0" w:space="0" w:color="auto"/>
      </w:divBdr>
      <w:divsChild>
        <w:div w:id="127363789">
          <w:marLeft w:val="0"/>
          <w:marRight w:val="0"/>
          <w:marTop w:val="0"/>
          <w:marBottom w:val="0"/>
          <w:divBdr>
            <w:top w:val="none" w:sz="0" w:space="0" w:color="auto"/>
            <w:left w:val="none" w:sz="0" w:space="0" w:color="auto"/>
            <w:bottom w:val="none" w:sz="0" w:space="0" w:color="auto"/>
            <w:right w:val="none" w:sz="0" w:space="0" w:color="auto"/>
          </w:divBdr>
          <w:divsChild>
            <w:div w:id="1654262571">
              <w:marLeft w:val="0"/>
              <w:marRight w:val="0"/>
              <w:marTop w:val="0"/>
              <w:marBottom w:val="0"/>
              <w:divBdr>
                <w:top w:val="none" w:sz="0" w:space="0" w:color="auto"/>
                <w:left w:val="none" w:sz="0" w:space="0" w:color="auto"/>
                <w:bottom w:val="none" w:sz="0" w:space="0" w:color="auto"/>
                <w:right w:val="none" w:sz="0" w:space="0" w:color="auto"/>
              </w:divBdr>
              <w:divsChild>
                <w:div w:id="1571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255">
      <w:bodyDiv w:val="1"/>
      <w:marLeft w:val="0"/>
      <w:marRight w:val="0"/>
      <w:marTop w:val="0"/>
      <w:marBottom w:val="0"/>
      <w:divBdr>
        <w:top w:val="none" w:sz="0" w:space="0" w:color="auto"/>
        <w:left w:val="none" w:sz="0" w:space="0" w:color="auto"/>
        <w:bottom w:val="none" w:sz="0" w:space="0" w:color="auto"/>
        <w:right w:val="none" w:sz="0" w:space="0" w:color="auto"/>
      </w:divBdr>
      <w:divsChild>
        <w:div w:id="1507668588">
          <w:marLeft w:val="0"/>
          <w:marRight w:val="0"/>
          <w:marTop w:val="0"/>
          <w:marBottom w:val="0"/>
          <w:divBdr>
            <w:top w:val="none" w:sz="0" w:space="0" w:color="auto"/>
            <w:left w:val="none" w:sz="0" w:space="0" w:color="auto"/>
            <w:bottom w:val="none" w:sz="0" w:space="0" w:color="auto"/>
            <w:right w:val="none" w:sz="0" w:space="0" w:color="auto"/>
          </w:divBdr>
          <w:divsChild>
            <w:div w:id="1560246846">
              <w:marLeft w:val="0"/>
              <w:marRight w:val="0"/>
              <w:marTop w:val="0"/>
              <w:marBottom w:val="0"/>
              <w:divBdr>
                <w:top w:val="none" w:sz="0" w:space="0" w:color="auto"/>
                <w:left w:val="none" w:sz="0" w:space="0" w:color="auto"/>
                <w:bottom w:val="none" w:sz="0" w:space="0" w:color="auto"/>
                <w:right w:val="none" w:sz="0" w:space="0" w:color="auto"/>
              </w:divBdr>
              <w:divsChild>
                <w:div w:id="4522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09233">
      <w:bodyDiv w:val="1"/>
      <w:marLeft w:val="0"/>
      <w:marRight w:val="0"/>
      <w:marTop w:val="0"/>
      <w:marBottom w:val="0"/>
      <w:divBdr>
        <w:top w:val="none" w:sz="0" w:space="0" w:color="auto"/>
        <w:left w:val="none" w:sz="0" w:space="0" w:color="auto"/>
        <w:bottom w:val="none" w:sz="0" w:space="0" w:color="auto"/>
        <w:right w:val="none" w:sz="0" w:space="0" w:color="auto"/>
      </w:divBdr>
      <w:divsChild>
        <w:div w:id="2002351199">
          <w:marLeft w:val="0"/>
          <w:marRight w:val="0"/>
          <w:marTop w:val="0"/>
          <w:marBottom w:val="0"/>
          <w:divBdr>
            <w:top w:val="none" w:sz="0" w:space="0" w:color="auto"/>
            <w:left w:val="none" w:sz="0" w:space="0" w:color="auto"/>
            <w:bottom w:val="none" w:sz="0" w:space="0" w:color="auto"/>
            <w:right w:val="none" w:sz="0" w:space="0" w:color="auto"/>
          </w:divBdr>
          <w:divsChild>
            <w:div w:id="1066339232">
              <w:marLeft w:val="0"/>
              <w:marRight w:val="0"/>
              <w:marTop w:val="0"/>
              <w:marBottom w:val="0"/>
              <w:divBdr>
                <w:top w:val="none" w:sz="0" w:space="0" w:color="auto"/>
                <w:left w:val="none" w:sz="0" w:space="0" w:color="auto"/>
                <w:bottom w:val="none" w:sz="0" w:space="0" w:color="auto"/>
                <w:right w:val="none" w:sz="0" w:space="0" w:color="auto"/>
              </w:divBdr>
              <w:divsChild>
                <w:div w:id="136846750">
                  <w:marLeft w:val="0"/>
                  <w:marRight w:val="0"/>
                  <w:marTop w:val="0"/>
                  <w:marBottom w:val="0"/>
                  <w:divBdr>
                    <w:top w:val="none" w:sz="0" w:space="0" w:color="auto"/>
                    <w:left w:val="none" w:sz="0" w:space="0" w:color="auto"/>
                    <w:bottom w:val="none" w:sz="0" w:space="0" w:color="auto"/>
                    <w:right w:val="none" w:sz="0" w:space="0" w:color="auto"/>
                  </w:divBdr>
                  <w:divsChild>
                    <w:div w:id="3449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7504">
      <w:bodyDiv w:val="1"/>
      <w:marLeft w:val="0"/>
      <w:marRight w:val="0"/>
      <w:marTop w:val="0"/>
      <w:marBottom w:val="0"/>
      <w:divBdr>
        <w:top w:val="none" w:sz="0" w:space="0" w:color="auto"/>
        <w:left w:val="none" w:sz="0" w:space="0" w:color="auto"/>
        <w:bottom w:val="none" w:sz="0" w:space="0" w:color="auto"/>
        <w:right w:val="none" w:sz="0" w:space="0" w:color="auto"/>
      </w:divBdr>
      <w:divsChild>
        <w:div w:id="1680153311">
          <w:marLeft w:val="0"/>
          <w:marRight w:val="0"/>
          <w:marTop w:val="0"/>
          <w:marBottom w:val="0"/>
          <w:divBdr>
            <w:top w:val="none" w:sz="0" w:space="0" w:color="auto"/>
            <w:left w:val="none" w:sz="0" w:space="0" w:color="auto"/>
            <w:bottom w:val="none" w:sz="0" w:space="0" w:color="auto"/>
            <w:right w:val="none" w:sz="0" w:space="0" w:color="auto"/>
          </w:divBdr>
          <w:divsChild>
            <w:div w:id="665208089">
              <w:marLeft w:val="0"/>
              <w:marRight w:val="0"/>
              <w:marTop w:val="0"/>
              <w:marBottom w:val="0"/>
              <w:divBdr>
                <w:top w:val="none" w:sz="0" w:space="0" w:color="auto"/>
                <w:left w:val="none" w:sz="0" w:space="0" w:color="auto"/>
                <w:bottom w:val="none" w:sz="0" w:space="0" w:color="auto"/>
                <w:right w:val="none" w:sz="0" w:space="0" w:color="auto"/>
              </w:divBdr>
              <w:divsChild>
                <w:div w:id="1849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0222">
      <w:bodyDiv w:val="1"/>
      <w:marLeft w:val="0"/>
      <w:marRight w:val="0"/>
      <w:marTop w:val="0"/>
      <w:marBottom w:val="0"/>
      <w:divBdr>
        <w:top w:val="none" w:sz="0" w:space="0" w:color="auto"/>
        <w:left w:val="none" w:sz="0" w:space="0" w:color="auto"/>
        <w:bottom w:val="none" w:sz="0" w:space="0" w:color="auto"/>
        <w:right w:val="none" w:sz="0" w:space="0" w:color="auto"/>
      </w:divBdr>
      <w:divsChild>
        <w:div w:id="1810170706">
          <w:marLeft w:val="0"/>
          <w:marRight w:val="0"/>
          <w:marTop w:val="0"/>
          <w:marBottom w:val="0"/>
          <w:divBdr>
            <w:top w:val="none" w:sz="0" w:space="0" w:color="auto"/>
            <w:left w:val="none" w:sz="0" w:space="0" w:color="auto"/>
            <w:bottom w:val="none" w:sz="0" w:space="0" w:color="auto"/>
            <w:right w:val="none" w:sz="0" w:space="0" w:color="auto"/>
          </w:divBdr>
          <w:divsChild>
            <w:div w:id="596795038">
              <w:marLeft w:val="0"/>
              <w:marRight w:val="0"/>
              <w:marTop w:val="0"/>
              <w:marBottom w:val="0"/>
              <w:divBdr>
                <w:top w:val="none" w:sz="0" w:space="0" w:color="auto"/>
                <w:left w:val="none" w:sz="0" w:space="0" w:color="auto"/>
                <w:bottom w:val="none" w:sz="0" w:space="0" w:color="auto"/>
                <w:right w:val="none" w:sz="0" w:space="0" w:color="auto"/>
              </w:divBdr>
              <w:divsChild>
                <w:div w:id="5413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3096">
      <w:bodyDiv w:val="1"/>
      <w:marLeft w:val="0"/>
      <w:marRight w:val="0"/>
      <w:marTop w:val="0"/>
      <w:marBottom w:val="0"/>
      <w:divBdr>
        <w:top w:val="none" w:sz="0" w:space="0" w:color="auto"/>
        <w:left w:val="none" w:sz="0" w:space="0" w:color="auto"/>
        <w:bottom w:val="none" w:sz="0" w:space="0" w:color="auto"/>
        <w:right w:val="none" w:sz="0" w:space="0" w:color="auto"/>
      </w:divBdr>
      <w:divsChild>
        <w:div w:id="1363625225">
          <w:marLeft w:val="0"/>
          <w:marRight w:val="0"/>
          <w:marTop w:val="0"/>
          <w:marBottom w:val="0"/>
          <w:divBdr>
            <w:top w:val="none" w:sz="0" w:space="0" w:color="auto"/>
            <w:left w:val="none" w:sz="0" w:space="0" w:color="auto"/>
            <w:bottom w:val="none" w:sz="0" w:space="0" w:color="auto"/>
            <w:right w:val="none" w:sz="0" w:space="0" w:color="auto"/>
          </w:divBdr>
          <w:divsChild>
            <w:div w:id="248002392">
              <w:marLeft w:val="0"/>
              <w:marRight w:val="0"/>
              <w:marTop w:val="0"/>
              <w:marBottom w:val="0"/>
              <w:divBdr>
                <w:top w:val="none" w:sz="0" w:space="0" w:color="auto"/>
                <w:left w:val="none" w:sz="0" w:space="0" w:color="auto"/>
                <w:bottom w:val="none" w:sz="0" w:space="0" w:color="auto"/>
                <w:right w:val="none" w:sz="0" w:space="0" w:color="auto"/>
              </w:divBdr>
              <w:divsChild>
                <w:div w:id="10567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667">
      <w:bodyDiv w:val="1"/>
      <w:marLeft w:val="0"/>
      <w:marRight w:val="0"/>
      <w:marTop w:val="0"/>
      <w:marBottom w:val="0"/>
      <w:divBdr>
        <w:top w:val="none" w:sz="0" w:space="0" w:color="auto"/>
        <w:left w:val="none" w:sz="0" w:space="0" w:color="auto"/>
        <w:bottom w:val="none" w:sz="0" w:space="0" w:color="auto"/>
        <w:right w:val="none" w:sz="0" w:space="0" w:color="auto"/>
      </w:divBdr>
      <w:divsChild>
        <w:div w:id="937062174">
          <w:marLeft w:val="0"/>
          <w:marRight w:val="0"/>
          <w:marTop w:val="0"/>
          <w:marBottom w:val="0"/>
          <w:divBdr>
            <w:top w:val="none" w:sz="0" w:space="0" w:color="auto"/>
            <w:left w:val="none" w:sz="0" w:space="0" w:color="auto"/>
            <w:bottom w:val="none" w:sz="0" w:space="0" w:color="auto"/>
            <w:right w:val="none" w:sz="0" w:space="0" w:color="auto"/>
          </w:divBdr>
          <w:divsChild>
            <w:div w:id="529298748">
              <w:marLeft w:val="0"/>
              <w:marRight w:val="0"/>
              <w:marTop w:val="0"/>
              <w:marBottom w:val="0"/>
              <w:divBdr>
                <w:top w:val="none" w:sz="0" w:space="0" w:color="auto"/>
                <w:left w:val="none" w:sz="0" w:space="0" w:color="auto"/>
                <w:bottom w:val="none" w:sz="0" w:space="0" w:color="auto"/>
                <w:right w:val="none" w:sz="0" w:space="0" w:color="auto"/>
              </w:divBdr>
              <w:divsChild>
                <w:div w:id="10996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1696">
      <w:bodyDiv w:val="1"/>
      <w:marLeft w:val="0"/>
      <w:marRight w:val="0"/>
      <w:marTop w:val="0"/>
      <w:marBottom w:val="0"/>
      <w:divBdr>
        <w:top w:val="none" w:sz="0" w:space="0" w:color="auto"/>
        <w:left w:val="none" w:sz="0" w:space="0" w:color="auto"/>
        <w:bottom w:val="none" w:sz="0" w:space="0" w:color="auto"/>
        <w:right w:val="none" w:sz="0" w:space="0" w:color="auto"/>
      </w:divBdr>
      <w:divsChild>
        <w:div w:id="1167599605">
          <w:marLeft w:val="0"/>
          <w:marRight w:val="0"/>
          <w:marTop w:val="0"/>
          <w:marBottom w:val="0"/>
          <w:divBdr>
            <w:top w:val="none" w:sz="0" w:space="0" w:color="auto"/>
            <w:left w:val="none" w:sz="0" w:space="0" w:color="auto"/>
            <w:bottom w:val="none" w:sz="0" w:space="0" w:color="auto"/>
            <w:right w:val="none" w:sz="0" w:space="0" w:color="auto"/>
          </w:divBdr>
          <w:divsChild>
            <w:div w:id="457187676">
              <w:marLeft w:val="0"/>
              <w:marRight w:val="0"/>
              <w:marTop w:val="0"/>
              <w:marBottom w:val="0"/>
              <w:divBdr>
                <w:top w:val="none" w:sz="0" w:space="0" w:color="auto"/>
                <w:left w:val="none" w:sz="0" w:space="0" w:color="auto"/>
                <w:bottom w:val="none" w:sz="0" w:space="0" w:color="auto"/>
                <w:right w:val="none" w:sz="0" w:space="0" w:color="auto"/>
              </w:divBdr>
              <w:divsChild>
                <w:div w:id="712509988">
                  <w:marLeft w:val="0"/>
                  <w:marRight w:val="0"/>
                  <w:marTop w:val="0"/>
                  <w:marBottom w:val="0"/>
                  <w:divBdr>
                    <w:top w:val="none" w:sz="0" w:space="0" w:color="auto"/>
                    <w:left w:val="none" w:sz="0" w:space="0" w:color="auto"/>
                    <w:bottom w:val="none" w:sz="0" w:space="0" w:color="auto"/>
                    <w:right w:val="none" w:sz="0" w:space="0" w:color="auto"/>
                  </w:divBdr>
                  <w:divsChild>
                    <w:div w:id="740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40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News/Articles/2015/09/28/04/53/socar073009b" TargetMode="External"/><Relationship Id="rId13" Type="http://schemas.openxmlformats.org/officeDocument/2006/relationships/hyperlink" Target="http://www.europarl.europa.eu/meetdocs/2009_2014/documents/afco/dv/2014-01-15_pe462455_v21_/2014-01-15_pe462455_v21_en.pdf" TargetMode="External"/><Relationship Id="rId18" Type="http://schemas.openxmlformats.org/officeDocument/2006/relationships/hyperlink" Target="http://www.interfluidity.com/v2/5965.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ft.com/content/6ca8fcb0-743b-11e6-b60a-de4532d5ea35" TargetMode="External"/><Relationship Id="rId12" Type="http://schemas.openxmlformats.org/officeDocument/2006/relationships/hyperlink" Target="http://www.consilium.europa.eu/uedocs/cms_data/docs/pressdata/en/ecofin/128075.pdf" TargetMode="External"/><Relationship Id="rId17" Type="http://schemas.openxmlformats.org/officeDocument/2006/relationships/hyperlink" Target="http://eiop.or.at/eiop/pdf/2007-005.pdf" TargetMode="External"/><Relationship Id="rId2" Type="http://schemas.openxmlformats.org/officeDocument/2006/relationships/styles" Target="styles.xml"/><Relationship Id="rId16" Type="http://schemas.openxmlformats.org/officeDocument/2006/relationships/hyperlink" Target="https://ftalphaville.ft.com/2017/11/09/2195680/the-euro-is-not-a-punishment-syste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c.europa.eu/economy_finance/publications/occasional_paper/2010/pdf/ocp61_en.pdf" TargetMode="External"/><Relationship Id="rId5" Type="http://schemas.openxmlformats.org/officeDocument/2006/relationships/footnotes" Target="footnotes.xml"/><Relationship Id="rId15" Type="http://schemas.openxmlformats.org/officeDocument/2006/relationships/hyperlink" Target="http://www.imf.org/external/np/loi/2011/grc/113011.pdf" TargetMode="External"/><Relationship Id="rId23" Type="http://schemas.openxmlformats.org/officeDocument/2006/relationships/theme" Target="theme/theme1.xml"/><Relationship Id="rId10" Type="http://schemas.openxmlformats.org/officeDocument/2006/relationships/hyperlink" Target="http://ec.europa.eu/eurostat/documents/4187653/6404656/COM_2010_report_greek/c8523cfa-d3c1-4954-8ea1-64bb11e59b3a" TargetMode="External"/><Relationship Id="rId19" Type="http://schemas.openxmlformats.org/officeDocument/2006/relationships/hyperlink" Target="https://www.reuters.com/investigates/special-report/imf-greece/" TargetMode="External"/><Relationship Id="rId4" Type="http://schemas.openxmlformats.org/officeDocument/2006/relationships/webSettings" Target="webSettings.xml"/><Relationship Id="rId9" Type="http://schemas.openxmlformats.org/officeDocument/2006/relationships/hyperlink" Target="http://www.corriere.it/economia/11_settembre_29/sensini_documento_bce_e68f29d6-ea58-11e0-ae06-4da866778017.shtml" TargetMode="External"/><Relationship Id="rId14" Type="http://schemas.openxmlformats.org/officeDocument/2006/relationships/hyperlink" Target="https://www.esm.europa.eu/assistance/spa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4E5D98-E4DD-BB4E-8C8A-45551AA1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8914</Words>
  <Characters>50812</Characters>
  <Application>Microsoft Office Word</Application>
  <DocSecurity>0</DocSecurity>
  <Lines>423</Lines>
  <Paragraphs>119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Stylized differences: Conditionality across two periods</vt:lpstr>
      <vt:lpstr>Table 1: Stylized differences in the two phases of EU conditionality</vt:lpstr>
      <vt:lpstr>The EU discovers conditionality: The 2004 and 2007 enlargements</vt:lpstr>
      <vt:lpstr>Crisis-era conditionality: from lever to club	</vt:lpstr>
      <vt:lpstr>Conditionality and Monetary Union: The Maastricht Blueprint</vt:lpstr>
      <vt:lpstr>Getting Serious: Greece and the Troika Takeover</vt:lpstr>
      <vt:lpstr>The Revenge of the Technocrats: Conditionality and the ECB</vt:lpstr>
      <vt:lpstr>From Lever to Club, and Back Again?</vt:lpstr>
      <vt:lpstr>Conclusions</vt:lpstr>
      <vt:lpstr>Works Cited </vt:lpstr>
      <vt:lpstr/>
      <vt:lpstr>Henning, Randall C. (2017). Tangled Governance. Oxford: Oxford University Press.</vt:lpstr>
      <vt:lpstr>Woodruff, David M. (2014). ‘Governing by Panic’, Politics &amp; Society 44(1): 81-11</vt:lpstr>
    </vt:vector>
  </TitlesOfParts>
  <Company>BYU</Company>
  <LinksUpToDate>false</LinksUpToDate>
  <CharactersWithSpaces>59607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Jacoby</dc:creator>
  <cp:keywords/>
  <dc:description/>
  <cp:lastModifiedBy>Microsoft Office User</cp:lastModifiedBy>
  <cp:revision>3</cp:revision>
  <cp:lastPrinted>2017-12-22T01:51:00Z</cp:lastPrinted>
  <dcterms:created xsi:type="dcterms:W3CDTF">2019-05-04T11:48:00Z</dcterms:created>
  <dcterms:modified xsi:type="dcterms:W3CDTF">2019-05-04T11:49:00Z</dcterms:modified>
</cp:coreProperties>
</file>