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981" w:rsidRDefault="007446B6" w:rsidP="008D4F7B">
      <w:pPr>
        <w:spacing w:before="120" w:after="120" w:line="480" w:lineRule="auto"/>
        <w:rPr>
          <w:rFonts w:cs="Arial"/>
          <w:b/>
          <w:smallCaps/>
          <w:sz w:val="24"/>
          <w:szCs w:val="24"/>
        </w:rPr>
      </w:pPr>
      <w:r w:rsidRPr="008D4F7B">
        <w:rPr>
          <w:rFonts w:cs="Arial"/>
          <w:b/>
          <w:smallCaps/>
          <w:sz w:val="24"/>
          <w:szCs w:val="24"/>
        </w:rPr>
        <w:t xml:space="preserve">Economic and monetary union in a </w:t>
      </w:r>
      <w:proofErr w:type="spellStart"/>
      <w:r w:rsidRPr="008D4F7B">
        <w:rPr>
          <w:rFonts w:cs="Arial"/>
          <w:b/>
          <w:smallCaps/>
          <w:sz w:val="24"/>
          <w:szCs w:val="24"/>
        </w:rPr>
        <w:t>europe</w:t>
      </w:r>
      <w:proofErr w:type="spellEnd"/>
      <w:r w:rsidRPr="008D4F7B">
        <w:rPr>
          <w:rFonts w:cs="Arial"/>
          <w:b/>
          <w:smallCaps/>
          <w:sz w:val="24"/>
          <w:szCs w:val="24"/>
        </w:rPr>
        <w:t xml:space="preserve"> of multiple speeds: conceptualizing consequences</w:t>
      </w:r>
      <w:r w:rsidR="00DB3981">
        <w:rPr>
          <w:rFonts w:cs="Arial"/>
          <w:b/>
          <w:smallCaps/>
          <w:sz w:val="24"/>
          <w:szCs w:val="24"/>
        </w:rPr>
        <w:t xml:space="preserve"> </w:t>
      </w:r>
    </w:p>
    <w:p w:rsidR="008D4F7B" w:rsidRPr="008D4F7B" w:rsidRDefault="008D4F7B" w:rsidP="008D4F7B">
      <w:pPr>
        <w:spacing w:before="120" w:after="120" w:line="480" w:lineRule="auto"/>
        <w:rPr>
          <w:rFonts w:cs="Arial"/>
          <w:i/>
          <w:iCs/>
          <w:color w:val="000000"/>
          <w:sz w:val="24"/>
          <w:szCs w:val="24"/>
        </w:rPr>
      </w:pPr>
      <w:r w:rsidRPr="008D4F7B">
        <w:rPr>
          <w:rFonts w:cs="Arial"/>
          <w:i/>
          <w:iCs/>
          <w:color w:val="000000"/>
          <w:sz w:val="24"/>
          <w:szCs w:val="24"/>
        </w:rPr>
        <w:t>Paper prepared for 2019 EUSA International Biennial Conference, Denver, Colorado - May 9-May 11, 2019</w:t>
      </w:r>
    </w:p>
    <w:p w:rsidR="008D4F7B" w:rsidRPr="008D4F7B" w:rsidRDefault="008D4F7B" w:rsidP="008D4F7B">
      <w:pPr>
        <w:spacing w:before="120" w:after="120" w:line="480" w:lineRule="auto"/>
        <w:rPr>
          <w:rFonts w:cs="Arial"/>
          <w:b/>
          <w:smallCaps/>
          <w:sz w:val="24"/>
          <w:szCs w:val="24"/>
        </w:rPr>
      </w:pPr>
      <w:r w:rsidRPr="008D4F7B">
        <w:rPr>
          <w:rFonts w:cs="Arial"/>
          <w:b/>
          <w:smallCaps/>
          <w:sz w:val="24"/>
          <w:szCs w:val="24"/>
        </w:rPr>
        <w:t xml:space="preserve">Sander Tordoir &amp; </w:t>
      </w:r>
      <w:proofErr w:type="spellStart"/>
      <w:r w:rsidRPr="008D4F7B">
        <w:rPr>
          <w:rFonts w:cs="Arial"/>
          <w:b/>
          <w:smallCaps/>
          <w:sz w:val="24"/>
          <w:szCs w:val="24"/>
        </w:rPr>
        <w:t>Domesthenes</w:t>
      </w:r>
      <w:proofErr w:type="spellEnd"/>
      <w:r w:rsidRPr="008D4F7B">
        <w:rPr>
          <w:rFonts w:cs="Arial"/>
          <w:b/>
          <w:smallCaps/>
          <w:sz w:val="24"/>
          <w:szCs w:val="24"/>
        </w:rPr>
        <w:t xml:space="preserve"> Ioannou*, European Central Bank</w:t>
      </w:r>
    </w:p>
    <w:p w:rsidR="008D4F7B" w:rsidRPr="008D4F7B" w:rsidRDefault="008D4F7B" w:rsidP="00DA6E46">
      <w:pPr>
        <w:spacing w:before="120" w:after="120" w:line="480" w:lineRule="auto"/>
        <w:rPr>
          <w:rFonts w:cs="Arial"/>
          <w:i/>
          <w:iCs/>
          <w:color w:val="000000"/>
          <w:sz w:val="24"/>
          <w:szCs w:val="24"/>
        </w:rPr>
      </w:pPr>
      <w:r w:rsidRPr="008D4F7B">
        <w:rPr>
          <w:rFonts w:cs="Arial"/>
          <w:i/>
          <w:smallCaps/>
          <w:sz w:val="24"/>
          <w:szCs w:val="24"/>
        </w:rPr>
        <w:t>*</w:t>
      </w:r>
      <w:r w:rsidRPr="008D4F7B">
        <w:rPr>
          <w:rFonts w:cs="Arial"/>
          <w:i/>
          <w:iCs/>
          <w:color w:val="000000"/>
          <w:sz w:val="24"/>
          <w:szCs w:val="24"/>
        </w:rPr>
        <w:t>This paper should not be reported as representing the views of the European Central Bank (ECB). The views expressed are those of the authors and do not necessarily reflect those of the ECB.</w:t>
      </w:r>
    </w:p>
    <w:p w:rsidR="007446B6" w:rsidRPr="003A4807" w:rsidRDefault="007446B6" w:rsidP="00DA6E46">
      <w:pPr>
        <w:autoSpaceDE w:val="0"/>
        <w:autoSpaceDN w:val="0"/>
        <w:adjustRightInd w:val="0"/>
        <w:spacing w:line="480" w:lineRule="auto"/>
        <w:rPr>
          <w:rFonts w:cs="Arial"/>
          <w:sz w:val="22"/>
          <w:lang w:val="en-US"/>
        </w:rPr>
      </w:pPr>
      <w:r w:rsidRPr="003A4807">
        <w:rPr>
          <w:rFonts w:cs="Arial"/>
          <w:b/>
          <w:bCs/>
          <w:sz w:val="22"/>
        </w:rPr>
        <w:t xml:space="preserve">Abstract </w:t>
      </w:r>
    </w:p>
    <w:p w:rsidR="00B543C5" w:rsidRDefault="007446B6" w:rsidP="008D4F7B">
      <w:pPr>
        <w:autoSpaceDE w:val="0"/>
        <w:autoSpaceDN w:val="0"/>
        <w:adjustRightInd w:val="0"/>
        <w:spacing w:line="276" w:lineRule="auto"/>
        <w:jc w:val="both"/>
        <w:rPr>
          <w:rFonts w:cs="Arial"/>
          <w:sz w:val="22"/>
        </w:rPr>
      </w:pPr>
      <w:r w:rsidRPr="003A4807">
        <w:rPr>
          <w:rFonts w:cs="Arial"/>
          <w:sz w:val="22"/>
        </w:rPr>
        <w:t>A European Union consisting of concentric circles of Member States with different integration levels is a possible way to overcome divergent preferences for a further deepening of Europe’s Economic and Monetary Union (EMU). Against this backdrop, this paper provides a preliminary conceptual framework to analyse the</w:t>
      </w:r>
      <w:r w:rsidR="001D784B">
        <w:rPr>
          <w:rFonts w:cs="Arial"/>
          <w:sz w:val="22"/>
        </w:rPr>
        <w:t xml:space="preserve"> functional-economic</w:t>
      </w:r>
      <w:r w:rsidRPr="003A4807">
        <w:rPr>
          <w:rFonts w:cs="Arial"/>
          <w:sz w:val="22"/>
        </w:rPr>
        <w:t xml:space="preserve"> advantages and drawbacks of multi-speed integration for the overall functioning of EMU. Two scenarios are considered including whereby further integration takes place with a subset of euro area Member States or with a combination of euro area and non-euro area Member States. Based on the literature on EMU deepening, four broad criteria are presented to assess these scenarios, including the implications for EMU’s (1) resilience to economic shocks (2) business cycle stabilisation (3) governance complexity and (4) political cohesion. On the basis of these criteria, the balance of benefits and costs for EMU seems to depend strongly on the economic, financial or fiscal policy area chosen and the static (first round) and dynamic (second round) effects. Positive effects seem likely in policy areas with a strong structural component such as labour or product markets, where stronger convergence for a subset of Member States can elevate the overall resilience of EMU. However, if the avant-garde do not induce positive catch-up by other Member States, multiple speeds within the EA could also widen divergences in the medium term. Such hindrances seem more likely to happen in any case if multi-speed materialises in areas relevant to macro-economic stabilisation, where a limited participation could lead to business cycle de-synchronization.</w:t>
      </w:r>
      <w:r w:rsidR="001D784B">
        <w:rPr>
          <w:rFonts w:cs="Arial"/>
          <w:sz w:val="22"/>
        </w:rPr>
        <w:t xml:space="preserve"> Further integration with the euro area as a whole within the Treaty Framework would be much less costly in terms of complexity</w:t>
      </w:r>
      <w:r w:rsidRPr="003A4807">
        <w:rPr>
          <w:rFonts w:cs="Arial"/>
          <w:sz w:val="22"/>
        </w:rPr>
        <w:t xml:space="preserve"> </w:t>
      </w:r>
      <w:r w:rsidR="001D784B">
        <w:rPr>
          <w:rFonts w:cs="Arial"/>
          <w:sz w:val="22"/>
        </w:rPr>
        <w:t xml:space="preserve">than multi-speed EMU. The functional-economic framework presented here could prove useful for future research in understanding the political dynamics surrounding the further development of Economic and Monetary Union. </w:t>
      </w:r>
      <w:r w:rsidRPr="003A4807">
        <w:rPr>
          <w:rFonts w:cs="Arial"/>
          <w:sz w:val="22"/>
        </w:rPr>
        <w:t xml:space="preserve"> </w:t>
      </w:r>
    </w:p>
    <w:p w:rsidR="00C531CC" w:rsidRPr="00410965" w:rsidRDefault="00B543C5" w:rsidP="00410965">
      <w:pPr>
        <w:pStyle w:val="ListParagraph"/>
        <w:numPr>
          <w:ilvl w:val="0"/>
          <w:numId w:val="22"/>
        </w:numPr>
        <w:spacing w:before="0" w:after="0" w:line="480" w:lineRule="auto"/>
        <w:rPr>
          <w:rFonts w:cs="Arial"/>
          <w:b/>
          <w:i/>
          <w:sz w:val="22"/>
          <w:lang w:val="en-US"/>
        </w:rPr>
      </w:pPr>
      <w:r w:rsidRPr="00410965">
        <w:rPr>
          <w:rFonts w:cs="Arial"/>
          <w:sz w:val="22"/>
        </w:rPr>
        <w:br w:type="page"/>
      </w:r>
      <w:r w:rsidR="007446B6" w:rsidRPr="00410965">
        <w:rPr>
          <w:rFonts w:cs="Arial"/>
          <w:b/>
          <w:sz w:val="22"/>
        </w:rPr>
        <w:lastRenderedPageBreak/>
        <w:t>Introduction</w:t>
      </w:r>
    </w:p>
    <w:p w:rsidR="006D24BB" w:rsidRPr="001423EF" w:rsidRDefault="00AC5223" w:rsidP="00DA6E46">
      <w:pPr>
        <w:spacing w:before="120" w:after="120" w:line="480" w:lineRule="auto"/>
        <w:jc w:val="both"/>
        <w:rPr>
          <w:rFonts w:cs="Arial"/>
          <w:sz w:val="22"/>
        </w:rPr>
      </w:pPr>
      <w:r w:rsidRPr="001423EF">
        <w:rPr>
          <w:rFonts w:cs="Arial"/>
          <w:sz w:val="22"/>
        </w:rPr>
        <w:t xml:space="preserve">There </w:t>
      </w:r>
      <w:r w:rsidR="00CE0935" w:rsidRPr="001423EF">
        <w:rPr>
          <w:rFonts w:cs="Arial"/>
          <w:sz w:val="22"/>
        </w:rPr>
        <w:t>has been</w:t>
      </w:r>
      <w:r w:rsidRPr="001423EF">
        <w:rPr>
          <w:rFonts w:cs="Arial"/>
          <w:sz w:val="22"/>
        </w:rPr>
        <w:t xml:space="preserve"> renewed interest in the approach of “multi-speed integration” </w:t>
      </w:r>
      <w:r w:rsidR="00E009C9" w:rsidRPr="001423EF">
        <w:rPr>
          <w:rFonts w:cs="Arial"/>
          <w:sz w:val="22"/>
        </w:rPr>
        <w:t xml:space="preserve">in the EU </w:t>
      </w:r>
      <w:r w:rsidRPr="001423EF">
        <w:rPr>
          <w:rFonts w:cs="Arial"/>
          <w:sz w:val="22"/>
        </w:rPr>
        <w:t xml:space="preserve">in light of the Commission White Paper of March 2017, the renewed momentum behind French-German cooperation and the </w:t>
      </w:r>
      <w:r w:rsidR="00E009C9" w:rsidRPr="001423EF">
        <w:rPr>
          <w:rFonts w:cs="Arial"/>
          <w:sz w:val="22"/>
        </w:rPr>
        <w:t>interest</w:t>
      </w:r>
      <w:r w:rsidRPr="001423EF">
        <w:rPr>
          <w:rFonts w:cs="Arial"/>
          <w:sz w:val="22"/>
        </w:rPr>
        <w:t xml:space="preserve"> </w:t>
      </w:r>
      <w:r w:rsidR="006D77C8" w:rsidRPr="001423EF">
        <w:rPr>
          <w:rFonts w:cs="Arial"/>
          <w:sz w:val="22"/>
        </w:rPr>
        <w:t xml:space="preserve">by various stakeholders </w:t>
      </w:r>
      <w:r w:rsidR="00E009C9" w:rsidRPr="001423EF">
        <w:rPr>
          <w:rFonts w:cs="Arial"/>
          <w:sz w:val="22"/>
        </w:rPr>
        <w:t>on specific EU initiatives</w:t>
      </w:r>
      <w:r w:rsidR="00CE0935" w:rsidRPr="001423EF">
        <w:rPr>
          <w:rFonts w:cs="Arial"/>
          <w:sz w:val="22"/>
        </w:rPr>
        <w:t xml:space="preserve"> such as taxation</w:t>
      </w:r>
      <w:r w:rsidR="0028621F" w:rsidRPr="007E3671">
        <w:rPr>
          <w:rStyle w:val="FootnoteReference"/>
          <w:rFonts w:cs="Arial"/>
          <w:b/>
          <w:sz w:val="22"/>
        </w:rPr>
        <w:footnoteReference w:id="1"/>
      </w:r>
      <w:r w:rsidR="00653DCC" w:rsidRPr="001423EF">
        <w:rPr>
          <w:rFonts w:cs="Arial"/>
          <w:sz w:val="22"/>
        </w:rPr>
        <w:t>.</w:t>
      </w:r>
    </w:p>
    <w:p w:rsidR="00B543C5" w:rsidRPr="001423EF" w:rsidRDefault="00B543C5" w:rsidP="00DA6E46">
      <w:pPr>
        <w:spacing w:line="480" w:lineRule="auto"/>
        <w:ind w:firstLine="720"/>
        <w:jc w:val="both"/>
        <w:rPr>
          <w:rFonts w:cs="Arial"/>
          <w:sz w:val="22"/>
        </w:rPr>
      </w:pPr>
      <w:r w:rsidRPr="001423EF">
        <w:rPr>
          <w:rFonts w:cs="Arial"/>
          <w:bCs/>
          <w:sz w:val="22"/>
        </w:rPr>
        <w:t xml:space="preserve">A Special Eurobarometer edition from June 2016 revealed that in 20 Member States, a (small) majority of respondents think that countries should be able to proceed without having to </w:t>
      </w:r>
      <w:r w:rsidR="0010489D">
        <w:rPr>
          <w:rFonts w:cs="Arial"/>
          <w:bCs/>
          <w:sz w:val="22"/>
        </w:rPr>
        <w:t>wait for the others (see Annex B</w:t>
      </w:r>
      <w:r w:rsidRPr="001423EF">
        <w:rPr>
          <w:rFonts w:cs="Arial"/>
          <w:bCs/>
          <w:sz w:val="22"/>
        </w:rPr>
        <w:t xml:space="preserve">). This proportion has remained relatively stable over time, while the proportion of those who thinks countries should wait for all MS to be ready has risen by four points since 2007.  </w:t>
      </w:r>
      <w:r w:rsidRPr="001423EF">
        <w:rPr>
          <w:rFonts w:cs="Arial"/>
          <w:sz w:val="22"/>
        </w:rPr>
        <w:t xml:space="preserve">The idea of a multi-speed Europe has been recently the focus of attention for a number of Member States. The idea of progressing on a “those that are willing” basis was discussed at the European Council summit in Malta on 3 February 2017. These discussions formed the basis of the Rome declaration on 25 March 2017 at which leaders confirmed that they would </w:t>
      </w:r>
      <w:r w:rsidRPr="001423EF">
        <w:rPr>
          <w:rFonts w:cs="Arial"/>
          <w:i/>
          <w:sz w:val="22"/>
        </w:rPr>
        <w:t>“act together, at different paces and intensity where necessary, while moving in the same direction”.</w:t>
      </w:r>
      <w:r w:rsidRPr="001423EF">
        <w:rPr>
          <w:rStyle w:val="FootnoteReference"/>
          <w:rFonts w:cs="Arial"/>
          <w:i/>
          <w:sz w:val="22"/>
        </w:rPr>
        <w:footnoteReference w:id="2"/>
      </w:r>
      <w:r w:rsidRPr="001423EF">
        <w:rPr>
          <w:rFonts w:cs="Arial"/>
          <w:i/>
          <w:sz w:val="22"/>
        </w:rPr>
        <w:t xml:space="preserve"> </w:t>
      </w:r>
      <w:r w:rsidRPr="001423EF">
        <w:rPr>
          <w:rFonts w:cs="Arial"/>
          <w:sz w:val="22"/>
        </w:rPr>
        <w:t xml:space="preserve">Moving ahead with “those who want to do more” was one of the five scenarios presented in the European Commission’s White Paper on the Future of the EU, sparking further debate on variable geometry as a potential way forward for further integration. And the election of Macron as president of France has sparked hopes of a rekindled German-France axis to drive the European integration process forward, including potentially by taking steps forward together with the two major EA economies. </w:t>
      </w:r>
    </w:p>
    <w:p w:rsidR="00B543C5" w:rsidRPr="003A4807" w:rsidRDefault="00B543C5" w:rsidP="00DA6E46">
      <w:pPr>
        <w:spacing w:before="120" w:after="120" w:line="480" w:lineRule="auto"/>
        <w:ind w:firstLine="720"/>
        <w:jc w:val="both"/>
        <w:rPr>
          <w:rFonts w:cs="Arial"/>
          <w:sz w:val="22"/>
        </w:rPr>
      </w:pPr>
      <w:r w:rsidRPr="001423EF">
        <w:rPr>
          <w:rFonts w:cs="Arial"/>
          <w:sz w:val="22"/>
        </w:rPr>
        <w:lastRenderedPageBreak/>
        <w:t xml:space="preserve">At the same time, further integration by some </w:t>
      </w:r>
      <w:r w:rsidR="0056781C">
        <w:rPr>
          <w:rFonts w:cs="Arial"/>
          <w:sz w:val="22"/>
        </w:rPr>
        <w:t>Member States</w:t>
      </w:r>
      <w:r w:rsidRPr="001423EF">
        <w:rPr>
          <w:rFonts w:cs="Arial"/>
          <w:sz w:val="22"/>
        </w:rPr>
        <w:t xml:space="preserve"> has been gaining traction in certain areas. A</w:t>
      </w:r>
      <w:r>
        <w:rPr>
          <w:rFonts w:cs="Arial"/>
          <w:sz w:val="22"/>
        </w:rPr>
        <w:t xml:space="preserve"> </w:t>
      </w:r>
      <w:r w:rsidRPr="003A4807">
        <w:rPr>
          <w:rFonts w:cs="Arial"/>
          <w:sz w:val="22"/>
        </w:rPr>
        <w:t xml:space="preserve">concrete example is the joint initiative – supported by the Commission and the EBRD – launched on 6 November 2017 by Estonia, Latvia and Lithuania to create a pan-Baltic capital market union by harmonising capital market regulations and dismantling investment barriers. A second concrete example of multi-speed is the </w:t>
      </w:r>
      <w:r w:rsidRPr="003A4807">
        <w:rPr>
          <w:rFonts w:cs="Arial"/>
          <w:bCs/>
          <w:sz w:val="22"/>
          <w:lang w:val="en"/>
        </w:rPr>
        <w:t>Permanent Structured Cooperation</w:t>
      </w:r>
      <w:r w:rsidRPr="003A4807">
        <w:rPr>
          <w:rStyle w:val="FootnoteReference"/>
          <w:rFonts w:cs="Arial"/>
          <w:bCs/>
          <w:sz w:val="22"/>
          <w:lang w:val="en"/>
        </w:rPr>
        <w:footnoteReference w:id="3"/>
      </w:r>
      <w:r w:rsidRPr="003A4807">
        <w:rPr>
          <w:rFonts w:cs="Arial"/>
          <w:bCs/>
          <w:sz w:val="22"/>
          <w:lang w:val="en"/>
        </w:rPr>
        <w:t xml:space="preserve"> (PESCO) in the area of defense launched by the Commission in June 2017</w:t>
      </w:r>
      <w:r w:rsidRPr="003A4807">
        <w:rPr>
          <w:rStyle w:val="FootnoteReference"/>
          <w:rFonts w:cs="Arial"/>
          <w:bCs/>
          <w:sz w:val="22"/>
          <w:lang w:val="en"/>
        </w:rPr>
        <w:footnoteReference w:id="4"/>
      </w:r>
      <w:r w:rsidRPr="003A4807">
        <w:rPr>
          <w:rFonts w:cs="Arial"/>
          <w:bCs/>
          <w:sz w:val="22"/>
          <w:lang w:val="en"/>
        </w:rPr>
        <w:t xml:space="preserve">. On 13 November 2017 23 </w:t>
      </w:r>
      <w:r w:rsidR="0056781C">
        <w:rPr>
          <w:rFonts w:cs="Arial"/>
          <w:bCs/>
          <w:sz w:val="22"/>
          <w:lang w:val="en"/>
        </w:rPr>
        <w:t>Member States</w:t>
      </w:r>
      <w:r w:rsidRPr="003A4807">
        <w:rPr>
          <w:rFonts w:cs="Arial"/>
          <w:bCs/>
          <w:sz w:val="22"/>
          <w:lang w:val="en"/>
        </w:rPr>
        <w:t xml:space="preserve"> signed a joint notification on the PESCO, so taking the first formal step to jointly develop defense capabilities, invest in shared projects and enhance operational readiness of their armed forces. The establishment of a European Public Prosecutor’s Office (EPPO) will also likely go ahead without </w:t>
      </w:r>
      <w:r w:rsidRPr="001423EF">
        <w:rPr>
          <w:rFonts w:cs="Arial"/>
          <w:bCs/>
          <w:sz w:val="22"/>
          <w:lang w:val="en"/>
        </w:rPr>
        <w:t xml:space="preserve">the participation of all </w:t>
      </w:r>
      <w:r w:rsidR="0056781C">
        <w:rPr>
          <w:rFonts w:cs="Arial"/>
          <w:bCs/>
          <w:sz w:val="22"/>
          <w:lang w:val="en"/>
        </w:rPr>
        <w:t>Member States</w:t>
      </w:r>
      <w:r w:rsidRPr="001423EF">
        <w:rPr>
          <w:rFonts w:cs="Arial"/>
          <w:bCs/>
          <w:sz w:val="22"/>
          <w:lang w:val="en"/>
        </w:rPr>
        <w:t>.</w:t>
      </w:r>
      <w:r w:rsidRPr="001423EF">
        <w:rPr>
          <w:rStyle w:val="FootnoteReference"/>
          <w:rFonts w:cs="Arial"/>
          <w:bCs/>
          <w:sz w:val="22"/>
          <w:lang w:val="en"/>
        </w:rPr>
        <w:footnoteReference w:id="5"/>
      </w:r>
      <w:r w:rsidRPr="001423EF">
        <w:rPr>
          <w:rFonts w:cs="Arial"/>
          <w:bCs/>
          <w:sz w:val="22"/>
          <w:lang w:val="en"/>
        </w:rPr>
        <w:t xml:space="preserve"> </w:t>
      </w:r>
      <w:r w:rsidRPr="001423EF">
        <w:rPr>
          <w:rFonts w:cs="Arial"/>
          <w:sz w:val="22"/>
        </w:rPr>
        <w:t xml:space="preserve">How these initiatives develop and how many other </w:t>
      </w:r>
      <w:r w:rsidR="0056781C">
        <w:rPr>
          <w:rFonts w:cs="Arial"/>
          <w:sz w:val="22"/>
        </w:rPr>
        <w:t>Member States</w:t>
      </w:r>
      <w:r w:rsidRPr="001423EF">
        <w:rPr>
          <w:rFonts w:cs="Arial"/>
          <w:sz w:val="22"/>
        </w:rPr>
        <w:t xml:space="preserve"> join those moving ahead remains to be seen</w:t>
      </w:r>
      <w:r w:rsidRPr="003A4807">
        <w:rPr>
          <w:rFonts w:cs="Arial"/>
          <w:sz w:val="22"/>
        </w:rPr>
        <w:t>. It will probably vary depending on the policy area but the effect of “being left out” (as opposed to genuinely wanting to join in) is likely to be significant.</w:t>
      </w:r>
      <w:r w:rsidRPr="003A4807">
        <w:rPr>
          <w:rStyle w:val="FootnoteReference"/>
          <w:rFonts w:cs="Arial"/>
          <w:sz w:val="22"/>
        </w:rPr>
        <w:footnoteReference w:id="6"/>
      </w:r>
      <w:r w:rsidRPr="003A4807">
        <w:rPr>
          <w:rFonts w:cs="Arial"/>
          <w:sz w:val="22"/>
        </w:rPr>
        <w:t xml:space="preserve"> </w:t>
      </w:r>
      <w:r>
        <w:rPr>
          <w:rFonts w:cs="Arial"/>
          <w:sz w:val="22"/>
        </w:rPr>
        <w:t xml:space="preserve"> </w:t>
      </w:r>
      <w:r w:rsidRPr="00B543C5">
        <w:rPr>
          <w:rFonts w:cs="Arial"/>
          <w:sz w:val="22"/>
        </w:rPr>
        <w:t>Possibilities to rekindle the Franco-German motor were discussed at the most recent meeting of the French-German Council of Ministers on 13 July</w:t>
      </w:r>
      <w:r>
        <w:rPr>
          <w:rFonts w:cs="Arial"/>
          <w:sz w:val="22"/>
        </w:rPr>
        <w:t xml:space="preserve"> 2017</w:t>
      </w:r>
      <w:r w:rsidRPr="003A4807">
        <w:rPr>
          <w:rFonts w:cs="Arial"/>
          <w:b/>
          <w:sz w:val="22"/>
        </w:rPr>
        <w:t>.</w:t>
      </w:r>
      <w:r w:rsidRPr="003A4807">
        <w:rPr>
          <w:rFonts w:cs="Arial"/>
          <w:sz w:val="22"/>
        </w:rPr>
        <w:t xml:space="preserve"> It was also agreed to set-up a joint task force for a reciprocal analysis of French and German economic policies. Aside from EMU, ministers agreed on joint moves to further cooperation in areas such as tax (CCTB), the Single Market (CMU) and defence. </w:t>
      </w:r>
    </w:p>
    <w:p w:rsidR="00B543C5" w:rsidRPr="001423EF" w:rsidRDefault="00B543C5" w:rsidP="00DA6E46">
      <w:pPr>
        <w:spacing w:line="480" w:lineRule="auto"/>
        <w:ind w:firstLine="720"/>
        <w:jc w:val="both"/>
        <w:rPr>
          <w:rFonts w:cs="Arial"/>
          <w:sz w:val="22"/>
        </w:rPr>
      </w:pPr>
      <w:r w:rsidRPr="001423EF">
        <w:rPr>
          <w:rFonts w:cs="Arial"/>
          <w:sz w:val="22"/>
        </w:rPr>
        <w:lastRenderedPageBreak/>
        <w:t>Far from being a new idea, differentiated integration is a key feature of the EU and has been discussed in the academic literature for some time.</w:t>
      </w:r>
      <w:r w:rsidRPr="001423EF">
        <w:rPr>
          <w:rStyle w:val="FootnoteReference"/>
          <w:rFonts w:cs="Arial"/>
          <w:sz w:val="22"/>
        </w:rPr>
        <w:t xml:space="preserve"> </w:t>
      </w:r>
      <w:r w:rsidRPr="001423EF">
        <w:rPr>
          <w:rStyle w:val="FootnoteReference"/>
          <w:rFonts w:cs="Arial"/>
          <w:sz w:val="22"/>
        </w:rPr>
        <w:footnoteReference w:id="7"/>
      </w:r>
      <w:r w:rsidRPr="001423EF">
        <w:rPr>
          <w:rFonts w:cs="Arial"/>
          <w:sz w:val="22"/>
        </w:rPr>
        <w:t xml:space="preserve"> As many researchers point out, in an entity with 28 members, a complex web of different levels of cooperation and integration between countries is unavoidable and the degree of flexibility is only likely to increase further in the </w:t>
      </w:r>
      <w:proofErr w:type="gramStart"/>
      <w:r w:rsidRPr="001423EF">
        <w:rPr>
          <w:rFonts w:cs="Arial"/>
          <w:sz w:val="22"/>
        </w:rPr>
        <w:t>future</w:t>
      </w:r>
      <w:r w:rsidR="0028621F">
        <w:rPr>
          <w:rFonts w:cs="Arial"/>
          <w:sz w:val="22"/>
        </w:rPr>
        <w:t xml:space="preserve"> </w:t>
      </w:r>
      <w:proofErr w:type="gramEnd"/>
      <w:r w:rsidR="0028621F" w:rsidRPr="007E3671">
        <w:rPr>
          <w:rStyle w:val="FootnoteReference"/>
          <w:rFonts w:cs="Arial"/>
          <w:b/>
          <w:sz w:val="22"/>
        </w:rPr>
        <w:footnoteReference w:id="8"/>
      </w:r>
      <w:r w:rsidRPr="001423EF">
        <w:rPr>
          <w:rFonts w:cs="Arial"/>
          <w:sz w:val="22"/>
        </w:rPr>
        <w:t xml:space="preserve">. In fact, differentiated integration is not only foreseen in the Treaties, it is already an everyday reality (both inside and outside the Union framework). EMU/ Banking Union (all EA Member States), the Fiscal Compact (all EA plus some EU </w:t>
      </w:r>
      <w:r w:rsidR="0056781C">
        <w:rPr>
          <w:rFonts w:cs="Arial"/>
          <w:sz w:val="22"/>
        </w:rPr>
        <w:t>Member States</w:t>
      </w:r>
      <w:r w:rsidRPr="001423EF">
        <w:rPr>
          <w:rFonts w:cs="Arial"/>
          <w:sz w:val="22"/>
        </w:rPr>
        <w:t>), the Financial Transaction Tax (a subgroup of EA Member States which has stalled however) initiative, and Schengen (most EA, some EU and the EFTA countries) are some key examples of different speeds within the EU showing also the variety of approaches follo</w:t>
      </w:r>
      <w:r w:rsidR="0010489D">
        <w:rPr>
          <w:rFonts w:cs="Arial"/>
          <w:sz w:val="22"/>
        </w:rPr>
        <w:t>wed so far (see also Annex A</w:t>
      </w:r>
      <w:r w:rsidRPr="001423EF">
        <w:rPr>
          <w:rFonts w:cs="Arial"/>
          <w:sz w:val="22"/>
        </w:rPr>
        <w:t xml:space="preserve"> for an overview of differential integration in the EU).</w:t>
      </w:r>
      <w:r w:rsidRPr="001423EF">
        <w:rPr>
          <w:rStyle w:val="FootnoteReference"/>
          <w:rFonts w:cs="Arial"/>
          <w:sz w:val="22"/>
        </w:rPr>
        <w:footnoteReference w:id="9"/>
      </w:r>
      <w:r w:rsidRPr="001423EF">
        <w:rPr>
          <w:rFonts w:cs="Arial"/>
          <w:sz w:val="22"/>
        </w:rPr>
        <w:t xml:space="preserve"> </w:t>
      </w:r>
      <w:r w:rsidRPr="001423EF">
        <w:rPr>
          <w:rStyle w:val="FootnoteReference"/>
          <w:rFonts w:cs="Arial"/>
          <w:sz w:val="22"/>
        </w:rPr>
        <w:footnoteReference w:id="10"/>
      </w:r>
      <w:r w:rsidRPr="001423EF">
        <w:rPr>
          <w:rFonts w:cs="Arial"/>
          <w:sz w:val="22"/>
        </w:rPr>
        <w:t xml:space="preserve"> </w:t>
      </w:r>
      <w:r w:rsidRPr="001423EF">
        <w:rPr>
          <w:rStyle w:val="FootnoteReference"/>
          <w:rFonts w:cs="Arial"/>
          <w:sz w:val="22"/>
        </w:rPr>
        <w:footnoteReference w:id="11"/>
      </w:r>
    </w:p>
    <w:p w:rsidR="00B543C5" w:rsidRPr="003A4807" w:rsidRDefault="00B543C5" w:rsidP="00DA6E46">
      <w:pPr>
        <w:pStyle w:val="ECBBodyText"/>
        <w:spacing w:line="480" w:lineRule="auto"/>
        <w:ind w:firstLine="720"/>
        <w:jc w:val="both"/>
        <w:rPr>
          <w:rFonts w:cs="Arial"/>
          <w:sz w:val="22"/>
        </w:rPr>
      </w:pPr>
      <w:r w:rsidRPr="001423EF">
        <w:rPr>
          <w:rFonts w:cs="Arial"/>
          <w:sz w:val="22"/>
        </w:rPr>
        <w:t>The existing web of differentiated cooperation highlights that multi-speed integration can take a number of shapes and forms in a legal sense,</w:t>
      </w:r>
      <w:r w:rsidRPr="003A4807">
        <w:rPr>
          <w:rFonts w:cs="Arial"/>
          <w:b/>
          <w:sz w:val="22"/>
        </w:rPr>
        <w:t xml:space="preserve"> </w:t>
      </w:r>
      <w:r w:rsidRPr="003A4807">
        <w:rPr>
          <w:rFonts w:cs="Arial"/>
          <w:sz w:val="22"/>
        </w:rPr>
        <w:t>including</w:t>
      </w:r>
      <w:r w:rsidRPr="003A4807">
        <w:rPr>
          <w:rFonts w:cs="Arial"/>
          <w:b/>
          <w:sz w:val="22"/>
        </w:rPr>
        <w:t xml:space="preserve"> </w:t>
      </w:r>
      <w:r w:rsidRPr="003A4807">
        <w:rPr>
          <w:rFonts w:cs="Arial"/>
          <w:sz w:val="22"/>
        </w:rPr>
        <w:t xml:space="preserve">through opting-out, permanent structured cooperation (defence), constructive abstention (foreign and security policy) or through an intergovernmental agreement (IGA). Apart from IGAs, the other modes of advanced cooperation are foreseen in the Treaty. </w:t>
      </w:r>
    </w:p>
    <w:p w:rsidR="00473BBE" w:rsidRDefault="00B543C5" w:rsidP="00DA6E46">
      <w:pPr>
        <w:pStyle w:val="ECBBodyText"/>
        <w:spacing w:line="480" w:lineRule="auto"/>
        <w:ind w:firstLine="720"/>
        <w:jc w:val="both"/>
        <w:rPr>
          <w:rFonts w:cs="Arial"/>
          <w:sz w:val="22"/>
        </w:rPr>
      </w:pPr>
      <w:r w:rsidRPr="001423EF">
        <w:rPr>
          <w:rFonts w:cs="Arial"/>
          <w:sz w:val="22"/>
        </w:rPr>
        <w:lastRenderedPageBreak/>
        <w:t>Given that the other forms of partial integration fall outside the economic realm or apply to EMU itself (opting out), in terms of EMU going forward the most relevant forms are IGAs or “enhanced cooperation”.</w:t>
      </w:r>
      <w:r w:rsidRPr="003A4807">
        <w:rPr>
          <w:rFonts w:cs="Arial"/>
          <w:b/>
          <w:sz w:val="22"/>
        </w:rPr>
        <w:t xml:space="preserve"> </w:t>
      </w:r>
      <w:r w:rsidRPr="003A4807">
        <w:rPr>
          <w:rFonts w:cs="Arial"/>
          <w:sz w:val="22"/>
        </w:rPr>
        <w:t xml:space="preserve">Art.20 TEU formally provides </w:t>
      </w:r>
      <w:r w:rsidR="0056781C">
        <w:rPr>
          <w:rFonts w:cs="Arial"/>
          <w:sz w:val="22"/>
        </w:rPr>
        <w:t xml:space="preserve">Member </w:t>
      </w:r>
      <w:proofErr w:type="spellStart"/>
      <w:r w:rsidR="0056781C">
        <w:rPr>
          <w:rFonts w:cs="Arial"/>
          <w:sz w:val="22"/>
        </w:rPr>
        <w:t>STates</w:t>
      </w:r>
      <w:proofErr w:type="spellEnd"/>
      <w:r w:rsidRPr="003A4807">
        <w:rPr>
          <w:rFonts w:cs="Arial"/>
          <w:sz w:val="22"/>
        </w:rPr>
        <w:t xml:space="preserve"> with the opportunity to accelerate cooperation on certain issues with the “</w:t>
      </w:r>
      <w:r w:rsidRPr="003A4807">
        <w:rPr>
          <w:rFonts w:cs="Arial"/>
          <w:sz w:val="22"/>
          <w:lang w:val="en"/>
        </w:rPr>
        <w:t>aim to further the objectives of the Union, protect its interests and reinforce its integration process.</w:t>
      </w:r>
      <w:r w:rsidRPr="003A4807">
        <w:rPr>
          <w:rFonts w:cs="Arial"/>
          <w:b/>
          <w:sz w:val="22"/>
          <w:lang w:val="en"/>
        </w:rPr>
        <w:t xml:space="preserve"> </w:t>
      </w:r>
      <w:r w:rsidRPr="003A4807">
        <w:rPr>
          <w:rFonts w:cs="Arial"/>
          <w:sz w:val="22"/>
          <w:lang w:val="en"/>
        </w:rPr>
        <w:t xml:space="preserve">Such cooperation shall be open at any time to all </w:t>
      </w:r>
      <w:r w:rsidR="0056781C">
        <w:rPr>
          <w:rFonts w:cs="Arial"/>
          <w:sz w:val="22"/>
          <w:lang w:val="en"/>
        </w:rPr>
        <w:t>Member States</w:t>
      </w:r>
      <w:r w:rsidRPr="003A4807">
        <w:rPr>
          <w:rFonts w:cs="Arial"/>
          <w:sz w:val="22"/>
          <w:lang w:val="en"/>
        </w:rPr>
        <w:t>”.</w:t>
      </w:r>
      <w:r w:rsidRPr="003A4807">
        <w:rPr>
          <w:rFonts w:cs="Arial"/>
          <w:sz w:val="22"/>
        </w:rPr>
        <w:t xml:space="preserve"> The “enhanced cooperation” mechanism is, however only possible under a number of conditions, including that it does not undermine the Single Market or the Union’s economic and social cohesion (Article 326 TFEU) and can only be used as a last resort when the objectives of such cooperation cannot be attained within a reasonable period of time by the Union as a whole (20(2) TEU). It also requires participation of at least nine governments.</w:t>
      </w:r>
      <w:r w:rsidRPr="003A4807">
        <w:rPr>
          <w:rStyle w:val="FootnoteReference"/>
          <w:rFonts w:cs="Arial"/>
          <w:sz w:val="22"/>
        </w:rPr>
        <w:footnoteReference w:id="12"/>
      </w:r>
    </w:p>
    <w:p w:rsidR="00473BBE" w:rsidRDefault="006D24BB" w:rsidP="00DA6E46">
      <w:pPr>
        <w:pStyle w:val="ECBBodyText"/>
        <w:spacing w:line="480" w:lineRule="auto"/>
        <w:ind w:firstLine="720"/>
        <w:jc w:val="both"/>
        <w:rPr>
          <w:rFonts w:cs="Arial"/>
          <w:sz w:val="22"/>
        </w:rPr>
      </w:pPr>
      <w:r w:rsidRPr="001423EF">
        <w:rPr>
          <w:rFonts w:cs="Arial"/>
          <w:sz w:val="22"/>
        </w:rPr>
        <w:t xml:space="preserve">This </w:t>
      </w:r>
      <w:r w:rsidR="00B543C5" w:rsidRPr="001423EF">
        <w:rPr>
          <w:rFonts w:cs="Arial"/>
          <w:sz w:val="22"/>
        </w:rPr>
        <w:t>paper</w:t>
      </w:r>
      <w:r w:rsidRPr="001423EF">
        <w:rPr>
          <w:rFonts w:cs="Arial"/>
          <w:sz w:val="22"/>
        </w:rPr>
        <w:t xml:space="preserve"> provides a first overview of </w:t>
      </w:r>
      <w:r w:rsidR="009C36CE" w:rsidRPr="001423EF">
        <w:rPr>
          <w:rFonts w:cs="Arial"/>
          <w:sz w:val="22"/>
        </w:rPr>
        <w:t xml:space="preserve">possible </w:t>
      </w:r>
      <w:r w:rsidRPr="001423EF">
        <w:rPr>
          <w:rFonts w:cs="Arial"/>
          <w:sz w:val="22"/>
        </w:rPr>
        <w:t xml:space="preserve">implications for EMU of “multi-speed” within EMU itself. </w:t>
      </w:r>
      <w:r w:rsidRPr="003A4807">
        <w:rPr>
          <w:rFonts w:cs="Arial"/>
          <w:sz w:val="22"/>
        </w:rPr>
        <w:t>It focuses on a conceptual overview</w:t>
      </w:r>
      <w:r w:rsidR="00B543C5">
        <w:rPr>
          <w:rFonts w:cs="Arial"/>
          <w:sz w:val="22"/>
        </w:rPr>
        <w:t xml:space="preserve"> of the </w:t>
      </w:r>
      <w:r w:rsidR="001D784B">
        <w:rPr>
          <w:rFonts w:cs="Arial"/>
          <w:sz w:val="22"/>
        </w:rPr>
        <w:t xml:space="preserve">functional-economic </w:t>
      </w:r>
      <w:r w:rsidR="00B543C5">
        <w:rPr>
          <w:rFonts w:cs="Arial"/>
          <w:sz w:val="22"/>
        </w:rPr>
        <w:t>advantages and drawbacks</w:t>
      </w:r>
      <w:r w:rsidRPr="003A4807">
        <w:rPr>
          <w:rFonts w:cs="Arial"/>
          <w:sz w:val="22"/>
        </w:rPr>
        <w:t xml:space="preserve">. Finally, on the basis of the conceptual overview, it provides a first preliminary assessment of the advantages and drawbacks </w:t>
      </w:r>
      <w:r w:rsidR="00B543C5">
        <w:rPr>
          <w:rFonts w:cs="Arial"/>
          <w:sz w:val="22"/>
        </w:rPr>
        <w:t xml:space="preserve">of multi-speed integration in three </w:t>
      </w:r>
      <w:r w:rsidR="009C36CE" w:rsidRPr="003A4807">
        <w:rPr>
          <w:rFonts w:cs="Arial"/>
          <w:sz w:val="22"/>
        </w:rPr>
        <w:t xml:space="preserve">specific </w:t>
      </w:r>
      <w:r w:rsidRPr="003A4807">
        <w:rPr>
          <w:rFonts w:cs="Arial"/>
          <w:sz w:val="22"/>
        </w:rPr>
        <w:t>policy areas</w:t>
      </w:r>
      <w:r w:rsidR="00B543C5">
        <w:rPr>
          <w:rFonts w:cs="Arial"/>
          <w:sz w:val="22"/>
        </w:rPr>
        <w:t xml:space="preserve"> where it has been concretely discussed: Capital Markets Union, Taxation (Financial Transaction Tax) and euro area budgetary instruments</w:t>
      </w:r>
      <w:r w:rsidRPr="003A4807">
        <w:rPr>
          <w:rFonts w:cs="Arial"/>
          <w:sz w:val="22"/>
        </w:rPr>
        <w:t xml:space="preserve">. </w:t>
      </w:r>
    </w:p>
    <w:p w:rsidR="00473BBE" w:rsidRDefault="005D32A8" w:rsidP="00DA6E46">
      <w:pPr>
        <w:pStyle w:val="ECBBodyText"/>
        <w:spacing w:line="480" w:lineRule="auto"/>
        <w:ind w:firstLine="720"/>
        <w:jc w:val="both"/>
        <w:rPr>
          <w:rFonts w:cs="Arial"/>
          <w:sz w:val="22"/>
        </w:rPr>
      </w:pPr>
      <w:r w:rsidRPr="001423EF">
        <w:rPr>
          <w:rFonts w:cs="Arial"/>
          <w:sz w:val="22"/>
        </w:rPr>
        <w:t>M</w:t>
      </w:r>
      <w:r w:rsidR="000D53C6" w:rsidRPr="001423EF">
        <w:rPr>
          <w:rFonts w:cs="Arial"/>
          <w:sz w:val="22"/>
        </w:rPr>
        <w:t>ulti-speed</w:t>
      </w:r>
      <w:r w:rsidR="006D77C8" w:rsidRPr="001423EF">
        <w:rPr>
          <w:rFonts w:cs="Arial"/>
          <w:sz w:val="22"/>
        </w:rPr>
        <w:t xml:space="preserve"> integration could </w:t>
      </w:r>
      <w:r w:rsidR="009C36CE" w:rsidRPr="001423EF">
        <w:rPr>
          <w:rFonts w:cs="Arial"/>
          <w:sz w:val="22"/>
        </w:rPr>
        <w:t xml:space="preserve">in theory </w:t>
      </w:r>
      <w:r w:rsidR="006D77C8" w:rsidRPr="001423EF">
        <w:rPr>
          <w:rFonts w:cs="Arial"/>
          <w:sz w:val="22"/>
        </w:rPr>
        <w:t>take plac</w:t>
      </w:r>
      <w:r w:rsidR="00142E5E" w:rsidRPr="001423EF">
        <w:rPr>
          <w:rFonts w:cs="Arial"/>
          <w:sz w:val="22"/>
        </w:rPr>
        <w:t>e in the following</w:t>
      </w:r>
      <w:r w:rsidR="00142E5E" w:rsidRPr="003A4807">
        <w:rPr>
          <w:rFonts w:cs="Arial"/>
          <w:b/>
          <w:sz w:val="22"/>
        </w:rPr>
        <w:t xml:space="preserve"> constellations</w:t>
      </w:r>
      <w:r w:rsidR="0061046D" w:rsidRPr="003A4807">
        <w:rPr>
          <w:rFonts w:cs="Arial"/>
          <w:b/>
          <w:sz w:val="22"/>
        </w:rPr>
        <w:t xml:space="preserve"> </w:t>
      </w:r>
      <w:r w:rsidR="0061046D" w:rsidRPr="003A4807">
        <w:rPr>
          <w:rFonts w:cs="Arial"/>
          <w:sz w:val="22"/>
        </w:rPr>
        <w:t>(</w:t>
      </w:r>
      <w:proofErr w:type="spellStart"/>
      <w:r w:rsidR="0061046D" w:rsidRPr="003A4807">
        <w:rPr>
          <w:rFonts w:cs="Arial"/>
          <w:sz w:val="22"/>
        </w:rPr>
        <w:t>i</w:t>
      </w:r>
      <w:proofErr w:type="spellEnd"/>
      <w:r w:rsidR="0061046D" w:rsidRPr="003A4807">
        <w:rPr>
          <w:rFonts w:cs="Arial"/>
          <w:sz w:val="22"/>
        </w:rPr>
        <w:t xml:space="preserve">) with all </w:t>
      </w:r>
      <w:r w:rsidR="00047508" w:rsidRPr="003A4807">
        <w:rPr>
          <w:rFonts w:cs="Arial"/>
          <w:sz w:val="22"/>
        </w:rPr>
        <w:t>euro area Member States</w:t>
      </w:r>
      <w:r w:rsidR="0061046D" w:rsidRPr="003A4807">
        <w:rPr>
          <w:rFonts w:cs="Arial"/>
          <w:sz w:val="22"/>
        </w:rPr>
        <w:t xml:space="preserve"> integratin</w:t>
      </w:r>
      <w:r w:rsidR="000D53C6" w:rsidRPr="003A4807">
        <w:rPr>
          <w:rFonts w:cs="Arial"/>
          <w:sz w:val="22"/>
        </w:rPr>
        <w:t>g further as a whole (i</w:t>
      </w:r>
      <w:r w:rsidR="0061046D" w:rsidRPr="003A4807">
        <w:rPr>
          <w:rFonts w:cs="Arial"/>
          <w:sz w:val="22"/>
        </w:rPr>
        <w:t xml:space="preserve">i) within a group of </w:t>
      </w:r>
      <w:r w:rsidR="00047508" w:rsidRPr="003A4807">
        <w:rPr>
          <w:rFonts w:cs="Arial"/>
          <w:sz w:val="22"/>
        </w:rPr>
        <w:t>euro area Member States</w:t>
      </w:r>
      <w:r w:rsidR="00591822" w:rsidRPr="003A4807">
        <w:rPr>
          <w:rFonts w:cs="Arial"/>
          <w:sz w:val="22"/>
        </w:rPr>
        <w:t xml:space="preserve"> only</w:t>
      </w:r>
      <w:r w:rsidR="000D53C6" w:rsidRPr="003A4807">
        <w:rPr>
          <w:rFonts w:cs="Arial"/>
          <w:sz w:val="22"/>
        </w:rPr>
        <w:t xml:space="preserve"> (</w:t>
      </w:r>
      <w:r w:rsidR="00591822" w:rsidRPr="003A4807">
        <w:rPr>
          <w:rFonts w:cs="Arial"/>
          <w:sz w:val="22"/>
        </w:rPr>
        <w:t xml:space="preserve">iii) within a group of countries involving some euro area and some </w:t>
      </w:r>
      <w:r w:rsidR="00047508" w:rsidRPr="003A4807">
        <w:rPr>
          <w:rFonts w:cs="Arial"/>
          <w:sz w:val="22"/>
        </w:rPr>
        <w:t>non-euro area Member States</w:t>
      </w:r>
      <w:r w:rsidR="00B7406E" w:rsidRPr="003A4807">
        <w:rPr>
          <w:rFonts w:cs="Arial"/>
          <w:sz w:val="22"/>
        </w:rPr>
        <w:t xml:space="preserve">. </w:t>
      </w:r>
      <w:r w:rsidR="002C7D1C" w:rsidRPr="003A4807">
        <w:rPr>
          <w:rFonts w:cs="Arial"/>
          <w:sz w:val="22"/>
        </w:rPr>
        <w:t xml:space="preserve">Of course, </w:t>
      </w:r>
      <w:r w:rsidR="00C524F1" w:rsidRPr="003A4807">
        <w:rPr>
          <w:rFonts w:cs="Arial"/>
          <w:sz w:val="22"/>
        </w:rPr>
        <w:t>m</w:t>
      </w:r>
      <w:r w:rsidR="00B7406E" w:rsidRPr="003A4807">
        <w:rPr>
          <w:rFonts w:cs="Arial"/>
          <w:sz w:val="22"/>
        </w:rPr>
        <w:t xml:space="preserve">ulti-speed could also involve </w:t>
      </w:r>
      <w:r w:rsidR="00142E5E" w:rsidRPr="003A4807">
        <w:rPr>
          <w:rFonts w:cs="Arial"/>
          <w:sz w:val="22"/>
        </w:rPr>
        <w:t>(</w:t>
      </w:r>
      <w:proofErr w:type="gramStart"/>
      <w:r w:rsidR="00142E5E" w:rsidRPr="003A4807">
        <w:rPr>
          <w:rFonts w:cs="Arial"/>
          <w:sz w:val="22"/>
        </w:rPr>
        <w:t>iv</w:t>
      </w:r>
      <w:proofErr w:type="gramEnd"/>
      <w:r w:rsidR="00142E5E" w:rsidRPr="003A4807">
        <w:rPr>
          <w:rFonts w:cs="Arial"/>
          <w:sz w:val="22"/>
        </w:rPr>
        <w:t xml:space="preserve">) </w:t>
      </w:r>
      <w:r w:rsidR="00B7406E" w:rsidRPr="003A4807">
        <w:rPr>
          <w:rFonts w:cs="Arial"/>
          <w:sz w:val="22"/>
        </w:rPr>
        <w:t xml:space="preserve">the whole EA </w:t>
      </w:r>
      <w:r w:rsidR="002C7D1C" w:rsidRPr="003A4807">
        <w:rPr>
          <w:rFonts w:cs="Arial"/>
          <w:sz w:val="22"/>
        </w:rPr>
        <w:t>whilst including a number of</w:t>
      </w:r>
      <w:r w:rsidR="00B7406E" w:rsidRPr="003A4807">
        <w:rPr>
          <w:rFonts w:cs="Arial"/>
          <w:sz w:val="22"/>
        </w:rPr>
        <w:t xml:space="preserve"> EU Member States</w:t>
      </w:r>
      <w:r w:rsidR="002C7D1C" w:rsidRPr="003A4807">
        <w:rPr>
          <w:rFonts w:cs="Arial"/>
          <w:sz w:val="22"/>
        </w:rPr>
        <w:t xml:space="preserve">. </w:t>
      </w:r>
      <w:r w:rsidR="006D24BB" w:rsidRPr="003A4807">
        <w:rPr>
          <w:rFonts w:cs="Arial"/>
          <w:sz w:val="22"/>
        </w:rPr>
        <w:t>However, this</w:t>
      </w:r>
      <w:r w:rsidR="00142E5E" w:rsidRPr="003A4807">
        <w:rPr>
          <w:rFonts w:cs="Arial"/>
          <w:sz w:val="22"/>
        </w:rPr>
        <w:t xml:space="preserve"> </w:t>
      </w:r>
      <w:r w:rsidR="009C36CE" w:rsidRPr="003A4807">
        <w:rPr>
          <w:rFonts w:cs="Arial"/>
          <w:sz w:val="22"/>
        </w:rPr>
        <w:t xml:space="preserve">last </w:t>
      </w:r>
      <w:r w:rsidR="00142E5E" w:rsidRPr="003A4807">
        <w:rPr>
          <w:rFonts w:cs="Arial"/>
          <w:sz w:val="22"/>
        </w:rPr>
        <w:t>scenario</w:t>
      </w:r>
      <w:r w:rsidR="006D24BB" w:rsidRPr="003A4807">
        <w:rPr>
          <w:rFonts w:cs="Arial"/>
          <w:sz w:val="22"/>
        </w:rPr>
        <w:t xml:space="preserve"> is not considered here </w:t>
      </w:r>
      <w:r w:rsidR="006D24BB" w:rsidRPr="003A4807">
        <w:rPr>
          <w:rFonts w:cs="Arial"/>
          <w:sz w:val="22"/>
        </w:rPr>
        <w:lastRenderedPageBreak/>
        <w:t xml:space="preserve">given that, from a euro area perspective, </w:t>
      </w:r>
      <w:r w:rsidR="002C7D1C" w:rsidRPr="003A4807">
        <w:rPr>
          <w:rFonts w:cs="Arial"/>
          <w:sz w:val="22"/>
        </w:rPr>
        <w:t xml:space="preserve">this would not be substantially different from the scenario in which the whole </w:t>
      </w:r>
      <w:r w:rsidR="006D24BB" w:rsidRPr="003A4807">
        <w:rPr>
          <w:rFonts w:cs="Arial"/>
          <w:sz w:val="22"/>
        </w:rPr>
        <w:t>EA i</w:t>
      </w:r>
      <w:r w:rsidR="002C7D1C" w:rsidRPr="003A4807">
        <w:rPr>
          <w:rFonts w:cs="Arial"/>
          <w:sz w:val="22"/>
        </w:rPr>
        <w:t xml:space="preserve">ntegrates further. </w:t>
      </w:r>
    </w:p>
    <w:p w:rsidR="00473BBE" w:rsidRDefault="00C34230" w:rsidP="00DA6E46">
      <w:pPr>
        <w:pStyle w:val="ECBBodyText"/>
        <w:spacing w:line="480" w:lineRule="auto"/>
        <w:ind w:firstLine="720"/>
        <w:jc w:val="both"/>
        <w:rPr>
          <w:rFonts w:cs="Arial"/>
          <w:sz w:val="22"/>
        </w:rPr>
      </w:pPr>
      <w:r w:rsidRPr="001423EF">
        <w:rPr>
          <w:rFonts w:cs="Arial"/>
          <w:sz w:val="22"/>
        </w:rPr>
        <w:t>C</w:t>
      </w:r>
      <w:r w:rsidR="00574746" w:rsidRPr="001423EF">
        <w:rPr>
          <w:rFonts w:cs="Arial"/>
          <w:sz w:val="22"/>
        </w:rPr>
        <w:t xml:space="preserve">ompared to the baseline assumption of further integration </w:t>
      </w:r>
      <w:r w:rsidR="009C36CE" w:rsidRPr="001423EF">
        <w:rPr>
          <w:rFonts w:cs="Arial"/>
          <w:sz w:val="22"/>
        </w:rPr>
        <w:t xml:space="preserve">by </w:t>
      </w:r>
      <w:r w:rsidRPr="001423EF">
        <w:rPr>
          <w:rFonts w:cs="Arial"/>
          <w:sz w:val="22"/>
        </w:rPr>
        <w:t xml:space="preserve">all </w:t>
      </w:r>
      <w:r w:rsidR="00574746" w:rsidRPr="001423EF">
        <w:rPr>
          <w:rFonts w:cs="Arial"/>
          <w:sz w:val="22"/>
        </w:rPr>
        <w:t xml:space="preserve">euro area </w:t>
      </w:r>
      <w:r w:rsidR="009C36CE" w:rsidRPr="001423EF">
        <w:rPr>
          <w:rFonts w:cs="Arial"/>
          <w:sz w:val="22"/>
        </w:rPr>
        <w:t xml:space="preserve">members </w:t>
      </w:r>
      <w:r w:rsidRPr="001423EF">
        <w:rPr>
          <w:rFonts w:cs="Arial"/>
          <w:sz w:val="22"/>
        </w:rPr>
        <w:t>together</w:t>
      </w:r>
      <w:r w:rsidR="00574746" w:rsidRPr="001423EF">
        <w:rPr>
          <w:rFonts w:cs="Arial"/>
          <w:sz w:val="22"/>
        </w:rPr>
        <w:t xml:space="preserve">, </w:t>
      </w:r>
      <w:r w:rsidR="00010D1C" w:rsidRPr="001423EF">
        <w:rPr>
          <w:rFonts w:cs="Arial"/>
          <w:sz w:val="22"/>
        </w:rPr>
        <w:t xml:space="preserve">one </w:t>
      </w:r>
      <w:r w:rsidRPr="001423EF">
        <w:rPr>
          <w:rFonts w:cs="Arial"/>
          <w:sz w:val="22"/>
        </w:rPr>
        <w:t>scenario</w:t>
      </w:r>
      <w:r w:rsidR="00010D1C" w:rsidRPr="001423EF">
        <w:rPr>
          <w:rFonts w:cs="Arial"/>
          <w:sz w:val="22"/>
        </w:rPr>
        <w:t xml:space="preserve"> to </w:t>
      </w:r>
      <w:r w:rsidRPr="001423EF">
        <w:rPr>
          <w:rFonts w:cs="Arial"/>
          <w:sz w:val="22"/>
        </w:rPr>
        <w:t xml:space="preserve">be </w:t>
      </w:r>
      <w:r w:rsidR="00010D1C" w:rsidRPr="001423EF">
        <w:rPr>
          <w:rFonts w:cs="Arial"/>
          <w:sz w:val="22"/>
        </w:rPr>
        <w:t>carefully assess</w:t>
      </w:r>
      <w:r w:rsidRPr="001423EF">
        <w:rPr>
          <w:rFonts w:cs="Arial"/>
          <w:sz w:val="22"/>
        </w:rPr>
        <w:t>ed is</w:t>
      </w:r>
      <w:r w:rsidR="00010D1C" w:rsidRPr="001423EF">
        <w:rPr>
          <w:rFonts w:cs="Arial"/>
          <w:sz w:val="22"/>
        </w:rPr>
        <w:t xml:space="preserve"> </w:t>
      </w:r>
      <w:r w:rsidR="001018E4" w:rsidRPr="001423EF">
        <w:rPr>
          <w:rFonts w:cs="Arial"/>
          <w:sz w:val="22"/>
        </w:rPr>
        <w:t xml:space="preserve">a situation whereby a sub-group of the 19 EA MS chose to integrate more deeply in important </w:t>
      </w:r>
      <w:r w:rsidR="00C524F1" w:rsidRPr="001423EF">
        <w:rPr>
          <w:rFonts w:cs="Arial"/>
          <w:sz w:val="22"/>
        </w:rPr>
        <w:t>aspects</w:t>
      </w:r>
      <w:r w:rsidR="001018E4" w:rsidRPr="001423EF">
        <w:rPr>
          <w:rFonts w:cs="Arial"/>
          <w:sz w:val="22"/>
        </w:rPr>
        <w:t xml:space="preserve"> of fiscal, economic or financial policy</w:t>
      </w:r>
      <w:r w:rsidRPr="001423EF">
        <w:rPr>
          <w:rFonts w:cs="Arial"/>
          <w:sz w:val="22"/>
        </w:rPr>
        <w:t xml:space="preserve"> (we call this intra-EMU integration)</w:t>
      </w:r>
      <w:r w:rsidR="001018E4" w:rsidRPr="001423EF">
        <w:rPr>
          <w:rFonts w:cs="Arial"/>
          <w:sz w:val="22"/>
        </w:rPr>
        <w:t>.</w:t>
      </w:r>
      <w:r w:rsidR="001018E4" w:rsidRPr="003A4807">
        <w:rPr>
          <w:rFonts w:cs="Arial"/>
          <w:sz w:val="22"/>
        </w:rPr>
        <w:t xml:space="preserve"> </w:t>
      </w:r>
      <w:r w:rsidR="000D53C6" w:rsidRPr="003A4807">
        <w:rPr>
          <w:rFonts w:cs="Arial"/>
          <w:sz w:val="22"/>
        </w:rPr>
        <w:t>The balance of benefits and costs for EMU would depend on the policy area chosen</w:t>
      </w:r>
      <w:r w:rsidR="00F511D1" w:rsidRPr="003A4807">
        <w:rPr>
          <w:rFonts w:cs="Arial"/>
          <w:sz w:val="22"/>
        </w:rPr>
        <w:t>, the static and dynamic effects,</w:t>
      </w:r>
      <w:r w:rsidR="000B5305" w:rsidRPr="003A4807">
        <w:rPr>
          <w:rFonts w:cs="Arial"/>
          <w:sz w:val="22"/>
        </w:rPr>
        <w:t xml:space="preserve"> and </w:t>
      </w:r>
      <w:r w:rsidR="00FD7A00" w:rsidRPr="003A4807">
        <w:rPr>
          <w:rFonts w:cs="Arial"/>
          <w:sz w:val="22"/>
        </w:rPr>
        <w:t>on</w:t>
      </w:r>
      <w:r w:rsidR="00613B24" w:rsidRPr="003A4807">
        <w:rPr>
          <w:rFonts w:cs="Arial"/>
          <w:sz w:val="22"/>
        </w:rPr>
        <w:t xml:space="preserve"> the extent to which participation by other EU countries would alter the cost/benefit picture for EMU</w:t>
      </w:r>
      <w:r w:rsidR="000D53C6" w:rsidRPr="003A4807">
        <w:rPr>
          <w:rFonts w:cs="Arial"/>
          <w:sz w:val="22"/>
        </w:rPr>
        <w:t xml:space="preserve">. </w:t>
      </w:r>
    </w:p>
    <w:p w:rsidR="00473BBE" w:rsidRDefault="00321F1C" w:rsidP="00DA6E46">
      <w:pPr>
        <w:pStyle w:val="ECBBodyText"/>
        <w:spacing w:line="480" w:lineRule="auto"/>
        <w:ind w:firstLine="720"/>
        <w:jc w:val="both"/>
        <w:rPr>
          <w:rFonts w:cs="Arial"/>
          <w:sz w:val="22"/>
        </w:rPr>
      </w:pPr>
      <w:r w:rsidRPr="001423EF">
        <w:rPr>
          <w:rFonts w:cs="Arial"/>
          <w:sz w:val="22"/>
        </w:rPr>
        <w:t>Whatever form multi-speed integration takes, it is important to analyse its complementarity with the goal of strengthening EMU, and weighing the benefits against the costs both from a purely economic and a governance perspective, particularly insofar as governance changes include costs that decrease the net benefit of advanced integration</w:t>
      </w:r>
      <w:r w:rsidR="00B543C5" w:rsidRPr="001423EF">
        <w:rPr>
          <w:rFonts w:cs="Arial"/>
          <w:sz w:val="22"/>
        </w:rPr>
        <w:t xml:space="preserve">. </w:t>
      </w:r>
      <w:r w:rsidRPr="001423EF">
        <w:rPr>
          <w:rStyle w:val="FootnoteReference"/>
          <w:rFonts w:cs="Arial"/>
          <w:sz w:val="22"/>
        </w:rPr>
        <w:footnoteReference w:id="13"/>
      </w:r>
      <w:r w:rsidRPr="001423EF">
        <w:rPr>
          <w:rFonts w:cs="Arial"/>
          <w:sz w:val="22"/>
        </w:rPr>
        <w:t xml:space="preserve">. </w:t>
      </w:r>
    </w:p>
    <w:p w:rsidR="00473BBE" w:rsidRDefault="00321F1C" w:rsidP="00DA6E46">
      <w:pPr>
        <w:pStyle w:val="ECBBodyText"/>
        <w:spacing w:line="480" w:lineRule="auto"/>
        <w:jc w:val="both"/>
        <w:rPr>
          <w:rFonts w:cs="Arial"/>
          <w:sz w:val="22"/>
        </w:rPr>
      </w:pPr>
      <w:r w:rsidRPr="001423EF">
        <w:rPr>
          <w:rFonts w:cs="Arial"/>
          <w:sz w:val="22"/>
        </w:rPr>
        <w:t>Against this backdrop and at a conceptual level, four broad criteria are used</w:t>
      </w:r>
      <w:r w:rsidR="005D32A8" w:rsidRPr="001423EF">
        <w:rPr>
          <w:rFonts w:cs="Arial"/>
          <w:sz w:val="22"/>
        </w:rPr>
        <w:t xml:space="preserve"> to assess</w:t>
      </w:r>
      <w:r w:rsidRPr="001423EF">
        <w:rPr>
          <w:rFonts w:cs="Arial"/>
          <w:sz w:val="22"/>
        </w:rPr>
        <w:t xml:space="preserve"> </w:t>
      </w:r>
      <w:r w:rsidR="00C34230" w:rsidRPr="001423EF">
        <w:rPr>
          <w:rFonts w:cs="Arial"/>
          <w:sz w:val="22"/>
        </w:rPr>
        <w:t xml:space="preserve">the </w:t>
      </w:r>
      <w:r w:rsidR="005D32A8" w:rsidRPr="001423EF">
        <w:rPr>
          <w:rFonts w:cs="Arial"/>
          <w:sz w:val="22"/>
        </w:rPr>
        <w:t>balance of benefits and costs of (intra-EMU) multi-speed integration, including implications of differentiated integration for EMU’s (1) resilience</w:t>
      </w:r>
      <w:r w:rsidR="005D32A8" w:rsidRPr="001423EF">
        <w:rPr>
          <w:rStyle w:val="FootnoteReference"/>
          <w:rFonts w:cs="Arial"/>
          <w:iCs/>
          <w:sz w:val="22"/>
        </w:rPr>
        <w:footnoteReference w:id="14"/>
      </w:r>
      <w:r w:rsidR="005D32A8" w:rsidRPr="001423EF">
        <w:rPr>
          <w:rFonts w:cs="Arial"/>
          <w:sz w:val="22"/>
        </w:rPr>
        <w:t xml:space="preserve"> (2) stability</w:t>
      </w:r>
      <w:r w:rsidR="005D32A8" w:rsidRPr="001423EF">
        <w:rPr>
          <w:rStyle w:val="FootnoteReference"/>
          <w:rFonts w:cs="Arial"/>
          <w:sz w:val="22"/>
        </w:rPr>
        <w:footnoteReference w:id="15"/>
      </w:r>
      <w:r w:rsidR="005D32A8" w:rsidRPr="001423EF">
        <w:rPr>
          <w:rFonts w:cs="Arial"/>
          <w:sz w:val="22"/>
        </w:rPr>
        <w:t xml:space="preserve"> (3) governance complexity and effectiveness and (4) political </w:t>
      </w:r>
      <w:proofErr w:type="spellStart"/>
      <w:r w:rsidR="005D32A8" w:rsidRPr="001423EF">
        <w:rPr>
          <w:rFonts w:cs="Arial"/>
          <w:sz w:val="22"/>
        </w:rPr>
        <w:t>spillovers</w:t>
      </w:r>
      <w:proofErr w:type="spellEnd"/>
      <w:r w:rsidR="005D32A8" w:rsidRPr="001423EF">
        <w:rPr>
          <w:rStyle w:val="FootnoteReference"/>
          <w:rFonts w:cs="Arial"/>
          <w:sz w:val="22"/>
        </w:rPr>
        <w:footnoteReference w:id="16"/>
      </w:r>
      <w:r w:rsidR="005D32A8" w:rsidRPr="001423EF">
        <w:rPr>
          <w:rFonts w:cs="Arial"/>
          <w:sz w:val="22"/>
        </w:rPr>
        <w:t>.</w:t>
      </w:r>
    </w:p>
    <w:p w:rsidR="00B543C5" w:rsidRPr="00473BBE" w:rsidRDefault="00B543C5" w:rsidP="00DA6E46">
      <w:pPr>
        <w:pStyle w:val="ECBBodyText"/>
        <w:spacing w:line="480" w:lineRule="auto"/>
        <w:ind w:firstLine="360"/>
        <w:jc w:val="both"/>
        <w:rPr>
          <w:rFonts w:cs="Arial"/>
          <w:sz w:val="22"/>
        </w:rPr>
      </w:pPr>
      <w:r w:rsidRPr="00B543C5">
        <w:rPr>
          <w:rFonts w:cs="Arial"/>
          <w:sz w:val="22"/>
        </w:rPr>
        <w:t xml:space="preserve">Overall, one of the key benefits of having an </w:t>
      </w:r>
      <w:proofErr w:type="spellStart"/>
      <w:r w:rsidRPr="00B543C5">
        <w:rPr>
          <w:rFonts w:cs="Arial"/>
          <w:sz w:val="22"/>
        </w:rPr>
        <w:t>avant</w:t>
      </w:r>
      <w:proofErr w:type="spellEnd"/>
      <w:r w:rsidRPr="00B543C5">
        <w:rPr>
          <w:rFonts w:cs="Arial"/>
          <w:sz w:val="22"/>
        </w:rPr>
        <w:t xml:space="preserve"> </w:t>
      </w:r>
      <w:proofErr w:type="spellStart"/>
      <w:r w:rsidRPr="00B543C5">
        <w:rPr>
          <w:rFonts w:cs="Arial"/>
          <w:sz w:val="22"/>
        </w:rPr>
        <w:t>garde</w:t>
      </w:r>
      <w:proofErr w:type="spellEnd"/>
      <w:r w:rsidRPr="00B543C5">
        <w:rPr>
          <w:rFonts w:cs="Arial"/>
          <w:sz w:val="22"/>
        </w:rPr>
        <w:t xml:space="preserve"> of </w:t>
      </w:r>
      <w:r w:rsidR="0056781C">
        <w:rPr>
          <w:rFonts w:cs="Arial"/>
          <w:sz w:val="22"/>
        </w:rPr>
        <w:t>Member States</w:t>
      </w:r>
      <w:r w:rsidRPr="00B543C5">
        <w:rPr>
          <w:rFonts w:cs="Arial"/>
          <w:sz w:val="22"/>
        </w:rPr>
        <w:t xml:space="preserve"> progressing with intra-EMU integration is that they open the path to desirable projects of EMU deepening which do not easily find (near) unanimous support and are therefore stuck, endangering the good </w:t>
      </w:r>
      <w:r w:rsidRPr="00B543C5">
        <w:rPr>
          <w:rFonts w:cs="Arial"/>
          <w:sz w:val="22"/>
        </w:rPr>
        <w:lastRenderedPageBreak/>
        <w:t xml:space="preserve">functioning of EMU. As regards resilience and stability specifically, much would depend on whether the enhanced cooperation leads to the application of new ambitious benchmarks for the participating countries, i.e. convergence towards the top performers, and whether the cooperation enables the participating countries to better achieve the economic, fiscal and financial policy goals of the existing governance framework, notably the SGP, the MIP and the CSRs.  </w:t>
      </w:r>
      <w:r w:rsidRPr="001423EF">
        <w:rPr>
          <w:rFonts w:cs="Arial"/>
          <w:sz w:val="22"/>
        </w:rPr>
        <w:t>Another cost-benefit factor of a “multi-speed” scenario could entail a number of detractions in terms of decision-making structures or political tensions.</w:t>
      </w:r>
      <w:r w:rsidRPr="007E3671">
        <w:rPr>
          <w:rFonts w:cs="Arial"/>
          <w:b/>
          <w:sz w:val="22"/>
        </w:rPr>
        <w:t xml:space="preserve"> </w:t>
      </w:r>
    </w:p>
    <w:p w:rsidR="00FC308D" w:rsidRPr="00410965" w:rsidRDefault="007446B6" w:rsidP="00410965">
      <w:pPr>
        <w:pStyle w:val="ListParagraph"/>
        <w:numPr>
          <w:ilvl w:val="0"/>
          <w:numId w:val="21"/>
        </w:numPr>
        <w:spacing w:line="480" w:lineRule="auto"/>
        <w:rPr>
          <w:rFonts w:cs="Arial"/>
          <w:b/>
          <w:sz w:val="22"/>
        </w:rPr>
      </w:pPr>
      <w:r w:rsidRPr="00410965">
        <w:rPr>
          <w:rFonts w:cs="Arial"/>
          <w:b/>
          <w:sz w:val="22"/>
        </w:rPr>
        <w:t xml:space="preserve">Literature </w:t>
      </w:r>
      <w:r w:rsidR="003A4807" w:rsidRPr="00410965">
        <w:rPr>
          <w:rFonts w:cs="Arial"/>
          <w:b/>
          <w:sz w:val="22"/>
        </w:rPr>
        <w:t xml:space="preserve">review </w:t>
      </w:r>
    </w:p>
    <w:p w:rsidR="00CB050F" w:rsidRPr="007E3671" w:rsidRDefault="00CB050F" w:rsidP="00DA6E46">
      <w:pPr>
        <w:spacing w:line="480" w:lineRule="auto"/>
        <w:jc w:val="both"/>
        <w:rPr>
          <w:sz w:val="22"/>
        </w:rPr>
      </w:pPr>
      <w:r w:rsidRPr="007E3671">
        <w:rPr>
          <w:sz w:val="22"/>
        </w:rPr>
        <w:t xml:space="preserve">Building on </w:t>
      </w:r>
      <w:proofErr w:type="spellStart"/>
      <w:r w:rsidRPr="007E3671">
        <w:rPr>
          <w:sz w:val="22"/>
        </w:rPr>
        <w:t>Stubb</w:t>
      </w:r>
      <w:proofErr w:type="spellEnd"/>
      <w:r w:rsidRPr="007E3671">
        <w:rPr>
          <w:sz w:val="22"/>
        </w:rPr>
        <w:t xml:space="preserve"> (1996), the literature generally discusses three categories of multispeed integration according to the variables considered: multi speed (time), variable geometry (space) and a la carte (matter, also called “functional differentiation”) (see also </w:t>
      </w:r>
      <w:proofErr w:type="spellStart"/>
      <w:r w:rsidRPr="007E3671">
        <w:rPr>
          <w:sz w:val="22"/>
        </w:rPr>
        <w:t>Warleigh</w:t>
      </w:r>
      <w:proofErr w:type="spellEnd"/>
      <w:r w:rsidRPr="007E3671">
        <w:rPr>
          <w:sz w:val="22"/>
        </w:rPr>
        <w:t xml:space="preserve"> 2002). While in the first case, member states decide to pursue the same policies at different times, the second option allows permanent separation between a core of countries and less integrated ones. The third category allows each member states to pick and choose in which policy area it would like to participate, while at the same time maintain a minimum number of common objectives. </w:t>
      </w:r>
    </w:p>
    <w:p w:rsidR="00CB050F" w:rsidRPr="007E3671" w:rsidRDefault="00CB050F" w:rsidP="00DA6E46">
      <w:pPr>
        <w:spacing w:line="480" w:lineRule="auto"/>
        <w:ind w:firstLine="360"/>
        <w:jc w:val="both"/>
        <w:rPr>
          <w:sz w:val="22"/>
        </w:rPr>
      </w:pPr>
      <w:r w:rsidRPr="007E3671">
        <w:rPr>
          <w:sz w:val="22"/>
        </w:rPr>
        <w:t xml:space="preserve">The crisis reinforced a differentiated form of integration even further (see </w:t>
      </w:r>
      <w:proofErr w:type="spellStart"/>
      <w:r w:rsidRPr="007E3671">
        <w:rPr>
          <w:sz w:val="22"/>
        </w:rPr>
        <w:t>Schweiger</w:t>
      </w:r>
      <w:proofErr w:type="spellEnd"/>
      <w:r w:rsidRPr="007E3671">
        <w:rPr>
          <w:sz w:val="22"/>
        </w:rPr>
        <w:t xml:space="preserve"> &amp; </w:t>
      </w:r>
      <w:proofErr w:type="spellStart"/>
      <w:r w:rsidRPr="007E3671">
        <w:rPr>
          <w:sz w:val="22"/>
        </w:rPr>
        <w:t>Magone</w:t>
      </w:r>
      <w:proofErr w:type="spellEnd"/>
      <w:r w:rsidRPr="007E3671">
        <w:rPr>
          <w:sz w:val="22"/>
        </w:rPr>
        <w:t xml:space="preserve"> 2014). Prior to the crisis, much of the discussion of differentiated integration focused on the process as one of different speeds (</w:t>
      </w:r>
      <w:proofErr w:type="spellStart"/>
      <w:r w:rsidRPr="007E3671">
        <w:rPr>
          <w:sz w:val="22"/>
        </w:rPr>
        <w:t>Piris</w:t>
      </w:r>
      <w:proofErr w:type="spellEnd"/>
      <w:r w:rsidRPr="007E3671">
        <w:rPr>
          <w:sz w:val="22"/>
        </w:rPr>
        <w:t xml:space="preserve"> 2012). The measures of reform taken by the EU to rescue the </w:t>
      </w:r>
      <w:proofErr w:type="spellStart"/>
      <w:r w:rsidRPr="007E3671">
        <w:rPr>
          <w:sz w:val="22"/>
        </w:rPr>
        <w:t>eurozone</w:t>
      </w:r>
      <w:proofErr w:type="spellEnd"/>
      <w:r w:rsidRPr="007E3671">
        <w:rPr>
          <w:sz w:val="22"/>
        </w:rPr>
        <w:t xml:space="preserve"> and to remedy some of its deficits deepen the gap between the euro countries and the rest of the EU. In a sense, the crisis challenged the idea of an underlying trajectory towards more uniform forms of integration (</w:t>
      </w:r>
      <w:proofErr w:type="spellStart"/>
      <w:r w:rsidRPr="007E3671">
        <w:rPr>
          <w:sz w:val="22"/>
        </w:rPr>
        <w:t>Fossum</w:t>
      </w:r>
      <w:proofErr w:type="spellEnd"/>
      <w:r w:rsidRPr="007E3671">
        <w:rPr>
          <w:sz w:val="22"/>
        </w:rPr>
        <w:t xml:space="preserve"> 2015). Even if the responses to the crisis have led to more integration, far from all states are included. It is argued that the post-crisis EU would combine accelerated integration for some, outright disintegration for others and greater differentiation in commitments to policies and institutions for all (</w:t>
      </w:r>
      <w:proofErr w:type="spellStart"/>
      <w:r w:rsidRPr="007E3671">
        <w:rPr>
          <w:sz w:val="22"/>
        </w:rPr>
        <w:t>Fossum</w:t>
      </w:r>
      <w:proofErr w:type="spellEnd"/>
      <w:r w:rsidRPr="007E3671">
        <w:rPr>
          <w:sz w:val="22"/>
        </w:rPr>
        <w:t xml:space="preserve"> 2015). </w:t>
      </w:r>
      <w:proofErr w:type="spellStart"/>
      <w:r w:rsidRPr="007E3671">
        <w:rPr>
          <w:sz w:val="22"/>
        </w:rPr>
        <w:t>Leruth</w:t>
      </w:r>
      <w:proofErr w:type="spellEnd"/>
      <w:r w:rsidRPr="007E3671">
        <w:rPr>
          <w:sz w:val="22"/>
        </w:rPr>
        <w:t xml:space="preserve"> &amp; </w:t>
      </w:r>
      <w:r w:rsidRPr="007E3671">
        <w:rPr>
          <w:sz w:val="22"/>
        </w:rPr>
        <w:lastRenderedPageBreak/>
        <w:t>Lord (2015) argue that differentiated integration “seems to be a permanent, organisational principle of the Union, grounded in a need to manage divisions and disagreements that just do not go away.”</w:t>
      </w:r>
    </w:p>
    <w:p w:rsidR="003619B6" w:rsidRPr="00B543C5" w:rsidRDefault="00B543C5" w:rsidP="00DA6E46">
      <w:pPr>
        <w:pStyle w:val="ListParagraph"/>
        <w:numPr>
          <w:ilvl w:val="1"/>
          <w:numId w:val="19"/>
        </w:numPr>
        <w:spacing w:line="480" w:lineRule="auto"/>
        <w:jc w:val="both"/>
        <w:rPr>
          <w:rFonts w:cs="Arial"/>
          <w:b/>
          <w:sz w:val="22"/>
        </w:rPr>
      </w:pPr>
      <w:r w:rsidRPr="00B543C5">
        <w:rPr>
          <w:rFonts w:cs="Arial"/>
          <w:b/>
          <w:sz w:val="22"/>
        </w:rPr>
        <w:t xml:space="preserve">Differentiated integration and </w:t>
      </w:r>
      <w:r w:rsidR="003619B6" w:rsidRPr="00B543C5">
        <w:rPr>
          <w:rFonts w:cs="Arial"/>
          <w:b/>
          <w:sz w:val="22"/>
        </w:rPr>
        <w:t>EMU</w:t>
      </w:r>
    </w:p>
    <w:p w:rsidR="003619B6" w:rsidRPr="007E3671" w:rsidRDefault="003619B6" w:rsidP="00DA6E46">
      <w:pPr>
        <w:spacing w:line="480" w:lineRule="auto"/>
        <w:jc w:val="both"/>
        <w:rPr>
          <w:sz w:val="22"/>
        </w:rPr>
      </w:pPr>
      <w:r w:rsidRPr="007E3671">
        <w:rPr>
          <w:sz w:val="22"/>
        </w:rPr>
        <w:t>Together with Schengen, the EMU is widely considered the textbook example of differentiate integration: especially after the crisis, the 18 Euro countries have intensified their fiscal co-ordination, agreed a banking union and established shared bail-out funds, they meet in their own Council, and they may, in the future, also have their own budget (</w:t>
      </w:r>
      <w:proofErr w:type="spellStart"/>
      <w:r w:rsidRPr="007E3671">
        <w:rPr>
          <w:sz w:val="22"/>
        </w:rPr>
        <w:t>Leruth</w:t>
      </w:r>
      <w:proofErr w:type="spellEnd"/>
      <w:r w:rsidRPr="007E3671">
        <w:rPr>
          <w:sz w:val="22"/>
        </w:rPr>
        <w:t xml:space="preserve"> &amp; Lord 2015). Many analysts noted that the crisis reinforced differentiated integration, where the centralization of authority and its territorial scope vary strongly across policies (</w:t>
      </w:r>
      <w:proofErr w:type="spellStart"/>
      <w:r w:rsidRPr="007E3671">
        <w:rPr>
          <w:sz w:val="22"/>
        </w:rPr>
        <w:t>Leuffen</w:t>
      </w:r>
      <w:proofErr w:type="spellEnd"/>
      <w:r w:rsidRPr="007E3671">
        <w:rPr>
          <w:sz w:val="22"/>
        </w:rPr>
        <w:t xml:space="preserve"> et al. 2013). According to some, EMU reform has been a source of “ever greater disunion” between member states (</w:t>
      </w:r>
      <w:proofErr w:type="spellStart"/>
      <w:r w:rsidRPr="007E3671">
        <w:rPr>
          <w:sz w:val="22"/>
        </w:rPr>
        <w:t>Leruth</w:t>
      </w:r>
      <w:proofErr w:type="spellEnd"/>
      <w:r w:rsidRPr="007E3671">
        <w:rPr>
          <w:sz w:val="22"/>
        </w:rPr>
        <w:t xml:space="preserve"> &amp; Lord 2015). </w:t>
      </w:r>
      <w:proofErr w:type="spellStart"/>
      <w:r w:rsidRPr="007E3671">
        <w:rPr>
          <w:sz w:val="22"/>
        </w:rPr>
        <w:t>Puetter</w:t>
      </w:r>
      <w:proofErr w:type="spellEnd"/>
      <w:r w:rsidRPr="007E3671">
        <w:rPr>
          <w:sz w:val="22"/>
        </w:rPr>
        <w:t xml:space="preserve"> (2006) highlights increasing exclusion of euro-outsiders, in particular with the creation of the </w:t>
      </w:r>
      <w:proofErr w:type="spellStart"/>
      <w:r w:rsidRPr="007E3671">
        <w:rPr>
          <w:sz w:val="22"/>
        </w:rPr>
        <w:t>Eurogroup</w:t>
      </w:r>
      <w:proofErr w:type="spellEnd"/>
    </w:p>
    <w:p w:rsidR="003619B6" w:rsidRPr="007E3671" w:rsidRDefault="003619B6" w:rsidP="00DA6E46">
      <w:pPr>
        <w:spacing w:line="480" w:lineRule="auto"/>
        <w:ind w:firstLine="720"/>
        <w:jc w:val="both"/>
        <w:rPr>
          <w:sz w:val="22"/>
        </w:rPr>
      </w:pPr>
      <w:proofErr w:type="spellStart"/>
      <w:r w:rsidRPr="007E3671">
        <w:rPr>
          <w:sz w:val="22"/>
        </w:rPr>
        <w:t>Emmanoulidis</w:t>
      </w:r>
      <w:proofErr w:type="spellEnd"/>
      <w:r w:rsidRPr="007E3671">
        <w:rPr>
          <w:sz w:val="22"/>
        </w:rPr>
        <w:t xml:space="preserve"> (2017) argue that the future EMU reforms will require a higher level of differentiation between Euro and non-Euro countries. However, instead of creating a closed core Europe and a two-tier Europe, the author argues that the EU should adhere to the notion of functional-pragmatic differentiation, following the logic and principle of an intergovernmental avant-garde. The option of (1) a permanent core Europe is problematic as long as the 19 countries are very heterogeneous, lack political cohesion, and have very different views on the future of the </w:t>
      </w:r>
      <w:proofErr w:type="gramStart"/>
      <w:r w:rsidRPr="007E3671">
        <w:rPr>
          <w:sz w:val="22"/>
        </w:rPr>
        <w:t>E(</w:t>
      </w:r>
      <w:proofErr w:type="gramEnd"/>
      <w:r w:rsidRPr="007E3671">
        <w:rPr>
          <w:sz w:val="22"/>
        </w:rPr>
        <w:t xml:space="preserve">M)U. While a (2) functional-pragmatic differentiation within the EU framework is desirable, experience has shown that closer cooperation needs in some cases – as an ultima ratio – to be organized outside the EU framework to make a step forward instead of waiting indefinitely for a small step inside the Union. However, the agreements outside the EU framework should follow the logic and principles of an (3) intergovernmental avant-garde, </w:t>
      </w:r>
      <w:r w:rsidRPr="007E3671">
        <w:rPr>
          <w:sz w:val="22"/>
        </w:rPr>
        <w:lastRenderedPageBreak/>
        <w:t xml:space="preserve">meaning that intergovernmental cooperation is open to all EU countries, involves a strong role for EU institutions, avoids the creation of parallel institutional structures, and aims to integrate the legal norms adopted outside the EU into the Union’s legal framework at the earliest possible moments. </w:t>
      </w:r>
    </w:p>
    <w:p w:rsidR="003619B6" w:rsidRPr="007E3671" w:rsidRDefault="003619B6" w:rsidP="00DA6E46">
      <w:pPr>
        <w:spacing w:line="480" w:lineRule="auto"/>
        <w:ind w:firstLine="720"/>
        <w:jc w:val="both"/>
        <w:rPr>
          <w:sz w:val="22"/>
        </w:rPr>
      </w:pPr>
      <w:r w:rsidRPr="007E3671">
        <w:rPr>
          <w:sz w:val="22"/>
        </w:rPr>
        <w:t xml:space="preserve">Van den </w:t>
      </w:r>
      <w:proofErr w:type="spellStart"/>
      <w:r w:rsidRPr="007E3671">
        <w:rPr>
          <w:sz w:val="22"/>
        </w:rPr>
        <w:t>Bogaert</w:t>
      </w:r>
      <w:proofErr w:type="spellEnd"/>
      <w:r w:rsidRPr="007E3671">
        <w:rPr>
          <w:sz w:val="22"/>
        </w:rPr>
        <w:t xml:space="preserve"> and Borger (2017) argue that the importance of differentiation for EMU reaches far beyond the issue of membership (i.e. euro area vs. non-euro area), manifesting itself in participation, policy goals and instruments as well as in law. Considering these various manifestations of differentiation, a complex picture emerges of a series of legal norms, adopted both inside and outside the formal treaty framework, not invariably applicable to all Member States, and created to achieve a plurality of aims, in particular price and financial stability. The authors conclude that differentiation is not something static, but it evolves and develops over time and that the Union possesses a unique transformative capacity, whose primary example is given by the reaction to the debt crisis. On a similar note, </w:t>
      </w:r>
      <w:proofErr w:type="spellStart"/>
      <w:r w:rsidRPr="007E3671">
        <w:rPr>
          <w:sz w:val="22"/>
        </w:rPr>
        <w:t>Beukers</w:t>
      </w:r>
      <w:proofErr w:type="spellEnd"/>
      <w:r w:rsidRPr="007E3671">
        <w:rPr>
          <w:sz w:val="22"/>
        </w:rPr>
        <w:t xml:space="preserve"> (2013), discusses several new forms of differentiated integration developed in reaction to the Eurozone crisis, including the Two-Pack, the ESM Treaty and the Fiscal Compact and concludes that in the absence of an increased legitimacy of democratic politics at the level of the European Union, the most important legitimacy source remains at the level of national democracy and parliaments.</w:t>
      </w:r>
    </w:p>
    <w:p w:rsidR="003619B6" w:rsidRDefault="003619B6" w:rsidP="00DA6E46">
      <w:pPr>
        <w:spacing w:line="480" w:lineRule="auto"/>
        <w:ind w:firstLine="360"/>
        <w:jc w:val="both"/>
        <w:rPr>
          <w:sz w:val="22"/>
        </w:rPr>
      </w:pPr>
      <w:proofErr w:type="spellStart"/>
      <w:r w:rsidRPr="007E3671">
        <w:rPr>
          <w:sz w:val="22"/>
        </w:rPr>
        <w:t>Piekutowska</w:t>
      </w:r>
      <w:proofErr w:type="spellEnd"/>
      <w:r w:rsidRPr="007E3671">
        <w:rPr>
          <w:sz w:val="22"/>
        </w:rPr>
        <w:t xml:space="preserve"> &amp; </w:t>
      </w:r>
      <w:proofErr w:type="spellStart"/>
      <w:r w:rsidRPr="007E3671">
        <w:rPr>
          <w:sz w:val="22"/>
        </w:rPr>
        <w:t>Kuzelewska</w:t>
      </w:r>
      <w:proofErr w:type="spellEnd"/>
      <w:r w:rsidRPr="007E3671">
        <w:rPr>
          <w:sz w:val="22"/>
        </w:rPr>
        <w:t xml:space="preserve"> (2015) explore differentiated integration in the EMU framework and presents the consequences for the countries outside the hard core of currency integration. Those countries subject to temporary derogation will be bound to the full EMU acquis, without participating in the decision-making process concerning the Eurozone. According to the authors, the numerous regulations issued in response to the crisis reflect a certain dissymmetry between the states within the hard core of economic and monetary integration and the other EU states.</w:t>
      </w:r>
    </w:p>
    <w:p w:rsidR="00305965" w:rsidRDefault="00305965" w:rsidP="00DA6E46">
      <w:pPr>
        <w:spacing w:line="480" w:lineRule="auto"/>
        <w:ind w:firstLine="360"/>
        <w:jc w:val="both"/>
        <w:rPr>
          <w:sz w:val="22"/>
        </w:rPr>
      </w:pPr>
    </w:p>
    <w:p w:rsidR="00B543C5" w:rsidRPr="007E3671" w:rsidRDefault="00B543C5" w:rsidP="00DA6E46">
      <w:pPr>
        <w:pStyle w:val="ListParagraph"/>
        <w:numPr>
          <w:ilvl w:val="1"/>
          <w:numId w:val="19"/>
        </w:numPr>
        <w:spacing w:line="480" w:lineRule="auto"/>
        <w:jc w:val="both"/>
        <w:rPr>
          <w:b/>
          <w:sz w:val="22"/>
        </w:rPr>
      </w:pPr>
      <w:r w:rsidRPr="007E3671">
        <w:rPr>
          <w:b/>
          <w:sz w:val="22"/>
        </w:rPr>
        <w:lastRenderedPageBreak/>
        <w:t xml:space="preserve">Benefits and costs </w:t>
      </w:r>
      <w:r>
        <w:rPr>
          <w:b/>
          <w:sz w:val="22"/>
        </w:rPr>
        <w:t xml:space="preserve">of differentiated integration </w:t>
      </w:r>
    </w:p>
    <w:p w:rsidR="001423EF" w:rsidRDefault="001423EF" w:rsidP="00DA6E46">
      <w:pPr>
        <w:spacing w:line="480" w:lineRule="auto"/>
        <w:jc w:val="both"/>
        <w:rPr>
          <w:sz w:val="22"/>
        </w:rPr>
      </w:pPr>
      <w:r>
        <w:rPr>
          <w:sz w:val="22"/>
        </w:rPr>
        <w:t>Overall, the literature thus identifies three main drivers that determine the benefits and costs of multi-speed integration, notably</w:t>
      </w:r>
    </w:p>
    <w:p w:rsidR="001423EF" w:rsidRDefault="001423EF" w:rsidP="00DA6E46">
      <w:pPr>
        <w:spacing w:line="480" w:lineRule="auto"/>
        <w:ind w:firstLine="720"/>
        <w:jc w:val="both"/>
        <w:rPr>
          <w:sz w:val="22"/>
        </w:rPr>
      </w:pPr>
      <w:r w:rsidRPr="0028621F">
        <w:rPr>
          <w:i/>
          <w:sz w:val="22"/>
          <w:u w:val="single"/>
        </w:rPr>
        <w:t>Networking effects</w:t>
      </w:r>
      <w:r>
        <w:rPr>
          <w:i/>
          <w:sz w:val="22"/>
        </w:rPr>
        <w:t>:</w:t>
      </w:r>
      <w:r w:rsidRPr="001423EF">
        <w:rPr>
          <w:sz w:val="22"/>
        </w:rPr>
        <w:t xml:space="preserve"> </w:t>
      </w:r>
      <w:r>
        <w:rPr>
          <w:sz w:val="22"/>
        </w:rPr>
        <w:t>One set of</w:t>
      </w:r>
      <w:r w:rsidRPr="007E3671">
        <w:rPr>
          <w:sz w:val="22"/>
        </w:rPr>
        <w:t xml:space="preserve"> literature looks at whether a larger participation to EMU (i.e. less differentiation) would be beneficial or not. </w:t>
      </w:r>
      <w:proofErr w:type="spellStart"/>
      <w:r w:rsidRPr="007E3671">
        <w:rPr>
          <w:sz w:val="22"/>
        </w:rPr>
        <w:t>Piekutowska</w:t>
      </w:r>
      <w:proofErr w:type="spellEnd"/>
      <w:r w:rsidRPr="007E3671">
        <w:rPr>
          <w:sz w:val="22"/>
        </w:rPr>
        <w:t xml:space="preserve"> &amp; </w:t>
      </w:r>
      <w:proofErr w:type="spellStart"/>
      <w:r w:rsidRPr="007E3671">
        <w:rPr>
          <w:sz w:val="22"/>
        </w:rPr>
        <w:t>Kuzelewska</w:t>
      </w:r>
      <w:proofErr w:type="spellEnd"/>
      <w:r w:rsidRPr="007E3671">
        <w:rPr>
          <w:sz w:val="22"/>
        </w:rPr>
        <w:t xml:space="preserve"> (2015) summarize the arguments in favour of a more inclusive EMU: the larger the number of the states within the EMU, the lower the transaction costs of introducing the new single currency, the higher the expected dynamics of economic growth (due to increased competition within the common currency area), and the greater the international importance of the euro.</w:t>
      </w:r>
    </w:p>
    <w:p w:rsidR="001423EF" w:rsidRPr="007E3671" w:rsidRDefault="001423EF" w:rsidP="00DA6E46">
      <w:pPr>
        <w:spacing w:line="480" w:lineRule="auto"/>
        <w:ind w:firstLine="720"/>
        <w:jc w:val="both"/>
        <w:rPr>
          <w:sz w:val="22"/>
        </w:rPr>
      </w:pPr>
      <w:r w:rsidRPr="0028621F">
        <w:rPr>
          <w:i/>
          <w:sz w:val="22"/>
          <w:u w:val="single"/>
        </w:rPr>
        <w:t>Free-riding effects</w:t>
      </w:r>
      <w:r>
        <w:rPr>
          <w:i/>
          <w:sz w:val="22"/>
        </w:rPr>
        <w:t xml:space="preserve">: </w:t>
      </w:r>
      <w:r w:rsidRPr="007E3671">
        <w:rPr>
          <w:sz w:val="22"/>
        </w:rPr>
        <w:t>A set of the literature looks at why member states pursue multispeed integration in some areas, but not in others (</w:t>
      </w:r>
      <w:proofErr w:type="spellStart"/>
      <w:r w:rsidRPr="007E3671">
        <w:rPr>
          <w:sz w:val="22"/>
        </w:rPr>
        <w:t>Harstad</w:t>
      </w:r>
      <w:proofErr w:type="spellEnd"/>
      <w:r w:rsidRPr="007E3671">
        <w:rPr>
          <w:sz w:val="22"/>
        </w:rPr>
        <w:t xml:space="preserve"> 2006; </w:t>
      </w:r>
      <w:proofErr w:type="spellStart"/>
      <w:r w:rsidRPr="007E3671">
        <w:rPr>
          <w:sz w:val="22"/>
        </w:rPr>
        <w:t>Koelliker</w:t>
      </w:r>
      <w:proofErr w:type="spellEnd"/>
      <w:r w:rsidRPr="007E3671">
        <w:rPr>
          <w:sz w:val="22"/>
        </w:rPr>
        <w:t xml:space="preserve"> 2006; </w:t>
      </w:r>
      <w:proofErr w:type="spellStart"/>
      <w:r w:rsidRPr="007E3671">
        <w:rPr>
          <w:sz w:val="22"/>
        </w:rPr>
        <w:t>Labeta</w:t>
      </w:r>
      <w:proofErr w:type="spellEnd"/>
      <w:r w:rsidRPr="007E3671">
        <w:rPr>
          <w:sz w:val="22"/>
        </w:rPr>
        <w:t xml:space="preserve"> 2009). </w:t>
      </w:r>
      <w:proofErr w:type="spellStart"/>
      <w:r w:rsidRPr="007E3671">
        <w:rPr>
          <w:sz w:val="22"/>
        </w:rPr>
        <w:t>Koelliker</w:t>
      </w:r>
      <w:proofErr w:type="spellEnd"/>
      <w:r w:rsidRPr="007E3671">
        <w:rPr>
          <w:sz w:val="22"/>
        </w:rPr>
        <w:t xml:space="preserve"> (2006) see that multispeed integration is less likely in policy areas that handle public goods where common pool resource problems are likely to arise, as there is little incentive to form a core in the first place. Consistently with Olson’s theory of collective action, when it is possible to prevent outsiders from free-riding, core states desiring deeper integration have a stronger incentive to co-operate, while member states outside the core have a stronger incentive to eventually join the core (</w:t>
      </w:r>
      <w:proofErr w:type="spellStart"/>
      <w:r w:rsidRPr="007E3671">
        <w:rPr>
          <w:sz w:val="22"/>
        </w:rPr>
        <w:t>Koelliker</w:t>
      </w:r>
      <w:proofErr w:type="spellEnd"/>
      <w:r w:rsidRPr="007E3671">
        <w:rPr>
          <w:sz w:val="22"/>
        </w:rPr>
        <w:t xml:space="preserve"> 2006).</w:t>
      </w:r>
      <w:r>
        <w:rPr>
          <w:sz w:val="22"/>
        </w:rPr>
        <w:t xml:space="preserve"> </w:t>
      </w:r>
    </w:p>
    <w:p w:rsidR="001423EF" w:rsidRDefault="001423EF" w:rsidP="00DA6E46">
      <w:pPr>
        <w:spacing w:line="480" w:lineRule="auto"/>
        <w:ind w:firstLine="720"/>
        <w:jc w:val="both"/>
        <w:rPr>
          <w:sz w:val="22"/>
        </w:rPr>
      </w:pPr>
      <w:r w:rsidRPr="0028621F">
        <w:rPr>
          <w:i/>
          <w:sz w:val="22"/>
          <w:u w:val="single"/>
        </w:rPr>
        <w:t>Bandwagon effects</w:t>
      </w:r>
      <w:r>
        <w:rPr>
          <w:i/>
          <w:sz w:val="22"/>
        </w:rPr>
        <w:t xml:space="preserve">: </w:t>
      </w:r>
      <w:r>
        <w:rPr>
          <w:sz w:val="22"/>
        </w:rPr>
        <w:t xml:space="preserve">A third set of literature looks at the probability of catch-up by the Member States not in the </w:t>
      </w:r>
      <w:proofErr w:type="spellStart"/>
      <w:r>
        <w:rPr>
          <w:sz w:val="22"/>
        </w:rPr>
        <w:t>avant</w:t>
      </w:r>
      <w:proofErr w:type="spellEnd"/>
      <w:r>
        <w:rPr>
          <w:sz w:val="22"/>
        </w:rPr>
        <w:t xml:space="preserve"> </w:t>
      </w:r>
      <w:proofErr w:type="spellStart"/>
      <w:r>
        <w:rPr>
          <w:sz w:val="22"/>
        </w:rPr>
        <w:t>guarde</w:t>
      </w:r>
      <w:proofErr w:type="spellEnd"/>
      <w:r>
        <w:rPr>
          <w:sz w:val="22"/>
        </w:rPr>
        <w:t xml:space="preserve">. For example, </w:t>
      </w:r>
      <w:proofErr w:type="spellStart"/>
      <w:r w:rsidRPr="007E3671">
        <w:rPr>
          <w:sz w:val="22"/>
        </w:rPr>
        <w:t>Schimmelfennig</w:t>
      </w:r>
      <w:proofErr w:type="spellEnd"/>
      <w:r w:rsidRPr="007E3671">
        <w:rPr>
          <w:sz w:val="22"/>
        </w:rPr>
        <w:t xml:space="preserve"> (2016) looks at differentiation in European banking regulation and finds that the banking union constitutes not only a major advance in supranational economic integration but also increases differentiated integration among the member states of the European Union. He explains the variation in participation as a result of path-dependency arising from the original differentiation between euro area countries and the rest of the EU. In the euro crisis, these two groups of member </w:t>
      </w:r>
      <w:r w:rsidRPr="007E3671">
        <w:rPr>
          <w:sz w:val="22"/>
        </w:rPr>
        <w:lastRenderedPageBreak/>
        <w:t>states were subject to differential pressure to integrate further. In addition, the banking union reinforced the causes that had led to the original differentiation of the monetary union. This path-dependency overrides variation in sector-specific economic interests, governance capacity, and policy paradigms that might otherwise explain governmental preferences in banking regulation.</w:t>
      </w:r>
    </w:p>
    <w:p w:rsidR="001423EF" w:rsidRPr="007E3671" w:rsidRDefault="001423EF" w:rsidP="00DA6E46">
      <w:pPr>
        <w:spacing w:line="480" w:lineRule="auto"/>
        <w:ind w:firstLine="360"/>
        <w:jc w:val="both"/>
        <w:rPr>
          <w:sz w:val="22"/>
        </w:rPr>
      </w:pPr>
      <w:proofErr w:type="spellStart"/>
      <w:r w:rsidRPr="007E3671">
        <w:rPr>
          <w:sz w:val="22"/>
        </w:rPr>
        <w:t>Winzen</w:t>
      </w:r>
      <w:proofErr w:type="spellEnd"/>
      <w:r w:rsidRPr="007E3671">
        <w:rPr>
          <w:sz w:val="22"/>
        </w:rPr>
        <w:t xml:space="preserve"> and </w:t>
      </w:r>
      <w:proofErr w:type="spellStart"/>
      <w:r w:rsidRPr="007E3671">
        <w:rPr>
          <w:sz w:val="22"/>
        </w:rPr>
        <w:t>Schlimmelfennig</w:t>
      </w:r>
      <w:proofErr w:type="spellEnd"/>
      <w:r w:rsidRPr="007E3671">
        <w:rPr>
          <w:sz w:val="22"/>
        </w:rPr>
        <w:t xml:space="preserve"> (2016, 2014) </w:t>
      </w:r>
      <w:r>
        <w:rPr>
          <w:sz w:val="22"/>
        </w:rPr>
        <w:t>identify</w:t>
      </w:r>
      <w:r w:rsidRPr="007E3671">
        <w:rPr>
          <w:sz w:val="22"/>
        </w:rPr>
        <w:t xml:space="preserve"> that treaty (deepening) and accession (enlargement) differentiation follow different logics. Threating to block deeper integration, member states with strong national identities secure differentiations in treaty </w:t>
      </w:r>
      <w:proofErr w:type="gramStart"/>
      <w:r w:rsidRPr="007E3671">
        <w:rPr>
          <w:sz w:val="22"/>
        </w:rPr>
        <w:t>reform,</w:t>
      </w:r>
      <w:proofErr w:type="gramEnd"/>
      <w:r w:rsidRPr="007E3671">
        <w:rPr>
          <w:sz w:val="22"/>
        </w:rPr>
        <w:t xml:space="preserve"> while in enlargement old member states fear economic disadvantages and low administrative capacity and therefore impose differentiation on poor newcomers (i.e. EU excludes new member states from immediate participation in Schengen and monetary union).</w:t>
      </w:r>
      <w:r>
        <w:rPr>
          <w:sz w:val="22"/>
        </w:rPr>
        <w:t xml:space="preserve"> </w:t>
      </w:r>
      <w:proofErr w:type="spellStart"/>
      <w:r w:rsidRPr="007E3671">
        <w:rPr>
          <w:sz w:val="22"/>
        </w:rPr>
        <w:t>Schimmelfennig</w:t>
      </w:r>
      <w:proofErr w:type="spellEnd"/>
      <w:r w:rsidRPr="007E3671">
        <w:rPr>
          <w:sz w:val="22"/>
        </w:rPr>
        <w:t xml:space="preserve"> &amp; </w:t>
      </w:r>
      <w:proofErr w:type="spellStart"/>
      <w:r w:rsidRPr="007E3671">
        <w:rPr>
          <w:sz w:val="22"/>
        </w:rPr>
        <w:t>Winzen</w:t>
      </w:r>
      <w:proofErr w:type="spellEnd"/>
      <w:r w:rsidRPr="007E3671">
        <w:rPr>
          <w:sz w:val="22"/>
        </w:rPr>
        <w:t xml:space="preserve"> (2019) look at favourable and unfavourable conditions for differentiated integration and find that wealthier governments are more likely to realize their demand for differentiation, prior differentiation generates or facilitates subsequent differentiation and strong Eurosceptic parties increase the probability of differentiation integration. </w:t>
      </w:r>
    </w:p>
    <w:p w:rsidR="001423EF" w:rsidRPr="001423EF" w:rsidRDefault="001423EF" w:rsidP="00DA6E46">
      <w:pPr>
        <w:spacing w:line="480" w:lineRule="auto"/>
        <w:jc w:val="both"/>
        <w:rPr>
          <w:sz w:val="22"/>
        </w:rPr>
      </w:pPr>
    </w:p>
    <w:p w:rsidR="001423EF" w:rsidRDefault="001423EF" w:rsidP="00DA6E46">
      <w:pPr>
        <w:pStyle w:val="ListParagraph"/>
        <w:numPr>
          <w:ilvl w:val="1"/>
          <w:numId w:val="19"/>
        </w:numPr>
        <w:spacing w:line="480" w:lineRule="auto"/>
        <w:jc w:val="both"/>
        <w:rPr>
          <w:b/>
          <w:sz w:val="22"/>
        </w:rPr>
      </w:pPr>
      <w:r>
        <w:rPr>
          <w:b/>
          <w:sz w:val="22"/>
        </w:rPr>
        <w:t xml:space="preserve">Open questions in the literature on multi-speed integration in EMU </w:t>
      </w:r>
    </w:p>
    <w:p w:rsidR="00C03F67" w:rsidRPr="007E3671" w:rsidRDefault="001423EF" w:rsidP="00DA6E46">
      <w:pPr>
        <w:spacing w:line="480" w:lineRule="auto"/>
        <w:jc w:val="both"/>
        <w:rPr>
          <w:rFonts w:cs="Arial"/>
          <w:b/>
          <w:sz w:val="22"/>
        </w:rPr>
      </w:pPr>
      <w:r>
        <w:rPr>
          <w:sz w:val="22"/>
        </w:rPr>
        <w:t xml:space="preserve">All in all, the literature does not look in depth at two dimensions of differentiated integration with bearing on EMU. The first dimension is what happens if there is more integration in a key financial, fiscal or economic policy area </w:t>
      </w:r>
      <w:r>
        <w:rPr>
          <w:i/>
          <w:sz w:val="22"/>
        </w:rPr>
        <w:t xml:space="preserve">within </w:t>
      </w:r>
      <w:r>
        <w:rPr>
          <w:sz w:val="22"/>
        </w:rPr>
        <w:t>the euro area. Most of the literature rather investigates why the euro area as a whole differentiated itself from the EA-outs. The second dimension that is not studied is the functional consequences and criteria</w:t>
      </w:r>
      <w:r w:rsidR="0051283B">
        <w:rPr>
          <w:sz w:val="22"/>
        </w:rPr>
        <w:t xml:space="preserve"> to assess</w:t>
      </w:r>
      <w:r>
        <w:rPr>
          <w:sz w:val="22"/>
        </w:rPr>
        <w:t xml:space="preserve"> multi-speed integration in EMU. There is thus a need to look at both these dimensions in more detail, to conceptualize what would happen if there would be fragmentation within the euro area, and </w:t>
      </w:r>
      <w:r>
        <w:rPr>
          <w:sz w:val="22"/>
        </w:rPr>
        <w:lastRenderedPageBreak/>
        <w:t xml:space="preserve">what functional criteria – in terms of economic and institutional factors – could be used to assess this. </w:t>
      </w:r>
    </w:p>
    <w:p w:rsidR="002E243F" w:rsidRPr="003A4807" w:rsidRDefault="002E243F" w:rsidP="00DA6E46">
      <w:pPr>
        <w:pStyle w:val="ECBBodyText"/>
        <w:spacing w:before="0" w:after="0" w:line="480" w:lineRule="auto"/>
        <w:jc w:val="both"/>
        <w:rPr>
          <w:rFonts w:cs="Arial"/>
          <w:sz w:val="22"/>
        </w:rPr>
      </w:pPr>
    </w:p>
    <w:p w:rsidR="003A4807" w:rsidRPr="003A4807" w:rsidRDefault="003A4807" w:rsidP="00DA6E46">
      <w:pPr>
        <w:pStyle w:val="ECBBodyText"/>
        <w:numPr>
          <w:ilvl w:val="0"/>
          <w:numId w:val="19"/>
        </w:numPr>
        <w:spacing w:before="0" w:after="0" w:line="480" w:lineRule="auto"/>
        <w:jc w:val="both"/>
        <w:rPr>
          <w:rFonts w:cs="Arial"/>
          <w:sz w:val="22"/>
        </w:rPr>
      </w:pPr>
      <w:r w:rsidRPr="003A4807">
        <w:rPr>
          <w:rFonts w:cs="Arial"/>
          <w:b/>
          <w:sz w:val="22"/>
        </w:rPr>
        <w:t xml:space="preserve">Developing a theoretical framework for conceptualizing consequences </w:t>
      </w:r>
    </w:p>
    <w:p w:rsidR="00D51FFB" w:rsidRPr="003A4807" w:rsidRDefault="003A4807" w:rsidP="00DA6E46">
      <w:pPr>
        <w:pStyle w:val="ECBBodyText"/>
        <w:spacing w:before="0" w:after="120" w:line="480" w:lineRule="auto"/>
        <w:jc w:val="both"/>
        <w:rPr>
          <w:rFonts w:cs="Arial"/>
          <w:i/>
          <w:sz w:val="22"/>
        </w:rPr>
      </w:pPr>
      <w:r w:rsidRPr="003A4807">
        <w:rPr>
          <w:rFonts w:cs="Arial"/>
          <w:b/>
          <w:sz w:val="22"/>
        </w:rPr>
        <w:t xml:space="preserve">3.1 </w:t>
      </w:r>
      <w:r w:rsidR="00EC7EE8" w:rsidRPr="003A4807">
        <w:rPr>
          <w:rFonts w:cs="Arial"/>
          <w:b/>
          <w:sz w:val="22"/>
        </w:rPr>
        <w:t>Different</w:t>
      </w:r>
      <w:r w:rsidR="0061046D" w:rsidRPr="003A4807">
        <w:rPr>
          <w:rFonts w:cs="Arial"/>
          <w:b/>
          <w:sz w:val="22"/>
        </w:rPr>
        <w:t xml:space="preserve"> scenario</w:t>
      </w:r>
      <w:r w:rsidR="00EC7EE8" w:rsidRPr="003A4807">
        <w:rPr>
          <w:rFonts w:cs="Arial"/>
          <w:b/>
          <w:sz w:val="22"/>
        </w:rPr>
        <w:t>s</w:t>
      </w:r>
      <w:r w:rsidR="007E3671">
        <w:rPr>
          <w:rFonts w:cs="Arial"/>
          <w:b/>
          <w:sz w:val="22"/>
        </w:rPr>
        <w:t xml:space="preserve"> of differentiated integration in EMU</w:t>
      </w:r>
    </w:p>
    <w:p w:rsidR="00D34D10" w:rsidRPr="00DA6E46" w:rsidRDefault="0095658B" w:rsidP="00DA6E46">
      <w:pPr>
        <w:spacing w:line="480" w:lineRule="auto"/>
        <w:jc w:val="both"/>
        <w:rPr>
          <w:sz w:val="22"/>
        </w:rPr>
      </w:pPr>
      <w:r w:rsidRPr="00DA6E46">
        <w:rPr>
          <w:sz w:val="22"/>
        </w:rPr>
        <w:t xml:space="preserve">As EMU deepening and EU integration </w:t>
      </w:r>
      <w:r w:rsidR="00D34D10" w:rsidRPr="00DA6E46">
        <w:rPr>
          <w:sz w:val="22"/>
        </w:rPr>
        <w:t>are</w:t>
      </w:r>
      <w:r w:rsidRPr="00DA6E46">
        <w:rPr>
          <w:sz w:val="22"/>
        </w:rPr>
        <w:t xml:space="preserve"> gaining renewed momentum, </w:t>
      </w:r>
      <w:r w:rsidR="00503319" w:rsidRPr="00DA6E46">
        <w:rPr>
          <w:sz w:val="22"/>
        </w:rPr>
        <w:t xml:space="preserve">also in the framework of </w:t>
      </w:r>
      <w:r w:rsidR="00D34D10" w:rsidRPr="00DA6E46">
        <w:rPr>
          <w:sz w:val="22"/>
        </w:rPr>
        <w:t>Franco</w:t>
      </w:r>
      <w:r w:rsidRPr="00DA6E46">
        <w:rPr>
          <w:sz w:val="22"/>
        </w:rPr>
        <w:t xml:space="preserve">-German </w:t>
      </w:r>
      <w:r w:rsidR="00503319" w:rsidRPr="00DA6E46">
        <w:rPr>
          <w:sz w:val="22"/>
        </w:rPr>
        <w:t>cooperation</w:t>
      </w:r>
      <w:r w:rsidRPr="00DA6E46">
        <w:rPr>
          <w:sz w:val="22"/>
        </w:rPr>
        <w:t xml:space="preserve">, it is </w:t>
      </w:r>
      <w:r w:rsidR="00406B20" w:rsidRPr="00DA6E46">
        <w:rPr>
          <w:sz w:val="22"/>
        </w:rPr>
        <w:t xml:space="preserve">useful </w:t>
      </w:r>
      <w:r w:rsidRPr="00DA6E46">
        <w:rPr>
          <w:sz w:val="22"/>
        </w:rPr>
        <w:t>to assess the</w:t>
      </w:r>
      <w:r w:rsidR="00B57112" w:rsidRPr="00DA6E46">
        <w:rPr>
          <w:sz w:val="22"/>
        </w:rPr>
        <w:t xml:space="preserve"> opportunities </w:t>
      </w:r>
      <w:r w:rsidRPr="00DA6E46">
        <w:rPr>
          <w:sz w:val="22"/>
        </w:rPr>
        <w:t>and risks of multi-speed Europe</w:t>
      </w:r>
      <w:r w:rsidR="0064533E" w:rsidRPr="00DA6E46">
        <w:rPr>
          <w:sz w:val="22"/>
        </w:rPr>
        <w:t>,</w:t>
      </w:r>
      <w:r w:rsidR="00406B20" w:rsidRPr="00DA6E46">
        <w:rPr>
          <w:sz w:val="22"/>
        </w:rPr>
        <w:t xml:space="preserve"> as this may become an avenue chosen by political leaders</w:t>
      </w:r>
      <w:r w:rsidRPr="00DA6E46">
        <w:rPr>
          <w:sz w:val="22"/>
        </w:rPr>
        <w:t xml:space="preserve">. The balance of risks and opportunities </w:t>
      </w:r>
      <w:r w:rsidR="0064697A" w:rsidRPr="00DA6E46">
        <w:rPr>
          <w:sz w:val="22"/>
        </w:rPr>
        <w:t xml:space="preserve">will depend </w:t>
      </w:r>
      <w:r w:rsidR="00B57112" w:rsidRPr="00DA6E46">
        <w:rPr>
          <w:sz w:val="22"/>
        </w:rPr>
        <w:t>on the policy fields</w:t>
      </w:r>
      <w:r w:rsidR="00F511D1" w:rsidRPr="00DA6E46">
        <w:rPr>
          <w:sz w:val="22"/>
        </w:rPr>
        <w:t xml:space="preserve">, static and dynamic effects as well as </w:t>
      </w:r>
      <w:r w:rsidR="00B57112" w:rsidRPr="00DA6E46">
        <w:rPr>
          <w:sz w:val="22"/>
        </w:rPr>
        <w:t xml:space="preserve"> the combination of </w:t>
      </w:r>
      <w:r w:rsidR="0056781C">
        <w:rPr>
          <w:sz w:val="22"/>
        </w:rPr>
        <w:t xml:space="preserve">Member </w:t>
      </w:r>
      <w:proofErr w:type="spellStart"/>
      <w:r w:rsidR="0056781C">
        <w:rPr>
          <w:sz w:val="22"/>
        </w:rPr>
        <w:t>STates</w:t>
      </w:r>
      <w:proofErr w:type="spellEnd"/>
      <w:r w:rsidR="00B57112" w:rsidRPr="00DA6E46">
        <w:rPr>
          <w:sz w:val="22"/>
        </w:rPr>
        <w:t xml:space="preserve"> that integrate further</w:t>
      </w:r>
      <w:r w:rsidR="00D132F3" w:rsidRPr="00DA6E46">
        <w:rPr>
          <w:sz w:val="22"/>
        </w:rPr>
        <w:t>: (</w:t>
      </w:r>
      <w:proofErr w:type="spellStart"/>
      <w:r w:rsidR="00D132F3" w:rsidRPr="00DA6E46">
        <w:rPr>
          <w:sz w:val="22"/>
        </w:rPr>
        <w:t>i</w:t>
      </w:r>
      <w:proofErr w:type="spellEnd"/>
      <w:r w:rsidR="00D132F3" w:rsidRPr="00DA6E46">
        <w:rPr>
          <w:sz w:val="22"/>
        </w:rPr>
        <w:t>)</w:t>
      </w:r>
      <w:r w:rsidR="0091284C" w:rsidRPr="00DA6E46">
        <w:rPr>
          <w:sz w:val="22"/>
        </w:rPr>
        <w:t xml:space="preserve"> </w:t>
      </w:r>
      <w:r w:rsidR="00B57112" w:rsidRPr="00DA6E46">
        <w:rPr>
          <w:sz w:val="22"/>
        </w:rPr>
        <w:t xml:space="preserve">EA as a whole, </w:t>
      </w:r>
      <w:r w:rsidR="00D132F3" w:rsidRPr="00DA6E46">
        <w:rPr>
          <w:sz w:val="22"/>
        </w:rPr>
        <w:t xml:space="preserve">(ii) </w:t>
      </w:r>
      <w:r w:rsidR="00B57112" w:rsidRPr="00DA6E46">
        <w:rPr>
          <w:sz w:val="22"/>
        </w:rPr>
        <w:t xml:space="preserve">mixture of EA </w:t>
      </w:r>
      <w:r w:rsidR="00503319" w:rsidRPr="00DA6E46">
        <w:rPr>
          <w:sz w:val="22"/>
        </w:rPr>
        <w:t xml:space="preserve">and </w:t>
      </w:r>
      <w:r w:rsidR="00B57112" w:rsidRPr="00DA6E46">
        <w:rPr>
          <w:sz w:val="22"/>
        </w:rPr>
        <w:t xml:space="preserve">non-EA </w:t>
      </w:r>
      <w:r w:rsidR="00047508" w:rsidRPr="00DA6E46">
        <w:rPr>
          <w:sz w:val="22"/>
        </w:rPr>
        <w:t>Member States</w:t>
      </w:r>
      <w:r w:rsidR="00B57112" w:rsidRPr="00DA6E46">
        <w:rPr>
          <w:sz w:val="22"/>
        </w:rPr>
        <w:t xml:space="preserve">, </w:t>
      </w:r>
      <w:r w:rsidR="00D132F3" w:rsidRPr="00DA6E46">
        <w:rPr>
          <w:sz w:val="22"/>
        </w:rPr>
        <w:t xml:space="preserve">(iii) </w:t>
      </w:r>
      <w:r w:rsidR="00B57112" w:rsidRPr="00DA6E46">
        <w:rPr>
          <w:sz w:val="22"/>
        </w:rPr>
        <w:t xml:space="preserve">or within a group of EA </w:t>
      </w:r>
      <w:r w:rsidR="00047508" w:rsidRPr="00DA6E46">
        <w:rPr>
          <w:sz w:val="22"/>
        </w:rPr>
        <w:t>Member States</w:t>
      </w:r>
      <w:r w:rsidR="00D132F3" w:rsidRPr="00DA6E46">
        <w:rPr>
          <w:sz w:val="22"/>
        </w:rPr>
        <w:t xml:space="preserve"> (for a simplified overview please see figure 1)</w:t>
      </w:r>
      <w:r w:rsidR="00B57112" w:rsidRPr="00DA6E46">
        <w:rPr>
          <w:sz w:val="22"/>
        </w:rPr>
        <w:t xml:space="preserve">. </w:t>
      </w:r>
    </w:p>
    <w:p w:rsidR="00374CE4" w:rsidRPr="00DA6E46" w:rsidRDefault="0051283B" w:rsidP="00DA6E46">
      <w:pPr>
        <w:spacing w:line="480" w:lineRule="auto"/>
        <w:ind w:firstLine="720"/>
        <w:jc w:val="both"/>
        <w:rPr>
          <w:sz w:val="22"/>
        </w:rPr>
      </w:pPr>
      <w:r>
        <w:rPr>
          <w:sz w:val="22"/>
        </w:rPr>
        <w:t>One pathway is</w:t>
      </w:r>
      <w:r w:rsidR="0064533E" w:rsidRPr="00DA6E46">
        <w:rPr>
          <w:sz w:val="22"/>
        </w:rPr>
        <w:t xml:space="preserve"> where </w:t>
      </w:r>
      <w:r w:rsidR="00B57112" w:rsidRPr="00DA6E46">
        <w:rPr>
          <w:sz w:val="22"/>
        </w:rPr>
        <w:t xml:space="preserve">multi-speed integration </w:t>
      </w:r>
      <w:r w:rsidR="002B797C" w:rsidRPr="00DA6E46">
        <w:rPr>
          <w:sz w:val="22"/>
        </w:rPr>
        <w:t xml:space="preserve">means </w:t>
      </w:r>
      <w:r w:rsidR="00B57112" w:rsidRPr="00DA6E46">
        <w:rPr>
          <w:sz w:val="22"/>
        </w:rPr>
        <w:t>further EMU deepening</w:t>
      </w:r>
      <w:r w:rsidR="002B797C" w:rsidRPr="00DA6E46">
        <w:rPr>
          <w:sz w:val="22"/>
        </w:rPr>
        <w:t xml:space="preserve"> with all EA </w:t>
      </w:r>
      <w:r w:rsidR="00047508" w:rsidRPr="00DA6E46">
        <w:rPr>
          <w:sz w:val="22"/>
        </w:rPr>
        <w:t>Member States</w:t>
      </w:r>
      <w:r w:rsidR="002B797C" w:rsidRPr="00DA6E46">
        <w:rPr>
          <w:sz w:val="22"/>
        </w:rPr>
        <w:t xml:space="preserve">. This would </w:t>
      </w:r>
      <w:r w:rsidR="00B57112" w:rsidRPr="00DA6E46">
        <w:rPr>
          <w:sz w:val="22"/>
        </w:rPr>
        <w:t>mak</w:t>
      </w:r>
      <w:r w:rsidR="002B797C" w:rsidRPr="00DA6E46">
        <w:rPr>
          <w:sz w:val="22"/>
        </w:rPr>
        <w:t>e</w:t>
      </w:r>
      <w:r w:rsidR="00B57112" w:rsidRPr="00DA6E46">
        <w:rPr>
          <w:sz w:val="22"/>
        </w:rPr>
        <w:t xml:space="preserve"> a contribution to strengthening the resilience and smooth functioning of EMU. </w:t>
      </w:r>
      <w:r w:rsidR="002B797C" w:rsidRPr="00DA6E46">
        <w:rPr>
          <w:sz w:val="22"/>
        </w:rPr>
        <w:t>This includes</w:t>
      </w:r>
      <w:r w:rsidR="0064533E" w:rsidRPr="00DA6E46">
        <w:rPr>
          <w:sz w:val="22"/>
        </w:rPr>
        <w:t xml:space="preserve"> the</w:t>
      </w:r>
      <w:r w:rsidR="002831FC" w:rsidRPr="00DA6E46">
        <w:rPr>
          <w:sz w:val="22"/>
        </w:rPr>
        <w:t xml:space="preserve"> Banking Union</w:t>
      </w:r>
      <w:r w:rsidR="0064533E" w:rsidRPr="00DA6E46">
        <w:rPr>
          <w:sz w:val="22"/>
        </w:rPr>
        <w:t>,</w:t>
      </w:r>
      <w:r w:rsidR="002831FC" w:rsidRPr="00DA6E46">
        <w:rPr>
          <w:sz w:val="22"/>
        </w:rPr>
        <w:t xml:space="preserve"> where participation of all </w:t>
      </w:r>
      <w:r w:rsidR="0056781C">
        <w:rPr>
          <w:sz w:val="22"/>
        </w:rPr>
        <w:t>Member States</w:t>
      </w:r>
      <w:r w:rsidR="002831FC" w:rsidRPr="00DA6E46">
        <w:rPr>
          <w:sz w:val="22"/>
        </w:rPr>
        <w:t xml:space="preserve"> in all three pillars of BU is indispensable</w:t>
      </w:r>
      <w:r w:rsidR="00406B20" w:rsidRPr="00DA6E46">
        <w:rPr>
          <w:sz w:val="22"/>
        </w:rPr>
        <w:t xml:space="preserve"> to avoid functional dissonances</w:t>
      </w:r>
      <w:r w:rsidR="002B797C" w:rsidRPr="00DA6E46">
        <w:rPr>
          <w:sz w:val="22"/>
        </w:rPr>
        <w:t xml:space="preserve">, </w:t>
      </w:r>
      <w:r w:rsidR="002831FC" w:rsidRPr="00DA6E46">
        <w:rPr>
          <w:sz w:val="22"/>
        </w:rPr>
        <w:t xml:space="preserve">financial </w:t>
      </w:r>
      <w:r w:rsidR="002B797C" w:rsidRPr="00DA6E46">
        <w:rPr>
          <w:sz w:val="22"/>
        </w:rPr>
        <w:t>in</w:t>
      </w:r>
      <w:r w:rsidR="002831FC" w:rsidRPr="00DA6E46">
        <w:rPr>
          <w:sz w:val="22"/>
        </w:rPr>
        <w:t xml:space="preserve">stability </w:t>
      </w:r>
      <w:r w:rsidR="002B797C" w:rsidRPr="00DA6E46">
        <w:rPr>
          <w:sz w:val="22"/>
        </w:rPr>
        <w:t>or</w:t>
      </w:r>
      <w:r w:rsidR="002831FC" w:rsidRPr="00DA6E46">
        <w:rPr>
          <w:sz w:val="22"/>
        </w:rPr>
        <w:t xml:space="preserve"> financial fragmentation</w:t>
      </w:r>
      <w:r w:rsidR="0064533E" w:rsidRPr="00DA6E46">
        <w:rPr>
          <w:sz w:val="22"/>
        </w:rPr>
        <w:t>.</w:t>
      </w:r>
      <w:r w:rsidR="002B797C" w:rsidRPr="00DA6E46">
        <w:rPr>
          <w:sz w:val="22"/>
        </w:rPr>
        <w:t xml:space="preserve"> </w:t>
      </w:r>
      <w:r w:rsidR="0064533E" w:rsidRPr="00DA6E46">
        <w:rPr>
          <w:sz w:val="22"/>
        </w:rPr>
        <w:t xml:space="preserve">Differentiated integration in areas such as financial regulation or </w:t>
      </w:r>
      <w:proofErr w:type="gramStart"/>
      <w:r w:rsidR="0064533E" w:rsidRPr="00DA6E46">
        <w:rPr>
          <w:sz w:val="22"/>
        </w:rPr>
        <w:t>a</w:t>
      </w:r>
      <w:proofErr w:type="gramEnd"/>
      <w:r w:rsidR="0064533E" w:rsidRPr="00DA6E46">
        <w:rPr>
          <w:sz w:val="22"/>
        </w:rPr>
        <w:t xml:space="preserve"> EA fiscal capacity might have negative implications for, </w:t>
      </w:r>
      <w:r w:rsidR="002B797C" w:rsidRPr="00DA6E46">
        <w:rPr>
          <w:sz w:val="22"/>
        </w:rPr>
        <w:t>e.g.</w:t>
      </w:r>
      <w:r w:rsidR="0064533E" w:rsidRPr="00DA6E46">
        <w:rPr>
          <w:sz w:val="22"/>
        </w:rPr>
        <w:t>,</w:t>
      </w:r>
      <w:r w:rsidR="002B797C" w:rsidRPr="00DA6E46">
        <w:rPr>
          <w:sz w:val="22"/>
        </w:rPr>
        <w:t xml:space="preserve"> </w:t>
      </w:r>
      <w:r w:rsidR="002D0387" w:rsidRPr="00DA6E46">
        <w:rPr>
          <w:sz w:val="22"/>
        </w:rPr>
        <w:t xml:space="preserve">smooth financial functioning or </w:t>
      </w:r>
      <w:r w:rsidR="002B797C" w:rsidRPr="00DA6E46">
        <w:rPr>
          <w:sz w:val="22"/>
        </w:rPr>
        <w:t>shock absorption</w:t>
      </w:r>
      <w:r w:rsidR="002D0387" w:rsidRPr="00DA6E46">
        <w:rPr>
          <w:sz w:val="22"/>
        </w:rPr>
        <w:t>, resilience or business cycle synchronisation</w:t>
      </w:r>
      <w:r w:rsidR="002831FC" w:rsidRPr="00DA6E46">
        <w:rPr>
          <w:sz w:val="22"/>
        </w:rPr>
        <w:t xml:space="preserve">. </w:t>
      </w:r>
    </w:p>
    <w:p w:rsidR="0095658B" w:rsidRPr="00DA6E46" w:rsidRDefault="0064533E" w:rsidP="00DA6E46">
      <w:pPr>
        <w:spacing w:line="480" w:lineRule="auto"/>
        <w:ind w:firstLine="720"/>
        <w:jc w:val="both"/>
        <w:rPr>
          <w:sz w:val="22"/>
        </w:rPr>
      </w:pPr>
      <w:r w:rsidRPr="00DA6E46">
        <w:rPr>
          <w:sz w:val="22"/>
        </w:rPr>
        <w:t>A</w:t>
      </w:r>
      <w:r w:rsidR="007D2B03" w:rsidRPr="00DA6E46">
        <w:rPr>
          <w:sz w:val="22"/>
        </w:rPr>
        <w:t xml:space="preserve"> </w:t>
      </w:r>
      <w:r w:rsidR="002D0387" w:rsidRPr="00DA6E46">
        <w:rPr>
          <w:sz w:val="22"/>
        </w:rPr>
        <w:t xml:space="preserve">political </w:t>
      </w:r>
      <w:r w:rsidR="00374CE4" w:rsidRPr="00DA6E46">
        <w:rPr>
          <w:sz w:val="22"/>
        </w:rPr>
        <w:t>choice</w:t>
      </w:r>
      <w:r w:rsidRPr="00DA6E46">
        <w:rPr>
          <w:sz w:val="22"/>
        </w:rPr>
        <w:t xml:space="preserve"> which cannot be excluded is one where</w:t>
      </w:r>
      <w:r w:rsidR="00365144" w:rsidRPr="00DA6E46">
        <w:rPr>
          <w:sz w:val="22"/>
        </w:rPr>
        <w:t xml:space="preserve"> </w:t>
      </w:r>
      <w:r w:rsidR="007D2B03" w:rsidRPr="00DA6E46">
        <w:rPr>
          <w:sz w:val="22"/>
        </w:rPr>
        <w:t xml:space="preserve">multiple speeds </w:t>
      </w:r>
      <w:r w:rsidR="002D0387" w:rsidRPr="00DA6E46">
        <w:rPr>
          <w:sz w:val="22"/>
        </w:rPr>
        <w:t xml:space="preserve">emerge </w:t>
      </w:r>
      <w:r w:rsidR="007D2B03" w:rsidRPr="00DA6E46">
        <w:rPr>
          <w:sz w:val="22"/>
        </w:rPr>
        <w:t xml:space="preserve">within the EA. </w:t>
      </w:r>
      <w:r w:rsidR="009D23FC" w:rsidRPr="00DA6E46">
        <w:rPr>
          <w:sz w:val="22"/>
        </w:rPr>
        <w:t xml:space="preserve">This can take two forms: either a subset of EA countries move ahead </w:t>
      </w:r>
      <w:r w:rsidR="002D0387" w:rsidRPr="00DA6E46">
        <w:rPr>
          <w:sz w:val="22"/>
        </w:rPr>
        <w:t xml:space="preserve">with further integration, </w:t>
      </w:r>
      <w:r w:rsidR="009D23FC" w:rsidRPr="00DA6E46">
        <w:rPr>
          <w:sz w:val="22"/>
        </w:rPr>
        <w:t xml:space="preserve">or </w:t>
      </w:r>
      <w:r w:rsidRPr="00DA6E46">
        <w:rPr>
          <w:sz w:val="22"/>
        </w:rPr>
        <w:t xml:space="preserve">only </w:t>
      </w:r>
      <w:r w:rsidR="002D0387" w:rsidRPr="00DA6E46">
        <w:rPr>
          <w:sz w:val="22"/>
        </w:rPr>
        <w:t xml:space="preserve">some EA </w:t>
      </w:r>
      <w:r w:rsidR="00047508" w:rsidRPr="00DA6E46">
        <w:rPr>
          <w:sz w:val="22"/>
        </w:rPr>
        <w:t>Member States</w:t>
      </w:r>
      <w:r w:rsidR="002D0387" w:rsidRPr="00DA6E46">
        <w:rPr>
          <w:sz w:val="22"/>
        </w:rPr>
        <w:t xml:space="preserve"> advance together with </w:t>
      </w:r>
      <w:r w:rsidRPr="00DA6E46">
        <w:rPr>
          <w:sz w:val="22"/>
        </w:rPr>
        <w:t xml:space="preserve">some non-EA </w:t>
      </w:r>
      <w:r w:rsidR="0056781C">
        <w:rPr>
          <w:sz w:val="22"/>
        </w:rPr>
        <w:t>countries</w:t>
      </w:r>
      <w:r w:rsidRPr="00DA6E46">
        <w:rPr>
          <w:sz w:val="22"/>
        </w:rPr>
        <w:t xml:space="preserve"> in, e.g., </w:t>
      </w:r>
      <w:r w:rsidR="00EB1DB3" w:rsidRPr="00DA6E46">
        <w:rPr>
          <w:sz w:val="22"/>
        </w:rPr>
        <w:t>immigration or security</w:t>
      </w:r>
      <w:r w:rsidR="009D23FC" w:rsidRPr="00DA6E46">
        <w:rPr>
          <w:sz w:val="22"/>
        </w:rPr>
        <w:t xml:space="preserve">. </w:t>
      </w:r>
      <w:r w:rsidRPr="00DA6E46">
        <w:rPr>
          <w:sz w:val="22"/>
        </w:rPr>
        <w:t xml:space="preserve">Depending on the policy area, this latter scenario </w:t>
      </w:r>
      <w:r w:rsidR="00CD46EF" w:rsidRPr="00DA6E46">
        <w:rPr>
          <w:sz w:val="22"/>
        </w:rPr>
        <w:t xml:space="preserve">it </w:t>
      </w:r>
      <w:r w:rsidR="0064568F" w:rsidRPr="00DA6E46">
        <w:rPr>
          <w:sz w:val="22"/>
        </w:rPr>
        <w:t>would most</w:t>
      </w:r>
      <w:r w:rsidR="00CD46EF" w:rsidRPr="00DA6E46">
        <w:rPr>
          <w:sz w:val="22"/>
        </w:rPr>
        <w:t xml:space="preserve"> likely be </w:t>
      </w:r>
      <w:r w:rsidR="002D0387" w:rsidRPr="00DA6E46">
        <w:rPr>
          <w:sz w:val="22"/>
        </w:rPr>
        <w:t>P</w:t>
      </w:r>
      <w:r w:rsidR="00CD46EF" w:rsidRPr="00DA6E46">
        <w:rPr>
          <w:sz w:val="22"/>
        </w:rPr>
        <w:t>areto-efficient</w:t>
      </w:r>
      <w:r w:rsidR="003A774F" w:rsidRPr="00DA6E46">
        <w:rPr>
          <w:sz w:val="22"/>
        </w:rPr>
        <w:t xml:space="preserve"> if the </w:t>
      </w:r>
      <w:r w:rsidRPr="00DA6E46">
        <w:rPr>
          <w:sz w:val="22"/>
        </w:rPr>
        <w:t xml:space="preserve">non-EA </w:t>
      </w:r>
      <w:r w:rsidR="0056781C">
        <w:rPr>
          <w:sz w:val="22"/>
        </w:rPr>
        <w:t>countries</w:t>
      </w:r>
      <w:r w:rsidR="003A774F" w:rsidRPr="00DA6E46">
        <w:rPr>
          <w:sz w:val="22"/>
        </w:rPr>
        <w:t xml:space="preserve"> display more cyclical </w:t>
      </w:r>
      <w:r w:rsidR="00503319" w:rsidRPr="00DA6E46">
        <w:rPr>
          <w:sz w:val="22"/>
        </w:rPr>
        <w:t>and/</w:t>
      </w:r>
      <w:r w:rsidR="003A774F" w:rsidRPr="00DA6E46">
        <w:rPr>
          <w:sz w:val="22"/>
        </w:rPr>
        <w:t xml:space="preserve">or structural </w:t>
      </w:r>
      <w:r w:rsidR="003A774F" w:rsidRPr="00DA6E46">
        <w:rPr>
          <w:sz w:val="22"/>
        </w:rPr>
        <w:lastRenderedPageBreak/>
        <w:t>convergence with th</w:t>
      </w:r>
      <w:r w:rsidRPr="00DA6E46">
        <w:rPr>
          <w:sz w:val="22"/>
        </w:rPr>
        <w:t>ose</w:t>
      </w:r>
      <w:r w:rsidR="003A774F" w:rsidRPr="00DA6E46">
        <w:rPr>
          <w:sz w:val="22"/>
        </w:rPr>
        <w:t xml:space="preserve"> EA economies</w:t>
      </w:r>
      <w:r w:rsidR="00C41BE4" w:rsidRPr="00DA6E46">
        <w:rPr>
          <w:sz w:val="22"/>
        </w:rPr>
        <w:t xml:space="preserve"> </w:t>
      </w:r>
      <w:r w:rsidRPr="00DA6E46">
        <w:rPr>
          <w:sz w:val="22"/>
        </w:rPr>
        <w:t>they are integrating further. F</w:t>
      </w:r>
      <w:r w:rsidR="00ED533E" w:rsidRPr="00DA6E46">
        <w:rPr>
          <w:sz w:val="22"/>
        </w:rPr>
        <w:t xml:space="preserve">or a conceptual assessment of this, please see section </w:t>
      </w:r>
      <w:r w:rsidR="00D6730D" w:rsidRPr="00DA6E46">
        <w:rPr>
          <w:sz w:val="22"/>
        </w:rPr>
        <w:t>3</w:t>
      </w:r>
      <w:r w:rsidR="00ED533E" w:rsidRPr="00DA6E46">
        <w:rPr>
          <w:sz w:val="22"/>
        </w:rPr>
        <w:t>.</w:t>
      </w:r>
      <w:r w:rsidR="003A774F" w:rsidRPr="00DA6E46">
        <w:rPr>
          <w:sz w:val="22"/>
        </w:rPr>
        <w:t xml:space="preserve"> </w:t>
      </w:r>
    </w:p>
    <w:p w:rsidR="001E6D55" w:rsidRPr="00DA6E46" w:rsidRDefault="00365144" w:rsidP="00DA6E46">
      <w:pPr>
        <w:spacing w:line="480" w:lineRule="auto"/>
        <w:ind w:firstLine="360"/>
        <w:jc w:val="both"/>
        <w:rPr>
          <w:sz w:val="22"/>
        </w:rPr>
      </w:pPr>
      <w:r w:rsidRPr="00DA6E46">
        <w:rPr>
          <w:sz w:val="22"/>
        </w:rPr>
        <w:t>To summarize,</w:t>
      </w:r>
      <w:r w:rsidR="001E6D55" w:rsidRPr="00DA6E46">
        <w:rPr>
          <w:sz w:val="22"/>
        </w:rPr>
        <w:t xml:space="preserve"> three modes of multi-speed integration can be considered, namely, the whole EA integrates further, a subset of the EA countries or a combination of EA and non-EA Member States. </w:t>
      </w:r>
      <w:r w:rsidR="00445E9F" w:rsidRPr="00DA6E46">
        <w:rPr>
          <w:sz w:val="22"/>
        </w:rPr>
        <w:t xml:space="preserve">The next section conceptually analyses the scenario </w:t>
      </w:r>
      <w:r w:rsidR="0064533E" w:rsidRPr="00DA6E46">
        <w:rPr>
          <w:sz w:val="22"/>
        </w:rPr>
        <w:t xml:space="preserve">where </w:t>
      </w:r>
      <w:r w:rsidR="00445E9F" w:rsidRPr="00DA6E46">
        <w:rPr>
          <w:sz w:val="22"/>
        </w:rPr>
        <w:t>a subset of EA Member States mov</w:t>
      </w:r>
      <w:r w:rsidR="0064533E" w:rsidRPr="00DA6E46">
        <w:rPr>
          <w:sz w:val="22"/>
        </w:rPr>
        <w:t>es</w:t>
      </w:r>
      <w:r w:rsidR="0051283B">
        <w:rPr>
          <w:sz w:val="22"/>
        </w:rPr>
        <w:t xml:space="preserve"> ahead, possibly including non-EA Member States</w:t>
      </w:r>
      <w:r w:rsidR="0064533E" w:rsidRPr="00DA6E46">
        <w:rPr>
          <w:sz w:val="22"/>
        </w:rPr>
        <w:t xml:space="preserve">. </w:t>
      </w:r>
    </w:p>
    <w:p w:rsidR="003A4807" w:rsidRPr="003A4807" w:rsidRDefault="003A4807" w:rsidP="00DA6E46">
      <w:pPr>
        <w:pStyle w:val="ECBBodyText"/>
        <w:spacing w:before="0" w:after="0" w:line="480" w:lineRule="auto"/>
        <w:ind w:left="360"/>
        <w:jc w:val="both"/>
        <w:rPr>
          <w:rFonts w:cs="Arial"/>
          <w:b/>
          <w:sz w:val="22"/>
        </w:rPr>
      </w:pPr>
    </w:p>
    <w:p w:rsidR="003A4807" w:rsidRPr="003A4807" w:rsidRDefault="003A4807" w:rsidP="00DA6E46">
      <w:pPr>
        <w:pStyle w:val="ECBBodyText"/>
        <w:numPr>
          <w:ilvl w:val="1"/>
          <w:numId w:val="19"/>
        </w:numPr>
        <w:spacing w:before="0" w:after="0" w:line="480" w:lineRule="auto"/>
        <w:jc w:val="both"/>
        <w:rPr>
          <w:rFonts w:cs="Arial"/>
          <w:b/>
          <w:sz w:val="22"/>
        </w:rPr>
      </w:pPr>
      <w:r w:rsidRPr="003A4807">
        <w:rPr>
          <w:rFonts w:cs="Arial"/>
          <w:b/>
          <w:sz w:val="22"/>
        </w:rPr>
        <w:t>Criteria for assessing advantages and drawbacks of multi-speed integration</w:t>
      </w:r>
    </w:p>
    <w:p w:rsidR="003A4807" w:rsidRPr="003A4807" w:rsidRDefault="003A4807" w:rsidP="00DA6E46">
      <w:pPr>
        <w:spacing w:after="0" w:line="480" w:lineRule="auto"/>
        <w:jc w:val="both"/>
        <w:rPr>
          <w:rFonts w:cs="Arial"/>
          <w:sz w:val="22"/>
        </w:rPr>
      </w:pPr>
      <w:r w:rsidRPr="001423EF">
        <w:rPr>
          <w:rFonts w:cs="Arial"/>
          <w:sz w:val="22"/>
        </w:rPr>
        <w:t>Against the backdrop of the advantages and drawbacks of multi-speed integration, four broad criteria can be used to assess the impact of multi-speed integration in distinct policy fields and for EMU’s functioning</w:t>
      </w:r>
      <w:r w:rsidRPr="003A4807">
        <w:rPr>
          <w:rFonts w:cs="Arial"/>
          <w:b/>
          <w:sz w:val="22"/>
        </w:rPr>
        <w:t xml:space="preserve">: </w:t>
      </w:r>
      <w:r w:rsidRPr="003A4807">
        <w:rPr>
          <w:rFonts w:cs="Arial"/>
          <w:sz w:val="22"/>
        </w:rPr>
        <w:t xml:space="preserve">two broad economic criteria (resilience and stability) and two institutional criteria (governance effectiveness and political </w:t>
      </w:r>
      <w:proofErr w:type="spellStart"/>
      <w:r w:rsidRPr="003A4807">
        <w:rPr>
          <w:rFonts w:cs="Arial"/>
          <w:sz w:val="22"/>
        </w:rPr>
        <w:t>spillovers</w:t>
      </w:r>
      <w:proofErr w:type="spellEnd"/>
      <w:r w:rsidRPr="003A4807">
        <w:rPr>
          <w:rFonts w:cs="Arial"/>
          <w:sz w:val="22"/>
        </w:rPr>
        <w:t xml:space="preserve">). </w:t>
      </w:r>
    </w:p>
    <w:p w:rsidR="003A4807" w:rsidRPr="003A4807" w:rsidRDefault="00DA6E46" w:rsidP="00DA6E46">
      <w:pPr>
        <w:spacing w:after="0" w:line="480" w:lineRule="auto"/>
        <w:ind w:firstLine="720"/>
        <w:jc w:val="both"/>
        <w:rPr>
          <w:rFonts w:cs="Arial"/>
          <w:iCs/>
          <w:sz w:val="22"/>
        </w:rPr>
      </w:pPr>
      <w:r>
        <w:rPr>
          <w:rFonts w:cs="Arial"/>
          <w:iCs/>
          <w:sz w:val="22"/>
          <w:u w:val="single"/>
        </w:rPr>
        <w:t>R</w:t>
      </w:r>
      <w:r w:rsidR="003A4807" w:rsidRPr="003A4807">
        <w:rPr>
          <w:rFonts w:cs="Arial"/>
          <w:iCs/>
          <w:sz w:val="22"/>
          <w:u w:val="single"/>
        </w:rPr>
        <w:t>esilience</w:t>
      </w:r>
      <w:r w:rsidR="003A4807" w:rsidRPr="003A4807">
        <w:rPr>
          <w:rFonts w:cs="Arial"/>
          <w:iCs/>
          <w:sz w:val="22"/>
        </w:rPr>
        <w:t xml:space="preserve"> is here understood as the capacity to minimise output losses after an adverse shock has hit the economy</w:t>
      </w:r>
      <w:r w:rsidR="003A4807" w:rsidRPr="003A4807">
        <w:rPr>
          <w:rStyle w:val="FootnoteReference"/>
          <w:rFonts w:cs="Arial"/>
          <w:iCs/>
          <w:sz w:val="22"/>
        </w:rPr>
        <w:footnoteReference w:id="17"/>
      </w:r>
      <w:r w:rsidR="003A4807" w:rsidRPr="003A4807">
        <w:rPr>
          <w:rFonts w:cs="Arial"/>
          <w:iCs/>
          <w:sz w:val="22"/>
        </w:rPr>
        <w:t>. Examples of institutions delivering such resilience are flexible labour markets, enhanced competition in product markets, absence of corruption and the like. Economic resilience is essential for euro area Member States to better withstand adverse shocks and reduce the economic costs associated with them</w:t>
      </w:r>
      <w:r w:rsidR="003A4807" w:rsidRPr="003A4807">
        <w:rPr>
          <w:rStyle w:val="FootnoteReference"/>
          <w:rFonts w:cs="Arial"/>
          <w:iCs/>
          <w:sz w:val="22"/>
        </w:rPr>
        <w:footnoteReference w:id="18"/>
      </w:r>
      <w:r w:rsidR="003A4807" w:rsidRPr="003A4807">
        <w:rPr>
          <w:rFonts w:cs="Arial"/>
          <w:iCs/>
          <w:sz w:val="22"/>
        </w:rPr>
        <w:t xml:space="preserve">. </w:t>
      </w:r>
    </w:p>
    <w:p w:rsidR="003A4807" w:rsidRPr="003A4807" w:rsidRDefault="003A4807" w:rsidP="00890983">
      <w:pPr>
        <w:spacing w:after="0" w:line="480" w:lineRule="auto"/>
        <w:ind w:firstLine="720"/>
        <w:jc w:val="both"/>
        <w:rPr>
          <w:rFonts w:cs="Arial"/>
          <w:sz w:val="22"/>
        </w:rPr>
      </w:pPr>
      <w:r w:rsidRPr="003A4807">
        <w:rPr>
          <w:rFonts w:cs="Arial"/>
          <w:iCs/>
          <w:sz w:val="22"/>
          <w:u w:val="single"/>
        </w:rPr>
        <w:t>Stability</w:t>
      </w:r>
      <w:r w:rsidRPr="003A4807">
        <w:rPr>
          <w:rFonts w:cs="Arial"/>
          <w:iCs/>
          <w:sz w:val="22"/>
        </w:rPr>
        <w:t xml:space="preserve"> refers to </w:t>
      </w:r>
      <w:r w:rsidRPr="003A4807">
        <w:rPr>
          <w:rFonts w:cs="Arial"/>
          <w:sz w:val="22"/>
        </w:rPr>
        <w:t xml:space="preserve">the capacity of the EA to improve business cycle stabilisation in times of economic crisis. As argued in an ECB working paper by Corsetti et al (2016), “accommodative monetary and fiscal policy together may be necessary for macroeconomic stabilisation in the wake of a large adverse disturbance such as the global financial crisis of </w:t>
      </w:r>
      <w:r w:rsidRPr="003A4807">
        <w:rPr>
          <w:rFonts w:cs="Arial"/>
          <w:sz w:val="22"/>
        </w:rPr>
        <w:lastRenderedPageBreak/>
        <w:t>2008”</w:t>
      </w:r>
      <w:r w:rsidRPr="003A4807">
        <w:rPr>
          <w:rStyle w:val="FootnoteReference"/>
          <w:rFonts w:cs="Arial"/>
          <w:sz w:val="22"/>
        </w:rPr>
        <w:footnoteReference w:id="19"/>
      </w:r>
      <w:r w:rsidRPr="003A4807">
        <w:rPr>
          <w:rFonts w:cs="Arial"/>
          <w:sz w:val="22"/>
        </w:rPr>
        <w:t xml:space="preserve">. The note assesses whether further integration in some policy domains (e.g. defence) might contribute (or not) to stabilise the EA if hit by negative shocks. </w:t>
      </w:r>
    </w:p>
    <w:p w:rsidR="003A4807" w:rsidRPr="003A4807" w:rsidRDefault="003A4807" w:rsidP="00890983">
      <w:pPr>
        <w:spacing w:after="0" w:line="480" w:lineRule="auto"/>
        <w:ind w:firstLine="720"/>
        <w:jc w:val="both"/>
        <w:rPr>
          <w:rFonts w:cs="Arial"/>
          <w:sz w:val="22"/>
        </w:rPr>
      </w:pPr>
      <w:r w:rsidRPr="003A4807">
        <w:rPr>
          <w:rFonts w:cs="Arial"/>
          <w:sz w:val="22"/>
          <w:u w:val="single"/>
        </w:rPr>
        <w:t>Governance complexity and effectiveness</w:t>
      </w:r>
      <w:r w:rsidRPr="003A4807">
        <w:rPr>
          <w:rFonts w:cs="Arial"/>
          <w:sz w:val="22"/>
        </w:rPr>
        <w:t xml:space="preserve"> refers to whether a specific policy innovation (e.g. the creation of </w:t>
      </w:r>
      <w:proofErr w:type="gramStart"/>
      <w:r w:rsidRPr="003A4807">
        <w:rPr>
          <w:rFonts w:cs="Arial"/>
          <w:sz w:val="22"/>
        </w:rPr>
        <w:t>a</w:t>
      </w:r>
      <w:proofErr w:type="gramEnd"/>
      <w:r w:rsidRPr="003A4807">
        <w:rPr>
          <w:rFonts w:cs="Arial"/>
          <w:sz w:val="22"/>
        </w:rPr>
        <w:t xml:space="preserve"> EA Finance Minister) might improve or worsen decision making at EMU level, support (or not) </w:t>
      </w:r>
      <w:r w:rsidR="00255D21">
        <w:rPr>
          <w:rFonts w:cs="Arial"/>
          <w:sz w:val="22"/>
        </w:rPr>
        <w:t>coordination between policy areas (fiscal and monetary)</w:t>
      </w:r>
      <w:r w:rsidRPr="003A4807">
        <w:rPr>
          <w:rFonts w:cs="Arial"/>
          <w:sz w:val="22"/>
        </w:rPr>
        <w:t xml:space="preserve">. </w:t>
      </w:r>
    </w:p>
    <w:p w:rsidR="003A4807" w:rsidRPr="003A4807" w:rsidRDefault="003A4807" w:rsidP="00890983">
      <w:pPr>
        <w:spacing w:after="0" w:line="480" w:lineRule="auto"/>
        <w:ind w:firstLine="720"/>
        <w:jc w:val="both"/>
        <w:rPr>
          <w:rFonts w:cs="Arial"/>
          <w:sz w:val="22"/>
        </w:rPr>
      </w:pPr>
      <w:r w:rsidRPr="003A4807">
        <w:rPr>
          <w:rFonts w:cs="Arial"/>
          <w:sz w:val="22"/>
          <w:u w:val="single"/>
        </w:rPr>
        <w:t xml:space="preserve">Political </w:t>
      </w:r>
      <w:proofErr w:type="spellStart"/>
      <w:r w:rsidRPr="003A4807">
        <w:rPr>
          <w:rFonts w:cs="Arial"/>
          <w:sz w:val="22"/>
          <w:u w:val="single"/>
        </w:rPr>
        <w:t>spillovers</w:t>
      </w:r>
      <w:proofErr w:type="spellEnd"/>
      <w:r w:rsidRPr="003A4807">
        <w:rPr>
          <w:rFonts w:cs="Arial"/>
          <w:sz w:val="22"/>
        </w:rPr>
        <w:t xml:space="preserve"> indicate those cases where further integration in a policy field might increase (or decrease) political support for the single currency. Since </w:t>
      </w:r>
      <w:proofErr w:type="spellStart"/>
      <w:r w:rsidRPr="003A4807">
        <w:rPr>
          <w:rFonts w:cs="Arial"/>
          <w:sz w:val="22"/>
        </w:rPr>
        <w:t>spillovers</w:t>
      </w:r>
      <w:proofErr w:type="spellEnd"/>
      <w:r w:rsidRPr="003A4807">
        <w:rPr>
          <w:rFonts w:cs="Arial"/>
          <w:sz w:val="22"/>
        </w:rPr>
        <w:t xml:space="preserve"> can be both positive and negative, multi-speed integration might have different implications for EMU: trigger economic conflict and/or political tensions, increase legitimacy of European solutions and, more broadly, foster EA output legitimacy. </w:t>
      </w:r>
    </w:p>
    <w:p w:rsidR="003A4807" w:rsidRPr="003A4807" w:rsidRDefault="003A4807" w:rsidP="00890983">
      <w:pPr>
        <w:spacing w:after="0" w:line="480" w:lineRule="auto"/>
        <w:ind w:firstLine="720"/>
        <w:jc w:val="both"/>
        <w:rPr>
          <w:rFonts w:cs="Arial"/>
          <w:sz w:val="22"/>
        </w:rPr>
      </w:pPr>
      <w:r w:rsidRPr="003A4807">
        <w:rPr>
          <w:rFonts w:cs="Arial"/>
          <w:sz w:val="22"/>
        </w:rPr>
        <w:t xml:space="preserve">Coupled </w:t>
      </w:r>
      <w:r w:rsidRPr="001423EF">
        <w:rPr>
          <w:rFonts w:cs="Arial"/>
          <w:sz w:val="22"/>
        </w:rPr>
        <w:t>with the three modes of multi-speed integration, namely, the whole EA integrates further, a subset of the EA countries or a combination of EA and non-EA Member States, we provide a first assessment</w:t>
      </w:r>
      <w:r w:rsidR="00255D21" w:rsidRPr="001423EF">
        <w:rPr>
          <w:rFonts w:cs="Arial"/>
          <w:sz w:val="22"/>
        </w:rPr>
        <w:t xml:space="preserve"> of multi-speed integration in 3</w:t>
      </w:r>
      <w:r w:rsidRPr="001423EF">
        <w:rPr>
          <w:rFonts w:cs="Arial"/>
          <w:sz w:val="22"/>
        </w:rPr>
        <w:t xml:space="preserve"> policy domains/instruments of </w:t>
      </w:r>
      <w:r w:rsidR="00255D21" w:rsidRPr="001423EF">
        <w:rPr>
          <w:rFonts w:cs="Arial"/>
          <w:sz w:val="22"/>
        </w:rPr>
        <w:t>financial and fiscal nature</w:t>
      </w:r>
      <w:r w:rsidRPr="001423EF">
        <w:rPr>
          <w:rFonts w:cs="Arial"/>
          <w:sz w:val="22"/>
        </w:rPr>
        <w:t>.</w:t>
      </w:r>
      <w:r w:rsidRPr="003A4807">
        <w:rPr>
          <w:rFonts w:cs="Arial"/>
          <w:b/>
          <w:sz w:val="22"/>
        </w:rPr>
        <w:t xml:space="preserve"> </w:t>
      </w:r>
    </w:p>
    <w:p w:rsidR="00305965" w:rsidRPr="003A4807" w:rsidRDefault="003A4807" w:rsidP="00305965">
      <w:pPr>
        <w:spacing w:after="0" w:line="480" w:lineRule="auto"/>
        <w:ind w:firstLine="360"/>
        <w:jc w:val="both"/>
        <w:rPr>
          <w:rFonts w:cs="Arial"/>
          <w:sz w:val="22"/>
        </w:rPr>
      </w:pPr>
      <w:r w:rsidRPr="003A4807">
        <w:rPr>
          <w:rFonts w:cs="Arial"/>
          <w:sz w:val="22"/>
        </w:rPr>
        <w:t xml:space="preserve">In reviewing specific policy domains/instruments, the </w:t>
      </w:r>
      <w:r w:rsidR="001423EF">
        <w:rPr>
          <w:rFonts w:cs="Arial"/>
          <w:sz w:val="22"/>
        </w:rPr>
        <w:t xml:space="preserve">following section </w:t>
      </w:r>
      <w:r w:rsidRPr="003A4807">
        <w:rPr>
          <w:rFonts w:cs="Arial"/>
          <w:sz w:val="22"/>
        </w:rPr>
        <w:t xml:space="preserve">addresses the following three questions: Which policies are well suited to foster EMU functioning even if not carried by all member states? Which policies would hardly make a difference? And which policies would be </w:t>
      </w:r>
      <w:r w:rsidR="00890983">
        <w:rPr>
          <w:rFonts w:cs="Arial"/>
          <w:sz w:val="22"/>
        </w:rPr>
        <w:t>adverse</w:t>
      </w:r>
      <w:r w:rsidRPr="003A4807">
        <w:rPr>
          <w:rFonts w:cs="Arial"/>
          <w:sz w:val="22"/>
        </w:rPr>
        <w:t xml:space="preserve"> for EMU functioning because carrying a risk of shock transmitter or shock amplifier?</w:t>
      </w:r>
    </w:p>
    <w:p w:rsidR="00D51FFB" w:rsidRPr="003A4807" w:rsidRDefault="001E6D55" w:rsidP="00DA6E46">
      <w:pPr>
        <w:pStyle w:val="ECBBodyText"/>
        <w:numPr>
          <w:ilvl w:val="1"/>
          <w:numId w:val="19"/>
        </w:numPr>
        <w:spacing w:line="480" w:lineRule="auto"/>
        <w:jc w:val="both"/>
        <w:rPr>
          <w:rFonts w:cs="Arial"/>
          <w:b/>
          <w:sz w:val="22"/>
        </w:rPr>
      </w:pPr>
      <w:r w:rsidRPr="003A4807">
        <w:rPr>
          <w:rFonts w:cs="Arial"/>
          <w:b/>
          <w:sz w:val="22"/>
        </w:rPr>
        <w:t>A</w:t>
      </w:r>
      <w:r w:rsidR="00EC7EE8" w:rsidRPr="003A4807">
        <w:rPr>
          <w:rFonts w:cs="Arial"/>
          <w:b/>
          <w:sz w:val="22"/>
        </w:rPr>
        <w:t xml:space="preserve">dvantages </w:t>
      </w:r>
      <w:r w:rsidRPr="003A4807">
        <w:rPr>
          <w:rFonts w:cs="Arial"/>
          <w:b/>
          <w:sz w:val="22"/>
        </w:rPr>
        <w:t xml:space="preserve">of multi-speed integration for </w:t>
      </w:r>
      <w:r w:rsidR="00D51FFB" w:rsidRPr="003A4807">
        <w:rPr>
          <w:rFonts w:cs="Arial"/>
          <w:b/>
          <w:sz w:val="22"/>
        </w:rPr>
        <w:t xml:space="preserve">EMU </w:t>
      </w:r>
    </w:p>
    <w:p w:rsidR="00142E5E" w:rsidRPr="003A4807" w:rsidRDefault="001E6D55" w:rsidP="00DA6E46">
      <w:pPr>
        <w:pStyle w:val="ECBBodyText"/>
        <w:spacing w:line="480" w:lineRule="auto"/>
        <w:jc w:val="both"/>
        <w:rPr>
          <w:rFonts w:cs="Arial"/>
          <w:sz w:val="22"/>
        </w:rPr>
      </w:pPr>
      <w:r w:rsidRPr="001423EF">
        <w:rPr>
          <w:rFonts w:cs="Arial"/>
          <w:sz w:val="22"/>
        </w:rPr>
        <w:t xml:space="preserve">In areas that fall completely outside the realm of EMU, further cooperation might demonstrate the value of European integration, provide additional security to citizens and thus enhance </w:t>
      </w:r>
      <w:r w:rsidRPr="001423EF">
        <w:rPr>
          <w:rFonts w:cs="Arial"/>
          <w:sz w:val="22"/>
        </w:rPr>
        <w:lastRenderedPageBreak/>
        <w:t>public support for the European project at large</w:t>
      </w:r>
      <w:r w:rsidRPr="003A4807">
        <w:rPr>
          <w:rFonts w:cs="Arial"/>
          <w:b/>
          <w:sz w:val="22"/>
        </w:rPr>
        <w:t xml:space="preserve">. </w:t>
      </w:r>
      <w:r w:rsidRPr="003A4807">
        <w:rPr>
          <w:rFonts w:cs="Arial"/>
          <w:sz w:val="22"/>
        </w:rPr>
        <w:t>This could help secure the political support also for further EMU deepening.</w:t>
      </w:r>
    </w:p>
    <w:p w:rsidR="00142E5E" w:rsidRPr="003A4807" w:rsidRDefault="00EC7EE8" w:rsidP="00890983">
      <w:pPr>
        <w:spacing w:line="480" w:lineRule="auto"/>
        <w:ind w:firstLine="720"/>
        <w:jc w:val="both"/>
        <w:rPr>
          <w:rFonts w:cs="Arial"/>
          <w:sz w:val="22"/>
        </w:rPr>
      </w:pPr>
      <w:r w:rsidRPr="001423EF">
        <w:rPr>
          <w:rFonts w:cs="Arial"/>
          <w:sz w:val="22"/>
        </w:rPr>
        <w:t xml:space="preserve">As for policies linked directly to the functioning of EMU, </w:t>
      </w:r>
      <w:r w:rsidR="00142E5E" w:rsidRPr="001423EF">
        <w:rPr>
          <w:rFonts w:cs="Arial"/>
          <w:sz w:val="22"/>
        </w:rPr>
        <w:t>it would be clearly suboptimal if only some and not all EA Member States were to advance together</w:t>
      </w:r>
      <w:r w:rsidR="00142E5E" w:rsidRPr="003A4807">
        <w:rPr>
          <w:rFonts w:cs="Arial"/>
          <w:sz w:val="22"/>
        </w:rPr>
        <w:t>.</w:t>
      </w:r>
      <w:r w:rsidR="00142E5E" w:rsidRPr="003A4807">
        <w:rPr>
          <w:rFonts w:cs="Arial"/>
          <w:b/>
          <w:sz w:val="22"/>
        </w:rPr>
        <w:t xml:space="preserve"> </w:t>
      </w:r>
      <w:r w:rsidR="00142E5E" w:rsidRPr="003A4807">
        <w:rPr>
          <w:rFonts w:cs="Arial"/>
          <w:sz w:val="22"/>
        </w:rPr>
        <w:t>Nevertheless, if such deepening did not result in greater divergence in economic structures and policies, and as a second, hopefully temporary, solution it could on balance prove compatible with the overall aim of strengthening EMU.  Provided that institutional framework and implementation capabilities are effectively designed, differentiated integration within EMU could be better than the status quo in fostering the development towards similarly resilient economic structures (as foreseen in the 5 Presidents’ Report (5PR)) in those EA (and non-EA) Member States integrating further</w:t>
      </w:r>
      <w:r w:rsidR="00142E5E" w:rsidRPr="003A4807">
        <w:rPr>
          <w:rStyle w:val="FootnoteReference"/>
          <w:rFonts w:cs="Arial"/>
          <w:sz w:val="22"/>
        </w:rPr>
        <w:footnoteReference w:id="20"/>
      </w:r>
      <w:r w:rsidR="00142E5E" w:rsidRPr="003A4807">
        <w:rPr>
          <w:rFonts w:cs="Arial"/>
          <w:sz w:val="22"/>
        </w:rPr>
        <w:t>. If a number of Member States decided to embark on an upward convergence towards more harmonized structures in this respect, this could (under a number of assumptions) strengthen the capacity of the euro area to absorb shocks</w:t>
      </w:r>
    </w:p>
    <w:p w:rsidR="00142E5E" w:rsidRPr="003A4807" w:rsidRDefault="00142E5E" w:rsidP="00DA6E46">
      <w:pPr>
        <w:spacing w:line="480" w:lineRule="auto"/>
        <w:jc w:val="both"/>
        <w:rPr>
          <w:rFonts w:cs="Arial"/>
          <w:b/>
          <w:i/>
          <w:sz w:val="22"/>
        </w:rPr>
      </w:pPr>
      <w:r w:rsidRPr="001423EF">
        <w:rPr>
          <w:rFonts w:cs="Arial"/>
          <w:sz w:val="22"/>
        </w:rPr>
        <w:t>Barring progress with the euro area as a whole, much will therefore depend whether the cooperation leads to the application of new ambitious upward convergence for the participating countries</w:t>
      </w:r>
      <w:r w:rsidRPr="003A4807">
        <w:rPr>
          <w:rFonts w:cs="Arial"/>
          <w:b/>
          <w:sz w:val="22"/>
        </w:rPr>
        <w:t xml:space="preserve">, </w:t>
      </w:r>
      <w:r w:rsidRPr="003A4807">
        <w:rPr>
          <w:rFonts w:cs="Arial"/>
          <w:sz w:val="22"/>
        </w:rPr>
        <w:t>i.e. benchmarks set on the basis of the top performers, and whether the cooperation enables the participating countries to better achieve the economic, fiscal and financial policy goals of the existing governance framework, notably the SGP, the MIP and the CSRs.</w:t>
      </w:r>
      <w:r w:rsidRPr="003A4807">
        <w:rPr>
          <w:rFonts w:cs="Arial"/>
          <w:b/>
          <w:i/>
          <w:sz w:val="22"/>
        </w:rPr>
        <w:t xml:space="preserve">  </w:t>
      </w:r>
    </w:p>
    <w:p w:rsidR="003A4807" w:rsidRPr="003A4807" w:rsidRDefault="00010D1C" w:rsidP="00890983">
      <w:pPr>
        <w:spacing w:line="480" w:lineRule="auto"/>
        <w:ind w:firstLine="720"/>
        <w:jc w:val="both"/>
        <w:rPr>
          <w:rFonts w:cs="Arial"/>
          <w:sz w:val="22"/>
        </w:rPr>
      </w:pPr>
      <w:r w:rsidRPr="001423EF">
        <w:rPr>
          <w:rFonts w:cs="Arial"/>
          <w:sz w:val="22"/>
        </w:rPr>
        <w:t xml:space="preserve">Two critical assumptions are relevant in this respect, namely which sub-set of </w:t>
      </w:r>
      <w:r w:rsidR="00F511D1" w:rsidRPr="001423EF">
        <w:rPr>
          <w:rFonts w:cs="Arial"/>
          <w:sz w:val="22"/>
        </w:rPr>
        <w:t xml:space="preserve">euro area </w:t>
      </w:r>
      <w:r w:rsidRPr="001423EF">
        <w:rPr>
          <w:rFonts w:cs="Arial"/>
          <w:sz w:val="22"/>
        </w:rPr>
        <w:t xml:space="preserve">countries would comprise the </w:t>
      </w:r>
      <w:proofErr w:type="spellStart"/>
      <w:r w:rsidRPr="001423EF">
        <w:rPr>
          <w:rFonts w:cs="Arial"/>
          <w:sz w:val="22"/>
        </w:rPr>
        <w:t>avant-guarde</w:t>
      </w:r>
      <w:proofErr w:type="spellEnd"/>
      <w:r w:rsidRPr="001423EF">
        <w:rPr>
          <w:rFonts w:cs="Arial"/>
          <w:sz w:val="22"/>
        </w:rPr>
        <w:t xml:space="preserve"> and whether one assesses this from a static or dynamic perspective. </w:t>
      </w:r>
      <w:r w:rsidR="00F511D1" w:rsidRPr="003A4807">
        <w:rPr>
          <w:rFonts w:cs="Arial"/>
          <w:sz w:val="22"/>
        </w:rPr>
        <w:t xml:space="preserve">As regards resilience, if the countries which have lagged behind on reform </w:t>
      </w:r>
      <w:r w:rsidR="00F511D1" w:rsidRPr="003A4807">
        <w:rPr>
          <w:rFonts w:cs="Arial"/>
          <w:sz w:val="22"/>
        </w:rPr>
        <w:lastRenderedPageBreak/>
        <w:t>implementation integrate further to make progress this could increase convergence in the euro area as a whole.</w:t>
      </w:r>
      <w:r w:rsidR="00ED1463" w:rsidRPr="003A4807">
        <w:rPr>
          <w:rFonts w:cs="Arial"/>
          <w:sz w:val="22"/>
        </w:rPr>
        <w:t xml:space="preserve"> As regards risk-sharing, when considering the case of a EA subset moving ahead, a scenario where a mix of core and peripheral</w:t>
      </w:r>
      <w:r w:rsidR="00ED1463" w:rsidRPr="003A4807">
        <w:rPr>
          <w:rStyle w:val="FootnoteReference"/>
          <w:rFonts w:cs="Arial"/>
          <w:sz w:val="22"/>
        </w:rPr>
        <w:footnoteReference w:id="21"/>
      </w:r>
      <w:r w:rsidR="00ED1463" w:rsidRPr="003A4807">
        <w:rPr>
          <w:rFonts w:cs="Arial"/>
          <w:sz w:val="22"/>
        </w:rPr>
        <w:t xml:space="preserve"> </w:t>
      </w:r>
      <w:r w:rsidR="0056781C">
        <w:rPr>
          <w:rFonts w:cs="Arial"/>
          <w:sz w:val="22"/>
        </w:rPr>
        <w:t>countries</w:t>
      </w:r>
      <w:r w:rsidR="00ED1463" w:rsidRPr="003A4807">
        <w:rPr>
          <w:rFonts w:cs="Arial"/>
          <w:sz w:val="22"/>
        </w:rPr>
        <w:t xml:space="preserve"> integrate further may </w:t>
      </w:r>
      <w:r w:rsidR="00B27064" w:rsidRPr="003A4807">
        <w:rPr>
          <w:rFonts w:cs="Arial"/>
          <w:sz w:val="22"/>
        </w:rPr>
        <w:t>have some</w:t>
      </w:r>
      <w:r w:rsidR="00ED1463" w:rsidRPr="003A4807">
        <w:rPr>
          <w:rFonts w:cs="Arial"/>
          <w:sz w:val="22"/>
        </w:rPr>
        <w:t xml:space="preserve"> positive implications for EMU functioning</w:t>
      </w:r>
      <w:r w:rsidRPr="003A4807">
        <w:rPr>
          <w:rFonts w:cs="Arial"/>
          <w:sz w:val="22"/>
        </w:rPr>
        <w:t xml:space="preserve">, as the risk-sharing between Member States helps to provide </w:t>
      </w:r>
      <w:r w:rsidR="00142E5E" w:rsidRPr="003A4807">
        <w:rPr>
          <w:rFonts w:cs="Arial"/>
          <w:sz w:val="22"/>
        </w:rPr>
        <w:t xml:space="preserve">some </w:t>
      </w:r>
      <w:r w:rsidRPr="003A4807">
        <w:rPr>
          <w:rFonts w:cs="Arial"/>
          <w:sz w:val="22"/>
        </w:rPr>
        <w:t>stabilisation and shock absorption capacities for the whole EA.</w:t>
      </w:r>
      <w:r w:rsidRPr="003A4807">
        <w:rPr>
          <w:rStyle w:val="FootnoteReference"/>
          <w:rFonts w:cs="Arial"/>
          <w:sz w:val="22"/>
        </w:rPr>
        <w:footnoteReference w:id="22"/>
      </w:r>
      <w:r w:rsidRPr="003A4807">
        <w:rPr>
          <w:rFonts w:cs="Arial"/>
          <w:sz w:val="22"/>
        </w:rPr>
        <w:t xml:space="preserve"> </w:t>
      </w:r>
      <w:r w:rsidRPr="003A4807">
        <w:rPr>
          <w:rStyle w:val="FootnoteReference"/>
          <w:rFonts w:cs="Arial"/>
          <w:sz w:val="22"/>
        </w:rPr>
        <w:footnoteReference w:id="23"/>
      </w:r>
      <w:r w:rsidRPr="003A4807">
        <w:rPr>
          <w:rFonts w:cs="Arial"/>
          <w:sz w:val="22"/>
        </w:rPr>
        <w:t xml:space="preserve"> </w:t>
      </w:r>
      <w:r w:rsidR="00ED1463" w:rsidRPr="003A4807">
        <w:rPr>
          <w:rFonts w:cs="Arial"/>
          <w:sz w:val="22"/>
        </w:rPr>
        <w:t xml:space="preserve">Apart from the direct effects of deeper integration for the </w:t>
      </w:r>
      <w:r w:rsidR="00034866" w:rsidRPr="003A4807">
        <w:rPr>
          <w:rFonts w:cs="Arial"/>
          <w:sz w:val="22"/>
        </w:rPr>
        <w:t xml:space="preserve">participating </w:t>
      </w:r>
      <w:r w:rsidR="00ED1463" w:rsidRPr="003A4807">
        <w:rPr>
          <w:rFonts w:cs="Arial"/>
          <w:sz w:val="22"/>
        </w:rPr>
        <w:t xml:space="preserve">EA economies, there are also a number of positive second-order effects for EMU. Not less important, as some </w:t>
      </w:r>
      <w:r w:rsidR="0056781C">
        <w:rPr>
          <w:rFonts w:cs="Arial"/>
          <w:sz w:val="22"/>
        </w:rPr>
        <w:t>Member States</w:t>
      </w:r>
      <w:r w:rsidR="00ED1463" w:rsidRPr="003A4807">
        <w:rPr>
          <w:rFonts w:cs="Arial"/>
          <w:sz w:val="22"/>
        </w:rPr>
        <w:t xml:space="preserve"> move ahead with reforms and coordination, this could increase peer pressure for sound fiscal policies and structural reform efforts for those </w:t>
      </w:r>
      <w:r w:rsidR="0056781C">
        <w:rPr>
          <w:rFonts w:cs="Arial"/>
          <w:sz w:val="22"/>
        </w:rPr>
        <w:t>countries</w:t>
      </w:r>
      <w:r w:rsidR="00ED1463" w:rsidRPr="003A4807">
        <w:rPr>
          <w:rFonts w:cs="Arial"/>
          <w:sz w:val="22"/>
        </w:rPr>
        <w:t xml:space="preserve"> that are not initially participating. </w:t>
      </w:r>
    </w:p>
    <w:p w:rsidR="00F511D1" w:rsidRPr="003A4807" w:rsidRDefault="00ED1463" w:rsidP="00890983">
      <w:pPr>
        <w:spacing w:line="480" w:lineRule="auto"/>
        <w:ind w:firstLine="720"/>
        <w:jc w:val="both"/>
        <w:rPr>
          <w:rFonts w:cs="Arial"/>
          <w:b/>
          <w:sz w:val="22"/>
        </w:rPr>
      </w:pPr>
      <w:r w:rsidRPr="001423EF">
        <w:rPr>
          <w:rFonts w:cs="Arial"/>
          <w:sz w:val="22"/>
        </w:rPr>
        <w:t>The overall impact in the medium-term would depend on the dynamic assumptions.</w:t>
      </w:r>
      <w:r w:rsidRPr="003A4807">
        <w:rPr>
          <w:rFonts w:cs="Arial"/>
          <w:sz w:val="22"/>
        </w:rPr>
        <w:t xml:space="preserve"> Assuming that the countries </w:t>
      </w:r>
      <w:r w:rsidR="00034866" w:rsidRPr="003A4807">
        <w:rPr>
          <w:rFonts w:cs="Arial"/>
          <w:sz w:val="22"/>
        </w:rPr>
        <w:t xml:space="preserve">not joining the </w:t>
      </w:r>
      <w:r w:rsidR="002454AE" w:rsidRPr="003A4807">
        <w:rPr>
          <w:rFonts w:cs="Arial"/>
          <w:sz w:val="22"/>
        </w:rPr>
        <w:t>avant-garde</w:t>
      </w:r>
      <w:r w:rsidRPr="003A4807">
        <w:rPr>
          <w:rFonts w:cs="Arial"/>
          <w:sz w:val="22"/>
        </w:rPr>
        <w:t xml:space="preserve"> would, via the competitiveness channel, be incentivized to follow suit, the overall impact might be welfare enhancing compared to the status quo. Yet, the working of the competitiveness channel has been clearly impaired during the run up to the crisis and it is unclear whether countries would act differently these days.</w:t>
      </w:r>
    </w:p>
    <w:p w:rsidR="001E6D55" w:rsidRPr="003A4807" w:rsidRDefault="001E6D55" w:rsidP="00890983">
      <w:pPr>
        <w:pStyle w:val="ECBBodyText"/>
        <w:spacing w:line="480" w:lineRule="auto"/>
        <w:ind w:firstLine="720"/>
        <w:jc w:val="both"/>
        <w:rPr>
          <w:rFonts w:cs="Arial"/>
          <w:sz w:val="22"/>
        </w:rPr>
      </w:pPr>
      <w:r w:rsidRPr="001423EF">
        <w:rPr>
          <w:rFonts w:cs="Arial"/>
          <w:sz w:val="22"/>
        </w:rPr>
        <w:t xml:space="preserve">In terms of political dynamics, deeper cooperation between a few </w:t>
      </w:r>
      <w:r w:rsidR="00365144" w:rsidRPr="001423EF">
        <w:rPr>
          <w:rFonts w:cs="Arial"/>
          <w:sz w:val="22"/>
        </w:rPr>
        <w:t>euro area Member States co</w:t>
      </w:r>
      <w:r w:rsidRPr="001423EF">
        <w:rPr>
          <w:rFonts w:cs="Arial"/>
          <w:sz w:val="22"/>
        </w:rPr>
        <w:t xml:space="preserve">uld lead to a bandwagon effect, in which more </w:t>
      </w:r>
      <w:r w:rsidR="0056781C">
        <w:rPr>
          <w:rFonts w:cs="Arial"/>
          <w:sz w:val="22"/>
        </w:rPr>
        <w:t>countries</w:t>
      </w:r>
      <w:r w:rsidRPr="001423EF">
        <w:rPr>
          <w:rFonts w:cs="Arial"/>
          <w:sz w:val="22"/>
        </w:rPr>
        <w:t xml:space="preserve"> feel compelled to join the new arrangements and structures.</w:t>
      </w:r>
      <w:r w:rsidRPr="003A4807">
        <w:rPr>
          <w:rFonts w:cs="Arial"/>
          <w:sz w:val="22"/>
        </w:rPr>
        <w:t xml:space="preserve"> Such dynamics were witnessed in the run-up to the third stage of </w:t>
      </w:r>
      <w:r w:rsidRPr="003A4807">
        <w:rPr>
          <w:rFonts w:cs="Arial"/>
          <w:sz w:val="22"/>
        </w:rPr>
        <w:lastRenderedPageBreak/>
        <w:t xml:space="preserve">EMU. For this reason it is also vital that if some </w:t>
      </w:r>
      <w:r w:rsidR="0056781C">
        <w:rPr>
          <w:rFonts w:cs="Arial"/>
          <w:sz w:val="22"/>
        </w:rPr>
        <w:t>euro area</w:t>
      </w:r>
      <w:r w:rsidR="00DE5304" w:rsidRPr="003A4807">
        <w:rPr>
          <w:rFonts w:cs="Arial"/>
          <w:sz w:val="22"/>
        </w:rPr>
        <w:t xml:space="preserve"> </w:t>
      </w:r>
      <w:r w:rsidR="0056781C">
        <w:rPr>
          <w:rFonts w:cs="Arial"/>
          <w:sz w:val="22"/>
        </w:rPr>
        <w:t>Member States</w:t>
      </w:r>
      <w:r w:rsidRPr="003A4807">
        <w:rPr>
          <w:rFonts w:cs="Arial"/>
          <w:sz w:val="22"/>
        </w:rPr>
        <w:t xml:space="preserve"> do go ahead and integrate further and quicker together, other </w:t>
      </w:r>
      <w:r w:rsidR="0056781C">
        <w:rPr>
          <w:rFonts w:cs="Arial"/>
          <w:sz w:val="22"/>
        </w:rPr>
        <w:t>Member States</w:t>
      </w:r>
      <w:r w:rsidRPr="003A4807">
        <w:rPr>
          <w:rFonts w:cs="Arial"/>
          <w:sz w:val="22"/>
        </w:rPr>
        <w:t xml:space="preserve"> are not only involved in discussions, but also have the opportunity to participate at a later stage. At the same time, it is also vital that such advanced cooperation structures remain sufficiently aligned with the existing institutional set-up of EMU. </w:t>
      </w:r>
    </w:p>
    <w:p w:rsidR="002E243F" w:rsidRPr="003A4807" w:rsidRDefault="002E243F" w:rsidP="00DA6E46">
      <w:pPr>
        <w:pStyle w:val="ECBBodyText"/>
        <w:spacing w:line="480" w:lineRule="auto"/>
        <w:jc w:val="both"/>
        <w:rPr>
          <w:rFonts w:cs="Arial"/>
          <w:sz w:val="22"/>
        </w:rPr>
      </w:pPr>
    </w:p>
    <w:p w:rsidR="00D51FFB" w:rsidRPr="003A4807" w:rsidRDefault="003A4807" w:rsidP="00DA6E46">
      <w:pPr>
        <w:pStyle w:val="ECBBodyText"/>
        <w:spacing w:line="480" w:lineRule="auto"/>
        <w:jc w:val="both"/>
        <w:rPr>
          <w:rFonts w:cs="Arial"/>
          <w:b/>
          <w:sz w:val="22"/>
        </w:rPr>
      </w:pPr>
      <w:r w:rsidRPr="003A4807">
        <w:rPr>
          <w:rFonts w:cs="Arial"/>
          <w:b/>
          <w:sz w:val="22"/>
        </w:rPr>
        <w:t xml:space="preserve">3.4 </w:t>
      </w:r>
      <w:r w:rsidR="000B5305" w:rsidRPr="003A4807">
        <w:rPr>
          <w:rFonts w:cs="Arial"/>
          <w:b/>
          <w:sz w:val="22"/>
        </w:rPr>
        <w:t xml:space="preserve">Drawbacks </w:t>
      </w:r>
      <w:r w:rsidR="00B771A7" w:rsidRPr="003A4807">
        <w:rPr>
          <w:rFonts w:cs="Arial"/>
          <w:b/>
          <w:sz w:val="22"/>
        </w:rPr>
        <w:t>for EMU of</w:t>
      </w:r>
      <w:r w:rsidR="000B5305" w:rsidRPr="003A4807">
        <w:rPr>
          <w:rFonts w:cs="Arial"/>
          <w:b/>
          <w:sz w:val="22"/>
        </w:rPr>
        <w:t xml:space="preserve"> a partial deeper integration </w:t>
      </w:r>
    </w:p>
    <w:p w:rsidR="00F511D1" w:rsidRPr="003A4807" w:rsidRDefault="00F511D1" w:rsidP="00DA6E46">
      <w:pPr>
        <w:pStyle w:val="ECBBodyText"/>
        <w:spacing w:line="480" w:lineRule="auto"/>
        <w:jc w:val="both"/>
        <w:rPr>
          <w:rFonts w:cs="Arial"/>
          <w:b/>
          <w:sz w:val="22"/>
        </w:rPr>
      </w:pPr>
      <w:r w:rsidRPr="001423EF">
        <w:rPr>
          <w:rFonts w:cs="Arial"/>
          <w:sz w:val="22"/>
        </w:rPr>
        <w:t>As mentioned above, for policies directly linked to the function of EMU, deeper integration among only some Member States would be suboptimal to a scenario where the whole EA advances togethe</w:t>
      </w:r>
      <w:r w:rsidRPr="003A4807">
        <w:rPr>
          <w:rFonts w:cs="Arial"/>
          <w:b/>
          <w:sz w:val="22"/>
        </w:rPr>
        <w:t>r</w:t>
      </w:r>
      <w:r w:rsidRPr="003A4807">
        <w:rPr>
          <w:rFonts w:cs="Arial"/>
          <w:sz w:val="22"/>
        </w:rPr>
        <w:t>.</w:t>
      </w:r>
      <w:r w:rsidRPr="003A4807">
        <w:rPr>
          <w:rFonts w:cs="Arial"/>
          <w:b/>
          <w:sz w:val="22"/>
        </w:rPr>
        <w:t xml:space="preserve"> </w:t>
      </w:r>
      <w:r w:rsidRPr="003A4807">
        <w:rPr>
          <w:rFonts w:cs="Arial"/>
          <w:sz w:val="22"/>
        </w:rPr>
        <w:t>The latter scenario might</w:t>
      </w:r>
      <w:r w:rsidRPr="003A4807">
        <w:rPr>
          <w:rFonts w:cs="Arial"/>
          <w:b/>
          <w:sz w:val="22"/>
        </w:rPr>
        <w:t xml:space="preserve"> </w:t>
      </w:r>
      <w:r w:rsidRPr="003A4807">
        <w:rPr>
          <w:rFonts w:cs="Arial"/>
          <w:sz w:val="22"/>
        </w:rPr>
        <w:t>lead to greater divergence in economic structures, economic performance, financial and fiscal practices. This could lead to a less smooth and even impaired transmission of monetary policy throughout the EMU and also to a strengthening of broader macroeconomic imbalances</w:t>
      </w:r>
      <w:r w:rsidRPr="003A4807">
        <w:rPr>
          <w:rStyle w:val="FootnoteReference"/>
          <w:rFonts w:cs="Arial"/>
          <w:sz w:val="22"/>
        </w:rPr>
        <w:footnoteReference w:id="24"/>
      </w:r>
      <w:r w:rsidRPr="003A4807">
        <w:rPr>
          <w:rFonts w:cs="Arial"/>
          <w:sz w:val="22"/>
        </w:rPr>
        <w:t xml:space="preserve"> and more differentiated fiscal and financial policies. If multi-speed leads to differentiated integration inside the Banking Union, this could potentially lead to a mismatch between liability and control.</w:t>
      </w:r>
      <w:r w:rsidRPr="003A4807">
        <w:rPr>
          <w:rStyle w:val="FootnoteReference"/>
          <w:rFonts w:cs="Arial"/>
          <w:sz w:val="22"/>
        </w:rPr>
        <w:footnoteReference w:id="25"/>
      </w:r>
      <w:r w:rsidRPr="003A4807">
        <w:rPr>
          <w:rFonts w:cs="Arial"/>
          <w:sz w:val="22"/>
        </w:rPr>
        <w:t xml:space="preserve"> Much could also depend as to which member states (in terms of economic size and structure, for example) would decide to be part of an avant-garde.</w:t>
      </w:r>
      <w:r w:rsidRPr="003A4807">
        <w:rPr>
          <w:rStyle w:val="FootnoteReference"/>
          <w:rFonts w:cs="Arial"/>
          <w:sz w:val="22"/>
        </w:rPr>
        <w:footnoteReference w:id="26"/>
      </w:r>
    </w:p>
    <w:p w:rsidR="0004697D" w:rsidRPr="003A4807" w:rsidRDefault="00ED1463" w:rsidP="00890983">
      <w:pPr>
        <w:spacing w:line="480" w:lineRule="auto"/>
        <w:ind w:firstLine="720"/>
        <w:jc w:val="both"/>
        <w:rPr>
          <w:rFonts w:cs="Arial"/>
          <w:sz w:val="22"/>
        </w:rPr>
      </w:pPr>
      <w:r w:rsidRPr="001423EF">
        <w:rPr>
          <w:rFonts w:cs="Arial"/>
          <w:sz w:val="22"/>
        </w:rPr>
        <w:t xml:space="preserve">Apart from which sub-set </w:t>
      </w:r>
      <w:r w:rsidR="00034866" w:rsidRPr="001423EF">
        <w:rPr>
          <w:rFonts w:cs="Arial"/>
          <w:sz w:val="22"/>
        </w:rPr>
        <w:t xml:space="preserve">of countries comprise the </w:t>
      </w:r>
      <w:proofErr w:type="spellStart"/>
      <w:r w:rsidR="00034866" w:rsidRPr="001423EF">
        <w:rPr>
          <w:rFonts w:cs="Arial"/>
          <w:sz w:val="22"/>
        </w:rPr>
        <w:t>avant-</w:t>
      </w:r>
      <w:r w:rsidRPr="001423EF">
        <w:rPr>
          <w:rFonts w:cs="Arial"/>
          <w:sz w:val="22"/>
        </w:rPr>
        <w:t>guarde</w:t>
      </w:r>
      <w:proofErr w:type="spellEnd"/>
      <w:r w:rsidRPr="001423EF">
        <w:rPr>
          <w:rFonts w:cs="Arial"/>
          <w:sz w:val="22"/>
        </w:rPr>
        <w:t>, a second critical assumption is whether the impact is assessed from a static or dynamic perspective</w:t>
      </w:r>
      <w:r w:rsidRPr="003A4807">
        <w:rPr>
          <w:rFonts w:cs="Arial"/>
          <w:b/>
          <w:sz w:val="22"/>
        </w:rPr>
        <w:t>.</w:t>
      </w:r>
      <w:r w:rsidRPr="003A4807">
        <w:rPr>
          <w:rFonts w:cs="Arial"/>
          <w:sz w:val="22"/>
        </w:rPr>
        <w:t xml:space="preserve"> A set of significant reforms in a group of more competitive countries would widen the distance from vulnerable economies with more rigid economic structures in the first instance. While this would </w:t>
      </w:r>
      <w:r w:rsidRPr="003A4807">
        <w:rPr>
          <w:rFonts w:cs="Arial"/>
          <w:sz w:val="22"/>
        </w:rPr>
        <w:lastRenderedPageBreak/>
        <w:t>increase the resilience of the more competitive economies, the conclusion for the euro area as a whole is unclear. Multi-speed EMU in the realm of s</w:t>
      </w:r>
      <w:r w:rsidR="00034866" w:rsidRPr="003A4807">
        <w:rPr>
          <w:rFonts w:cs="Arial"/>
          <w:sz w:val="22"/>
        </w:rPr>
        <w:t xml:space="preserve">tructural reforms with an </w:t>
      </w:r>
      <w:r w:rsidR="002454AE" w:rsidRPr="003A4807">
        <w:rPr>
          <w:rFonts w:cs="Arial"/>
          <w:sz w:val="22"/>
        </w:rPr>
        <w:t>avant-garde</w:t>
      </w:r>
      <w:r w:rsidRPr="003A4807">
        <w:rPr>
          <w:rFonts w:cs="Arial"/>
          <w:sz w:val="22"/>
        </w:rPr>
        <w:t xml:space="preserve"> composed only by already competitive economies  could lead to higher business cycle and structural divergence (leading to more income divergence), further complicating the transmission of ECB monetary policy in the euro area</w:t>
      </w:r>
      <w:r w:rsidRPr="003A4807">
        <w:rPr>
          <w:rStyle w:val="FootnoteReference"/>
          <w:rFonts w:cs="Arial"/>
          <w:sz w:val="22"/>
        </w:rPr>
        <w:footnoteReference w:id="27"/>
      </w:r>
      <w:r w:rsidRPr="003A4807">
        <w:rPr>
          <w:rFonts w:cs="Arial"/>
          <w:sz w:val="22"/>
        </w:rPr>
        <w:t>. This conclusion would at least hold in the static world.</w:t>
      </w:r>
      <w:r w:rsidR="0056781C">
        <w:rPr>
          <w:rFonts w:cs="Arial"/>
          <w:sz w:val="22"/>
        </w:rPr>
        <w:t xml:space="preserve"> </w:t>
      </w:r>
      <w:r w:rsidR="00CD46EF" w:rsidRPr="001423EF">
        <w:rPr>
          <w:rFonts w:cs="Arial"/>
          <w:sz w:val="22"/>
        </w:rPr>
        <w:t>In addition</w:t>
      </w:r>
      <w:r w:rsidR="0004697D" w:rsidRPr="001423EF">
        <w:rPr>
          <w:rFonts w:cs="Arial"/>
          <w:sz w:val="22"/>
        </w:rPr>
        <w:t xml:space="preserve">, </w:t>
      </w:r>
      <w:r w:rsidR="00CD46EF" w:rsidRPr="001423EF">
        <w:rPr>
          <w:rFonts w:cs="Arial"/>
          <w:sz w:val="22"/>
        </w:rPr>
        <w:t>“M</w:t>
      </w:r>
      <w:r w:rsidR="0004697D" w:rsidRPr="001423EF">
        <w:rPr>
          <w:rFonts w:cs="Arial"/>
          <w:sz w:val="22"/>
        </w:rPr>
        <w:t>ulti-speed” does not necessarily have to imply that MS move forward: one overarching potential danger is that it could open the door for reverse movement</w:t>
      </w:r>
      <w:r w:rsidR="00034866" w:rsidRPr="003A4807">
        <w:rPr>
          <w:rFonts w:cs="Arial"/>
          <w:b/>
          <w:sz w:val="22"/>
        </w:rPr>
        <w:t>.</w:t>
      </w:r>
      <w:r w:rsidR="0004697D" w:rsidRPr="003A4807">
        <w:rPr>
          <w:rFonts w:cs="Arial"/>
          <w:sz w:val="22"/>
        </w:rPr>
        <w:t xml:space="preserve"> </w:t>
      </w:r>
    </w:p>
    <w:p w:rsidR="0014792F" w:rsidRPr="001423EF" w:rsidRDefault="0004697D" w:rsidP="00890983">
      <w:pPr>
        <w:pStyle w:val="ECBBodyText"/>
        <w:spacing w:line="480" w:lineRule="auto"/>
        <w:ind w:firstLine="720"/>
        <w:jc w:val="both"/>
        <w:rPr>
          <w:rFonts w:cs="Arial"/>
          <w:sz w:val="22"/>
        </w:rPr>
      </w:pPr>
      <w:r w:rsidRPr="001423EF">
        <w:rPr>
          <w:rFonts w:cs="Arial"/>
          <w:sz w:val="22"/>
        </w:rPr>
        <w:t>Even if reversals do not materialize, multi-speed Europe could also signal a further shift towards intergovernmental decision making</w:t>
      </w:r>
      <w:r w:rsidR="00594DF2" w:rsidRPr="001423EF">
        <w:rPr>
          <w:rFonts w:cs="Arial"/>
          <w:sz w:val="22"/>
        </w:rPr>
        <w:t xml:space="preserve">, unless </w:t>
      </w:r>
      <w:r w:rsidRPr="001423EF">
        <w:rPr>
          <w:rFonts w:cs="Arial"/>
          <w:sz w:val="22"/>
        </w:rPr>
        <w:t xml:space="preserve">it is coupled with a transfer of sovereignty to </w:t>
      </w:r>
      <w:r w:rsidR="004A4A6C" w:rsidRPr="001423EF">
        <w:rPr>
          <w:rFonts w:cs="Arial"/>
          <w:sz w:val="22"/>
        </w:rPr>
        <w:t>the EU and administer</w:t>
      </w:r>
      <w:r w:rsidR="00034866" w:rsidRPr="001423EF">
        <w:rPr>
          <w:rFonts w:cs="Arial"/>
          <w:sz w:val="22"/>
        </w:rPr>
        <w:t>ed</w:t>
      </w:r>
      <w:r w:rsidR="004A4A6C" w:rsidRPr="001423EF">
        <w:rPr>
          <w:rFonts w:cs="Arial"/>
          <w:sz w:val="22"/>
        </w:rPr>
        <w:t xml:space="preserve"> by </w:t>
      </w:r>
      <w:r w:rsidRPr="001423EF">
        <w:rPr>
          <w:rFonts w:cs="Arial"/>
          <w:sz w:val="22"/>
        </w:rPr>
        <w:t>democratically</w:t>
      </w:r>
      <w:r w:rsidR="00725AC5" w:rsidRPr="001423EF">
        <w:rPr>
          <w:rFonts w:cs="Arial"/>
          <w:sz w:val="22"/>
        </w:rPr>
        <w:t xml:space="preserve"> </w:t>
      </w:r>
      <w:r w:rsidRPr="001423EF">
        <w:rPr>
          <w:rFonts w:cs="Arial"/>
          <w:sz w:val="22"/>
        </w:rPr>
        <w:t>accountable institutions.</w:t>
      </w:r>
      <w:r w:rsidRPr="003A4807">
        <w:rPr>
          <w:rFonts w:cs="Arial"/>
          <w:b/>
          <w:sz w:val="22"/>
        </w:rPr>
        <w:t xml:space="preserve"> </w:t>
      </w:r>
      <w:r w:rsidRPr="003A4807">
        <w:rPr>
          <w:rFonts w:cs="Arial"/>
          <w:sz w:val="22"/>
        </w:rPr>
        <w:t xml:space="preserve">This </w:t>
      </w:r>
      <w:r w:rsidR="00725AC5" w:rsidRPr="003A4807">
        <w:rPr>
          <w:rFonts w:cs="Arial"/>
          <w:sz w:val="22"/>
        </w:rPr>
        <w:t>forms part of</w:t>
      </w:r>
      <w:r w:rsidRPr="003A4807">
        <w:rPr>
          <w:rFonts w:cs="Arial"/>
          <w:sz w:val="22"/>
        </w:rPr>
        <w:t xml:space="preserve"> a broader debate on whether intergovernmental decision-making is less effective in creating compliance with the EU rules and effective economic governance than drawing up processes guarded by effective institutions with a strong mandate</w:t>
      </w:r>
      <w:r w:rsidR="005A34B6" w:rsidRPr="003A4807">
        <w:rPr>
          <w:rFonts w:cs="Arial"/>
          <w:sz w:val="22"/>
        </w:rPr>
        <w:t>.</w:t>
      </w:r>
      <w:r w:rsidRPr="003A4807">
        <w:rPr>
          <w:rStyle w:val="FootnoteReference"/>
          <w:rFonts w:cs="Arial"/>
          <w:sz w:val="22"/>
        </w:rPr>
        <w:footnoteReference w:id="28"/>
      </w:r>
      <w:r w:rsidRPr="003A4807">
        <w:rPr>
          <w:rFonts w:cs="Arial"/>
          <w:sz w:val="22"/>
        </w:rPr>
        <w:t xml:space="preserve"> </w:t>
      </w:r>
      <w:proofErr w:type="spellStart"/>
      <w:r w:rsidR="00077261" w:rsidRPr="003A4807">
        <w:rPr>
          <w:rFonts w:cs="Arial"/>
          <w:sz w:val="22"/>
        </w:rPr>
        <w:t>Intergovernamentalism</w:t>
      </w:r>
      <w:proofErr w:type="spellEnd"/>
      <w:r w:rsidRPr="003A4807">
        <w:rPr>
          <w:rFonts w:cs="Arial"/>
          <w:sz w:val="22"/>
        </w:rPr>
        <w:t xml:space="preserve"> poses challenges with regard to democratic accountability and legitimacy. </w:t>
      </w:r>
      <w:r w:rsidR="00047508" w:rsidRPr="003A4807">
        <w:rPr>
          <w:rFonts w:cs="Arial"/>
          <w:sz w:val="22"/>
        </w:rPr>
        <w:t xml:space="preserve">In other words, whereas multi-speed </w:t>
      </w:r>
      <w:proofErr w:type="spellStart"/>
      <w:r w:rsidR="00077261" w:rsidRPr="003A4807">
        <w:rPr>
          <w:rFonts w:cs="Arial"/>
          <w:sz w:val="22"/>
        </w:rPr>
        <w:t>intergovernamentalism</w:t>
      </w:r>
      <w:proofErr w:type="spellEnd"/>
      <w:r w:rsidR="00047508" w:rsidRPr="003A4807">
        <w:rPr>
          <w:rFonts w:cs="Arial"/>
          <w:sz w:val="22"/>
        </w:rPr>
        <w:t xml:space="preserve"> can present a way to unlock stalemates and advance integration, it </w:t>
      </w:r>
      <w:r w:rsidR="00047508" w:rsidRPr="001423EF">
        <w:rPr>
          <w:rFonts w:cs="Arial"/>
          <w:sz w:val="22"/>
        </w:rPr>
        <w:t>should not be its end result in terms of decision-making structures.</w:t>
      </w:r>
      <w:r w:rsidR="00047508" w:rsidRPr="001423EF">
        <w:rPr>
          <w:rFonts w:cs="Arial"/>
          <w:i/>
          <w:sz w:val="22"/>
        </w:rPr>
        <w:t xml:space="preserve">  </w:t>
      </w:r>
    </w:p>
    <w:p w:rsidR="00042F3A" w:rsidRPr="003A4807" w:rsidRDefault="00042F3A" w:rsidP="00890983">
      <w:pPr>
        <w:pStyle w:val="ECBBodyText"/>
        <w:spacing w:line="480" w:lineRule="auto"/>
        <w:ind w:firstLine="720"/>
        <w:jc w:val="both"/>
        <w:rPr>
          <w:rFonts w:cs="Arial"/>
          <w:sz w:val="22"/>
        </w:rPr>
      </w:pPr>
      <w:r w:rsidRPr="001423EF">
        <w:rPr>
          <w:rFonts w:cs="Arial"/>
          <w:sz w:val="22"/>
        </w:rPr>
        <w:t>In this light, i</w:t>
      </w:r>
      <w:r w:rsidR="0014792F" w:rsidRPr="001423EF">
        <w:rPr>
          <w:rFonts w:cs="Arial"/>
          <w:sz w:val="22"/>
        </w:rPr>
        <w:t>t is important to note that this consideration applies irrespective of the legal trajectory chosen for the advanced cooperation structure</w:t>
      </w:r>
      <w:r w:rsidR="0014792F" w:rsidRPr="003A4807">
        <w:rPr>
          <w:rFonts w:cs="Arial"/>
          <w:b/>
          <w:sz w:val="22"/>
        </w:rPr>
        <w:t xml:space="preserve">. </w:t>
      </w:r>
      <w:r w:rsidR="002454AE" w:rsidRPr="003A4807">
        <w:rPr>
          <w:rFonts w:cs="Arial"/>
          <w:sz w:val="22"/>
        </w:rPr>
        <w:t>The avant-garde</w:t>
      </w:r>
      <w:r w:rsidR="0014792F" w:rsidRPr="003A4807">
        <w:rPr>
          <w:rFonts w:cs="Arial"/>
          <w:sz w:val="22"/>
        </w:rPr>
        <w:t xml:space="preserve"> that wants to progress in a certain policy has three options</w:t>
      </w:r>
      <w:r w:rsidR="00034866" w:rsidRPr="003A4807">
        <w:rPr>
          <w:rFonts w:cs="Arial"/>
          <w:sz w:val="22"/>
        </w:rPr>
        <w:t>,</w:t>
      </w:r>
      <w:r w:rsidR="0014792F" w:rsidRPr="003A4807">
        <w:rPr>
          <w:rFonts w:cs="Arial"/>
          <w:sz w:val="22"/>
        </w:rPr>
        <w:t xml:space="preserve"> if they want to move ahead with integration (if it is outside the realm of defence and foreign policy). One is to grant an opt-out to Member States who do not wish to go along. Such an agreement can be established within the Community or Union framework. </w:t>
      </w:r>
      <w:r w:rsidRPr="003A4807">
        <w:rPr>
          <w:rFonts w:cs="Arial"/>
          <w:sz w:val="22"/>
        </w:rPr>
        <w:t xml:space="preserve">An alternative option is to make use of the enhanced cooperation </w:t>
      </w:r>
      <w:r w:rsidRPr="003A4807">
        <w:rPr>
          <w:rFonts w:cs="Arial"/>
          <w:sz w:val="22"/>
        </w:rPr>
        <w:lastRenderedPageBreak/>
        <w:t xml:space="preserve">mechanism, as was attempted in the case of the FTT. </w:t>
      </w:r>
      <w:r w:rsidR="00594DF2" w:rsidRPr="003A4807">
        <w:rPr>
          <w:rFonts w:cs="Arial"/>
          <w:sz w:val="22"/>
        </w:rPr>
        <w:t xml:space="preserve">The last </w:t>
      </w:r>
      <w:r w:rsidRPr="003A4807">
        <w:rPr>
          <w:rFonts w:cs="Arial"/>
          <w:sz w:val="22"/>
        </w:rPr>
        <w:t>option is</w:t>
      </w:r>
      <w:r w:rsidR="0014792F" w:rsidRPr="003A4807">
        <w:rPr>
          <w:rFonts w:cs="Arial"/>
          <w:sz w:val="22"/>
        </w:rPr>
        <w:t xml:space="preserve"> to move outside the EU framework altogether by establishing a separate intergovernmental treaty. This solution was applied with regard to Schengen</w:t>
      </w:r>
      <w:r w:rsidR="00725AC5" w:rsidRPr="003A4807">
        <w:rPr>
          <w:rFonts w:cs="Arial"/>
          <w:sz w:val="22"/>
        </w:rPr>
        <w:t>,</w:t>
      </w:r>
      <w:r w:rsidR="0014792F" w:rsidRPr="003A4807">
        <w:rPr>
          <w:rFonts w:cs="Arial"/>
          <w:sz w:val="22"/>
        </w:rPr>
        <w:t xml:space="preserve"> the Fiscal Compact</w:t>
      </w:r>
      <w:r w:rsidR="00725AC5" w:rsidRPr="003A4807">
        <w:rPr>
          <w:rFonts w:cs="Arial"/>
          <w:sz w:val="22"/>
        </w:rPr>
        <w:t xml:space="preserve"> and the ESM</w:t>
      </w:r>
      <w:r w:rsidRPr="003A4807">
        <w:rPr>
          <w:rFonts w:cs="Arial"/>
          <w:sz w:val="22"/>
        </w:rPr>
        <w:t xml:space="preserve">. </w:t>
      </w:r>
    </w:p>
    <w:p w:rsidR="0004697D" w:rsidRPr="003A4807" w:rsidRDefault="0014792F" w:rsidP="00890983">
      <w:pPr>
        <w:pStyle w:val="ECBBodyText"/>
        <w:spacing w:line="480" w:lineRule="auto"/>
        <w:ind w:firstLine="720"/>
        <w:jc w:val="both"/>
        <w:rPr>
          <w:rFonts w:cs="Arial"/>
          <w:sz w:val="22"/>
        </w:rPr>
      </w:pPr>
      <w:r w:rsidRPr="001423EF">
        <w:rPr>
          <w:rFonts w:cs="Arial"/>
          <w:sz w:val="22"/>
        </w:rPr>
        <w:t>Apart from possible reversals and an increase in intergovernmental decision-making</w:t>
      </w:r>
      <w:r w:rsidR="0004697D" w:rsidRPr="001423EF">
        <w:rPr>
          <w:rFonts w:cs="Arial"/>
          <w:sz w:val="22"/>
        </w:rPr>
        <w:t xml:space="preserve">, </w:t>
      </w:r>
      <w:r w:rsidR="000D53C6" w:rsidRPr="001423EF">
        <w:rPr>
          <w:rFonts w:cs="Arial"/>
          <w:sz w:val="22"/>
        </w:rPr>
        <w:t xml:space="preserve">advanced cooperation structures </w:t>
      </w:r>
      <w:r w:rsidR="0004697D" w:rsidRPr="001423EF">
        <w:rPr>
          <w:rFonts w:cs="Arial"/>
          <w:sz w:val="22"/>
        </w:rPr>
        <w:t>could exacerbate insider-outsider dynamics that can complicate decision-making</w:t>
      </w:r>
      <w:r w:rsidR="0004697D" w:rsidRPr="003A4807">
        <w:rPr>
          <w:rFonts w:cs="Arial"/>
          <w:b/>
          <w:sz w:val="22"/>
        </w:rPr>
        <w:t xml:space="preserve">. </w:t>
      </w:r>
      <w:r w:rsidR="00034866" w:rsidRPr="003A4807">
        <w:rPr>
          <w:rFonts w:cs="Arial"/>
          <w:sz w:val="22"/>
        </w:rPr>
        <w:t>In EU fora</w:t>
      </w:r>
      <w:r w:rsidR="0004697D" w:rsidRPr="003A4807">
        <w:rPr>
          <w:rFonts w:cs="Arial"/>
          <w:sz w:val="22"/>
        </w:rPr>
        <w:t xml:space="preserve"> one can already observe increased discussions on this topic, where those Member States outside the EA emphasize that the integrity of the single market </w:t>
      </w:r>
      <w:r w:rsidR="00034866" w:rsidRPr="003A4807">
        <w:rPr>
          <w:rFonts w:cs="Arial"/>
          <w:sz w:val="22"/>
        </w:rPr>
        <w:t>(</w:t>
      </w:r>
      <w:r w:rsidR="0004697D" w:rsidRPr="003A4807">
        <w:rPr>
          <w:rFonts w:cs="Arial"/>
          <w:sz w:val="22"/>
        </w:rPr>
        <w:t>and a level playing field for all Member States</w:t>
      </w:r>
      <w:r w:rsidR="00034866" w:rsidRPr="003A4807">
        <w:rPr>
          <w:rFonts w:cs="Arial"/>
          <w:sz w:val="22"/>
        </w:rPr>
        <w:t>)</w:t>
      </w:r>
      <w:r w:rsidR="0004697D" w:rsidRPr="003A4807">
        <w:rPr>
          <w:rFonts w:cs="Arial"/>
          <w:sz w:val="22"/>
        </w:rPr>
        <w:t xml:space="preserve"> needs to be ensured, including with respect to the set of rules that apply to BU Member States</w:t>
      </w:r>
      <w:r w:rsidR="000D53C6" w:rsidRPr="003A4807">
        <w:rPr>
          <w:rFonts w:cs="Arial"/>
          <w:sz w:val="22"/>
        </w:rPr>
        <w:t xml:space="preserve">. </w:t>
      </w:r>
      <w:r w:rsidR="0004697D" w:rsidRPr="003A4807">
        <w:rPr>
          <w:rFonts w:cs="Arial"/>
          <w:sz w:val="22"/>
        </w:rPr>
        <w:t>At the same time, the Treaties try to limit the negative impact of cooperation by establishing procedures and limitations for enhanced cooperation.</w:t>
      </w:r>
      <w:r w:rsidR="00F511D1" w:rsidRPr="003A4807">
        <w:rPr>
          <w:rFonts w:cs="Arial"/>
          <w:sz w:val="22"/>
        </w:rPr>
        <w:t xml:space="preserve">  Similarly, a</w:t>
      </w:r>
      <w:r w:rsidR="00034866" w:rsidRPr="003A4807">
        <w:rPr>
          <w:rFonts w:cs="Arial"/>
          <w:sz w:val="22"/>
        </w:rPr>
        <w:t>n</w:t>
      </w:r>
      <w:r w:rsidR="00F511D1" w:rsidRPr="003A4807">
        <w:rPr>
          <w:rFonts w:cs="Arial"/>
          <w:sz w:val="22"/>
        </w:rPr>
        <w:t xml:space="preserve"> interesting case of multi-speed in the EA is provided by the use of the method of enhanced cooperation for the Financial Transaction Tax (FTT). Although supported by eleven </w:t>
      </w:r>
      <w:r w:rsidR="0056781C">
        <w:rPr>
          <w:rFonts w:cs="Arial"/>
          <w:sz w:val="22"/>
        </w:rPr>
        <w:t>countries</w:t>
      </w:r>
      <w:r w:rsidR="00F511D1" w:rsidRPr="003A4807">
        <w:rPr>
          <w:rFonts w:cs="Arial"/>
          <w:sz w:val="22"/>
        </w:rPr>
        <w:t xml:space="preserve">, negotiations in the Council have stalled. The main reservation on the part of some participating </w:t>
      </w:r>
      <w:r w:rsidR="0056781C">
        <w:rPr>
          <w:rFonts w:cs="Arial"/>
          <w:sz w:val="22"/>
        </w:rPr>
        <w:t>Member States</w:t>
      </w:r>
      <w:r w:rsidR="00F511D1" w:rsidRPr="003A4807">
        <w:rPr>
          <w:rFonts w:cs="Arial"/>
          <w:sz w:val="22"/>
        </w:rPr>
        <w:t xml:space="preserve"> centres around the question of whether an FTT can be at all effective if not introduced unilaterally throughout the Union (if not globally). </w:t>
      </w:r>
    </w:p>
    <w:p w:rsidR="00034866" w:rsidRPr="003A4807" w:rsidRDefault="0014792F" w:rsidP="00890983">
      <w:pPr>
        <w:pStyle w:val="ECBBodyText"/>
        <w:spacing w:line="480" w:lineRule="auto"/>
        <w:ind w:firstLine="360"/>
        <w:jc w:val="both"/>
        <w:rPr>
          <w:rFonts w:cs="Arial"/>
          <w:sz w:val="22"/>
        </w:rPr>
      </w:pPr>
      <w:r w:rsidRPr="001423EF">
        <w:rPr>
          <w:rFonts w:cs="Arial"/>
          <w:sz w:val="22"/>
        </w:rPr>
        <w:t>In sum,</w:t>
      </w:r>
      <w:r w:rsidR="007D2B03" w:rsidRPr="001423EF">
        <w:rPr>
          <w:rFonts w:cs="Arial"/>
          <w:sz w:val="22"/>
        </w:rPr>
        <w:t xml:space="preserve"> the </w:t>
      </w:r>
      <w:r w:rsidR="00445E9F" w:rsidRPr="001423EF">
        <w:rPr>
          <w:rFonts w:cs="Arial"/>
          <w:sz w:val="22"/>
        </w:rPr>
        <w:t xml:space="preserve">drawbacks </w:t>
      </w:r>
      <w:r w:rsidR="007D2B03" w:rsidRPr="001423EF">
        <w:rPr>
          <w:rFonts w:cs="Arial"/>
          <w:sz w:val="22"/>
        </w:rPr>
        <w:t xml:space="preserve">of such differentiation across policy fields </w:t>
      </w:r>
      <w:r w:rsidR="00CD46EF" w:rsidRPr="001423EF">
        <w:rPr>
          <w:rFonts w:cs="Arial"/>
          <w:sz w:val="22"/>
        </w:rPr>
        <w:t>come</w:t>
      </w:r>
      <w:r w:rsidR="007D2B03" w:rsidRPr="001423EF">
        <w:rPr>
          <w:rFonts w:cs="Arial"/>
          <w:sz w:val="22"/>
        </w:rPr>
        <w:t xml:space="preserve"> from the fact that this could erode the common and cohesive political identity of the European project at large</w:t>
      </w:r>
      <w:r w:rsidR="00594DF2" w:rsidRPr="001423EF">
        <w:rPr>
          <w:rFonts w:cs="Arial"/>
          <w:sz w:val="22"/>
        </w:rPr>
        <w:t>. This</w:t>
      </w:r>
      <w:r w:rsidR="00725AC5" w:rsidRPr="001423EF">
        <w:rPr>
          <w:rFonts w:cs="Arial"/>
          <w:sz w:val="22"/>
        </w:rPr>
        <w:t xml:space="preserve"> is one of the reasons why the Commission had been so sceptical of multi-speed Europe </w:t>
      </w:r>
      <w:r w:rsidR="00B00E4D" w:rsidRPr="001423EF">
        <w:rPr>
          <w:rFonts w:cs="Arial"/>
          <w:sz w:val="22"/>
        </w:rPr>
        <w:t xml:space="preserve">so far, at least </w:t>
      </w:r>
      <w:r w:rsidR="00725AC5" w:rsidRPr="001423EF">
        <w:rPr>
          <w:rFonts w:cs="Arial"/>
          <w:sz w:val="22"/>
        </w:rPr>
        <w:t>until the change of tone in the White Paper</w:t>
      </w:r>
      <w:r w:rsidR="007D2B03" w:rsidRPr="001423EF">
        <w:rPr>
          <w:rFonts w:cs="Arial"/>
          <w:sz w:val="22"/>
        </w:rPr>
        <w:t>.</w:t>
      </w:r>
      <w:r w:rsidR="007D2B03" w:rsidRPr="003A4807">
        <w:rPr>
          <w:rFonts w:cs="Arial"/>
          <w:sz w:val="22"/>
        </w:rPr>
        <w:t xml:space="preserve"> From this perspective, multi-speed is based on a very functional perspective of European integration where </w:t>
      </w:r>
      <w:proofErr w:type="spellStart"/>
      <w:r w:rsidR="0056781C">
        <w:rPr>
          <w:rFonts w:cs="Arial"/>
          <w:sz w:val="22"/>
        </w:rPr>
        <w:t>counries</w:t>
      </w:r>
      <w:proofErr w:type="spellEnd"/>
      <w:r w:rsidR="007D2B03" w:rsidRPr="003A4807">
        <w:rPr>
          <w:rFonts w:cs="Arial"/>
          <w:sz w:val="22"/>
        </w:rPr>
        <w:t xml:space="preserve"> choose policy fields in which to integrate rather than creating an “ever closer union”, where the EA and its </w:t>
      </w:r>
      <w:r w:rsidR="0056781C">
        <w:rPr>
          <w:rFonts w:cs="Arial"/>
          <w:sz w:val="22"/>
        </w:rPr>
        <w:t>Member States</w:t>
      </w:r>
      <w:r w:rsidR="007D2B03" w:rsidRPr="003A4807">
        <w:rPr>
          <w:rFonts w:cs="Arial"/>
          <w:sz w:val="22"/>
        </w:rPr>
        <w:t xml:space="preserve"> are naturally part of the core.</w:t>
      </w:r>
    </w:p>
    <w:p w:rsidR="00D51FFB" w:rsidRDefault="00D51FFB" w:rsidP="00DA6E46">
      <w:pPr>
        <w:spacing w:before="0" w:after="0" w:line="480" w:lineRule="auto"/>
        <w:jc w:val="both"/>
        <w:rPr>
          <w:rFonts w:cs="Arial"/>
          <w:b/>
          <w:sz w:val="22"/>
        </w:rPr>
      </w:pPr>
    </w:p>
    <w:p w:rsidR="00305965" w:rsidRPr="003A4807" w:rsidRDefault="00305965" w:rsidP="00DA6E46">
      <w:pPr>
        <w:spacing w:before="0" w:after="0" w:line="480" w:lineRule="auto"/>
        <w:jc w:val="both"/>
        <w:rPr>
          <w:rFonts w:cs="Arial"/>
          <w:b/>
          <w:sz w:val="22"/>
        </w:rPr>
      </w:pPr>
    </w:p>
    <w:p w:rsidR="00445E9F" w:rsidRPr="003A4807" w:rsidRDefault="003A4807" w:rsidP="00DA6E46">
      <w:pPr>
        <w:pStyle w:val="ListParagraph"/>
        <w:numPr>
          <w:ilvl w:val="0"/>
          <w:numId w:val="19"/>
        </w:numPr>
        <w:spacing w:before="0" w:after="0" w:line="480" w:lineRule="auto"/>
        <w:jc w:val="both"/>
        <w:rPr>
          <w:rFonts w:cs="Arial"/>
          <w:b/>
          <w:sz w:val="22"/>
        </w:rPr>
      </w:pPr>
      <w:r w:rsidRPr="003A4807">
        <w:rPr>
          <w:rFonts w:cs="Arial"/>
          <w:b/>
          <w:sz w:val="22"/>
        </w:rPr>
        <w:lastRenderedPageBreak/>
        <w:t xml:space="preserve">Multi-speed EMU </w:t>
      </w:r>
      <w:r w:rsidR="00DA6E46">
        <w:rPr>
          <w:rFonts w:cs="Arial"/>
          <w:b/>
          <w:sz w:val="22"/>
        </w:rPr>
        <w:t xml:space="preserve">in </w:t>
      </w:r>
      <w:r w:rsidR="00890983">
        <w:rPr>
          <w:rFonts w:cs="Arial"/>
          <w:b/>
          <w:sz w:val="22"/>
        </w:rPr>
        <w:t>several</w:t>
      </w:r>
      <w:r w:rsidR="00DA6E46">
        <w:rPr>
          <w:rFonts w:cs="Arial"/>
          <w:b/>
          <w:sz w:val="22"/>
        </w:rPr>
        <w:t xml:space="preserve"> case studies </w:t>
      </w:r>
    </w:p>
    <w:p w:rsidR="001423EF" w:rsidRPr="003A4807" w:rsidRDefault="001423EF" w:rsidP="00DA6E46">
      <w:pPr>
        <w:spacing w:line="480" w:lineRule="auto"/>
        <w:jc w:val="both"/>
        <w:rPr>
          <w:rFonts w:cs="Arial"/>
          <w:sz w:val="22"/>
        </w:rPr>
      </w:pPr>
      <w:r>
        <w:rPr>
          <w:rFonts w:cs="Arial"/>
          <w:sz w:val="22"/>
        </w:rPr>
        <w:t xml:space="preserve">Multi-speed EMU has been discussed in three key EMU deepening areas, notably Capital Markets Union, taxation and euro area budgetary instruments. Specifically, these discussions have </w:t>
      </w:r>
      <w:r w:rsidR="00890983">
        <w:rPr>
          <w:rFonts w:cs="Arial"/>
          <w:sz w:val="22"/>
        </w:rPr>
        <w:t>focused on a</w:t>
      </w:r>
      <w:r>
        <w:rPr>
          <w:rFonts w:cs="Arial"/>
          <w:sz w:val="22"/>
        </w:rPr>
        <w:t xml:space="preserve"> Baltic Capital Markets Union, a Financial Transaction Tax (FTT) where only a limited number of Member States would partake, and the possibility that a number of Member States – notably the Netherlands – would not take part in a euro area budgetary instrument. </w:t>
      </w:r>
    </w:p>
    <w:p w:rsidR="00B771A7" w:rsidRPr="003A4807" w:rsidRDefault="00B771A7" w:rsidP="00DA6E46">
      <w:pPr>
        <w:spacing w:after="0" w:line="480" w:lineRule="auto"/>
        <w:jc w:val="both"/>
        <w:rPr>
          <w:rFonts w:cs="Arial"/>
          <w:sz w:val="22"/>
        </w:rPr>
      </w:pPr>
      <w:r w:rsidRPr="003A4807">
        <w:rPr>
          <w:rFonts w:cs="Arial"/>
          <w:sz w:val="22"/>
        </w:rPr>
        <w:t xml:space="preserve">We assess </w:t>
      </w:r>
      <w:r w:rsidR="0011138D" w:rsidRPr="003A4807">
        <w:rPr>
          <w:rFonts w:cs="Arial"/>
          <w:sz w:val="22"/>
        </w:rPr>
        <w:t xml:space="preserve">each </w:t>
      </w:r>
      <w:r w:rsidR="001423EF">
        <w:rPr>
          <w:rFonts w:cs="Arial"/>
          <w:sz w:val="22"/>
        </w:rPr>
        <w:t>of these three domains with the framework developed in section 3, i.e.</w:t>
      </w:r>
      <w:r w:rsidRPr="003A4807">
        <w:rPr>
          <w:rFonts w:cs="Arial"/>
          <w:sz w:val="22"/>
        </w:rPr>
        <w:t xml:space="preserve"> against two broad economic criteria (resilience and stabilisation) and two institutional criteria (governance effectiveness and political </w:t>
      </w:r>
      <w:proofErr w:type="spellStart"/>
      <w:r w:rsidRPr="003A4807">
        <w:rPr>
          <w:rFonts w:cs="Arial"/>
          <w:sz w:val="22"/>
        </w:rPr>
        <w:t>spillovers</w:t>
      </w:r>
      <w:proofErr w:type="spellEnd"/>
      <w:r w:rsidRPr="003A4807">
        <w:rPr>
          <w:rFonts w:cs="Arial"/>
          <w:sz w:val="22"/>
        </w:rPr>
        <w:t xml:space="preserve">) under three possible scenarios </w:t>
      </w:r>
      <w:r w:rsidRPr="001423EF">
        <w:rPr>
          <w:rFonts w:cs="Arial"/>
          <w:sz w:val="22"/>
        </w:rPr>
        <w:t xml:space="preserve">of multi-speed integration: EA as a whole integrating further, an EA subset, and a combination of EA and non-EA Member States. </w:t>
      </w:r>
    </w:p>
    <w:p w:rsidR="00255D21" w:rsidRDefault="00255D21" w:rsidP="00DA6E46">
      <w:pPr>
        <w:pStyle w:val="ListParagraph"/>
        <w:spacing w:after="0" w:line="480" w:lineRule="auto"/>
        <w:ind w:left="360"/>
        <w:jc w:val="both"/>
        <w:rPr>
          <w:rFonts w:cs="Arial"/>
          <w:sz w:val="22"/>
        </w:rPr>
      </w:pPr>
    </w:p>
    <w:p w:rsidR="00255D21" w:rsidRPr="00255D21" w:rsidRDefault="00255D21" w:rsidP="00DA6E46">
      <w:pPr>
        <w:spacing w:after="0" w:line="480" w:lineRule="auto"/>
        <w:jc w:val="both"/>
        <w:rPr>
          <w:rFonts w:cs="Arial"/>
          <w:b/>
          <w:sz w:val="22"/>
        </w:rPr>
      </w:pPr>
      <w:r w:rsidRPr="00255D21">
        <w:rPr>
          <w:rFonts w:cs="Arial"/>
          <w:b/>
          <w:sz w:val="22"/>
        </w:rPr>
        <w:t>4.1 Capital Markets Union</w:t>
      </w:r>
    </w:p>
    <w:p w:rsidR="00255D21" w:rsidRPr="001423EF" w:rsidRDefault="00255D21" w:rsidP="00DA6E46">
      <w:pPr>
        <w:spacing w:line="480" w:lineRule="auto"/>
        <w:jc w:val="both"/>
        <w:rPr>
          <w:rFonts w:cs="Arial"/>
          <w:sz w:val="22"/>
        </w:rPr>
      </w:pPr>
      <w:r w:rsidRPr="001423EF">
        <w:rPr>
          <w:rFonts w:cs="Arial"/>
          <w:sz w:val="22"/>
        </w:rPr>
        <w:t xml:space="preserve">The best scenario for the implementation of the Capital Market Union (CMU) is one where all EA </w:t>
      </w:r>
      <w:r w:rsidR="0056781C">
        <w:rPr>
          <w:rFonts w:cs="Arial"/>
          <w:sz w:val="22"/>
        </w:rPr>
        <w:t>Member States</w:t>
      </w:r>
      <w:r w:rsidRPr="001423EF">
        <w:rPr>
          <w:rFonts w:cs="Arial"/>
          <w:sz w:val="22"/>
        </w:rPr>
        <w:t xml:space="preserve"> integrate further. This allows CMU to reduce fragmentation in EU capital markets, fostering their stability, and to provide the EA with an improved private-sector shock-absorption mechanism, fostering risk sharing. Under CMU, a crisis-hit </w:t>
      </w:r>
      <w:r w:rsidR="0056781C">
        <w:rPr>
          <w:rFonts w:cs="Arial"/>
          <w:sz w:val="22"/>
        </w:rPr>
        <w:t>Member State</w:t>
      </w:r>
      <w:r w:rsidRPr="001423EF">
        <w:rPr>
          <w:rFonts w:cs="Arial"/>
          <w:sz w:val="22"/>
        </w:rPr>
        <w:t xml:space="preserve"> can borrow from those in better economic shape, </w:t>
      </w:r>
      <w:r w:rsidRPr="001423EF">
        <w:rPr>
          <w:rFonts w:cs="Arial"/>
          <w:i/>
          <w:sz w:val="22"/>
        </w:rPr>
        <w:t>de facto</w:t>
      </w:r>
      <w:r w:rsidRPr="001423EF">
        <w:rPr>
          <w:rFonts w:cs="Arial"/>
          <w:sz w:val="22"/>
        </w:rPr>
        <w:t xml:space="preserve"> participating into an insurance mechanism against asymmetric shocks. This improves EA resilience and </w:t>
      </w:r>
      <w:proofErr w:type="gramStart"/>
      <w:r w:rsidRPr="001423EF">
        <w:rPr>
          <w:rFonts w:cs="Arial"/>
          <w:sz w:val="22"/>
        </w:rPr>
        <w:t>stability,</w:t>
      </w:r>
      <w:proofErr w:type="gramEnd"/>
      <w:r w:rsidRPr="001423EF">
        <w:rPr>
          <w:rFonts w:cs="Arial"/>
          <w:sz w:val="22"/>
        </w:rPr>
        <w:t xml:space="preserve"> it reduces EU bank-based finance and avoids domestic-bias in investments. By preventing banks in poor financial health from being a drag on </w:t>
      </w:r>
      <w:r w:rsidR="0056781C">
        <w:rPr>
          <w:rFonts w:cs="Arial"/>
          <w:sz w:val="22"/>
        </w:rPr>
        <w:t>countries’</w:t>
      </w:r>
      <w:r w:rsidRPr="001423EF">
        <w:rPr>
          <w:rFonts w:cs="Arial"/>
          <w:sz w:val="22"/>
        </w:rPr>
        <w:t xml:space="preserve"> economies, the CMU has the potential to foster EA convergence and so enhance the transmission of ECB monetary policy.</w:t>
      </w:r>
    </w:p>
    <w:p w:rsidR="00255D21" w:rsidRPr="001423EF" w:rsidRDefault="00255D21" w:rsidP="00890983">
      <w:pPr>
        <w:spacing w:line="480" w:lineRule="auto"/>
        <w:ind w:firstLine="720"/>
        <w:jc w:val="both"/>
        <w:rPr>
          <w:rFonts w:cs="Arial"/>
          <w:sz w:val="22"/>
        </w:rPr>
      </w:pPr>
      <w:r w:rsidRPr="001423EF">
        <w:rPr>
          <w:rFonts w:cs="Arial"/>
          <w:sz w:val="22"/>
        </w:rPr>
        <w:t xml:space="preserve">In case only a subset of the EA adopts CMU, this is likely to maintain the benefits of the “whole EA” scenario but diluted in their effectiveness. For example, stabilisation is still provided </w:t>
      </w:r>
      <w:r w:rsidRPr="001423EF">
        <w:rPr>
          <w:rFonts w:cs="Arial"/>
          <w:sz w:val="22"/>
        </w:rPr>
        <w:lastRenderedPageBreak/>
        <w:t xml:space="preserve">via capital markets but either to less </w:t>
      </w:r>
      <w:r w:rsidR="0056781C">
        <w:rPr>
          <w:rFonts w:cs="Arial"/>
          <w:sz w:val="22"/>
        </w:rPr>
        <w:t>Member States</w:t>
      </w:r>
      <w:r w:rsidRPr="001423EF">
        <w:rPr>
          <w:rFonts w:cs="Arial"/>
          <w:sz w:val="22"/>
        </w:rPr>
        <w:t xml:space="preserve"> or with lower capacity (if few creditor MS decided to join CMU). Hence, CMU is likely to have a weaker capacity to foster growth and convergence in EA. This is unlikely to foster divergence. The transmission of ECB monetary policy is also unlikely to be weakened. There seems to be no direct risks of further EMU instability (e.g. shocks transmission or amplification). </w:t>
      </w:r>
    </w:p>
    <w:p w:rsidR="00255D21" w:rsidRPr="001423EF" w:rsidRDefault="00255D21" w:rsidP="00DA6E46">
      <w:pPr>
        <w:spacing w:line="480" w:lineRule="auto"/>
        <w:jc w:val="both"/>
        <w:rPr>
          <w:rFonts w:cs="Arial"/>
        </w:rPr>
      </w:pPr>
      <w:r w:rsidRPr="001423EF">
        <w:rPr>
          <w:rFonts w:cs="Arial"/>
          <w:sz w:val="22"/>
        </w:rPr>
        <w:t xml:space="preserve">The case where a mix of EA and non-EA </w:t>
      </w:r>
      <w:r w:rsidR="0056781C">
        <w:rPr>
          <w:rFonts w:cs="Arial"/>
          <w:sz w:val="22"/>
        </w:rPr>
        <w:t>Member States</w:t>
      </w:r>
      <w:r w:rsidRPr="001423EF">
        <w:rPr>
          <w:rFonts w:cs="Arial"/>
          <w:sz w:val="22"/>
        </w:rPr>
        <w:t xml:space="preserve"> implement CMU seems to carry almost the same pros and cons of the scenario previously addressed.</w:t>
      </w:r>
      <w:r w:rsidRPr="001423EF">
        <w:rPr>
          <w:rFonts w:cs="Arial"/>
        </w:rPr>
        <w:t xml:space="preserve"> </w:t>
      </w:r>
    </w:p>
    <w:p w:rsidR="00255D21" w:rsidRDefault="00255D21" w:rsidP="00DA6E46">
      <w:pPr>
        <w:spacing w:line="480" w:lineRule="auto"/>
        <w:jc w:val="both"/>
        <w:rPr>
          <w:rFonts w:cs="Arial"/>
        </w:rPr>
      </w:pPr>
    </w:p>
    <w:p w:rsidR="00255D21" w:rsidRPr="005140AF" w:rsidRDefault="001423EF" w:rsidP="005140AF">
      <w:pPr>
        <w:pStyle w:val="ListParagraph"/>
        <w:numPr>
          <w:ilvl w:val="1"/>
          <w:numId w:val="20"/>
        </w:numPr>
        <w:spacing w:after="0" w:line="480" w:lineRule="auto"/>
        <w:jc w:val="both"/>
        <w:rPr>
          <w:rFonts w:cs="Arial"/>
          <w:b/>
          <w:sz w:val="22"/>
        </w:rPr>
      </w:pPr>
      <w:r w:rsidRPr="005140AF">
        <w:rPr>
          <w:rFonts w:cs="Arial"/>
          <w:b/>
          <w:sz w:val="22"/>
        </w:rPr>
        <w:t xml:space="preserve">Taxation </w:t>
      </w:r>
    </w:p>
    <w:p w:rsidR="00255D21" w:rsidRPr="001423EF" w:rsidRDefault="00255D21" w:rsidP="00DA6E46">
      <w:pPr>
        <w:spacing w:line="480" w:lineRule="auto"/>
        <w:jc w:val="both"/>
        <w:rPr>
          <w:rFonts w:ascii="Times New Roman" w:hAnsi="Times New Roman"/>
          <w:sz w:val="22"/>
        </w:rPr>
      </w:pPr>
      <w:r w:rsidRPr="001423EF">
        <w:rPr>
          <w:sz w:val="22"/>
        </w:rPr>
        <w:t>One policy area where multi-speed integration could be considered, possibly through the enhanced cooperation mechanism (Art. 20 TFEU), is in taxation.</w:t>
      </w:r>
      <w:r w:rsidRPr="001423EF">
        <w:rPr>
          <w:b/>
          <w:bCs/>
          <w:sz w:val="22"/>
        </w:rPr>
        <w:t xml:space="preserve"> </w:t>
      </w:r>
      <w:r w:rsidR="001423EF" w:rsidRPr="001423EF">
        <w:rPr>
          <w:sz w:val="22"/>
        </w:rPr>
        <w:t>This has been specifically discussed in the context of a possible Financial Transaction Tax (FTT).</w:t>
      </w:r>
    </w:p>
    <w:p w:rsidR="00255D21" w:rsidRPr="001423EF" w:rsidRDefault="00255D21" w:rsidP="00890983">
      <w:pPr>
        <w:spacing w:line="480" w:lineRule="auto"/>
        <w:ind w:firstLine="720"/>
        <w:jc w:val="both"/>
        <w:rPr>
          <w:rFonts w:cs="Arial"/>
          <w:sz w:val="22"/>
        </w:rPr>
      </w:pPr>
      <w:r w:rsidRPr="001423EF">
        <w:rPr>
          <w:rFonts w:cs="Arial"/>
          <w:sz w:val="22"/>
        </w:rPr>
        <w:t xml:space="preserve">In case all </w:t>
      </w:r>
      <w:r w:rsidR="008D4F7B">
        <w:rPr>
          <w:rFonts w:cs="Arial"/>
          <w:sz w:val="22"/>
        </w:rPr>
        <w:t xml:space="preserve">of the euro </w:t>
      </w:r>
      <w:proofErr w:type="gramStart"/>
      <w:r w:rsidR="008D4F7B">
        <w:rPr>
          <w:rFonts w:cs="Arial"/>
          <w:sz w:val="22"/>
        </w:rPr>
        <w:t>area</w:t>
      </w:r>
      <w:r w:rsidRPr="001423EF">
        <w:rPr>
          <w:rFonts w:cs="Arial"/>
          <w:sz w:val="22"/>
        </w:rPr>
        <w:t xml:space="preserve"> integrate</w:t>
      </w:r>
      <w:proofErr w:type="gramEnd"/>
      <w:r w:rsidRPr="001423EF">
        <w:rPr>
          <w:rFonts w:cs="Arial"/>
          <w:sz w:val="22"/>
        </w:rPr>
        <w:t xml:space="preserve"> in the area of taxation, this allows for harmonisation of tax regimes, reducing tax competition, enhancing tax compliance, so improving MS fiscal capacity. This may have a positive effect on GDP and support EMU deepening. Tax harmonisation could be a source of revenues for </w:t>
      </w:r>
      <w:proofErr w:type="gramStart"/>
      <w:r w:rsidRPr="001423EF">
        <w:rPr>
          <w:rFonts w:cs="Arial"/>
          <w:sz w:val="22"/>
        </w:rPr>
        <w:t>a</w:t>
      </w:r>
      <w:proofErr w:type="gramEnd"/>
      <w:r w:rsidRPr="001423EF">
        <w:rPr>
          <w:rFonts w:cs="Arial"/>
          <w:sz w:val="22"/>
        </w:rPr>
        <w:t xml:space="preserve"> EA fiscal capacity. </w:t>
      </w:r>
    </w:p>
    <w:p w:rsidR="00255D21" w:rsidRPr="001423EF" w:rsidRDefault="00255D21" w:rsidP="00890983">
      <w:pPr>
        <w:spacing w:line="480" w:lineRule="auto"/>
        <w:ind w:firstLine="720"/>
        <w:jc w:val="both"/>
        <w:rPr>
          <w:rFonts w:cs="Arial"/>
          <w:sz w:val="22"/>
        </w:rPr>
      </w:pPr>
      <w:r w:rsidRPr="001423EF">
        <w:rPr>
          <w:rFonts w:cs="Arial"/>
          <w:sz w:val="22"/>
        </w:rPr>
        <w:t xml:space="preserve">If a subset of the EA goes ahead in the area of taxation, there may be risks for EMU functioning, regardless of the </w:t>
      </w:r>
      <w:proofErr w:type="spellStart"/>
      <w:r w:rsidRPr="001423EF">
        <w:rPr>
          <w:rFonts w:cs="Arial"/>
          <w:sz w:val="22"/>
        </w:rPr>
        <w:t>avant</w:t>
      </w:r>
      <w:proofErr w:type="spellEnd"/>
      <w:r w:rsidRPr="001423EF">
        <w:rPr>
          <w:rFonts w:cs="Arial"/>
          <w:sz w:val="22"/>
        </w:rPr>
        <w:t xml:space="preserve"> guard composition. This holds true on the economic side (converge and stability) and on the political side (political </w:t>
      </w:r>
      <w:proofErr w:type="spellStart"/>
      <w:r w:rsidRPr="001423EF">
        <w:rPr>
          <w:rFonts w:cs="Arial"/>
          <w:sz w:val="22"/>
        </w:rPr>
        <w:t>spillovers</w:t>
      </w:r>
      <w:proofErr w:type="spellEnd"/>
      <w:r w:rsidRPr="001423EF">
        <w:rPr>
          <w:rFonts w:cs="Arial"/>
          <w:sz w:val="22"/>
        </w:rPr>
        <w:t>).</w:t>
      </w:r>
      <w:r w:rsidRPr="001423EF">
        <w:rPr>
          <w:rFonts w:cs="Arial"/>
          <w:b/>
          <w:sz w:val="22"/>
        </w:rPr>
        <w:t xml:space="preserve"> </w:t>
      </w:r>
      <w:r w:rsidRPr="001423EF">
        <w:rPr>
          <w:rFonts w:cs="Arial"/>
          <w:sz w:val="22"/>
        </w:rPr>
        <w:t xml:space="preserve">For example, multi-speed may undermine the effectiveness of tax harmonisation in the EA, causing free-riding as firms might leave avant-garde </w:t>
      </w:r>
      <w:r w:rsidR="0056781C">
        <w:rPr>
          <w:rFonts w:cs="Arial"/>
          <w:sz w:val="22"/>
        </w:rPr>
        <w:t>countries</w:t>
      </w:r>
      <w:r w:rsidRPr="001423EF">
        <w:rPr>
          <w:rFonts w:cs="Arial"/>
          <w:sz w:val="22"/>
        </w:rPr>
        <w:t xml:space="preserve">. This may foster divergence in EA via erosion of non-integrating </w:t>
      </w:r>
      <w:r w:rsidR="0056781C">
        <w:rPr>
          <w:rFonts w:cs="Arial"/>
          <w:sz w:val="22"/>
        </w:rPr>
        <w:t>countries’</w:t>
      </w:r>
      <w:r w:rsidRPr="001423EF">
        <w:rPr>
          <w:rFonts w:cs="Arial"/>
          <w:sz w:val="22"/>
        </w:rPr>
        <w:t xml:space="preserve"> industrial base. In the medium run, such dynamic is likely to make EMU instable, as it would become prone to asymmetric shocks. Moreover, since the literature argues that small non-participating </w:t>
      </w:r>
      <w:r w:rsidR="0056781C">
        <w:rPr>
          <w:rFonts w:cs="Arial"/>
          <w:sz w:val="22"/>
        </w:rPr>
        <w:t>Member States</w:t>
      </w:r>
      <w:r w:rsidRPr="001423EF">
        <w:rPr>
          <w:rFonts w:cs="Arial"/>
          <w:sz w:val="22"/>
        </w:rPr>
        <w:t xml:space="preserve"> might suffer from loss of tax revenues, political </w:t>
      </w:r>
      <w:r w:rsidRPr="001423EF">
        <w:rPr>
          <w:rFonts w:cs="Arial"/>
          <w:sz w:val="22"/>
        </w:rPr>
        <w:lastRenderedPageBreak/>
        <w:t xml:space="preserve">tensions may also arise. In such case, although effectiveness of EMU governance is not necessarily affected, this might either create animosity in other policy areas or discourage non-integrating </w:t>
      </w:r>
      <w:r w:rsidR="0056781C">
        <w:rPr>
          <w:rFonts w:cs="Arial"/>
          <w:sz w:val="22"/>
        </w:rPr>
        <w:t>Member States</w:t>
      </w:r>
      <w:r w:rsidRPr="001423EF">
        <w:rPr>
          <w:rFonts w:cs="Arial"/>
          <w:sz w:val="22"/>
        </w:rPr>
        <w:t xml:space="preserve"> to join the </w:t>
      </w:r>
      <w:proofErr w:type="spellStart"/>
      <w:r w:rsidRPr="001423EF">
        <w:rPr>
          <w:rFonts w:cs="Arial"/>
          <w:sz w:val="22"/>
        </w:rPr>
        <w:t>avant</w:t>
      </w:r>
      <w:proofErr w:type="spellEnd"/>
      <w:r w:rsidRPr="001423EF">
        <w:rPr>
          <w:rFonts w:cs="Arial"/>
          <w:sz w:val="22"/>
        </w:rPr>
        <w:t xml:space="preserve">-guard. Both options can be seen as negative political </w:t>
      </w:r>
      <w:proofErr w:type="spellStart"/>
      <w:r w:rsidRPr="001423EF">
        <w:rPr>
          <w:rFonts w:cs="Arial"/>
          <w:sz w:val="22"/>
        </w:rPr>
        <w:t>spillovers</w:t>
      </w:r>
      <w:proofErr w:type="spellEnd"/>
      <w:r w:rsidRPr="001423EF">
        <w:rPr>
          <w:rFonts w:cs="Arial"/>
          <w:sz w:val="22"/>
        </w:rPr>
        <w:t>.</w:t>
      </w:r>
    </w:p>
    <w:p w:rsidR="00255D21" w:rsidRPr="001423EF" w:rsidRDefault="00255D21" w:rsidP="00890983">
      <w:pPr>
        <w:spacing w:line="480" w:lineRule="auto"/>
        <w:ind w:left="-33" w:firstLine="753"/>
        <w:jc w:val="both"/>
        <w:rPr>
          <w:rFonts w:cs="Arial"/>
          <w:sz w:val="22"/>
        </w:rPr>
      </w:pPr>
      <w:proofErr w:type="gramStart"/>
      <w:r w:rsidRPr="001423EF">
        <w:rPr>
          <w:rFonts w:cs="Arial"/>
          <w:sz w:val="22"/>
        </w:rPr>
        <w:t xml:space="preserve">The final case, where a mix of EA and non-EA </w:t>
      </w:r>
      <w:r w:rsidR="0056781C">
        <w:rPr>
          <w:rFonts w:cs="Arial"/>
          <w:sz w:val="22"/>
        </w:rPr>
        <w:t>Member States</w:t>
      </w:r>
      <w:r w:rsidRPr="001423EF">
        <w:rPr>
          <w:rFonts w:cs="Arial"/>
          <w:sz w:val="22"/>
        </w:rPr>
        <w:t xml:space="preserve"> move, may cause economic and political conflicts.</w:t>
      </w:r>
      <w:proofErr w:type="gramEnd"/>
      <w:r w:rsidRPr="001423EF">
        <w:rPr>
          <w:rFonts w:cs="Arial"/>
          <w:sz w:val="22"/>
        </w:rPr>
        <w:t xml:space="preserve"> There might be the risk – for example – that Eastern EU </w:t>
      </w:r>
      <w:r w:rsidR="0056781C">
        <w:rPr>
          <w:rFonts w:cs="Arial"/>
          <w:sz w:val="22"/>
        </w:rPr>
        <w:t>Member States</w:t>
      </w:r>
      <w:r w:rsidRPr="001423EF">
        <w:rPr>
          <w:rFonts w:cs="Arial"/>
          <w:sz w:val="22"/>
        </w:rPr>
        <w:t xml:space="preserve">, which opted-out, adjust their taxation to attract business from those </w:t>
      </w:r>
      <w:r w:rsidR="0056781C">
        <w:rPr>
          <w:rFonts w:cs="Arial"/>
          <w:sz w:val="22"/>
        </w:rPr>
        <w:t>countries</w:t>
      </w:r>
      <w:r w:rsidRPr="001423EF">
        <w:rPr>
          <w:rFonts w:cs="Arial"/>
          <w:sz w:val="22"/>
        </w:rPr>
        <w:t xml:space="preserve"> supporting </w:t>
      </w:r>
      <w:r w:rsidR="00890983">
        <w:rPr>
          <w:rFonts w:cs="Arial"/>
          <w:sz w:val="22"/>
        </w:rPr>
        <w:t>the joint taxation initiative</w:t>
      </w:r>
      <w:r w:rsidRPr="001423EF">
        <w:rPr>
          <w:rFonts w:cs="Arial"/>
          <w:sz w:val="22"/>
        </w:rPr>
        <w:t xml:space="preserve">. </w:t>
      </w:r>
    </w:p>
    <w:p w:rsidR="00255D21" w:rsidRDefault="00255D21" w:rsidP="00DA6E46">
      <w:pPr>
        <w:spacing w:after="0" w:line="480" w:lineRule="auto"/>
        <w:jc w:val="both"/>
        <w:rPr>
          <w:rFonts w:cs="Arial"/>
          <w:sz w:val="22"/>
        </w:rPr>
      </w:pPr>
    </w:p>
    <w:p w:rsidR="00255D21" w:rsidRDefault="00255D21" w:rsidP="00DA6E46">
      <w:pPr>
        <w:spacing w:after="0" w:line="480" w:lineRule="auto"/>
        <w:jc w:val="both"/>
        <w:rPr>
          <w:rFonts w:cs="Arial"/>
          <w:b/>
          <w:i/>
          <w:szCs w:val="20"/>
          <w:u w:val="single"/>
        </w:rPr>
      </w:pPr>
      <w:r w:rsidRPr="00255D21">
        <w:rPr>
          <w:rFonts w:cs="Arial"/>
          <w:b/>
          <w:sz w:val="22"/>
        </w:rPr>
        <w:t xml:space="preserve">4.3 </w:t>
      </w:r>
      <w:r w:rsidR="0051283B">
        <w:rPr>
          <w:rFonts w:cs="Arial"/>
          <w:b/>
          <w:sz w:val="22"/>
        </w:rPr>
        <w:t>Euro area</w:t>
      </w:r>
      <w:r w:rsidRPr="00255D21">
        <w:rPr>
          <w:rFonts w:cs="Arial"/>
          <w:b/>
          <w:sz w:val="22"/>
        </w:rPr>
        <w:t xml:space="preserve"> </w:t>
      </w:r>
      <w:r>
        <w:rPr>
          <w:rFonts w:cs="Arial"/>
          <w:b/>
          <w:sz w:val="22"/>
        </w:rPr>
        <w:t xml:space="preserve">budgetary instruments </w:t>
      </w:r>
    </w:p>
    <w:p w:rsidR="00255D21" w:rsidRPr="001423EF" w:rsidRDefault="00255D21" w:rsidP="00DA6E46">
      <w:pPr>
        <w:spacing w:before="120" w:after="120" w:line="480" w:lineRule="auto"/>
        <w:jc w:val="both"/>
        <w:rPr>
          <w:rFonts w:cs="Arial"/>
          <w:sz w:val="22"/>
        </w:rPr>
      </w:pPr>
      <w:r w:rsidRPr="001423EF">
        <w:rPr>
          <w:sz w:val="22"/>
        </w:rPr>
        <w:t xml:space="preserve">A common, centrally-operated </w:t>
      </w:r>
      <w:r w:rsidR="00890983">
        <w:rPr>
          <w:sz w:val="22"/>
        </w:rPr>
        <w:t>budgetary instrument</w:t>
      </w:r>
      <w:r w:rsidRPr="001423EF">
        <w:rPr>
          <w:rStyle w:val="FootnoteReference"/>
          <w:rFonts w:cs="Arial"/>
          <w:sz w:val="22"/>
        </w:rPr>
        <w:footnoteReference w:id="29"/>
      </w:r>
      <w:r w:rsidRPr="001423EF">
        <w:rPr>
          <w:sz w:val="22"/>
        </w:rPr>
        <w:t xml:space="preserve"> could improve business cycle stabilisation outcomes in the euro area, by fostering </w:t>
      </w:r>
      <w:proofErr w:type="gramStart"/>
      <w:r w:rsidRPr="001423EF">
        <w:rPr>
          <w:sz w:val="22"/>
        </w:rPr>
        <w:t>a systematically counter-cyclical</w:t>
      </w:r>
      <w:r w:rsidR="00890983">
        <w:rPr>
          <w:sz w:val="22"/>
        </w:rPr>
        <w:t xml:space="preserve"> policies</w:t>
      </w:r>
      <w:proofErr w:type="gramEnd"/>
      <w:r w:rsidRPr="001423EF">
        <w:rPr>
          <w:sz w:val="22"/>
        </w:rPr>
        <w:t xml:space="preserve">. </w:t>
      </w:r>
      <w:r w:rsidRPr="001423EF">
        <w:rPr>
          <w:rFonts w:cs="Arial"/>
          <w:sz w:val="22"/>
        </w:rPr>
        <w:t xml:space="preserve"> </w:t>
      </w:r>
      <w:r w:rsidRPr="001423EF">
        <w:rPr>
          <w:sz w:val="22"/>
        </w:rPr>
        <w:t>The main objectives of a euro area fiscal capacity (EAFC) could be to (</w:t>
      </w:r>
      <w:proofErr w:type="spellStart"/>
      <w:r w:rsidRPr="001423EF">
        <w:rPr>
          <w:sz w:val="22"/>
        </w:rPr>
        <w:t>i</w:t>
      </w:r>
      <w:proofErr w:type="spellEnd"/>
      <w:r w:rsidRPr="001423EF">
        <w:rPr>
          <w:sz w:val="22"/>
        </w:rPr>
        <w:t xml:space="preserve">) ensure that </w:t>
      </w:r>
      <w:r w:rsidR="0056781C">
        <w:rPr>
          <w:sz w:val="22"/>
        </w:rPr>
        <w:t>euro area</w:t>
      </w:r>
      <w:r w:rsidRPr="001423EF">
        <w:rPr>
          <w:sz w:val="22"/>
        </w:rPr>
        <w:t xml:space="preserve"> Member</w:t>
      </w:r>
      <w:r w:rsidR="0056781C">
        <w:rPr>
          <w:sz w:val="22"/>
        </w:rPr>
        <w:t xml:space="preserve"> States </w:t>
      </w:r>
      <w:r w:rsidRPr="001423EF">
        <w:rPr>
          <w:sz w:val="22"/>
        </w:rPr>
        <w:t xml:space="preserve">build up sufficient buffers in normal times and (ii) in a euro-area-wide recession make accommodative fiscal policy easier to achieve than in the present setup of EMU. </w:t>
      </w:r>
    </w:p>
    <w:p w:rsidR="00255D21" w:rsidRPr="001423EF" w:rsidRDefault="00255D21" w:rsidP="00890983">
      <w:pPr>
        <w:spacing w:before="120" w:after="120" w:line="480" w:lineRule="auto"/>
        <w:ind w:firstLine="720"/>
        <w:jc w:val="both"/>
        <w:rPr>
          <w:rFonts w:cs="Arial"/>
          <w:strike/>
          <w:sz w:val="22"/>
        </w:rPr>
      </w:pPr>
      <w:r w:rsidRPr="001423EF">
        <w:rPr>
          <w:rFonts w:cs="Arial"/>
          <w:sz w:val="22"/>
        </w:rPr>
        <w:t>In the debate, three instruments have been proposed: a plain vanilla fund that tops up national budgets in downturns, a European Unemployment Insurance Scheme</w:t>
      </w:r>
      <w:r w:rsidRPr="001423EF">
        <w:rPr>
          <w:rStyle w:val="FootnoteReference"/>
          <w:rFonts w:cs="Arial"/>
          <w:sz w:val="22"/>
        </w:rPr>
        <w:footnoteReference w:id="30"/>
      </w:r>
      <w:r w:rsidRPr="001423EF">
        <w:rPr>
          <w:rFonts w:cs="Arial"/>
          <w:sz w:val="22"/>
        </w:rPr>
        <w:t xml:space="preserve"> (EUIS) and an investment capacity for the EA</w:t>
      </w:r>
      <w:r w:rsidRPr="001423EF">
        <w:rPr>
          <w:rStyle w:val="FootnoteReference"/>
          <w:rFonts w:cs="Arial"/>
          <w:sz w:val="22"/>
        </w:rPr>
        <w:footnoteReference w:id="31"/>
      </w:r>
      <w:r w:rsidRPr="001423EF">
        <w:rPr>
          <w:rFonts w:cs="Arial"/>
          <w:sz w:val="22"/>
        </w:rPr>
        <w:t xml:space="preserve"> (insuring existing investment or funding investment projects in a downturn), all of which can be conceivably combined with a rainy-day/buffer capacity to provide stabilisation across time. </w:t>
      </w:r>
    </w:p>
    <w:p w:rsidR="00255D21" w:rsidRPr="001423EF" w:rsidRDefault="00255D21" w:rsidP="00890983">
      <w:pPr>
        <w:spacing w:line="480" w:lineRule="auto"/>
        <w:ind w:firstLine="720"/>
        <w:jc w:val="both"/>
        <w:rPr>
          <w:rFonts w:cs="Arial"/>
          <w:sz w:val="22"/>
        </w:rPr>
      </w:pPr>
      <w:r w:rsidRPr="001423EF">
        <w:rPr>
          <w:rFonts w:cs="Arial"/>
          <w:sz w:val="22"/>
        </w:rPr>
        <w:lastRenderedPageBreak/>
        <w:t xml:space="preserve">In case either the whole </w:t>
      </w:r>
      <w:r w:rsidR="00890983">
        <w:rPr>
          <w:rFonts w:cs="Arial"/>
          <w:sz w:val="22"/>
        </w:rPr>
        <w:t>euro</w:t>
      </w:r>
      <w:r w:rsidRPr="001423EF">
        <w:rPr>
          <w:rFonts w:cs="Arial"/>
          <w:sz w:val="22"/>
        </w:rPr>
        <w:t xml:space="preserve"> or a subset of </w:t>
      </w:r>
      <w:r w:rsidR="00890983">
        <w:rPr>
          <w:rFonts w:cs="Arial"/>
          <w:sz w:val="22"/>
        </w:rPr>
        <w:t>euro area</w:t>
      </w:r>
      <w:r w:rsidRPr="001423EF">
        <w:rPr>
          <w:rFonts w:cs="Arial"/>
          <w:sz w:val="22"/>
        </w:rPr>
        <w:t xml:space="preserve">, consisting of both core and peripheral </w:t>
      </w:r>
      <w:r w:rsidR="00890983">
        <w:rPr>
          <w:rFonts w:cs="Arial"/>
          <w:sz w:val="22"/>
        </w:rPr>
        <w:t>Member States</w:t>
      </w:r>
      <w:r w:rsidRPr="001423EF">
        <w:rPr>
          <w:rFonts w:cs="Arial"/>
          <w:sz w:val="22"/>
        </w:rPr>
        <w:t xml:space="preserve">, decides to provide EMU with a shock-absorber tool, the stabilisation benefits briefly outlined above could materialise, with stronger convergence between some EA </w:t>
      </w:r>
      <w:r w:rsidR="001423EF" w:rsidRPr="001423EF">
        <w:rPr>
          <w:rFonts w:cs="Arial"/>
          <w:sz w:val="22"/>
        </w:rPr>
        <w:t>Member States</w:t>
      </w:r>
      <w:r w:rsidRPr="001423EF">
        <w:rPr>
          <w:rFonts w:cs="Arial"/>
          <w:sz w:val="22"/>
        </w:rPr>
        <w:t xml:space="preserve">. Such stabilisation mechanism may improve EMU output legitimacy and trigger positive </w:t>
      </w:r>
      <w:proofErr w:type="spellStart"/>
      <w:r w:rsidRPr="001423EF">
        <w:rPr>
          <w:rFonts w:cs="Arial"/>
          <w:sz w:val="22"/>
        </w:rPr>
        <w:t>spillover</w:t>
      </w:r>
      <w:proofErr w:type="spellEnd"/>
      <w:r w:rsidRPr="001423EF">
        <w:rPr>
          <w:rFonts w:cs="Arial"/>
          <w:sz w:val="22"/>
        </w:rPr>
        <w:t xml:space="preserve"> effects: as the </w:t>
      </w:r>
      <w:proofErr w:type="spellStart"/>
      <w:r w:rsidRPr="001423EF">
        <w:rPr>
          <w:rFonts w:cs="Arial"/>
          <w:sz w:val="22"/>
        </w:rPr>
        <w:t>avant</w:t>
      </w:r>
      <w:proofErr w:type="spellEnd"/>
      <w:r w:rsidRPr="001423EF">
        <w:rPr>
          <w:rFonts w:cs="Arial"/>
          <w:sz w:val="22"/>
        </w:rPr>
        <w:t xml:space="preserve"> guard is likely to benefit from such stabilisation tool during economic crises, more </w:t>
      </w:r>
      <w:r w:rsidR="00890983">
        <w:rPr>
          <w:rFonts w:cs="Arial"/>
          <w:sz w:val="22"/>
        </w:rPr>
        <w:t>euro area Member States</w:t>
      </w:r>
      <w:r w:rsidRPr="001423EF">
        <w:rPr>
          <w:rFonts w:cs="Arial"/>
          <w:sz w:val="22"/>
        </w:rPr>
        <w:t xml:space="preserve"> might be willing to join in the future. </w:t>
      </w:r>
    </w:p>
    <w:p w:rsidR="00255D21" w:rsidRPr="001423EF" w:rsidRDefault="00255D21" w:rsidP="00890983">
      <w:pPr>
        <w:spacing w:line="480" w:lineRule="auto"/>
        <w:ind w:firstLine="720"/>
        <w:jc w:val="both"/>
        <w:rPr>
          <w:rFonts w:cs="Arial"/>
          <w:sz w:val="22"/>
        </w:rPr>
      </w:pPr>
      <w:r w:rsidRPr="001423EF">
        <w:rPr>
          <w:rFonts w:cs="Arial"/>
          <w:sz w:val="22"/>
        </w:rPr>
        <w:t xml:space="preserve">If differentiated integration involves a mix of peripheral and core </w:t>
      </w:r>
      <w:r w:rsidR="0056781C">
        <w:rPr>
          <w:rFonts w:cs="Arial"/>
          <w:sz w:val="22"/>
        </w:rPr>
        <w:t>Member States</w:t>
      </w:r>
      <w:r w:rsidRPr="001423EF">
        <w:rPr>
          <w:rFonts w:cs="Arial"/>
          <w:sz w:val="22"/>
        </w:rPr>
        <w:t>, it could improve EMU fu</w:t>
      </w:r>
      <w:r w:rsidR="0056781C">
        <w:rPr>
          <w:rFonts w:cs="Arial"/>
          <w:sz w:val="22"/>
        </w:rPr>
        <w:t xml:space="preserve">nctioning. In case only core countries </w:t>
      </w:r>
      <w:r w:rsidRPr="001423EF">
        <w:rPr>
          <w:rFonts w:cs="Arial"/>
          <w:sz w:val="22"/>
        </w:rPr>
        <w:t xml:space="preserve">support the creation of a shock-absorber instrument, this is likely to have small economic benefits for participating MS and negative political effects. On the political side, if only core EA </w:t>
      </w:r>
      <w:r w:rsidR="0056781C">
        <w:rPr>
          <w:rFonts w:cs="Arial"/>
          <w:sz w:val="22"/>
        </w:rPr>
        <w:t xml:space="preserve">Member </w:t>
      </w:r>
      <w:proofErr w:type="gramStart"/>
      <w:r w:rsidR="0056781C">
        <w:rPr>
          <w:rFonts w:cs="Arial"/>
          <w:sz w:val="22"/>
        </w:rPr>
        <w:t xml:space="preserve">States </w:t>
      </w:r>
      <w:r w:rsidRPr="001423EF">
        <w:rPr>
          <w:rFonts w:cs="Arial"/>
          <w:sz w:val="22"/>
        </w:rPr>
        <w:t xml:space="preserve"> support</w:t>
      </w:r>
      <w:proofErr w:type="gramEnd"/>
      <w:r w:rsidRPr="001423EF">
        <w:rPr>
          <w:rFonts w:cs="Arial"/>
          <w:sz w:val="22"/>
        </w:rPr>
        <w:t xml:space="preserve"> a stabilisation mechanism, these will be the only countries benefiting from it. Although this will not necessarily impact EA governance effectiveness, it might trigger political conflicts between </w:t>
      </w:r>
      <w:proofErr w:type="spellStart"/>
      <w:r w:rsidRPr="001423EF">
        <w:rPr>
          <w:rFonts w:cs="Arial"/>
          <w:sz w:val="22"/>
        </w:rPr>
        <w:t>avant</w:t>
      </w:r>
      <w:proofErr w:type="spellEnd"/>
      <w:r w:rsidRPr="001423EF">
        <w:rPr>
          <w:rFonts w:cs="Arial"/>
          <w:sz w:val="22"/>
        </w:rPr>
        <w:t xml:space="preserve"> guard </w:t>
      </w:r>
      <w:r w:rsidR="0056781C">
        <w:rPr>
          <w:rFonts w:cs="Arial"/>
          <w:sz w:val="22"/>
        </w:rPr>
        <w:t>Member States</w:t>
      </w:r>
      <w:r w:rsidRPr="001423EF">
        <w:rPr>
          <w:rFonts w:cs="Arial"/>
          <w:sz w:val="22"/>
        </w:rPr>
        <w:t xml:space="preserve"> and the rest, if not even fuelling the impression that EMU protects only those economically stronger. This could have major implications for EMU political support.</w:t>
      </w:r>
    </w:p>
    <w:p w:rsidR="00255D21" w:rsidRDefault="00255D21" w:rsidP="00890983">
      <w:pPr>
        <w:spacing w:line="480" w:lineRule="auto"/>
        <w:ind w:firstLine="360"/>
        <w:jc w:val="both"/>
        <w:rPr>
          <w:rFonts w:cs="Arial"/>
          <w:sz w:val="22"/>
        </w:rPr>
      </w:pPr>
      <w:r w:rsidRPr="001423EF">
        <w:rPr>
          <w:rFonts w:cs="Arial"/>
          <w:sz w:val="22"/>
        </w:rPr>
        <w:t xml:space="preserve">The last scenario – a mix of EA and non-EA </w:t>
      </w:r>
      <w:r w:rsidR="0056781C">
        <w:rPr>
          <w:rFonts w:cs="Arial"/>
          <w:sz w:val="22"/>
        </w:rPr>
        <w:t>Member States</w:t>
      </w:r>
      <w:r w:rsidRPr="001423EF">
        <w:rPr>
          <w:rFonts w:cs="Arial"/>
          <w:sz w:val="22"/>
        </w:rPr>
        <w:t xml:space="preserve"> integrating in this policy domain – seems unlikely to worsen EMU functioning. </w:t>
      </w:r>
    </w:p>
    <w:p w:rsidR="005140AF" w:rsidRPr="001423EF" w:rsidRDefault="005140AF" w:rsidP="00890983">
      <w:pPr>
        <w:spacing w:line="480" w:lineRule="auto"/>
        <w:ind w:firstLine="360"/>
        <w:jc w:val="both"/>
        <w:rPr>
          <w:rFonts w:cs="Arial"/>
          <w:sz w:val="22"/>
        </w:rPr>
      </w:pPr>
    </w:p>
    <w:p w:rsidR="00255D21" w:rsidRPr="00255D21" w:rsidRDefault="00255D21" w:rsidP="005140AF">
      <w:pPr>
        <w:pStyle w:val="ListParagraph"/>
        <w:numPr>
          <w:ilvl w:val="0"/>
          <w:numId w:val="20"/>
        </w:numPr>
        <w:spacing w:after="0" w:line="480" w:lineRule="auto"/>
        <w:jc w:val="both"/>
        <w:rPr>
          <w:rFonts w:cs="Arial"/>
          <w:b/>
          <w:sz w:val="22"/>
        </w:rPr>
      </w:pPr>
      <w:r w:rsidRPr="00255D21">
        <w:rPr>
          <w:rFonts w:cs="Arial"/>
          <w:b/>
          <w:sz w:val="22"/>
        </w:rPr>
        <w:t xml:space="preserve">Lessons from case studies </w:t>
      </w:r>
    </w:p>
    <w:p w:rsidR="00255D21" w:rsidRDefault="00255D21" w:rsidP="00DA6E46">
      <w:pPr>
        <w:spacing w:after="0" w:line="480" w:lineRule="auto"/>
        <w:jc w:val="both"/>
        <w:rPr>
          <w:rFonts w:cs="Arial"/>
          <w:sz w:val="22"/>
        </w:rPr>
      </w:pPr>
      <w:r w:rsidRPr="001423EF">
        <w:rPr>
          <w:rFonts w:cs="Arial"/>
          <w:sz w:val="22"/>
        </w:rPr>
        <w:t>Across the policy areas, it can be surmised that one factor that could make a notable difference for the functioning of EMU is who will in fact be a member of the group promoting further integration. Overall, the following may be said from this preliminary overview:</w:t>
      </w:r>
    </w:p>
    <w:p w:rsidR="005140AF" w:rsidRDefault="005140AF" w:rsidP="00DA6E46">
      <w:pPr>
        <w:spacing w:after="0" w:line="480" w:lineRule="auto"/>
        <w:jc w:val="both"/>
        <w:rPr>
          <w:rFonts w:cs="Arial"/>
          <w:sz w:val="22"/>
        </w:rPr>
      </w:pPr>
      <w:r>
        <w:rPr>
          <w:rFonts w:cs="Arial"/>
          <w:sz w:val="22"/>
        </w:rPr>
        <w:tab/>
        <w:t xml:space="preserve">The factors identified in the literature – networking effects, free-riding effects and bandwagon effects all seem to play a role in practice. The Baltic CMU project, for example, has not caught on with other Member States even though it received endorsement from the </w:t>
      </w:r>
      <w:r>
        <w:rPr>
          <w:rFonts w:cs="Arial"/>
          <w:sz w:val="22"/>
        </w:rPr>
        <w:lastRenderedPageBreak/>
        <w:t xml:space="preserve">European Commission. The networking effects are thus limited. The Financial Transaction Tax, by comparison, has not yet materialized due to fears of free-riding of non-participating Member States. And with regards to the budgetary instrument for the euro area (the so-called BICC), the Netherlands has threatened with </w:t>
      </w:r>
      <w:proofErr w:type="gramStart"/>
      <w:r>
        <w:rPr>
          <w:rFonts w:cs="Arial"/>
          <w:sz w:val="22"/>
        </w:rPr>
        <w:t>an opt</w:t>
      </w:r>
      <w:proofErr w:type="gramEnd"/>
      <w:r>
        <w:rPr>
          <w:rFonts w:cs="Arial"/>
          <w:sz w:val="22"/>
        </w:rPr>
        <w:t xml:space="preserve"> out but the other Member States have been unwilling to agree to this, rather diluting the ambition of the instrument. </w:t>
      </w:r>
      <w:proofErr w:type="gramStart"/>
      <w:r>
        <w:rPr>
          <w:rFonts w:cs="Arial"/>
          <w:sz w:val="22"/>
        </w:rPr>
        <w:t>This points</w:t>
      </w:r>
      <w:proofErr w:type="gramEnd"/>
      <w:r>
        <w:rPr>
          <w:rFonts w:cs="Arial"/>
          <w:sz w:val="22"/>
        </w:rPr>
        <w:t xml:space="preserve"> to a fear of a lack of a bandwagon effect. </w:t>
      </w:r>
    </w:p>
    <w:p w:rsidR="005140AF" w:rsidRDefault="005140AF" w:rsidP="00890983">
      <w:pPr>
        <w:spacing w:after="0" w:line="480" w:lineRule="auto"/>
        <w:ind w:firstLine="720"/>
        <w:jc w:val="both"/>
        <w:rPr>
          <w:rFonts w:cs="Arial"/>
          <w:sz w:val="22"/>
        </w:rPr>
      </w:pPr>
      <w:r>
        <w:rPr>
          <w:rFonts w:cs="Arial"/>
          <w:sz w:val="22"/>
        </w:rPr>
        <w:t>Nevertheless, based on the framework presented in this paper, there might be an economic case for moving ahead at least in the case of CMU and taxation. Indeed, p</w:t>
      </w:r>
      <w:r w:rsidR="00B771A7" w:rsidRPr="001423EF">
        <w:rPr>
          <w:rFonts w:cs="Arial"/>
          <w:sz w:val="22"/>
        </w:rPr>
        <w:t xml:space="preserve">rovided that the institutional framework and implementation capabilities are effectively designed, </w:t>
      </w:r>
      <w:r w:rsidR="00ED1463" w:rsidRPr="001423EF">
        <w:rPr>
          <w:rFonts w:cs="Arial"/>
          <w:sz w:val="22"/>
        </w:rPr>
        <w:t xml:space="preserve">from a strictly economic point of view </w:t>
      </w:r>
      <w:r w:rsidR="00B771A7" w:rsidRPr="001423EF">
        <w:rPr>
          <w:rFonts w:cs="Arial"/>
          <w:sz w:val="22"/>
        </w:rPr>
        <w:t>differentiated integration within EMU (</w:t>
      </w:r>
      <w:r w:rsidR="00F16A0A" w:rsidRPr="001423EF">
        <w:rPr>
          <w:rFonts w:cs="Arial"/>
          <w:sz w:val="22"/>
        </w:rPr>
        <w:t xml:space="preserve">e.g. </w:t>
      </w:r>
      <w:r w:rsidR="0056781C">
        <w:rPr>
          <w:rFonts w:cs="Arial"/>
          <w:sz w:val="22"/>
        </w:rPr>
        <w:t xml:space="preserve">subgroup of euro area countries </w:t>
      </w:r>
      <w:r w:rsidR="00B771A7" w:rsidRPr="001423EF">
        <w:rPr>
          <w:rFonts w:cs="Arial"/>
          <w:sz w:val="22"/>
        </w:rPr>
        <w:t>moving ahead) might be better than the status quo in a number of policy areas</w:t>
      </w:r>
      <w:r w:rsidR="002454AE" w:rsidRPr="001423EF">
        <w:rPr>
          <w:rFonts w:cs="Arial"/>
          <w:sz w:val="22"/>
        </w:rPr>
        <w:t xml:space="preserve"> if and only if it entails convergence towards the top performers and enables participating countries to better achieve the policy </w:t>
      </w:r>
      <w:r>
        <w:rPr>
          <w:rFonts w:cs="Arial"/>
          <w:sz w:val="22"/>
        </w:rPr>
        <w:t xml:space="preserve">goals of EMU. </w:t>
      </w:r>
    </w:p>
    <w:p w:rsidR="00B771A7" w:rsidRPr="001423EF" w:rsidRDefault="00B771A7" w:rsidP="00890983">
      <w:pPr>
        <w:spacing w:after="0" w:line="480" w:lineRule="auto"/>
        <w:ind w:firstLine="720"/>
        <w:jc w:val="both"/>
        <w:rPr>
          <w:rFonts w:cs="Arial"/>
          <w:sz w:val="22"/>
        </w:rPr>
      </w:pPr>
      <w:r w:rsidRPr="001423EF">
        <w:rPr>
          <w:rFonts w:cs="Arial"/>
          <w:sz w:val="22"/>
        </w:rPr>
        <w:t>This is likely to hold more for deepening integration in (specific) structural policies (</w:t>
      </w:r>
      <w:r w:rsidR="001423EF" w:rsidRPr="001423EF">
        <w:rPr>
          <w:rFonts w:cs="Arial"/>
          <w:sz w:val="22"/>
        </w:rPr>
        <w:t>e.g. CMU policies</w:t>
      </w:r>
      <w:r w:rsidRPr="001423EF">
        <w:rPr>
          <w:rFonts w:cs="Arial"/>
          <w:sz w:val="22"/>
        </w:rPr>
        <w:t>) than might be the case for some fiscal (e.g. stabilisation through</w:t>
      </w:r>
      <w:r w:rsidR="00F16A0A" w:rsidRPr="001423EF">
        <w:rPr>
          <w:rFonts w:cs="Arial"/>
          <w:sz w:val="22"/>
        </w:rPr>
        <w:t xml:space="preserve"> </w:t>
      </w:r>
      <w:r w:rsidR="00A76385" w:rsidRPr="001423EF">
        <w:rPr>
          <w:rFonts w:cs="Arial"/>
          <w:sz w:val="22"/>
        </w:rPr>
        <w:t>central fiscal capacity</w:t>
      </w:r>
      <w:r w:rsidR="00F16A0A" w:rsidRPr="001423EF">
        <w:rPr>
          <w:rFonts w:cs="Arial"/>
          <w:sz w:val="22"/>
        </w:rPr>
        <w:t xml:space="preserve">), </w:t>
      </w:r>
      <w:r w:rsidRPr="001423EF">
        <w:rPr>
          <w:rFonts w:cs="Arial"/>
          <w:sz w:val="22"/>
        </w:rPr>
        <w:t xml:space="preserve">where the danger of fragmentation and desynchronization, and therefore also negative </w:t>
      </w:r>
      <w:proofErr w:type="spellStart"/>
      <w:r w:rsidRPr="001423EF">
        <w:rPr>
          <w:rFonts w:cs="Arial"/>
          <w:sz w:val="22"/>
        </w:rPr>
        <w:t>spillovers</w:t>
      </w:r>
      <w:proofErr w:type="spellEnd"/>
      <w:r w:rsidRPr="001423EF">
        <w:rPr>
          <w:rFonts w:cs="Arial"/>
          <w:sz w:val="22"/>
        </w:rPr>
        <w:t xml:space="preserve">, is more likely given the shorter term nature of such policies compared to policies that affect economic structures.  </w:t>
      </w:r>
    </w:p>
    <w:p w:rsidR="005F6A68" w:rsidRPr="001423EF" w:rsidRDefault="005F6A68" w:rsidP="00890983">
      <w:pPr>
        <w:spacing w:after="0" w:line="480" w:lineRule="auto"/>
        <w:ind w:firstLine="720"/>
        <w:jc w:val="both"/>
        <w:rPr>
          <w:rFonts w:cs="Arial"/>
          <w:sz w:val="22"/>
        </w:rPr>
      </w:pPr>
      <w:r w:rsidRPr="001423EF">
        <w:rPr>
          <w:rFonts w:cs="Arial"/>
          <w:sz w:val="22"/>
        </w:rPr>
        <w:t xml:space="preserve">Two critical assumptions are, however, also in this respect, namely which sub-set of euro area countries would comprise the avant-garde and whether one assesses this from a static or dynamic perspective.  Further coordination even amongst a subset of euro area Member States could also potentially increase the ability of the euro area to absorb shocks insofar as the catch-up benefits more the countries that have less efficient economic structures. The overall impact in the medium-term would depend on the dynamic assumptions. Assuming </w:t>
      </w:r>
      <w:r w:rsidRPr="001423EF">
        <w:rPr>
          <w:rFonts w:cs="Arial"/>
          <w:sz w:val="22"/>
        </w:rPr>
        <w:lastRenderedPageBreak/>
        <w:t>that the countries not joining the avant-garde would, via the competitiveness channel, be incentivized to follow suit, this could prove helpful. Yet, the working of the competitiveness channel has been clearly impaired during the run up to the crisis and it is unclear whether countries would act differently these days.</w:t>
      </w:r>
    </w:p>
    <w:p w:rsidR="005140AF" w:rsidRDefault="005F6A68" w:rsidP="00890983">
      <w:pPr>
        <w:spacing w:after="0" w:line="480" w:lineRule="auto"/>
        <w:ind w:firstLine="360"/>
        <w:jc w:val="both"/>
        <w:rPr>
          <w:rFonts w:cs="Arial"/>
          <w:sz w:val="22"/>
        </w:rPr>
      </w:pPr>
      <w:r w:rsidRPr="001423EF">
        <w:rPr>
          <w:rFonts w:cs="Arial"/>
          <w:sz w:val="22"/>
        </w:rPr>
        <w:t>Finally</w:t>
      </w:r>
      <w:r w:rsidR="00B771A7" w:rsidRPr="001423EF">
        <w:rPr>
          <w:rFonts w:cs="Arial"/>
          <w:sz w:val="22"/>
        </w:rPr>
        <w:t xml:space="preserve">, from the point of view of increasing institutional complexity and political discord, such multi-speed integration could still hamper the overall efforts to deepen EMU. Such horizontal considerations </w:t>
      </w:r>
      <w:r w:rsidR="001D784B">
        <w:rPr>
          <w:rFonts w:cs="Arial"/>
          <w:sz w:val="22"/>
        </w:rPr>
        <w:t>could</w:t>
      </w:r>
      <w:r w:rsidR="00B771A7" w:rsidRPr="001423EF">
        <w:rPr>
          <w:rFonts w:cs="Arial"/>
          <w:sz w:val="22"/>
        </w:rPr>
        <w:t xml:space="preserve"> be taken into account when assessing the impact of deeper integration in particular policy areas.</w:t>
      </w:r>
    </w:p>
    <w:p w:rsidR="00FF7961" w:rsidRPr="003A4807" w:rsidRDefault="00FF7961" w:rsidP="00DA6E46">
      <w:pPr>
        <w:spacing w:after="0" w:line="480" w:lineRule="auto"/>
        <w:jc w:val="both"/>
        <w:rPr>
          <w:rFonts w:cs="Arial"/>
          <w:b/>
          <w:sz w:val="22"/>
        </w:rPr>
      </w:pPr>
    </w:p>
    <w:p w:rsidR="007F6B82" w:rsidRPr="003A4807" w:rsidRDefault="007F6B82" w:rsidP="005140AF">
      <w:pPr>
        <w:pStyle w:val="ListParagraph"/>
        <w:numPr>
          <w:ilvl w:val="0"/>
          <w:numId w:val="20"/>
        </w:numPr>
        <w:spacing w:after="0" w:line="480" w:lineRule="auto"/>
        <w:jc w:val="both"/>
        <w:rPr>
          <w:rFonts w:cs="Arial"/>
          <w:b/>
          <w:sz w:val="22"/>
        </w:rPr>
      </w:pPr>
      <w:r w:rsidRPr="003A4807">
        <w:rPr>
          <w:rFonts w:cs="Arial"/>
          <w:b/>
          <w:sz w:val="22"/>
        </w:rPr>
        <w:t>Conclusio</w:t>
      </w:r>
      <w:r w:rsidR="001423EF">
        <w:rPr>
          <w:rFonts w:cs="Arial"/>
          <w:b/>
          <w:sz w:val="22"/>
        </w:rPr>
        <w:t>n</w:t>
      </w:r>
    </w:p>
    <w:p w:rsidR="005F6A68" w:rsidRPr="001423EF" w:rsidRDefault="005F6A68" w:rsidP="00DA6E46">
      <w:pPr>
        <w:spacing w:before="120" w:after="120" w:line="480" w:lineRule="auto"/>
        <w:jc w:val="both"/>
        <w:rPr>
          <w:rFonts w:cs="Arial"/>
          <w:sz w:val="22"/>
        </w:rPr>
      </w:pPr>
      <w:r w:rsidRPr="001423EF">
        <w:rPr>
          <w:rFonts w:cs="Arial"/>
          <w:sz w:val="22"/>
        </w:rPr>
        <w:t>There is renewed interest in the approach of “multi-speed integration” in the EU in light of the Commission White Paper of March 2017, the renewed momentum behind French-German cooperation and the interest by various stakeholders on specif</w:t>
      </w:r>
      <w:r w:rsidR="006D24BB" w:rsidRPr="001423EF">
        <w:rPr>
          <w:rFonts w:cs="Arial"/>
          <w:sz w:val="22"/>
        </w:rPr>
        <w:t>ic EU initiatives</w:t>
      </w:r>
      <w:r w:rsidRPr="001423EF">
        <w:rPr>
          <w:rFonts w:cs="Arial"/>
          <w:sz w:val="22"/>
        </w:rPr>
        <w:t>. Depending on the policy domain chosen, multi-speed integration could take place (</w:t>
      </w:r>
      <w:proofErr w:type="spellStart"/>
      <w:r w:rsidRPr="001423EF">
        <w:rPr>
          <w:rFonts w:cs="Arial"/>
          <w:sz w:val="22"/>
        </w:rPr>
        <w:t>i</w:t>
      </w:r>
      <w:proofErr w:type="spellEnd"/>
      <w:r w:rsidRPr="001423EF">
        <w:rPr>
          <w:rFonts w:cs="Arial"/>
          <w:sz w:val="22"/>
        </w:rPr>
        <w:t xml:space="preserve">) with all euro area Member States integrating further as a whole (ii) within a group of euro area Member States only (iii) within a group of countries involving some euro area and some non-euro area Member States. </w:t>
      </w:r>
    </w:p>
    <w:p w:rsidR="006D24BB" w:rsidRPr="001423EF" w:rsidRDefault="006D24BB" w:rsidP="00DA6E46">
      <w:pPr>
        <w:spacing w:before="120" w:after="120" w:line="480" w:lineRule="auto"/>
        <w:jc w:val="both"/>
        <w:rPr>
          <w:rFonts w:cs="Arial"/>
          <w:sz w:val="22"/>
        </w:rPr>
      </w:pPr>
      <w:r w:rsidRPr="001423EF">
        <w:rPr>
          <w:rFonts w:cs="Arial"/>
          <w:sz w:val="22"/>
        </w:rPr>
        <w:t xml:space="preserve">For EMU, compared to the baseline assumption of further integration with the euro area as a whole, one would have to carefully assess a situation whereby a sub-group of the 19 EA </w:t>
      </w:r>
      <w:r w:rsidR="0056781C">
        <w:rPr>
          <w:rFonts w:cs="Arial"/>
          <w:sz w:val="22"/>
        </w:rPr>
        <w:t>Member States</w:t>
      </w:r>
      <w:r w:rsidRPr="001423EF">
        <w:rPr>
          <w:rFonts w:cs="Arial"/>
          <w:sz w:val="22"/>
        </w:rPr>
        <w:t xml:space="preserve"> chose to integrate more deeply in an important domain of fiscal, economic or financial policy</w:t>
      </w:r>
      <w:r w:rsidR="007F1F9B" w:rsidRPr="001423EF">
        <w:rPr>
          <w:rFonts w:cs="Arial"/>
          <w:sz w:val="22"/>
        </w:rPr>
        <w:t>, be it with or without non-EA Member States</w:t>
      </w:r>
      <w:r w:rsidRPr="001423EF">
        <w:rPr>
          <w:rFonts w:cs="Arial"/>
          <w:sz w:val="22"/>
        </w:rPr>
        <w:t>.  In particular its complementarity with the goal of strengthening EMU, and weighing the benefits against the costs both from a purely economi</w:t>
      </w:r>
      <w:r w:rsidR="007F1F9B" w:rsidRPr="001423EF">
        <w:rPr>
          <w:rFonts w:cs="Arial"/>
          <w:sz w:val="22"/>
        </w:rPr>
        <w:t xml:space="preserve">c and a governance perspective, </w:t>
      </w:r>
    </w:p>
    <w:p w:rsidR="007F1F9B" w:rsidRPr="001423EF" w:rsidRDefault="00D43007" w:rsidP="00890983">
      <w:pPr>
        <w:spacing w:before="120" w:after="120" w:line="480" w:lineRule="auto"/>
        <w:ind w:firstLine="720"/>
        <w:jc w:val="both"/>
        <w:rPr>
          <w:rFonts w:cs="Arial"/>
          <w:sz w:val="22"/>
        </w:rPr>
      </w:pPr>
      <w:r w:rsidRPr="001423EF">
        <w:rPr>
          <w:rFonts w:cs="Arial"/>
          <w:sz w:val="22"/>
        </w:rPr>
        <w:lastRenderedPageBreak/>
        <w:t>Against this backdrop and at a conceptual level, four broad criteria can be used to assess the balance of benefits and costs of (int</w:t>
      </w:r>
      <w:r w:rsidR="007F1F9B" w:rsidRPr="001423EF">
        <w:rPr>
          <w:rFonts w:cs="Arial"/>
          <w:sz w:val="22"/>
        </w:rPr>
        <w:t xml:space="preserve">ra-EMU) multi-speed integration, including </w:t>
      </w:r>
      <w:r w:rsidRPr="001423EF">
        <w:rPr>
          <w:rFonts w:cs="Arial"/>
          <w:sz w:val="22"/>
        </w:rPr>
        <w:t xml:space="preserve">the implications of differentiated integration for EMU’s (1) resilience (2) stability (3) governance complexity and effectiveness and (4) political </w:t>
      </w:r>
      <w:proofErr w:type="spellStart"/>
      <w:r w:rsidRPr="001423EF">
        <w:rPr>
          <w:rFonts w:cs="Arial"/>
          <w:sz w:val="22"/>
        </w:rPr>
        <w:t>spillovers</w:t>
      </w:r>
      <w:proofErr w:type="spellEnd"/>
      <w:r w:rsidRPr="001423EF">
        <w:rPr>
          <w:rFonts w:cs="Arial"/>
          <w:sz w:val="22"/>
        </w:rPr>
        <w:t xml:space="preserve">. These categories could also be important from a monetary policy perspective insofar as they impact shock absorption capability, business cycle synchronization as well as coordination with other policy fields. Depending on the policy area, some of these considerations might be more or less important or not relevant whatsoever. </w:t>
      </w:r>
      <w:r w:rsidR="007F1F9B" w:rsidRPr="001423EF">
        <w:rPr>
          <w:rFonts w:cs="Arial"/>
          <w:sz w:val="22"/>
        </w:rPr>
        <w:t xml:space="preserve">The </w:t>
      </w:r>
    </w:p>
    <w:p w:rsidR="006D24BB" w:rsidRPr="001423EF" w:rsidRDefault="006D24BB" w:rsidP="00890983">
      <w:pPr>
        <w:spacing w:before="120" w:after="120" w:line="480" w:lineRule="auto"/>
        <w:ind w:firstLine="720"/>
        <w:jc w:val="both"/>
        <w:rPr>
          <w:rFonts w:cs="Arial"/>
          <w:i/>
          <w:sz w:val="22"/>
        </w:rPr>
      </w:pPr>
      <w:r w:rsidRPr="001423EF">
        <w:rPr>
          <w:rFonts w:cs="Arial"/>
          <w:sz w:val="22"/>
        </w:rPr>
        <w:t xml:space="preserve">Overall, the balance of benefits and costs for EMU would depend </w:t>
      </w:r>
      <w:r w:rsidR="007F1F9B" w:rsidRPr="001423EF">
        <w:rPr>
          <w:rFonts w:cs="Arial"/>
          <w:sz w:val="22"/>
        </w:rPr>
        <w:t>not only on</w:t>
      </w:r>
      <w:r w:rsidRPr="001423EF">
        <w:rPr>
          <w:rFonts w:cs="Arial"/>
          <w:sz w:val="22"/>
        </w:rPr>
        <w:t xml:space="preserve"> </w:t>
      </w:r>
      <w:r w:rsidR="007F1F9B" w:rsidRPr="001423EF">
        <w:rPr>
          <w:rFonts w:cs="Arial"/>
          <w:sz w:val="22"/>
        </w:rPr>
        <w:t>the policy area chosen, but also the</w:t>
      </w:r>
      <w:r w:rsidRPr="001423EF">
        <w:rPr>
          <w:rFonts w:cs="Arial"/>
          <w:sz w:val="22"/>
        </w:rPr>
        <w:t xml:space="preserve"> Member States participating, the static and dynamic effects, and on the extent to which participation by other EU countries would alter the cost/benefit picture for EMU. </w:t>
      </w:r>
    </w:p>
    <w:p w:rsidR="00D43007" w:rsidRPr="001423EF" w:rsidRDefault="007F1F9B" w:rsidP="00890983">
      <w:pPr>
        <w:spacing w:line="480" w:lineRule="auto"/>
        <w:ind w:firstLine="720"/>
        <w:jc w:val="both"/>
        <w:rPr>
          <w:rFonts w:cs="Arial"/>
          <w:sz w:val="22"/>
        </w:rPr>
      </w:pPr>
      <w:r w:rsidRPr="001423EF">
        <w:rPr>
          <w:rFonts w:cs="Arial"/>
          <w:sz w:val="22"/>
        </w:rPr>
        <w:t>Drawing on this analysis, and more</w:t>
      </w:r>
      <w:r w:rsidR="005F6A68" w:rsidRPr="001423EF">
        <w:rPr>
          <w:rFonts w:cs="Arial"/>
          <w:sz w:val="22"/>
        </w:rPr>
        <w:t xml:space="preserve"> specifically and on the economic side, differentiated integration can have implications for resilience and stability. </w:t>
      </w:r>
      <w:r w:rsidR="00D43007" w:rsidRPr="001423EF">
        <w:rPr>
          <w:rFonts w:cs="Arial"/>
          <w:sz w:val="22"/>
        </w:rPr>
        <w:t xml:space="preserve">From a static point of view, provided that the institutional framework and implementation capabilities are effectively designed, differentiated integration within EMU (e.g. subgroup of EA </w:t>
      </w:r>
      <w:r w:rsidR="0056781C">
        <w:rPr>
          <w:rFonts w:cs="Arial"/>
          <w:sz w:val="22"/>
        </w:rPr>
        <w:t>countries</w:t>
      </w:r>
      <w:r w:rsidR="00D43007" w:rsidRPr="001423EF">
        <w:rPr>
          <w:rFonts w:cs="Arial"/>
          <w:sz w:val="22"/>
        </w:rPr>
        <w:t xml:space="preserve"> moving ahead) might be better than the status quo in a number of policy more structural and economic policy areas. Further coordination even amongst a subset of euro area Member States could potentially increase the ability of the euro area to absorb shocks insofar as the catch-up benefits more the countries that have less efficient economic structures. Assuming that the countries not joining the avant-garde would, via the competitiveness channel, be incentivized to follow suit, this could prove helpful. </w:t>
      </w:r>
    </w:p>
    <w:p w:rsidR="005F6A68" w:rsidRPr="001423EF" w:rsidRDefault="00D43007" w:rsidP="00890983">
      <w:pPr>
        <w:spacing w:line="480" w:lineRule="auto"/>
        <w:ind w:firstLine="720"/>
        <w:jc w:val="both"/>
        <w:rPr>
          <w:rFonts w:cs="Arial"/>
          <w:sz w:val="22"/>
        </w:rPr>
      </w:pPr>
      <w:r w:rsidRPr="001423EF">
        <w:rPr>
          <w:rFonts w:cs="Arial"/>
          <w:sz w:val="22"/>
        </w:rPr>
        <w:t>If this does not materialize,</w:t>
      </w:r>
      <w:r w:rsidR="005F6A68" w:rsidRPr="001423EF">
        <w:rPr>
          <w:rFonts w:cs="Arial"/>
          <w:sz w:val="22"/>
        </w:rPr>
        <w:t xml:space="preserve"> </w:t>
      </w:r>
      <w:r w:rsidR="007F1F9B" w:rsidRPr="001423EF">
        <w:rPr>
          <w:rFonts w:cs="Arial"/>
          <w:bCs/>
          <w:sz w:val="22"/>
        </w:rPr>
        <w:t xml:space="preserve">and if the </w:t>
      </w:r>
      <w:proofErr w:type="spellStart"/>
      <w:r w:rsidR="007F1F9B" w:rsidRPr="001423EF">
        <w:rPr>
          <w:rFonts w:cs="Arial"/>
          <w:bCs/>
          <w:sz w:val="22"/>
        </w:rPr>
        <w:t>avant</w:t>
      </w:r>
      <w:proofErr w:type="spellEnd"/>
      <w:r w:rsidR="007F1F9B" w:rsidRPr="001423EF">
        <w:rPr>
          <w:rFonts w:cs="Arial"/>
          <w:bCs/>
          <w:sz w:val="22"/>
        </w:rPr>
        <w:t xml:space="preserve"> </w:t>
      </w:r>
      <w:proofErr w:type="spellStart"/>
      <w:r w:rsidR="007F1F9B" w:rsidRPr="001423EF">
        <w:rPr>
          <w:rFonts w:cs="Arial"/>
          <w:bCs/>
          <w:sz w:val="22"/>
        </w:rPr>
        <w:t>garde</w:t>
      </w:r>
      <w:proofErr w:type="spellEnd"/>
      <w:r w:rsidR="007F1F9B" w:rsidRPr="001423EF">
        <w:rPr>
          <w:rFonts w:cs="Arial"/>
          <w:bCs/>
          <w:sz w:val="22"/>
        </w:rPr>
        <w:t xml:space="preserve"> is composed by already competitive economies, whereas </w:t>
      </w:r>
      <w:r w:rsidR="007F1F9B" w:rsidRPr="001423EF">
        <w:rPr>
          <w:rFonts w:cs="Arial"/>
          <w:sz w:val="22"/>
        </w:rPr>
        <w:t xml:space="preserve">countries with more rigid economies do not join, such differentiated </w:t>
      </w:r>
      <w:r w:rsidR="007F1F9B" w:rsidRPr="001423EF">
        <w:rPr>
          <w:rFonts w:cs="Arial"/>
          <w:sz w:val="22"/>
        </w:rPr>
        <w:lastRenderedPageBreak/>
        <w:t>integration could increa</w:t>
      </w:r>
      <w:r w:rsidR="00890983">
        <w:rPr>
          <w:rFonts w:cs="Arial"/>
          <w:sz w:val="22"/>
        </w:rPr>
        <w:t xml:space="preserve">se business cycle divergence </w:t>
      </w:r>
      <w:r w:rsidR="007F1F9B" w:rsidRPr="001423EF">
        <w:rPr>
          <w:rFonts w:cs="Arial"/>
          <w:sz w:val="22"/>
        </w:rPr>
        <w:t>across EMU.</w:t>
      </w:r>
      <w:r w:rsidR="005F6A68" w:rsidRPr="001423EF">
        <w:rPr>
          <w:rFonts w:cs="Arial"/>
          <w:sz w:val="22"/>
        </w:rPr>
        <w:t xml:space="preserve"> </w:t>
      </w:r>
      <w:r w:rsidR="005F6A68" w:rsidRPr="001423EF">
        <w:rPr>
          <w:rFonts w:cs="Arial"/>
          <w:bCs/>
          <w:sz w:val="22"/>
        </w:rPr>
        <w:t xml:space="preserve">Such hindrances seem more likely to happen if multi-speed materialises in areas relevant to stabilisation (e.g. </w:t>
      </w:r>
      <w:proofErr w:type="gramStart"/>
      <w:r w:rsidR="005F6A68" w:rsidRPr="001423EF">
        <w:rPr>
          <w:rFonts w:cs="Arial"/>
          <w:bCs/>
          <w:sz w:val="22"/>
        </w:rPr>
        <w:t>a</w:t>
      </w:r>
      <w:proofErr w:type="gramEnd"/>
      <w:r w:rsidR="005F6A68" w:rsidRPr="001423EF">
        <w:rPr>
          <w:rFonts w:cs="Arial"/>
          <w:bCs/>
          <w:sz w:val="22"/>
        </w:rPr>
        <w:t xml:space="preserve"> EA fiscal capacity), which could lead to business cycle de-synchronization, or in areas relevant for resilience (e.g. </w:t>
      </w:r>
      <w:r w:rsidR="00890983">
        <w:rPr>
          <w:rFonts w:cs="Arial"/>
          <w:bCs/>
          <w:sz w:val="22"/>
        </w:rPr>
        <w:t xml:space="preserve">CMU or </w:t>
      </w:r>
      <w:r w:rsidR="005F6A68" w:rsidRPr="001423EF">
        <w:rPr>
          <w:rFonts w:cs="Arial"/>
          <w:bCs/>
          <w:sz w:val="22"/>
        </w:rPr>
        <w:t xml:space="preserve">structural reforms of products and </w:t>
      </w:r>
      <w:proofErr w:type="spellStart"/>
      <w:r w:rsidR="005F6A68" w:rsidRPr="001423EF">
        <w:rPr>
          <w:rFonts w:cs="Arial"/>
          <w:bCs/>
          <w:sz w:val="22"/>
        </w:rPr>
        <w:t>labor</w:t>
      </w:r>
      <w:proofErr w:type="spellEnd"/>
      <w:r w:rsidR="005F6A68" w:rsidRPr="001423EF">
        <w:rPr>
          <w:rFonts w:cs="Arial"/>
          <w:bCs/>
          <w:sz w:val="22"/>
        </w:rPr>
        <w:t xml:space="preserve"> markets). </w:t>
      </w:r>
      <w:r w:rsidRPr="001423EF">
        <w:rPr>
          <w:rFonts w:cs="Arial"/>
          <w:bCs/>
          <w:sz w:val="22"/>
        </w:rPr>
        <w:t xml:space="preserve">There, even from a static point of view, multi-speed integration seems problematic. </w:t>
      </w:r>
    </w:p>
    <w:p w:rsidR="007F1F9B" w:rsidRPr="001423EF" w:rsidRDefault="005F6A68" w:rsidP="00890983">
      <w:pPr>
        <w:spacing w:line="480" w:lineRule="auto"/>
        <w:ind w:firstLine="720"/>
        <w:jc w:val="both"/>
        <w:rPr>
          <w:rFonts w:cs="Arial"/>
          <w:i/>
          <w:sz w:val="22"/>
        </w:rPr>
      </w:pPr>
      <w:r w:rsidRPr="001423EF">
        <w:rPr>
          <w:rFonts w:cs="Arial"/>
          <w:sz w:val="22"/>
        </w:rPr>
        <w:t xml:space="preserve">Another cost-benefit factor of a “multi-speed” scenario could entail a number of detractions in terms of decision-making structures or political tensions. In a worst case scenario, it opens the door for reverse movements in integration. Even if this does not materialize, multi-speed Europe could also signal a further shift towards intergovernmental decision making if it is not coupled with a transfer of sovereignty to the centre and administered by strong democratically-accountable institutions. However, the cost could be mitigated if the setting up of the decision-making structure would allow for a quick alternative than treaty change, remain close to the existing framework (e.g. like the fiscal compact or the IGA for the SRB) and exclude national vetoes that would not square with the essence of the community method. Thus, it is important to distinguish between process and result. Whereas multi-speed </w:t>
      </w:r>
      <w:proofErr w:type="spellStart"/>
      <w:r w:rsidRPr="001423EF">
        <w:rPr>
          <w:rFonts w:cs="Arial"/>
          <w:sz w:val="22"/>
        </w:rPr>
        <w:t>intergovernamentalism</w:t>
      </w:r>
      <w:proofErr w:type="spellEnd"/>
      <w:r w:rsidRPr="001423EF">
        <w:rPr>
          <w:rFonts w:cs="Arial"/>
          <w:sz w:val="22"/>
        </w:rPr>
        <w:t xml:space="preserve"> can present a way to unlock the stalema</w:t>
      </w:r>
      <w:r w:rsidR="001D784B">
        <w:rPr>
          <w:rFonts w:cs="Arial"/>
          <w:sz w:val="22"/>
        </w:rPr>
        <w:t xml:space="preserve">tes and advance integration, if the governance is not to be overburdened it should </w:t>
      </w:r>
      <w:r w:rsidRPr="001423EF">
        <w:rPr>
          <w:rFonts w:cs="Arial"/>
          <w:sz w:val="22"/>
        </w:rPr>
        <w:t>not be its end result in terms of decision-making structures.</w:t>
      </w:r>
      <w:r w:rsidRPr="001423EF">
        <w:rPr>
          <w:rFonts w:cs="Arial"/>
          <w:i/>
          <w:sz w:val="22"/>
        </w:rPr>
        <w:t xml:space="preserve"> </w:t>
      </w:r>
    </w:p>
    <w:p w:rsidR="00B543C5" w:rsidRDefault="00B543C5" w:rsidP="00890983">
      <w:pPr>
        <w:spacing w:line="480" w:lineRule="auto"/>
        <w:ind w:firstLine="720"/>
        <w:jc w:val="both"/>
        <w:rPr>
          <w:rFonts w:cs="Arial"/>
          <w:sz w:val="22"/>
        </w:rPr>
      </w:pPr>
      <w:r w:rsidRPr="001423EF">
        <w:rPr>
          <w:rFonts w:cs="Arial"/>
          <w:sz w:val="22"/>
        </w:rPr>
        <w:t xml:space="preserve">As such, </w:t>
      </w:r>
      <w:r w:rsidR="001D784B">
        <w:rPr>
          <w:rFonts w:cs="Arial"/>
          <w:sz w:val="22"/>
        </w:rPr>
        <w:t xml:space="preserve">and in order to avoid increasing complexity, </w:t>
      </w:r>
      <w:r w:rsidRPr="001423EF">
        <w:rPr>
          <w:rFonts w:cs="Arial"/>
          <w:sz w:val="22"/>
        </w:rPr>
        <w:t xml:space="preserve">multi-speed </w:t>
      </w:r>
      <w:r w:rsidR="001D784B">
        <w:rPr>
          <w:rFonts w:cs="Arial"/>
          <w:sz w:val="22"/>
        </w:rPr>
        <w:t>could</w:t>
      </w:r>
      <w:r w:rsidRPr="001423EF">
        <w:rPr>
          <w:rFonts w:cs="Arial"/>
          <w:sz w:val="22"/>
        </w:rPr>
        <w:t xml:space="preserve"> use the enhanced cooperation mode already foreseen in the treaty which would be fully compatible with the community method. If this route proves impossible, sufficient safeguard would have to be introduced in any intergovernmental agreement (e.g. the IGA for the Single Resolution Board) such that it as much as possible mirrors the community method – i.e. without individual country vetoes and with a clear goal to fold into the union structure as soon as possible. </w:t>
      </w:r>
    </w:p>
    <w:p w:rsidR="005140AF" w:rsidRPr="001423EF" w:rsidRDefault="005140AF" w:rsidP="00890983">
      <w:pPr>
        <w:spacing w:line="480" w:lineRule="auto"/>
        <w:ind w:firstLine="720"/>
        <w:jc w:val="both"/>
        <w:rPr>
          <w:rFonts w:cs="Arial"/>
          <w:sz w:val="22"/>
        </w:rPr>
      </w:pPr>
      <w:r>
        <w:rPr>
          <w:rFonts w:cs="Arial"/>
          <w:sz w:val="22"/>
        </w:rPr>
        <w:lastRenderedPageBreak/>
        <w:t xml:space="preserve">For future research, two interest questions emerge from this functional framework. First, do policy-makers look at the functional impact when assessing a multi-speed initiative? Second, if there are policy areas where differentiated integration inside EMU could make economic sense, why is it not observed more in practice? Exploring these two questions could help to shed further light on the idea of multi-speed inside EMU. </w:t>
      </w:r>
    </w:p>
    <w:p w:rsidR="00B543C5" w:rsidRPr="001E364E" w:rsidRDefault="00B543C5" w:rsidP="00DA6E46">
      <w:pPr>
        <w:spacing w:after="0" w:line="480" w:lineRule="auto"/>
        <w:jc w:val="both"/>
        <w:rPr>
          <w:rFonts w:cs="Arial"/>
          <w:szCs w:val="20"/>
        </w:rPr>
      </w:pPr>
    </w:p>
    <w:p w:rsidR="002C2A87" w:rsidRDefault="002C2A87" w:rsidP="00DA6E46">
      <w:pPr>
        <w:spacing w:before="0" w:after="0" w:line="480" w:lineRule="auto"/>
        <w:jc w:val="both"/>
      </w:pPr>
    </w:p>
    <w:p w:rsidR="00423F16" w:rsidRDefault="001E6D55" w:rsidP="00DA6E46">
      <w:pPr>
        <w:spacing w:line="480" w:lineRule="auto"/>
        <w:rPr>
          <w:b/>
        </w:rPr>
      </w:pPr>
      <w:r w:rsidRPr="002C2A87">
        <w:rPr>
          <w:b/>
        </w:rPr>
        <w:br w:type="page"/>
      </w:r>
    </w:p>
    <w:p w:rsidR="001423EF" w:rsidRPr="00255D21" w:rsidRDefault="001423EF" w:rsidP="00DA6E46">
      <w:pPr>
        <w:spacing w:before="0" w:after="0" w:line="480" w:lineRule="auto"/>
        <w:jc w:val="both"/>
        <w:rPr>
          <w:rFonts w:cs="Arial"/>
          <w:b/>
          <w:szCs w:val="20"/>
        </w:rPr>
      </w:pPr>
      <w:r w:rsidRPr="00141F0D">
        <w:rPr>
          <w:rFonts w:cs="Arial"/>
          <w:b/>
          <w:sz w:val="22"/>
        </w:rPr>
        <w:lastRenderedPageBreak/>
        <w:t xml:space="preserve">Bibliography </w:t>
      </w:r>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Adler-</w:t>
      </w:r>
      <w:proofErr w:type="spellStart"/>
      <w:r w:rsidRPr="007446B6">
        <w:rPr>
          <w:rFonts w:eastAsiaTheme="minorHAnsi" w:cs="Arial"/>
          <w:sz w:val="22"/>
          <w:lang w:eastAsia="en-US"/>
        </w:rPr>
        <w:t>Nissen</w:t>
      </w:r>
      <w:proofErr w:type="spellEnd"/>
      <w:r w:rsidRPr="007446B6">
        <w:rPr>
          <w:rFonts w:eastAsiaTheme="minorHAnsi" w:cs="Arial"/>
          <w:sz w:val="22"/>
          <w:lang w:eastAsia="en-US"/>
        </w:rPr>
        <w:t xml:space="preserve">, R. (2011) ‘Opting out of an ever closer union: the integration </w:t>
      </w:r>
      <w:proofErr w:type="spellStart"/>
      <w:r w:rsidRPr="007446B6">
        <w:rPr>
          <w:rFonts w:eastAsiaTheme="minorHAnsi" w:cs="Arial"/>
          <w:sz w:val="22"/>
          <w:lang w:eastAsia="en-US"/>
        </w:rPr>
        <w:t>doxa</w:t>
      </w:r>
      <w:proofErr w:type="spellEnd"/>
      <w:r w:rsidRPr="007446B6">
        <w:rPr>
          <w:rFonts w:eastAsiaTheme="minorHAnsi" w:cs="Arial"/>
          <w:sz w:val="22"/>
          <w:lang w:eastAsia="en-US"/>
        </w:rPr>
        <w:t xml:space="preserve"> and the management of sovereignty’, West European Politics 34(5): 1092–113.</w:t>
      </w:r>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Adler-</w:t>
      </w:r>
      <w:proofErr w:type="spellStart"/>
      <w:r w:rsidRPr="007446B6">
        <w:rPr>
          <w:rFonts w:eastAsiaTheme="minorHAnsi" w:cs="Arial"/>
          <w:sz w:val="22"/>
          <w:lang w:eastAsia="en-US"/>
        </w:rPr>
        <w:t>Nissen</w:t>
      </w:r>
      <w:proofErr w:type="spellEnd"/>
      <w:r w:rsidRPr="007446B6">
        <w:rPr>
          <w:rFonts w:eastAsiaTheme="minorHAnsi" w:cs="Arial"/>
          <w:sz w:val="22"/>
          <w:lang w:eastAsia="en-US"/>
        </w:rPr>
        <w:t>, R. (2014) Opting Out of the European Union: Diplomacy, Sovereignty and European Integration, Cambridge: Cambridge University Press</w:t>
      </w:r>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Andersen, S.S. &amp; Sitter, N. (2006), Differentiated integration: what it is and how much can the EU accommodate</w:t>
      </w:r>
      <w:proofErr w:type="gramStart"/>
      <w:r w:rsidRPr="007446B6">
        <w:rPr>
          <w:rFonts w:eastAsiaTheme="minorHAnsi" w:cs="Arial"/>
          <w:sz w:val="22"/>
          <w:lang w:eastAsia="en-US"/>
        </w:rPr>
        <w:t>?,</w:t>
      </w:r>
      <w:proofErr w:type="gramEnd"/>
      <w:r w:rsidRPr="007446B6">
        <w:rPr>
          <w:rFonts w:eastAsiaTheme="minorHAnsi" w:cs="Arial"/>
          <w:sz w:val="22"/>
          <w:lang w:eastAsia="en-US"/>
        </w:rPr>
        <w:t xml:space="preserve"> European Integration 28(4), pp. 313-330</w:t>
      </w:r>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 xml:space="preserve">Armand, L. &amp; </w:t>
      </w:r>
      <w:proofErr w:type="spellStart"/>
      <w:r w:rsidRPr="007446B6">
        <w:rPr>
          <w:rFonts w:eastAsiaTheme="minorHAnsi" w:cs="Arial"/>
          <w:sz w:val="22"/>
          <w:lang w:eastAsia="en-US"/>
        </w:rPr>
        <w:t>Drancourt</w:t>
      </w:r>
      <w:proofErr w:type="spellEnd"/>
      <w:r w:rsidRPr="007446B6">
        <w:rPr>
          <w:rFonts w:eastAsiaTheme="minorHAnsi" w:cs="Arial"/>
          <w:sz w:val="22"/>
          <w:lang w:eastAsia="en-US"/>
        </w:rPr>
        <w:t xml:space="preserve">, M. (1970) </w:t>
      </w:r>
      <w:proofErr w:type="gramStart"/>
      <w:r w:rsidRPr="007446B6">
        <w:rPr>
          <w:rFonts w:eastAsiaTheme="minorHAnsi" w:cs="Arial"/>
          <w:sz w:val="22"/>
          <w:lang w:eastAsia="en-US"/>
        </w:rPr>
        <w:t>The</w:t>
      </w:r>
      <w:proofErr w:type="gramEnd"/>
      <w:r w:rsidRPr="007446B6">
        <w:rPr>
          <w:rFonts w:eastAsiaTheme="minorHAnsi" w:cs="Arial"/>
          <w:sz w:val="22"/>
          <w:lang w:eastAsia="en-US"/>
        </w:rPr>
        <w:t xml:space="preserve"> European Challenge, London: </w:t>
      </w:r>
      <w:proofErr w:type="spellStart"/>
      <w:r w:rsidRPr="007446B6">
        <w:rPr>
          <w:rFonts w:eastAsiaTheme="minorHAnsi" w:cs="Arial"/>
          <w:sz w:val="22"/>
          <w:lang w:eastAsia="en-US"/>
        </w:rPr>
        <w:t>Weidenfeld</w:t>
      </w:r>
      <w:proofErr w:type="spellEnd"/>
      <w:r w:rsidRPr="007446B6">
        <w:rPr>
          <w:rFonts w:eastAsiaTheme="minorHAnsi" w:cs="Arial"/>
          <w:sz w:val="22"/>
          <w:lang w:eastAsia="en-US"/>
        </w:rPr>
        <w:t xml:space="preserve"> and Nicholson.</w:t>
      </w:r>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 xml:space="preserve">Jensen, C.B. &amp; </w:t>
      </w:r>
      <w:proofErr w:type="spellStart"/>
      <w:r w:rsidRPr="007446B6">
        <w:rPr>
          <w:rFonts w:eastAsiaTheme="minorHAnsi" w:cs="Arial"/>
          <w:sz w:val="22"/>
          <w:lang w:eastAsia="en-US"/>
        </w:rPr>
        <w:t>Slapin</w:t>
      </w:r>
      <w:proofErr w:type="spellEnd"/>
      <w:r w:rsidRPr="007446B6">
        <w:rPr>
          <w:rFonts w:eastAsiaTheme="minorHAnsi" w:cs="Arial"/>
          <w:sz w:val="22"/>
          <w:lang w:eastAsia="en-US"/>
        </w:rPr>
        <w:t xml:space="preserve">, J.B. (2012) Institutional </w:t>
      </w:r>
      <w:proofErr w:type="spellStart"/>
      <w:r w:rsidRPr="007446B6">
        <w:rPr>
          <w:rFonts w:eastAsiaTheme="minorHAnsi" w:cs="Arial"/>
          <w:sz w:val="22"/>
          <w:lang w:eastAsia="en-US"/>
        </w:rPr>
        <w:t>hokey</w:t>
      </w:r>
      <w:proofErr w:type="spellEnd"/>
      <w:r w:rsidRPr="007446B6">
        <w:rPr>
          <w:rFonts w:eastAsiaTheme="minorHAnsi" w:cs="Arial"/>
          <w:sz w:val="22"/>
          <w:lang w:eastAsia="en-US"/>
        </w:rPr>
        <w:t>-pokey: the politics of multispeed integration in the European Union, Journal of European Public Policy, 19:6, 779-795</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val="de-DE" w:eastAsia="en-US"/>
        </w:rPr>
        <w:t>Demertzis</w:t>
      </w:r>
      <w:proofErr w:type="spellEnd"/>
      <w:r w:rsidRPr="007446B6">
        <w:rPr>
          <w:rFonts w:eastAsiaTheme="minorHAnsi" w:cs="Arial"/>
          <w:sz w:val="22"/>
          <w:lang w:val="de-DE" w:eastAsia="en-US"/>
        </w:rPr>
        <w:t xml:space="preserve">, M., </w:t>
      </w:r>
      <w:proofErr w:type="spellStart"/>
      <w:r w:rsidRPr="007446B6">
        <w:rPr>
          <w:rFonts w:eastAsiaTheme="minorHAnsi" w:cs="Arial"/>
          <w:sz w:val="22"/>
          <w:lang w:val="de-DE" w:eastAsia="en-US"/>
        </w:rPr>
        <w:t>Pisany</w:t>
      </w:r>
      <w:proofErr w:type="spellEnd"/>
      <w:r w:rsidRPr="007446B6">
        <w:rPr>
          <w:rFonts w:eastAsiaTheme="minorHAnsi" w:cs="Arial"/>
          <w:sz w:val="22"/>
          <w:lang w:val="de-DE" w:eastAsia="en-US"/>
        </w:rPr>
        <w:t xml:space="preserve">-Ferry, J., Sapir, A. Wieser, T., Wolff, G. (2018). </w:t>
      </w:r>
      <w:r w:rsidRPr="007446B6">
        <w:rPr>
          <w:rFonts w:eastAsiaTheme="minorHAnsi" w:cs="Arial"/>
          <w:sz w:val="22"/>
          <w:lang w:eastAsia="en-US"/>
        </w:rPr>
        <w:t>One size does not fit all: European integration by differentiation, Bruegel Policy Brief</w:t>
      </w:r>
    </w:p>
    <w:p w:rsidR="001423EF" w:rsidRPr="007446B6" w:rsidRDefault="001423EF" w:rsidP="005140AF">
      <w:pPr>
        <w:spacing w:before="0" w:after="200" w:line="240" w:lineRule="auto"/>
        <w:jc w:val="both"/>
        <w:rPr>
          <w:rFonts w:eastAsiaTheme="minorHAnsi" w:cs="Arial"/>
          <w:sz w:val="22"/>
          <w:lang w:eastAsia="en-US"/>
        </w:rPr>
      </w:pPr>
      <w:proofErr w:type="gramStart"/>
      <w:r w:rsidRPr="007446B6">
        <w:rPr>
          <w:rFonts w:eastAsiaTheme="minorHAnsi" w:cs="Arial"/>
          <w:sz w:val="22"/>
          <w:lang w:eastAsia="en-US"/>
        </w:rPr>
        <w:t xml:space="preserve">Downs, G., </w:t>
      </w:r>
      <w:proofErr w:type="spellStart"/>
      <w:r w:rsidRPr="007446B6">
        <w:rPr>
          <w:rFonts w:eastAsiaTheme="minorHAnsi" w:cs="Arial"/>
          <w:sz w:val="22"/>
          <w:lang w:eastAsia="en-US"/>
        </w:rPr>
        <w:t>Rocke</w:t>
      </w:r>
      <w:proofErr w:type="spellEnd"/>
      <w:r w:rsidRPr="007446B6">
        <w:rPr>
          <w:rFonts w:eastAsiaTheme="minorHAnsi" w:cs="Arial"/>
          <w:sz w:val="22"/>
          <w:lang w:eastAsia="en-US"/>
        </w:rPr>
        <w:t xml:space="preserve">, D.M. and </w:t>
      </w:r>
      <w:proofErr w:type="spellStart"/>
      <w:r w:rsidRPr="007446B6">
        <w:rPr>
          <w:rFonts w:eastAsiaTheme="minorHAnsi" w:cs="Arial"/>
          <w:sz w:val="22"/>
          <w:lang w:eastAsia="en-US"/>
        </w:rPr>
        <w:t>Barsoom</w:t>
      </w:r>
      <w:proofErr w:type="spellEnd"/>
      <w:r w:rsidRPr="007446B6">
        <w:rPr>
          <w:rFonts w:eastAsiaTheme="minorHAnsi" w:cs="Arial"/>
          <w:sz w:val="22"/>
          <w:lang w:eastAsia="en-US"/>
        </w:rPr>
        <w:t>, P. (1998) ‘Managing the evolution of cooperation’, International Organization 52(2): 397–419.</w:t>
      </w:r>
      <w:proofErr w:type="gramEnd"/>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 xml:space="preserve">Dyson &amp; </w:t>
      </w:r>
      <w:proofErr w:type="spellStart"/>
      <w:r w:rsidRPr="007446B6">
        <w:rPr>
          <w:rFonts w:eastAsiaTheme="minorHAnsi" w:cs="Arial"/>
          <w:sz w:val="22"/>
          <w:lang w:eastAsia="en-US"/>
        </w:rPr>
        <w:t>Sepos</w:t>
      </w:r>
      <w:proofErr w:type="spellEnd"/>
      <w:r w:rsidRPr="007446B6">
        <w:rPr>
          <w:rFonts w:eastAsiaTheme="minorHAnsi" w:cs="Arial"/>
          <w:sz w:val="22"/>
          <w:lang w:eastAsia="en-US"/>
        </w:rPr>
        <w:t xml:space="preserve"> (2010), Which Europe? The politics of differentiated integration, Palgrave Macmillan</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Emmanoulidis</w:t>
      </w:r>
      <w:proofErr w:type="spellEnd"/>
      <w:r w:rsidRPr="007446B6">
        <w:rPr>
          <w:rFonts w:eastAsiaTheme="minorHAnsi" w:cs="Arial"/>
          <w:sz w:val="22"/>
          <w:lang w:eastAsia="en-US"/>
        </w:rPr>
        <w:t xml:space="preserve">, J.A. (2017), The future of a more differentiated </w:t>
      </w:r>
      <w:proofErr w:type="gramStart"/>
      <w:r w:rsidRPr="007446B6">
        <w:rPr>
          <w:rFonts w:eastAsiaTheme="minorHAnsi" w:cs="Arial"/>
          <w:sz w:val="22"/>
          <w:lang w:eastAsia="en-US"/>
        </w:rPr>
        <w:t>E(</w:t>
      </w:r>
      <w:proofErr w:type="gramEnd"/>
      <w:r w:rsidRPr="007446B6">
        <w:rPr>
          <w:rFonts w:eastAsiaTheme="minorHAnsi" w:cs="Arial"/>
          <w:sz w:val="22"/>
          <w:lang w:eastAsia="en-US"/>
        </w:rPr>
        <w:t>M)U – necessities, options, choices</w:t>
      </w:r>
    </w:p>
    <w:p w:rsidR="001423EF" w:rsidRPr="007446B6" w:rsidRDefault="001423EF" w:rsidP="005140AF">
      <w:pPr>
        <w:spacing w:before="0" w:after="200" w:line="240" w:lineRule="auto"/>
        <w:jc w:val="both"/>
        <w:rPr>
          <w:rFonts w:eastAsiaTheme="minorHAnsi" w:cs="Arial"/>
          <w:sz w:val="22"/>
          <w:lang w:val="de-DE" w:eastAsia="en-US"/>
        </w:rPr>
      </w:pPr>
      <w:r w:rsidRPr="007446B6">
        <w:rPr>
          <w:rFonts w:eastAsiaTheme="minorHAnsi" w:cs="Arial"/>
          <w:sz w:val="22"/>
          <w:lang w:val="de-DE" w:eastAsia="en-US"/>
        </w:rPr>
        <w:t xml:space="preserve">Frank </w:t>
      </w:r>
      <w:proofErr w:type="spellStart"/>
      <w:r w:rsidRPr="007446B6">
        <w:rPr>
          <w:rFonts w:eastAsiaTheme="minorHAnsi" w:cs="Arial"/>
          <w:sz w:val="22"/>
          <w:lang w:val="de-DE" w:eastAsia="en-US"/>
        </w:rPr>
        <w:t>Schimmelfennig</w:t>
      </w:r>
      <w:proofErr w:type="spellEnd"/>
      <w:r w:rsidRPr="007446B6">
        <w:rPr>
          <w:rFonts w:eastAsiaTheme="minorHAnsi" w:cs="Arial"/>
          <w:sz w:val="22"/>
          <w:lang w:val="de-DE" w:eastAsia="en-US"/>
        </w:rPr>
        <w:t xml:space="preserve">, Dirk </w:t>
      </w:r>
      <w:proofErr w:type="spellStart"/>
      <w:r w:rsidRPr="007446B6">
        <w:rPr>
          <w:rFonts w:eastAsiaTheme="minorHAnsi" w:cs="Arial"/>
          <w:sz w:val="22"/>
          <w:lang w:val="de-DE" w:eastAsia="en-US"/>
        </w:rPr>
        <w:t>Leuffen</w:t>
      </w:r>
      <w:proofErr w:type="spellEnd"/>
      <w:r w:rsidRPr="007446B6">
        <w:rPr>
          <w:rFonts w:eastAsiaTheme="minorHAnsi" w:cs="Arial"/>
          <w:sz w:val="22"/>
          <w:lang w:val="de-DE" w:eastAsia="en-US"/>
        </w:rPr>
        <w:t xml:space="preserve"> and Berthold Rittberger</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Fossum</w:t>
      </w:r>
      <w:proofErr w:type="spellEnd"/>
      <w:r w:rsidRPr="007446B6">
        <w:rPr>
          <w:rFonts w:eastAsiaTheme="minorHAnsi" w:cs="Arial"/>
          <w:sz w:val="22"/>
          <w:lang w:eastAsia="en-US"/>
        </w:rPr>
        <w:t>, J. (2015) Democracy and differentiation in Europe, Journal of European Public Policy, 22:6, 799-815</w:t>
      </w:r>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Jan</w:t>
      </w:r>
      <w:r w:rsidRPr="007446B6">
        <w:rPr>
          <w:rFonts w:ascii="Cambria Math" w:eastAsiaTheme="minorHAnsi" w:hAnsi="Cambria Math" w:cs="Cambria Math"/>
          <w:sz w:val="22"/>
          <w:lang w:eastAsia="en-US"/>
        </w:rPr>
        <w:t>‐</w:t>
      </w:r>
      <w:r w:rsidRPr="007446B6">
        <w:rPr>
          <w:rFonts w:eastAsiaTheme="minorHAnsi" w:cs="Arial"/>
          <w:sz w:val="22"/>
          <w:lang w:eastAsia="en-US"/>
        </w:rPr>
        <w:t xml:space="preserve">Emmanuel de Neve (2007) The European Onion? How Differentiated Integration is </w:t>
      </w:r>
      <w:proofErr w:type="gramStart"/>
      <w:r w:rsidRPr="007446B6">
        <w:rPr>
          <w:rFonts w:eastAsiaTheme="minorHAnsi" w:cs="Arial"/>
          <w:sz w:val="22"/>
          <w:lang w:eastAsia="en-US"/>
        </w:rPr>
        <w:t>Reshaping</w:t>
      </w:r>
      <w:proofErr w:type="gramEnd"/>
      <w:r w:rsidRPr="007446B6">
        <w:rPr>
          <w:rFonts w:eastAsiaTheme="minorHAnsi" w:cs="Arial"/>
          <w:sz w:val="22"/>
          <w:lang w:eastAsia="en-US"/>
        </w:rPr>
        <w:t xml:space="preserve"> the EU, Journal of European Integration, 29:4, 503-521</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Hanf</w:t>
      </w:r>
      <w:proofErr w:type="spellEnd"/>
      <w:r w:rsidRPr="007446B6">
        <w:rPr>
          <w:rFonts w:eastAsiaTheme="minorHAnsi" w:cs="Arial"/>
          <w:sz w:val="22"/>
          <w:lang w:eastAsia="en-US"/>
        </w:rPr>
        <w:t xml:space="preserve">, D. (2001), Flexibility Clauses in the Founding Treaties, from Rome to Nice, , in B. De Witte, D. </w:t>
      </w:r>
      <w:proofErr w:type="spellStart"/>
      <w:r w:rsidRPr="007446B6">
        <w:rPr>
          <w:rFonts w:eastAsiaTheme="minorHAnsi" w:cs="Arial"/>
          <w:sz w:val="22"/>
          <w:lang w:eastAsia="en-US"/>
        </w:rPr>
        <w:t>Hanf</w:t>
      </w:r>
      <w:proofErr w:type="spellEnd"/>
      <w:r w:rsidRPr="007446B6">
        <w:rPr>
          <w:rFonts w:eastAsiaTheme="minorHAnsi" w:cs="Arial"/>
          <w:sz w:val="22"/>
          <w:lang w:eastAsia="en-US"/>
        </w:rPr>
        <w:t xml:space="preserve"> and E. </w:t>
      </w:r>
      <w:proofErr w:type="spellStart"/>
      <w:r w:rsidRPr="007446B6">
        <w:rPr>
          <w:rFonts w:eastAsiaTheme="minorHAnsi" w:cs="Arial"/>
          <w:sz w:val="22"/>
          <w:lang w:eastAsia="en-US"/>
        </w:rPr>
        <w:t>Vos</w:t>
      </w:r>
      <w:proofErr w:type="spellEnd"/>
      <w:r w:rsidRPr="007446B6">
        <w:rPr>
          <w:rFonts w:eastAsiaTheme="minorHAnsi" w:cs="Arial"/>
          <w:sz w:val="22"/>
          <w:lang w:eastAsia="en-US"/>
        </w:rPr>
        <w:t xml:space="preserve"> (</w:t>
      </w:r>
      <w:proofErr w:type="spellStart"/>
      <w:r w:rsidRPr="007446B6">
        <w:rPr>
          <w:rFonts w:eastAsiaTheme="minorHAnsi" w:cs="Arial"/>
          <w:sz w:val="22"/>
          <w:lang w:eastAsia="en-US"/>
        </w:rPr>
        <w:t>eds</w:t>
      </w:r>
      <w:proofErr w:type="spellEnd"/>
      <w:r w:rsidRPr="007446B6">
        <w:rPr>
          <w:rFonts w:eastAsiaTheme="minorHAnsi" w:cs="Arial"/>
          <w:sz w:val="22"/>
          <w:lang w:eastAsia="en-US"/>
        </w:rPr>
        <w:t>), The Many Faces of Differentiation in EU Law, Hart Publishing.</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Kelemen</w:t>
      </w:r>
      <w:proofErr w:type="spellEnd"/>
      <w:r w:rsidRPr="007446B6">
        <w:rPr>
          <w:rFonts w:eastAsiaTheme="minorHAnsi" w:cs="Arial"/>
          <w:sz w:val="22"/>
          <w:lang w:eastAsia="en-US"/>
        </w:rPr>
        <w:t xml:space="preserve">, R.D. (2007) ‘Built to last? The durability of EU federalism’, in S. </w:t>
      </w:r>
      <w:proofErr w:type="spellStart"/>
      <w:r w:rsidRPr="007446B6">
        <w:rPr>
          <w:rFonts w:eastAsiaTheme="minorHAnsi" w:cs="Arial"/>
          <w:sz w:val="22"/>
          <w:lang w:eastAsia="en-US"/>
        </w:rPr>
        <w:t>Meunier</w:t>
      </w:r>
      <w:proofErr w:type="spellEnd"/>
      <w:r w:rsidRPr="007446B6">
        <w:rPr>
          <w:rFonts w:eastAsiaTheme="minorHAnsi" w:cs="Arial"/>
          <w:sz w:val="22"/>
          <w:lang w:eastAsia="en-US"/>
        </w:rPr>
        <w:t xml:space="preserve"> and K. McNamara (</w:t>
      </w:r>
      <w:proofErr w:type="spellStart"/>
      <w:proofErr w:type="gramStart"/>
      <w:r w:rsidRPr="007446B6">
        <w:rPr>
          <w:rFonts w:eastAsiaTheme="minorHAnsi" w:cs="Arial"/>
          <w:sz w:val="22"/>
          <w:lang w:eastAsia="en-US"/>
        </w:rPr>
        <w:t>eds</w:t>
      </w:r>
      <w:proofErr w:type="spellEnd"/>
      <w:proofErr w:type="gramEnd"/>
      <w:r w:rsidRPr="007446B6">
        <w:rPr>
          <w:rFonts w:eastAsiaTheme="minorHAnsi" w:cs="Arial"/>
          <w:sz w:val="22"/>
          <w:lang w:eastAsia="en-US"/>
        </w:rPr>
        <w:t>), Making History: State of the European Union, Vol. 8, Oxford: Oxford University Press, pp. 51–66.</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Leruth</w:t>
      </w:r>
      <w:proofErr w:type="spellEnd"/>
      <w:r w:rsidRPr="007446B6">
        <w:rPr>
          <w:rFonts w:eastAsiaTheme="minorHAnsi" w:cs="Arial"/>
          <w:sz w:val="22"/>
          <w:lang w:eastAsia="en-US"/>
        </w:rPr>
        <w:t>, B., &amp; Lord, C. Differentiated integration in the European Union: a concept, a process, a system or a theory</w:t>
      </w:r>
      <w:proofErr w:type="gramStart"/>
      <w:r w:rsidRPr="007446B6">
        <w:rPr>
          <w:rFonts w:eastAsiaTheme="minorHAnsi" w:cs="Arial"/>
          <w:sz w:val="22"/>
          <w:lang w:eastAsia="en-US"/>
        </w:rPr>
        <w:t>?,</w:t>
      </w:r>
      <w:proofErr w:type="gramEnd"/>
      <w:r w:rsidRPr="007446B6">
        <w:rPr>
          <w:rFonts w:eastAsiaTheme="minorHAnsi" w:cs="Arial"/>
          <w:sz w:val="22"/>
          <w:lang w:eastAsia="en-US"/>
        </w:rPr>
        <w:t xml:space="preserve"> Journal of European Public Policy, 22(6)</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Majone</w:t>
      </w:r>
      <w:proofErr w:type="spellEnd"/>
      <w:r w:rsidRPr="007446B6">
        <w:rPr>
          <w:rFonts w:eastAsiaTheme="minorHAnsi" w:cs="Arial"/>
          <w:sz w:val="22"/>
          <w:lang w:eastAsia="en-US"/>
        </w:rPr>
        <w:t>, G. (2009) Europe as the Would-be World Power: The EU at Fifty, New York: Cambridge University Press.</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lastRenderedPageBreak/>
        <w:t>Piekutowska</w:t>
      </w:r>
      <w:proofErr w:type="spellEnd"/>
      <w:r w:rsidRPr="007446B6">
        <w:rPr>
          <w:rFonts w:eastAsiaTheme="minorHAnsi" w:cs="Arial"/>
          <w:sz w:val="22"/>
          <w:lang w:eastAsia="en-US"/>
        </w:rPr>
        <w:t xml:space="preserve"> A. &amp; </w:t>
      </w:r>
      <w:proofErr w:type="spellStart"/>
      <w:r w:rsidRPr="007446B6">
        <w:rPr>
          <w:rFonts w:eastAsiaTheme="minorHAnsi" w:cs="Arial"/>
          <w:sz w:val="22"/>
          <w:lang w:eastAsia="en-US"/>
        </w:rPr>
        <w:t>Kuzelewska</w:t>
      </w:r>
      <w:proofErr w:type="spellEnd"/>
      <w:r w:rsidRPr="007446B6">
        <w:rPr>
          <w:rFonts w:eastAsiaTheme="minorHAnsi" w:cs="Arial"/>
          <w:sz w:val="22"/>
          <w:lang w:eastAsia="en-US"/>
        </w:rPr>
        <w:t xml:space="preserve"> E. (2015), Economic and Monetary Union as an Example of Differentiated Integration Yearbook of Polish European Studies 18 pp. 165-192</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Schimmelfennig</w:t>
      </w:r>
      <w:proofErr w:type="spellEnd"/>
      <w:r w:rsidRPr="007446B6">
        <w:rPr>
          <w:rFonts w:eastAsiaTheme="minorHAnsi" w:cs="Arial"/>
          <w:sz w:val="22"/>
          <w:lang w:eastAsia="en-US"/>
        </w:rPr>
        <w:t xml:space="preserve">, F. (2014), Differentiated Integration Before and After the Crisis, in </w:t>
      </w:r>
      <w:proofErr w:type="spellStart"/>
      <w:r w:rsidRPr="007446B6">
        <w:rPr>
          <w:rFonts w:eastAsiaTheme="minorHAnsi" w:cs="Arial"/>
          <w:sz w:val="22"/>
          <w:lang w:eastAsia="en-US"/>
        </w:rPr>
        <w:t>Cramme</w:t>
      </w:r>
      <w:proofErr w:type="spellEnd"/>
      <w:r w:rsidRPr="007446B6">
        <w:rPr>
          <w:rFonts w:eastAsiaTheme="minorHAnsi" w:cs="Arial"/>
          <w:sz w:val="22"/>
          <w:lang w:eastAsia="en-US"/>
        </w:rPr>
        <w:t xml:space="preserve">, O. &amp; </w:t>
      </w:r>
      <w:proofErr w:type="spellStart"/>
      <w:r w:rsidRPr="007446B6">
        <w:rPr>
          <w:rFonts w:eastAsiaTheme="minorHAnsi" w:cs="Arial"/>
          <w:sz w:val="22"/>
          <w:lang w:eastAsia="en-US"/>
        </w:rPr>
        <w:t>Hobolt</w:t>
      </w:r>
      <w:proofErr w:type="spellEnd"/>
      <w:r w:rsidRPr="007446B6">
        <w:rPr>
          <w:rFonts w:eastAsiaTheme="minorHAnsi" w:cs="Arial"/>
          <w:sz w:val="22"/>
          <w:lang w:eastAsia="en-US"/>
        </w:rPr>
        <w:t>, S.B., Democratic Politics in a European Union Under Stress, Oxford Scholarship</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Schimmelfennig</w:t>
      </w:r>
      <w:proofErr w:type="spellEnd"/>
      <w:r w:rsidRPr="007446B6">
        <w:rPr>
          <w:rFonts w:eastAsiaTheme="minorHAnsi" w:cs="Arial"/>
          <w:sz w:val="22"/>
          <w:lang w:eastAsia="en-US"/>
        </w:rPr>
        <w:t xml:space="preserve">, F. (2016), A differentiated leap forward: </w:t>
      </w:r>
      <w:proofErr w:type="spellStart"/>
      <w:r w:rsidRPr="007446B6">
        <w:rPr>
          <w:rFonts w:eastAsiaTheme="minorHAnsi" w:cs="Arial"/>
          <w:sz w:val="22"/>
          <w:lang w:eastAsia="en-US"/>
        </w:rPr>
        <w:t>spillover</w:t>
      </w:r>
      <w:proofErr w:type="spellEnd"/>
      <w:r w:rsidRPr="007446B6">
        <w:rPr>
          <w:rFonts w:eastAsiaTheme="minorHAnsi" w:cs="Arial"/>
          <w:sz w:val="22"/>
          <w:lang w:eastAsia="en-US"/>
        </w:rPr>
        <w:t xml:space="preserve">, path-dependency, </w:t>
      </w:r>
      <w:proofErr w:type="spellStart"/>
      <w:proofErr w:type="gramStart"/>
      <w:r w:rsidRPr="007446B6">
        <w:rPr>
          <w:rFonts w:eastAsiaTheme="minorHAnsi" w:cs="Arial"/>
          <w:sz w:val="22"/>
          <w:lang w:eastAsia="en-US"/>
        </w:rPr>
        <w:t>amd</w:t>
      </w:r>
      <w:proofErr w:type="spellEnd"/>
      <w:proofErr w:type="gramEnd"/>
      <w:r w:rsidRPr="007446B6">
        <w:rPr>
          <w:rFonts w:eastAsiaTheme="minorHAnsi" w:cs="Arial"/>
          <w:sz w:val="22"/>
          <w:lang w:eastAsia="en-US"/>
        </w:rPr>
        <w:t xml:space="preserve"> graded membership in European member regulation, West European Politics 39(3): 483-502</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Schimmelfennig</w:t>
      </w:r>
      <w:proofErr w:type="spellEnd"/>
      <w:r w:rsidRPr="007446B6">
        <w:rPr>
          <w:rFonts w:eastAsiaTheme="minorHAnsi" w:cs="Arial"/>
          <w:sz w:val="22"/>
          <w:lang w:eastAsia="en-US"/>
        </w:rPr>
        <w:t xml:space="preserve">, F., </w:t>
      </w:r>
      <w:proofErr w:type="spellStart"/>
      <w:r w:rsidRPr="007446B6">
        <w:rPr>
          <w:rFonts w:eastAsiaTheme="minorHAnsi" w:cs="Arial"/>
          <w:sz w:val="22"/>
          <w:lang w:eastAsia="en-US"/>
        </w:rPr>
        <w:t>Leuffen</w:t>
      </w:r>
      <w:proofErr w:type="spellEnd"/>
      <w:r w:rsidRPr="007446B6">
        <w:rPr>
          <w:rFonts w:eastAsiaTheme="minorHAnsi" w:cs="Arial"/>
          <w:sz w:val="22"/>
          <w:lang w:eastAsia="en-US"/>
        </w:rPr>
        <w:t xml:space="preserve">, D. &amp; </w:t>
      </w:r>
      <w:proofErr w:type="spellStart"/>
      <w:r w:rsidRPr="007446B6">
        <w:rPr>
          <w:rFonts w:eastAsiaTheme="minorHAnsi" w:cs="Arial"/>
          <w:sz w:val="22"/>
          <w:lang w:eastAsia="en-US"/>
        </w:rPr>
        <w:t>Rittberger</w:t>
      </w:r>
      <w:proofErr w:type="spellEnd"/>
      <w:r w:rsidRPr="007446B6">
        <w:rPr>
          <w:rFonts w:eastAsiaTheme="minorHAnsi" w:cs="Arial"/>
          <w:sz w:val="22"/>
          <w:lang w:eastAsia="en-US"/>
        </w:rPr>
        <w:t>, B. (2015), The European Union as a system of differentiation in the European Union: interdependence, politicization, and differentiation, Journal of European Public Policy 22(5): 764:82</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Schmitter</w:t>
      </w:r>
      <w:proofErr w:type="spellEnd"/>
      <w:r w:rsidRPr="007446B6">
        <w:rPr>
          <w:rFonts w:eastAsiaTheme="minorHAnsi" w:cs="Arial"/>
          <w:sz w:val="22"/>
          <w:lang w:eastAsia="en-US"/>
        </w:rPr>
        <w:t xml:space="preserve">, P. (1996) ‘Imagining the future of the Euro-polity with the help of new concepts’, in M. Gary, F. </w:t>
      </w:r>
      <w:proofErr w:type="spellStart"/>
      <w:r w:rsidRPr="007446B6">
        <w:rPr>
          <w:rFonts w:eastAsiaTheme="minorHAnsi" w:cs="Arial"/>
          <w:sz w:val="22"/>
          <w:lang w:eastAsia="en-US"/>
        </w:rPr>
        <w:t>Scharpf</w:t>
      </w:r>
      <w:proofErr w:type="spellEnd"/>
      <w:r w:rsidRPr="007446B6">
        <w:rPr>
          <w:rFonts w:eastAsiaTheme="minorHAnsi" w:cs="Arial"/>
          <w:sz w:val="22"/>
          <w:lang w:eastAsia="en-US"/>
        </w:rPr>
        <w:t xml:space="preserve">, P. </w:t>
      </w:r>
      <w:proofErr w:type="spellStart"/>
      <w:r w:rsidRPr="007446B6">
        <w:rPr>
          <w:rFonts w:eastAsiaTheme="minorHAnsi" w:cs="Arial"/>
          <w:sz w:val="22"/>
          <w:lang w:eastAsia="en-US"/>
        </w:rPr>
        <w:t>Schmitter</w:t>
      </w:r>
      <w:proofErr w:type="spellEnd"/>
      <w:r w:rsidRPr="007446B6">
        <w:rPr>
          <w:rFonts w:eastAsiaTheme="minorHAnsi" w:cs="Arial"/>
          <w:sz w:val="22"/>
          <w:lang w:eastAsia="en-US"/>
        </w:rPr>
        <w:t xml:space="preserve"> and W. </w:t>
      </w:r>
      <w:proofErr w:type="spellStart"/>
      <w:r w:rsidRPr="007446B6">
        <w:rPr>
          <w:rFonts w:eastAsiaTheme="minorHAnsi" w:cs="Arial"/>
          <w:sz w:val="22"/>
          <w:lang w:eastAsia="en-US"/>
        </w:rPr>
        <w:t>Streeck</w:t>
      </w:r>
      <w:proofErr w:type="spellEnd"/>
      <w:r w:rsidRPr="007446B6">
        <w:rPr>
          <w:rFonts w:eastAsiaTheme="minorHAnsi" w:cs="Arial"/>
          <w:sz w:val="22"/>
          <w:lang w:eastAsia="en-US"/>
        </w:rPr>
        <w:t xml:space="preserve"> (</w:t>
      </w:r>
      <w:proofErr w:type="spellStart"/>
      <w:r w:rsidRPr="007446B6">
        <w:rPr>
          <w:rFonts w:eastAsiaTheme="minorHAnsi" w:cs="Arial"/>
          <w:sz w:val="22"/>
          <w:lang w:eastAsia="en-US"/>
        </w:rPr>
        <w:t>eds</w:t>
      </w:r>
      <w:proofErr w:type="spellEnd"/>
      <w:r w:rsidRPr="007446B6">
        <w:rPr>
          <w:rFonts w:eastAsiaTheme="minorHAnsi" w:cs="Arial"/>
          <w:sz w:val="22"/>
          <w:lang w:eastAsia="en-US"/>
        </w:rPr>
        <w:t>), Governance in the European Union, London: Sage, pp. 121–50</w:t>
      </w:r>
    </w:p>
    <w:p w:rsidR="001423EF"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Schweiger</w:t>
      </w:r>
      <w:proofErr w:type="spellEnd"/>
      <w:r w:rsidRPr="007446B6">
        <w:rPr>
          <w:rFonts w:eastAsiaTheme="minorHAnsi" w:cs="Arial"/>
          <w:sz w:val="22"/>
          <w:lang w:eastAsia="en-US"/>
        </w:rPr>
        <w:t xml:space="preserve">, C. &amp; </w:t>
      </w:r>
      <w:proofErr w:type="spellStart"/>
      <w:r w:rsidRPr="007446B6">
        <w:rPr>
          <w:rFonts w:eastAsiaTheme="minorHAnsi" w:cs="Arial"/>
          <w:sz w:val="22"/>
          <w:lang w:eastAsia="en-US"/>
        </w:rPr>
        <w:t>Magone</w:t>
      </w:r>
      <w:proofErr w:type="spellEnd"/>
      <w:r w:rsidRPr="007446B6">
        <w:rPr>
          <w:rFonts w:eastAsiaTheme="minorHAnsi" w:cs="Arial"/>
          <w:sz w:val="22"/>
          <w:lang w:eastAsia="en-US"/>
        </w:rPr>
        <w:t>, J. M. (2014) Differentiated integration and cleavage in the EU under Crisis Conditions, Perspectives on European Politics and Society 15 259-265</w:t>
      </w:r>
    </w:p>
    <w:p w:rsidR="00DA6E46" w:rsidRPr="007446B6" w:rsidRDefault="00DA6E46" w:rsidP="005140AF">
      <w:pPr>
        <w:spacing w:before="0" w:after="200" w:line="240" w:lineRule="auto"/>
        <w:jc w:val="both"/>
        <w:rPr>
          <w:rFonts w:eastAsiaTheme="minorHAnsi" w:cs="Arial"/>
          <w:sz w:val="22"/>
          <w:lang w:eastAsia="en-US"/>
        </w:rPr>
      </w:pPr>
      <w:r w:rsidRPr="00DA6E46">
        <w:rPr>
          <w:rFonts w:eastAsiaTheme="minorHAnsi" w:cs="Arial"/>
          <w:sz w:val="22"/>
          <w:lang w:eastAsia="en-US"/>
        </w:rPr>
        <w:t xml:space="preserve">Sondermann, D. (2016), </w:t>
      </w:r>
      <w:hyperlink r:id="rId9" w:history="1">
        <w:r w:rsidRPr="00DA6E46">
          <w:rPr>
            <w:rFonts w:eastAsiaTheme="minorHAnsi"/>
            <w:sz w:val="22"/>
            <w:lang w:eastAsia="en-US"/>
          </w:rPr>
          <w:t>“Towards more resilient economies: the role of well-functioning economic structures”</w:t>
        </w:r>
      </w:hyperlink>
      <w:r w:rsidRPr="00DA6E46">
        <w:rPr>
          <w:rFonts w:eastAsiaTheme="minorHAnsi" w:cs="Arial"/>
          <w:sz w:val="22"/>
          <w:lang w:eastAsia="en-US"/>
        </w:rPr>
        <w:t xml:space="preserve">, </w:t>
      </w:r>
      <w:hyperlink r:id="rId10" w:tooltip="Go to Journal of Policy Modeling on ScienceDirect" w:history="1">
        <w:r w:rsidRPr="00DA6E46">
          <w:rPr>
            <w:rFonts w:eastAsiaTheme="minorHAnsi"/>
            <w:bCs/>
            <w:sz w:val="22"/>
            <w:lang w:eastAsia="en-US"/>
          </w:rPr>
          <w:t xml:space="preserve">Journal of Policy </w:t>
        </w:r>
        <w:proofErr w:type="spellStart"/>
        <w:r w:rsidRPr="00DA6E46">
          <w:rPr>
            <w:rFonts w:eastAsiaTheme="minorHAnsi"/>
            <w:bCs/>
            <w:sz w:val="22"/>
            <w:lang w:eastAsia="en-US"/>
          </w:rPr>
          <w:t>Modeling</w:t>
        </w:r>
        <w:proofErr w:type="spellEnd"/>
      </w:hyperlink>
      <w:r>
        <w:rPr>
          <w:rFonts w:eastAsiaTheme="minorHAnsi" w:cs="Arial"/>
          <w:bCs/>
          <w:sz w:val="22"/>
          <w:lang w:eastAsia="en-US"/>
        </w:rPr>
        <w:t xml:space="preserve"> </w:t>
      </w:r>
      <w:hyperlink r:id="rId11" w:tooltip="Go to table of contents for this volume/issue" w:history="1">
        <w:r w:rsidRPr="00DA6E46">
          <w:rPr>
            <w:rFonts w:eastAsiaTheme="minorHAnsi"/>
            <w:sz w:val="22"/>
            <w:lang w:eastAsia="en-US"/>
          </w:rPr>
          <w:t>Volume 40, Issue 1</w:t>
        </w:r>
      </w:hyperlink>
      <w:r w:rsidRPr="00DA6E46">
        <w:rPr>
          <w:rFonts w:eastAsiaTheme="minorHAnsi" w:cs="Arial"/>
          <w:sz w:val="22"/>
          <w:lang w:eastAsia="en-US"/>
        </w:rPr>
        <w:t>, January–February 2018, Pages 97-117</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Stubb</w:t>
      </w:r>
      <w:proofErr w:type="spellEnd"/>
      <w:r w:rsidRPr="007446B6">
        <w:rPr>
          <w:rFonts w:eastAsiaTheme="minorHAnsi" w:cs="Arial"/>
          <w:sz w:val="22"/>
          <w:lang w:eastAsia="en-US"/>
        </w:rPr>
        <w:t>, A. C-G. (1996), A Categorization of Differentiated Integration, Journal of Common Market Studies 34(2), pp. 283-295</w:t>
      </w:r>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 xml:space="preserve">Taylor, P. (1983). The Limits of European Integration, </w:t>
      </w:r>
      <w:proofErr w:type="spellStart"/>
      <w:r w:rsidRPr="007446B6">
        <w:rPr>
          <w:rFonts w:eastAsiaTheme="minorHAnsi" w:cs="Arial"/>
          <w:sz w:val="22"/>
          <w:lang w:eastAsia="en-US"/>
        </w:rPr>
        <w:t>Croom</w:t>
      </w:r>
      <w:proofErr w:type="spellEnd"/>
      <w:r w:rsidRPr="007446B6">
        <w:rPr>
          <w:rFonts w:eastAsiaTheme="minorHAnsi" w:cs="Arial"/>
          <w:sz w:val="22"/>
          <w:lang w:eastAsia="en-US"/>
        </w:rPr>
        <w:t xml:space="preserve"> Helm</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Tindemans</w:t>
      </w:r>
      <w:proofErr w:type="spellEnd"/>
      <w:r w:rsidRPr="007446B6">
        <w:rPr>
          <w:rFonts w:eastAsiaTheme="minorHAnsi" w:cs="Arial"/>
          <w:sz w:val="22"/>
          <w:lang w:eastAsia="en-US"/>
        </w:rPr>
        <w:t>, F. (1976) European Union: Report to the European Council, Luxembourg: Bulletin of the European Communities Supplement 1/76.</w:t>
      </w:r>
    </w:p>
    <w:p w:rsidR="001423EF" w:rsidRPr="007446B6" w:rsidRDefault="001423EF" w:rsidP="005140AF">
      <w:pPr>
        <w:spacing w:before="0" w:after="200" w:line="240" w:lineRule="auto"/>
        <w:jc w:val="both"/>
        <w:rPr>
          <w:rFonts w:eastAsiaTheme="minorHAnsi" w:cs="Arial"/>
          <w:sz w:val="22"/>
          <w:lang w:eastAsia="en-US"/>
        </w:rPr>
      </w:pPr>
      <w:proofErr w:type="spellStart"/>
      <w:proofErr w:type="gramStart"/>
      <w:r w:rsidRPr="007446B6">
        <w:rPr>
          <w:rFonts w:eastAsiaTheme="minorHAnsi" w:cs="Arial"/>
          <w:sz w:val="22"/>
          <w:lang w:eastAsia="en-US"/>
        </w:rPr>
        <w:t>Tuytschaever</w:t>
      </w:r>
      <w:proofErr w:type="spellEnd"/>
      <w:r w:rsidRPr="007446B6">
        <w:rPr>
          <w:rFonts w:eastAsiaTheme="minorHAnsi" w:cs="Arial"/>
          <w:sz w:val="22"/>
          <w:lang w:eastAsia="en-US"/>
        </w:rPr>
        <w:t>, F. (1999) Differentiation in European Union Law, Oxford: Hart.</w:t>
      </w:r>
      <w:proofErr w:type="gramEnd"/>
    </w:p>
    <w:p w:rsidR="001423EF" w:rsidRPr="007446B6" w:rsidRDefault="001423EF" w:rsidP="005140AF">
      <w:pPr>
        <w:spacing w:before="0" w:after="200" w:line="240" w:lineRule="auto"/>
        <w:jc w:val="both"/>
        <w:rPr>
          <w:rFonts w:eastAsiaTheme="minorHAnsi" w:cs="Arial"/>
          <w:sz w:val="22"/>
          <w:lang w:eastAsia="en-US"/>
        </w:rPr>
      </w:pPr>
      <w:r w:rsidRPr="007446B6">
        <w:rPr>
          <w:rFonts w:eastAsiaTheme="minorHAnsi" w:cs="Arial"/>
          <w:sz w:val="22"/>
          <w:lang w:eastAsia="en-US"/>
        </w:rPr>
        <w:t xml:space="preserve">Van den </w:t>
      </w:r>
      <w:proofErr w:type="spellStart"/>
      <w:r w:rsidRPr="007446B6">
        <w:rPr>
          <w:rFonts w:eastAsiaTheme="minorHAnsi" w:cs="Arial"/>
          <w:sz w:val="22"/>
          <w:lang w:eastAsia="en-US"/>
        </w:rPr>
        <w:t>Bogaert</w:t>
      </w:r>
      <w:proofErr w:type="spellEnd"/>
      <w:r w:rsidRPr="007446B6">
        <w:rPr>
          <w:rFonts w:eastAsiaTheme="minorHAnsi" w:cs="Arial"/>
          <w:sz w:val="22"/>
          <w:lang w:eastAsia="en-US"/>
        </w:rPr>
        <w:t xml:space="preserve">, S. &amp; Borger, V. (2017), Differentiated integration in EMU, in De Witte, B., </w:t>
      </w:r>
      <w:proofErr w:type="spellStart"/>
      <w:r w:rsidRPr="007446B6">
        <w:rPr>
          <w:rFonts w:eastAsiaTheme="minorHAnsi" w:cs="Arial"/>
          <w:sz w:val="22"/>
          <w:lang w:eastAsia="en-US"/>
        </w:rPr>
        <w:t>Ott</w:t>
      </w:r>
      <w:proofErr w:type="spellEnd"/>
      <w:r w:rsidRPr="007446B6">
        <w:rPr>
          <w:rFonts w:eastAsiaTheme="minorHAnsi" w:cs="Arial"/>
          <w:sz w:val="22"/>
          <w:lang w:eastAsia="en-US"/>
        </w:rPr>
        <w:t xml:space="preserve">, A., &amp; </w:t>
      </w:r>
      <w:proofErr w:type="spellStart"/>
      <w:r w:rsidRPr="007446B6">
        <w:rPr>
          <w:rFonts w:eastAsiaTheme="minorHAnsi" w:cs="Arial"/>
          <w:sz w:val="22"/>
          <w:lang w:eastAsia="en-US"/>
        </w:rPr>
        <w:t>Vos</w:t>
      </w:r>
      <w:proofErr w:type="spellEnd"/>
      <w:r w:rsidRPr="007446B6">
        <w:rPr>
          <w:rFonts w:eastAsiaTheme="minorHAnsi" w:cs="Arial"/>
          <w:sz w:val="22"/>
          <w:lang w:eastAsia="en-US"/>
        </w:rPr>
        <w:t>, E. (2017), Between Flexibility and Disintegration, Elgar</w:t>
      </w:r>
    </w:p>
    <w:p w:rsidR="001423EF" w:rsidRPr="007446B6" w:rsidRDefault="001423EF" w:rsidP="005140AF">
      <w:pPr>
        <w:spacing w:before="0" w:after="200" w:line="240" w:lineRule="auto"/>
        <w:jc w:val="both"/>
        <w:rPr>
          <w:rFonts w:eastAsiaTheme="minorHAnsi" w:cs="Arial"/>
          <w:sz w:val="22"/>
          <w:lang w:eastAsia="en-US"/>
        </w:rPr>
      </w:pPr>
      <w:proofErr w:type="spellStart"/>
      <w:r w:rsidRPr="007446B6">
        <w:rPr>
          <w:rFonts w:eastAsiaTheme="minorHAnsi" w:cs="Arial"/>
          <w:sz w:val="22"/>
          <w:lang w:eastAsia="en-US"/>
        </w:rPr>
        <w:t>Warleigh</w:t>
      </w:r>
      <w:proofErr w:type="spellEnd"/>
      <w:r w:rsidRPr="007446B6">
        <w:rPr>
          <w:rFonts w:eastAsiaTheme="minorHAnsi" w:cs="Arial"/>
          <w:sz w:val="22"/>
          <w:lang w:eastAsia="en-US"/>
        </w:rPr>
        <w:t>-Lack, A. (2002), Flexible Integration: Which Model for the European Union</w:t>
      </w:r>
      <w:proofErr w:type="gramStart"/>
      <w:r w:rsidRPr="007446B6">
        <w:rPr>
          <w:rFonts w:eastAsiaTheme="minorHAnsi" w:cs="Arial"/>
          <w:sz w:val="22"/>
          <w:lang w:eastAsia="en-US"/>
        </w:rPr>
        <w:t>?,</w:t>
      </w:r>
      <w:proofErr w:type="gramEnd"/>
      <w:r w:rsidRPr="007446B6">
        <w:rPr>
          <w:rFonts w:eastAsiaTheme="minorHAnsi" w:cs="Arial"/>
          <w:sz w:val="22"/>
          <w:lang w:eastAsia="en-US"/>
        </w:rPr>
        <w:t xml:space="preserve"> </w:t>
      </w:r>
      <w:proofErr w:type="spellStart"/>
      <w:r w:rsidRPr="007446B6">
        <w:rPr>
          <w:rFonts w:eastAsiaTheme="minorHAnsi" w:cs="Arial"/>
          <w:sz w:val="22"/>
          <w:lang w:eastAsia="en-US"/>
        </w:rPr>
        <w:t>Scheffield</w:t>
      </w:r>
      <w:proofErr w:type="spellEnd"/>
      <w:r w:rsidRPr="007446B6">
        <w:rPr>
          <w:rFonts w:eastAsiaTheme="minorHAnsi" w:cs="Arial"/>
          <w:sz w:val="22"/>
          <w:lang w:eastAsia="en-US"/>
        </w:rPr>
        <w:t xml:space="preserve"> Academic Press</w:t>
      </w:r>
    </w:p>
    <w:p w:rsidR="001423EF" w:rsidRDefault="001423EF" w:rsidP="005140AF">
      <w:pPr>
        <w:spacing w:before="0" w:after="200" w:line="240" w:lineRule="auto"/>
        <w:jc w:val="both"/>
        <w:rPr>
          <w:b/>
        </w:rPr>
      </w:pPr>
      <w:proofErr w:type="spellStart"/>
      <w:r w:rsidRPr="007446B6">
        <w:rPr>
          <w:rFonts w:eastAsiaTheme="minorHAnsi" w:cs="Arial"/>
          <w:sz w:val="22"/>
          <w:lang w:eastAsia="en-US"/>
        </w:rPr>
        <w:t>Warleigh</w:t>
      </w:r>
      <w:proofErr w:type="spellEnd"/>
      <w:r w:rsidRPr="007446B6">
        <w:rPr>
          <w:rFonts w:eastAsiaTheme="minorHAnsi" w:cs="Arial"/>
          <w:sz w:val="22"/>
          <w:lang w:eastAsia="en-US"/>
        </w:rPr>
        <w:t xml:space="preserve">-Lack, A. (2015) Differentiated integration in the European </w:t>
      </w:r>
      <w:proofErr w:type="spellStart"/>
      <w:r w:rsidRPr="007446B6">
        <w:rPr>
          <w:rFonts w:eastAsiaTheme="minorHAnsi" w:cs="Arial"/>
          <w:sz w:val="22"/>
          <w:lang w:eastAsia="en-US"/>
        </w:rPr>
        <w:t>Union</w:t>
      </w:r>
      <w:proofErr w:type="gramStart"/>
      <w:r w:rsidRPr="007446B6">
        <w:rPr>
          <w:rFonts w:eastAsiaTheme="minorHAnsi" w:cs="Arial"/>
          <w:sz w:val="22"/>
          <w:lang w:eastAsia="en-US"/>
        </w:rPr>
        <w:t>:towards</w:t>
      </w:r>
      <w:proofErr w:type="spellEnd"/>
      <w:proofErr w:type="gramEnd"/>
      <w:r w:rsidRPr="007446B6">
        <w:rPr>
          <w:rFonts w:eastAsiaTheme="minorHAnsi" w:cs="Arial"/>
          <w:sz w:val="22"/>
          <w:lang w:eastAsia="en-US"/>
        </w:rPr>
        <w:t xml:space="preserve"> a comparative regionalism perspective, Journal of Europ</w:t>
      </w:r>
      <w:r w:rsidR="00DA6E46">
        <w:rPr>
          <w:rFonts w:eastAsiaTheme="minorHAnsi" w:cs="Arial"/>
          <w:sz w:val="22"/>
          <w:lang w:eastAsia="en-US"/>
        </w:rPr>
        <w:t>ean Public Policy, 22:6, 871-88</w:t>
      </w:r>
    </w:p>
    <w:p w:rsidR="001423EF" w:rsidRDefault="001423EF" w:rsidP="00DA6E46">
      <w:pPr>
        <w:spacing w:line="480" w:lineRule="auto"/>
        <w:rPr>
          <w:b/>
        </w:rPr>
        <w:sectPr w:rsidR="001423EF" w:rsidSect="00344138">
          <w:footerReference w:type="default" r:id="rId12"/>
          <w:type w:val="continuous"/>
          <w:pgSz w:w="11907" w:h="16840" w:code="9"/>
          <w:pgMar w:top="2268" w:right="1134" w:bottom="2268" w:left="1418" w:header="567" w:footer="510" w:gutter="0"/>
          <w:cols w:space="720"/>
          <w:formProt w:val="0"/>
          <w:titlePg/>
        </w:sectPr>
      </w:pPr>
    </w:p>
    <w:p w:rsidR="00054CAE" w:rsidRPr="002C2A87" w:rsidRDefault="0010489D" w:rsidP="00DA6E46">
      <w:pPr>
        <w:pStyle w:val="ECBBodyText"/>
        <w:spacing w:line="480" w:lineRule="auto"/>
        <w:jc w:val="both"/>
        <w:rPr>
          <w:b/>
        </w:rPr>
      </w:pPr>
      <w:r>
        <w:rPr>
          <w:b/>
        </w:rPr>
        <w:lastRenderedPageBreak/>
        <w:t>A</w:t>
      </w:r>
      <w:r w:rsidR="00054CAE" w:rsidRPr="002C2A87">
        <w:rPr>
          <w:b/>
        </w:rPr>
        <w:t>nnex</w:t>
      </w:r>
      <w:r w:rsidR="00FE10CF" w:rsidRPr="002C2A87">
        <w:rPr>
          <w:b/>
        </w:rPr>
        <w:t xml:space="preserve"> </w:t>
      </w:r>
      <w:r>
        <w:rPr>
          <w:b/>
        </w:rPr>
        <w:t>A</w:t>
      </w:r>
      <w:r w:rsidR="00054CAE" w:rsidRPr="002C2A87">
        <w:rPr>
          <w:b/>
        </w:rPr>
        <w:t xml:space="preserve">: multispeed integration, forms, benefits and risks. </w:t>
      </w:r>
    </w:p>
    <w:p w:rsidR="00D132F3" w:rsidRPr="009749DF" w:rsidRDefault="00D51FFB" w:rsidP="00DA6E46">
      <w:pPr>
        <w:pStyle w:val="ECBBodyText"/>
        <w:spacing w:line="480" w:lineRule="auto"/>
        <w:jc w:val="both"/>
      </w:pPr>
      <w:r w:rsidRPr="002C2A87">
        <w:t>F</w:t>
      </w:r>
      <w:r w:rsidR="00D132F3" w:rsidRPr="009749DF">
        <w:t>igure 1: Overview of Multi-speed Europe: potential benefits and risks for EMU</w:t>
      </w:r>
    </w:p>
    <w:p w:rsidR="009148C0" w:rsidRPr="009749DF" w:rsidRDefault="00564A20" w:rsidP="00DA6E46">
      <w:pPr>
        <w:pStyle w:val="ECBBodyText"/>
        <w:spacing w:line="480" w:lineRule="auto"/>
        <w:jc w:val="both"/>
      </w:pPr>
      <w:r w:rsidRPr="009749DF">
        <w:rPr>
          <w:noProof/>
        </w:rPr>
        <w:drawing>
          <wp:inline distT="0" distB="0" distL="0" distR="0" wp14:anchorId="31131A66" wp14:editId="44E89A24">
            <wp:extent cx="4654550" cy="2747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458"/>
                    <a:stretch/>
                  </pic:blipFill>
                  <pic:spPr bwMode="auto">
                    <a:xfrm>
                      <a:off x="0" y="0"/>
                      <a:ext cx="4658238" cy="2750104"/>
                    </a:xfrm>
                    <a:prstGeom prst="rect">
                      <a:avLst/>
                    </a:prstGeom>
                    <a:noFill/>
                    <a:ln>
                      <a:noFill/>
                    </a:ln>
                    <a:extLst>
                      <a:ext uri="{53640926-AAD7-44D8-BBD7-CCE9431645EC}">
                        <a14:shadowObscured xmlns:a14="http://schemas.microsoft.com/office/drawing/2010/main"/>
                      </a:ext>
                    </a:extLst>
                  </pic:spPr>
                </pic:pic>
              </a:graphicData>
            </a:graphic>
          </wp:inline>
        </w:drawing>
      </w:r>
    </w:p>
    <w:p w:rsidR="005C4140" w:rsidRDefault="005C4140" w:rsidP="00DA6E46">
      <w:pPr>
        <w:pStyle w:val="ECBBodyText"/>
        <w:spacing w:line="480" w:lineRule="auto"/>
        <w:jc w:val="both"/>
        <w:rPr>
          <w:rFonts w:cs="Arial"/>
          <w:szCs w:val="20"/>
        </w:rPr>
      </w:pPr>
    </w:p>
    <w:p w:rsidR="00A30B81" w:rsidRPr="00595E1E" w:rsidRDefault="007F1F9B" w:rsidP="00DA6E46">
      <w:pPr>
        <w:pStyle w:val="ECBBodyText"/>
        <w:spacing w:line="480" w:lineRule="auto"/>
        <w:jc w:val="both"/>
        <w:rPr>
          <w:rFonts w:ascii="MuseoSlab-500" w:hAnsi="MuseoSlab-500" w:cs="MuseoSlab-500"/>
          <w:sz w:val="22"/>
        </w:rPr>
      </w:pPr>
      <w:r>
        <w:rPr>
          <w:rFonts w:cs="Arial"/>
          <w:szCs w:val="20"/>
        </w:rPr>
        <w:t>Figure 2</w:t>
      </w:r>
      <w:r w:rsidR="00A30B81" w:rsidRPr="00595E1E">
        <w:rPr>
          <w:rFonts w:cs="Arial"/>
          <w:szCs w:val="20"/>
        </w:rPr>
        <w:t xml:space="preserve">: </w:t>
      </w:r>
      <w:r w:rsidR="00A30B81" w:rsidRPr="00595E1E">
        <w:rPr>
          <w:rFonts w:ascii="MuseoSlab-500" w:hAnsi="MuseoSlab-500" w:cs="MuseoSlab-500"/>
          <w:sz w:val="22"/>
        </w:rPr>
        <w:t>The various forms of differentiated integration in the EU</w:t>
      </w:r>
      <w:r w:rsidR="00A30B81" w:rsidRPr="00595E1E">
        <w:rPr>
          <w:rStyle w:val="FootnoteReference"/>
          <w:rFonts w:ascii="MuseoSlab-500" w:hAnsi="MuseoSlab-500" w:cs="MuseoSlab-500"/>
          <w:sz w:val="22"/>
        </w:rPr>
        <w:footnoteReference w:id="32"/>
      </w:r>
      <w:r w:rsidR="00054CAE" w:rsidRPr="00595E1E">
        <w:rPr>
          <w:rFonts w:ascii="MuseoSlab-500" w:hAnsi="MuseoSlab-500" w:cs="MuseoSlab-500"/>
          <w:sz w:val="22"/>
        </w:rPr>
        <w:t xml:space="preserve"> </w:t>
      </w:r>
      <w:r w:rsidR="00054CAE" w:rsidRPr="00595E1E">
        <w:rPr>
          <w:rStyle w:val="FootnoteReference"/>
          <w:rFonts w:ascii="MuseoSlab-500" w:hAnsi="MuseoSlab-500" w:cs="MuseoSlab-500"/>
          <w:sz w:val="22"/>
        </w:rPr>
        <w:footnoteReference w:id="33"/>
      </w:r>
    </w:p>
    <w:p w:rsidR="000A57A4" w:rsidRPr="00595E1E" w:rsidRDefault="000A57A4" w:rsidP="00DA6E46">
      <w:pPr>
        <w:pStyle w:val="ECBBodyText"/>
        <w:spacing w:line="480" w:lineRule="auto"/>
        <w:jc w:val="both"/>
        <w:rPr>
          <w:rFonts w:ascii="MuseoSlab-500" w:hAnsi="MuseoSlab-500" w:cs="MuseoSlab-500"/>
          <w:b/>
          <w:sz w:val="22"/>
        </w:rPr>
      </w:pPr>
      <w:r w:rsidRPr="001A1A88">
        <w:rPr>
          <w:rFonts w:cs="Arial"/>
          <w:noProof/>
          <w:szCs w:val="20"/>
        </w:rPr>
        <w:lastRenderedPageBreak/>
        <w:drawing>
          <wp:inline distT="0" distB="0" distL="0" distR="0" wp14:anchorId="2A6E1DD0" wp14:editId="5D7A7A05">
            <wp:extent cx="4417257" cy="3086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4897" cy="3084451"/>
                    </a:xfrm>
                    <a:prstGeom prst="rect">
                      <a:avLst/>
                    </a:prstGeom>
                    <a:noFill/>
                    <a:ln>
                      <a:noFill/>
                    </a:ln>
                  </pic:spPr>
                </pic:pic>
              </a:graphicData>
            </a:graphic>
          </wp:inline>
        </w:drawing>
      </w:r>
    </w:p>
    <w:p w:rsidR="003F231E" w:rsidRPr="00595E1E" w:rsidRDefault="003F231E" w:rsidP="00DA6E46">
      <w:pPr>
        <w:pStyle w:val="ECBBodyText"/>
        <w:spacing w:line="480" w:lineRule="auto"/>
        <w:jc w:val="both"/>
        <w:rPr>
          <w:rFonts w:cs="Arial"/>
          <w:b/>
          <w:szCs w:val="20"/>
        </w:rPr>
      </w:pPr>
    </w:p>
    <w:p w:rsidR="00121E34" w:rsidRPr="00595E1E" w:rsidRDefault="00994946" w:rsidP="00DA6E46">
      <w:pPr>
        <w:pStyle w:val="ECBBodyText"/>
        <w:spacing w:line="480" w:lineRule="auto"/>
        <w:jc w:val="both"/>
        <w:rPr>
          <w:rFonts w:cs="Arial"/>
          <w:b/>
          <w:szCs w:val="20"/>
        </w:rPr>
      </w:pPr>
      <w:r w:rsidRPr="001A1A88">
        <w:rPr>
          <w:rFonts w:cs="Arial"/>
          <w:b/>
          <w:noProof/>
          <w:szCs w:val="20"/>
        </w:rPr>
        <w:drawing>
          <wp:inline distT="0" distB="0" distL="0" distR="0" wp14:anchorId="3EA7FA44" wp14:editId="4D38E47C">
            <wp:extent cx="3619500" cy="2631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49C2.tmp"/>
                    <pic:cNvPicPr/>
                  </pic:nvPicPr>
                  <pic:blipFill>
                    <a:blip r:embed="rId15">
                      <a:extLst>
                        <a:ext uri="{28A0092B-C50C-407E-A947-70E740481C1C}">
                          <a14:useLocalDpi xmlns:a14="http://schemas.microsoft.com/office/drawing/2010/main" val="0"/>
                        </a:ext>
                      </a:extLst>
                    </a:blip>
                    <a:stretch>
                      <a:fillRect/>
                    </a:stretch>
                  </pic:blipFill>
                  <pic:spPr>
                    <a:xfrm>
                      <a:off x="0" y="0"/>
                      <a:ext cx="3627184" cy="2637267"/>
                    </a:xfrm>
                    <a:prstGeom prst="rect">
                      <a:avLst/>
                    </a:prstGeom>
                  </pic:spPr>
                </pic:pic>
              </a:graphicData>
            </a:graphic>
          </wp:inline>
        </w:drawing>
      </w:r>
    </w:p>
    <w:p w:rsidR="00305965" w:rsidRDefault="00305965" w:rsidP="00DA6E46">
      <w:pPr>
        <w:spacing w:before="0" w:after="0" w:line="480" w:lineRule="auto"/>
        <w:jc w:val="both"/>
        <w:rPr>
          <w:rFonts w:cs="Arial"/>
          <w:b/>
          <w:szCs w:val="20"/>
        </w:rPr>
      </w:pPr>
    </w:p>
    <w:p w:rsidR="00305965" w:rsidRDefault="00305965" w:rsidP="00DA6E46">
      <w:pPr>
        <w:spacing w:before="0" w:after="0" w:line="480" w:lineRule="auto"/>
        <w:jc w:val="both"/>
        <w:rPr>
          <w:rFonts w:cs="Arial"/>
          <w:b/>
          <w:szCs w:val="20"/>
        </w:rPr>
      </w:pPr>
    </w:p>
    <w:p w:rsidR="00305965" w:rsidRDefault="00305965" w:rsidP="00DA6E46">
      <w:pPr>
        <w:spacing w:before="0" w:after="0" w:line="480" w:lineRule="auto"/>
        <w:jc w:val="both"/>
        <w:rPr>
          <w:rFonts w:cs="Arial"/>
          <w:b/>
          <w:szCs w:val="20"/>
        </w:rPr>
      </w:pPr>
    </w:p>
    <w:p w:rsidR="00305965" w:rsidRDefault="00305965" w:rsidP="00DA6E46">
      <w:pPr>
        <w:spacing w:before="0" w:after="0" w:line="480" w:lineRule="auto"/>
        <w:jc w:val="both"/>
        <w:rPr>
          <w:rFonts w:cs="Arial"/>
          <w:b/>
          <w:szCs w:val="20"/>
        </w:rPr>
      </w:pPr>
    </w:p>
    <w:p w:rsidR="000A57A4" w:rsidRPr="00595E1E" w:rsidRDefault="00054CAE" w:rsidP="00DA6E46">
      <w:pPr>
        <w:spacing w:before="0" w:after="0" w:line="480" w:lineRule="auto"/>
        <w:jc w:val="both"/>
        <w:rPr>
          <w:rFonts w:cs="Arial"/>
          <w:b/>
          <w:szCs w:val="20"/>
        </w:rPr>
      </w:pPr>
      <w:r w:rsidRPr="00595E1E">
        <w:rPr>
          <w:rFonts w:cs="Arial"/>
          <w:b/>
          <w:szCs w:val="20"/>
        </w:rPr>
        <w:lastRenderedPageBreak/>
        <w:t xml:space="preserve">Annex </w:t>
      </w:r>
      <w:r w:rsidR="0010489D">
        <w:rPr>
          <w:rFonts w:cs="Arial"/>
          <w:b/>
          <w:szCs w:val="20"/>
        </w:rPr>
        <w:t>B</w:t>
      </w:r>
      <w:r w:rsidR="000A57A4" w:rsidRPr="00595E1E">
        <w:rPr>
          <w:rFonts w:cs="Arial"/>
          <w:b/>
          <w:szCs w:val="20"/>
        </w:rPr>
        <w:t>: Public opinion on Multi-speed Europe</w:t>
      </w:r>
      <w:r w:rsidR="000A57A4" w:rsidRPr="00595E1E">
        <w:rPr>
          <w:rStyle w:val="FootnoteReference"/>
          <w:rFonts w:cs="Arial"/>
          <w:b/>
          <w:szCs w:val="20"/>
        </w:rPr>
        <w:footnoteReference w:id="34"/>
      </w:r>
      <w:r w:rsidR="000A57A4" w:rsidRPr="00595E1E">
        <w:rPr>
          <w:rFonts w:cs="Arial"/>
          <w:b/>
          <w:szCs w:val="20"/>
        </w:rPr>
        <w:t xml:space="preserve"> </w:t>
      </w:r>
    </w:p>
    <w:p w:rsidR="000A57A4" w:rsidRPr="00595E1E" w:rsidRDefault="000A57A4" w:rsidP="00DA6E46">
      <w:pPr>
        <w:pStyle w:val="ECBBodyText"/>
        <w:spacing w:line="480" w:lineRule="auto"/>
        <w:jc w:val="both"/>
        <w:rPr>
          <w:rFonts w:cs="Arial"/>
          <w:b/>
          <w:szCs w:val="20"/>
        </w:rPr>
      </w:pPr>
      <w:r w:rsidRPr="00595E1E">
        <w:rPr>
          <w:noProof/>
        </w:rPr>
        <w:drawing>
          <wp:inline distT="0" distB="0" distL="0" distR="0" wp14:anchorId="1AA24476" wp14:editId="5E292D6B">
            <wp:extent cx="4767397" cy="3406140"/>
            <wp:effectExtent l="0" t="0" r="0" b="3810"/>
            <wp:docPr id="4" name="Picture 4" descr="cid:image004.png@01D29CA5.7BDF1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9CA5.7BDF14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767271" cy="3406050"/>
                    </a:xfrm>
                    <a:prstGeom prst="rect">
                      <a:avLst/>
                    </a:prstGeom>
                    <a:noFill/>
                    <a:ln>
                      <a:noFill/>
                    </a:ln>
                  </pic:spPr>
                </pic:pic>
              </a:graphicData>
            </a:graphic>
          </wp:inline>
        </w:drawing>
      </w:r>
    </w:p>
    <w:p w:rsidR="000A57A4" w:rsidRPr="00595E1E" w:rsidRDefault="000A57A4" w:rsidP="00DA6E46">
      <w:pPr>
        <w:pStyle w:val="ECBBodyText"/>
        <w:spacing w:line="480" w:lineRule="auto"/>
        <w:jc w:val="both"/>
        <w:rPr>
          <w:rFonts w:cs="Arial"/>
          <w:b/>
          <w:szCs w:val="20"/>
        </w:rPr>
      </w:pPr>
      <w:r w:rsidRPr="00595E1E">
        <w:rPr>
          <w:noProof/>
        </w:rPr>
        <w:drawing>
          <wp:inline distT="0" distB="0" distL="0" distR="0" wp14:anchorId="6CC057CE" wp14:editId="29F5764B">
            <wp:extent cx="4857460" cy="2726267"/>
            <wp:effectExtent l="0" t="0" r="635" b="0"/>
            <wp:docPr id="5" name="Picture 5" descr="cid:image006.png@01D29CA5.7BDF1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29CA5.7BDF14C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854865" cy="2724811"/>
                    </a:xfrm>
                    <a:prstGeom prst="rect">
                      <a:avLst/>
                    </a:prstGeom>
                    <a:noFill/>
                    <a:ln>
                      <a:noFill/>
                    </a:ln>
                  </pic:spPr>
                </pic:pic>
              </a:graphicData>
            </a:graphic>
          </wp:inline>
        </w:drawing>
      </w:r>
    </w:p>
    <w:p w:rsidR="007446B6" w:rsidRPr="007446B6" w:rsidRDefault="007446B6" w:rsidP="00DA6E46">
      <w:pPr>
        <w:spacing w:before="0" w:after="0" w:line="480" w:lineRule="auto"/>
        <w:jc w:val="both"/>
        <w:rPr>
          <w:rFonts w:eastAsiaTheme="minorHAnsi" w:cs="Arial"/>
          <w:sz w:val="22"/>
          <w:lang w:eastAsia="en-US"/>
        </w:rPr>
      </w:pPr>
      <w:bookmarkStart w:id="0" w:name="_GoBack"/>
      <w:bookmarkEnd w:id="0"/>
    </w:p>
    <w:sectPr w:rsidR="007446B6" w:rsidRPr="007446B6" w:rsidSect="007446B6">
      <w:pgSz w:w="11907" w:h="16840" w:code="9"/>
      <w:pgMar w:top="2268" w:right="1134" w:bottom="2268" w:left="1418" w:header="567" w:footer="510" w:gutter="0"/>
      <w:cols w:space="720"/>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981" w:rsidRDefault="00DB3981">
      <w:pPr>
        <w:spacing w:before="0" w:after="0" w:line="240" w:lineRule="auto"/>
      </w:pPr>
      <w:r>
        <w:separator/>
      </w:r>
    </w:p>
  </w:endnote>
  <w:endnote w:type="continuationSeparator" w:id="0">
    <w:p w:rsidR="00DB3981" w:rsidRDefault="00DB39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ndnya">
    <w:altName w:val="Courier"/>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useoSlab-500">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981" w:rsidRPr="004E0087" w:rsidRDefault="00DB3981" w:rsidP="00162000">
    <w:pPr>
      <w:pStyle w:val="Footer"/>
      <w:tabs>
        <w:tab w:val="right" w:pos="9356"/>
      </w:tabs>
      <w:spacing w:line="200" w:lineRule="exact"/>
      <w:ind w:left="284" w:hanging="284"/>
      <w:jc w:val="both"/>
      <w:rPr>
        <w:szCs w:val="17"/>
      </w:rPr>
    </w:pPr>
    <w:r w:rsidRPr="004E0087">
      <w:rPr>
        <w:szCs w:val="17"/>
      </w:rPr>
      <w:fldChar w:fldCharType="begin"/>
    </w:r>
    <w:r w:rsidRPr="004E0087">
      <w:rPr>
        <w:szCs w:val="17"/>
      </w:rPr>
      <w:instrText xml:space="preserve"> FILENAME </w:instrText>
    </w:r>
    <w:r w:rsidRPr="004E0087">
      <w:rPr>
        <w:szCs w:val="17"/>
      </w:rPr>
      <w:fldChar w:fldCharType="separate"/>
    </w:r>
    <w:r>
      <w:rPr>
        <w:szCs w:val="17"/>
      </w:rPr>
      <w:t xml:space="preserve">2019 - 05 - 06 DRAFT Multi-speed EMU </w:t>
    </w:r>
    <w:r w:rsidRPr="004E0087">
      <w:rPr>
        <w:szCs w:val="17"/>
      </w:rPr>
      <w:fldChar w:fldCharType="end"/>
    </w:r>
    <w:r w:rsidRPr="004E0087">
      <w:rPr>
        <w:szCs w:val="17"/>
      </w:rPr>
      <w:tab/>
      <w:t xml:space="preserve">Page </w:t>
    </w:r>
    <w:r w:rsidRPr="004E0087">
      <w:rPr>
        <w:szCs w:val="17"/>
      </w:rPr>
      <w:fldChar w:fldCharType="begin"/>
    </w:r>
    <w:r w:rsidRPr="004E0087">
      <w:rPr>
        <w:szCs w:val="17"/>
      </w:rPr>
      <w:instrText xml:space="preserve"> PAGE </w:instrText>
    </w:r>
    <w:r w:rsidRPr="004E0087">
      <w:rPr>
        <w:szCs w:val="17"/>
      </w:rPr>
      <w:fldChar w:fldCharType="separate"/>
    </w:r>
    <w:r w:rsidR="00410965">
      <w:rPr>
        <w:szCs w:val="17"/>
      </w:rPr>
      <w:t>33</w:t>
    </w:r>
    <w:r w:rsidRPr="004E0087">
      <w:rPr>
        <w:szCs w:val="17"/>
      </w:rPr>
      <w:fldChar w:fldCharType="end"/>
    </w:r>
    <w:r w:rsidRPr="004E0087">
      <w:rPr>
        <w:szCs w:val="17"/>
      </w:rPr>
      <w:t xml:space="preserve"> of </w:t>
    </w:r>
    <w:r w:rsidRPr="004E0087">
      <w:rPr>
        <w:szCs w:val="17"/>
      </w:rPr>
      <w:fldChar w:fldCharType="begin"/>
    </w:r>
    <w:r w:rsidRPr="004E0087">
      <w:rPr>
        <w:szCs w:val="17"/>
      </w:rPr>
      <w:instrText xml:space="preserve"> NUMPAGES </w:instrText>
    </w:r>
    <w:r w:rsidRPr="004E0087">
      <w:rPr>
        <w:szCs w:val="17"/>
      </w:rPr>
      <w:fldChar w:fldCharType="separate"/>
    </w:r>
    <w:r w:rsidR="00410965">
      <w:rPr>
        <w:szCs w:val="17"/>
      </w:rPr>
      <w:t>33</w:t>
    </w:r>
    <w:r w:rsidRPr="004E0087">
      <w:rPr>
        <w:szCs w:val="17"/>
      </w:rPr>
      <w:fldChar w:fldCharType="end"/>
    </w:r>
  </w:p>
  <w:p w:rsidR="00DB3981" w:rsidRDefault="00DB3981" w:rsidP="00E46E94">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981" w:rsidRDefault="00DB3981">
      <w:pPr>
        <w:spacing w:before="0" w:after="0" w:line="240" w:lineRule="auto"/>
      </w:pPr>
      <w:r>
        <w:separator/>
      </w:r>
    </w:p>
  </w:footnote>
  <w:footnote w:type="continuationSeparator" w:id="0">
    <w:p w:rsidR="00DB3981" w:rsidRDefault="00DB3981">
      <w:pPr>
        <w:spacing w:before="0" w:after="0" w:line="240" w:lineRule="auto"/>
      </w:pPr>
      <w:r>
        <w:continuationSeparator/>
      </w:r>
    </w:p>
  </w:footnote>
  <w:footnote w:id="1">
    <w:p w:rsidR="00DB3981" w:rsidRPr="008B4890" w:rsidRDefault="00DB3981" w:rsidP="0028621F">
      <w:pPr>
        <w:pStyle w:val="FootnoteText"/>
        <w:spacing w:before="0" w:after="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Various terms of the notion of multi-speed integration are used in the literature, such as differentiated integration and variable geometry. Some academics have questioned the use of the term “multi-speed”, claiming that it does by definition give certain MS the feeling of being “left behind”. Some argue that what is required instead is for Europe to move faster at different levels, e.g. in the euro area to foster economic coordination, in Schengen to better control Europe’s external borders and at an EU-wide level to combat issues such as energy and climate change. See </w:t>
      </w:r>
      <w:proofErr w:type="spellStart"/>
      <w:r w:rsidRPr="008B4890">
        <w:rPr>
          <w:sz w:val="16"/>
          <w:szCs w:val="16"/>
        </w:rPr>
        <w:t>Bertoncini</w:t>
      </w:r>
      <w:proofErr w:type="spellEnd"/>
      <w:r w:rsidRPr="008B4890">
        <w:rPr>
          <w:sz w:val="16"/>
          <w:szCs w:val="16"/>
        </w:rPr>
        <w:t xml:space="preserve">, Yves (2017), “Differentiated Integration and the EU: A Variable Geometry Legitimacy”, </w:t>
      </w:r>
      <w:proofErr w:type="spellStart"/>
      <w:r w:rsidRPr="008B4890">
        <w:rPr>
          <w:sz w:val="16"/>
          <w:szCs w:val="16"/>
        </w:rPr>
        <w:t>Delors</w:t>
      </w:r>
      <w:proofErr w:type="spellEnd"/>
      <w:r w:rsidRPr="008B4890">
        <w:rPr>
          <w:sz w:val="16"/>
          <w:szCs w:val="16"/>
        </w:rPr>
        <w:t xml:space="preserve"> Institute, Paris.</w:t>
      </w:r>
    </w:p>
  </w:footnote>
  <w:footnote w:id="2">
    <w:p w:rsidR="00DB3981" w:rsidRPr="008B4890" w:rsidRDefault="00DB3981" w:rsidP="00B543C5">
      <w:pPr>
        <w:pStyle w:val="FootnoteText"/>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Declaration of the leaders of 27 member states and of the European Council, the European Parliament and the European Commission, </w:t>
      </w:r>
      <w:hyperlink r:id="rId1" w:history="1">
        <w:r w:rsidRPr="008B4890">
          <w:rPr>
            <w:rStyle w:val="Hyperlink"/>
            <w:sz w:val="16"/>
            <w:szCs w:val="16"/>
          </w:rPr>
          <w:t>http://www.consilium.europa.eu/en/press/press-releases/2017/03/25-rome-declaration/</w:t>
        </w:r>
      </w:hyperlink>
      <w:r w:rsidRPr="008B4890">
        <w:rPr>
          <w:sz w:val="16"/>
          <w:szCs w:val="16"/>
        </w:rPr>
        <w:t xml:space="preserve"> </w:t>
      </w:r>
    </w:p>
  </w:footnote>
  <w:footnote w:id="3">
    <w:p w:rsidR="00DB3981" w:rsidRPr="008B4890" w:rsidRDefault="00DB3981" w:rsidP="00B543C5">
      <w:pPr>
        <w:pStyle w:val="FootnoteText"/>
        <w:spacing w:before="0" w:after="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It is difficult to imagine all MS participating in PESCO, not least those that have a tradition of neutrality such as Austria, Finland and the Irish Republic.</w:t>
      </w:r>
    </w:p>
  </w:footnote>
  <w:footnote w:id="4">
    <w:p w:rsidR="00DB3981" w:rsidRPr="008B4890" w:rsidRDefault="00DB3981" w:rsidP="00B543C5">
      <w:pPr>
        <w:pStyle w:val="FootnoteText"/>
        <w:spacing w:before="0" w:after="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The Lisbon treaty introduced the possibility for certain EU countries to strengthen their cooperation in military matters, by creating permanent structured cooperation (see articles 42(6) and 46 of the Treaty on European Union (TEU)) under certain conditions (see Protocol No 10 annexed to the Treaty).</w:t>
      </w:r>
    </w:p>
  </w:footnote>
  <w:footnote w:id="5">
    <w:p w:rsidR="00DB3981" w:rsidRPr="008B4890" w:rsidRDefault="00DB3981" w:rsidP="00B543C5">
      <w:pPr>
        <w:pStyle w:val="FootnoteText"/>
        <w:spacing w:before="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COM refers to Lisbon Treaty which offered the legal basis for the establishment of EPPO in Art. 86 TFEU, December 2009. </w:t>
      </w:r>
    </w:p>
  </w:footnote>
  <w:footnote w:id="6">
    <w:p w:rsidR="00DB3981" w:rsidRPr="008B4890" w:rsidRDefault="00DB3981" w:rsidP="00B543C5">
      <w:pPr>
        <w:pStyle w:val="FootnoteText"/>
        <w:spacing w:before="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It may at first glance appear far-fetched to perceive of the </w:t>
      </w:r>
      <w:proofErr w:type="spellStart"/>
      <w:r w:rsidRPr="008B4890">
        <w:rPr>
          <w:sz w:val="16"/>
          <w:szCs w:val="16"/>
        </w:rPr>
        <w:t>spillover</w:t>
      </w:r>
      <w:proofErr w:type="spellEnd"/>
      <w:r w:rsidRPr="008B4890">
        <w:rPr>
          <w:sz w:val="16"/>
          <w:szCs w:val="16"/>
        </w:rPr>
        <w:t xml:space="preserve"> effects into EMU of some of these initiatives. However, one could envisage the negative side-effects to the Single Market and the common currency if an EA country did not participate in Schengen. While this is indeed the case for the Irish Republic, it is unique given its geographical position. If, however, a core MS in the centre were to impose border controls this would necessarily negatively impact on EMU. </w:t>
      </w:r>
    </w:p>
  </w:footnote>
  <w:footnote w:id="7">
    <w:p w:rsidR="00DB3981" w:rsidRPr="008B4890" w:rsidRDefault="00DB3981" w:rsidP="00B543C5">
      <w:pPr>
        <w:pStyle w:val="FootnoteText"/>
        <w:spacing w:before="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An important article in this respect is </w:t>
      </w:r>
      <w:proofErr w:type="spellStart"/>
      <w:r w:rsidRPr="008B4890">
        <w:rPr>
          <w:sz w:val="16"/>
          <w:szCs w:val="16"/>
        </w:rPr>
        <w:t>Holzinger</w:t>
      </w:r>
      <w:proofErr w:type="spellEnd"/>
      <w:r w:rsidRPr="008B4890">
        <w:rPr>
          <w:sz w:val="16"/>
          <w:szCs w:val="16"/>
        </w:rPr>
        <w:t xml:space="preserve"> </w:t>
      </w:r>
      <w:proofErr w:type="spellStart"/>
      <w:r w:rsidRPr="008B4890">
        <w:rPr>
          <w:sz w:val="16"/>
          <w:szCs w:val="16"/>
        </w:rPr>
        <w:t>Kathrina</w:t>
      </w:r>
      <w:proofErr w:type="spellEnd"/>
      <w:r w:rsidRPr="008B4890">
        <w:rPr>
          <w:sz w:val="16"/>
          <w:szCs w:val="16"/>
        </w:rPr>
        <w:t xml:space="preserve"> </w:t>
      </w:r>
      <w:proofErr w:type="gramStart"/>
      <w:r w:rsidRPr="008B4890">
        <w:rPr>
          <w:sz w:val="16"/>
          <w:szCs w:val="16"/>
        </w:rPr>
        <w:t xml:space="preserve">and  </w:t>
      </w:r>
      <w:proofErr w:type="spellStart"/>
      <w:r w:rsidRPr="008B4890">
        <w:rPr>
          <w:sz w:val="16"/>
          <w:szCs w:val="16"/>
        </w:rPr>
        <w:t>Schimmelfennig</w:t>
      </w:r>
      <w:proofErr w:type="spellEnd"/>
      <w:proofErr w:type="gramEnd"/>
      <w:r w:rsidRPr="008B4890">
        <w:rPr>
          <w:sz w:val="16"/>
          <w:szCs w:val="16"/>
        </w:rPr>
        <w:t xml:space="preserve">, Frank (2012), “Differentiated Integration in the European Union: Many Concepts, Sparse Theory, Few Data”, </w:t>
      </w:r>
      <w:r w:rsidRPr="008B4890">
        <w:rPr>
          <w:i/>
          <w:sz w:val="16"/>
          <w:szCs w:val="16"/>
        </w:rPr>
        <w:t xml:space="preserve">Journal of European Public Policy </w:t>
      </w:r>
      <w:r w:rsidRPr="008B4890">
        <w:rPr>
          <w:sz w:val="16"/>
          <w:szCs w:val="16"/>
        </w:rPr>
        <w:t xml:space="preserve">19 (2), 292-305. See also, </w:t>
      </w:r>
      <w:proofErr w:type="spellStart"/>
      <w:r w:rsidRPr="008B4890">
        <w:rPr>
          <w:sz w:val="16"/>
          <w:szCs w:val="16"/>
        </w:rPr>
        <w:t>Leuffen</w:t>
      </w:r>
      <w:proofErr w:type="spellEnd"/>
      <w:r w:rsidRPr="008B4890">
        <w:rPr>
          <w:sz w:val="16"/>
          <w:szCs w:val="16"/>
        </w:rPr>
        <w:t xml:space="preserve">, Dirk, </w:t>
      </w:r>
      <w:proofErr w:type="spellStart"/>
      <w:r w:rsidRPr="008B4890">
        <w:rPr>
          <w:sz w:val="16"/>
          <w:szCs w:val="16"/>
        </w:rPr>
        <w:t>Rittberger</w:t>
      </w:r>
      <w:proofErr w:type="spellEnd"/>
      <w:r w:rsidRPr="008B4890">
        <w:rPr>
          <w:sz w:val="16"/>
          <w:szCs w:val="16"/>
        </w:rPr>
        <w:t xml:space="preserve">, Berthold and </w:t>
      </w:r>
      <w:proofErr w:type="spellStart"/>
      <w:r w:rsidRPr="008B4890">
        <w:rPr>
          <w:sz w:val="16"/>
          <w:szCs w:val="16"/>
        </w:rPr>
        <w:t>Schmmelfennig</w:t>
      </w:r>
      <w:proofErr w:type="spellEnd"/>
      <w:r w:rsidRPr="008B4890">
        <w:rPr>
          <w:sz w:val="16"/>
          <w:szCs w:val="16"/>
        </w:rPr>
        <w:t xml:space="preserve">, Frank (2013), “Differentiated Integration, Explaining Variation in the European Union”, Palgrave; and </w:t>
      </w:r>
      <w:proofErr w:type="spellStart"/>
      <w:r w:rsidRPr="008B4890">
        <w:rPr>
          <w:sz w:val="16"/>
          <w:szCs w:val="16"/>
        </w:rPr>
        <w:t>Piris</w:t>
      </w:r>
      <w:proofErr w:type="spellEnd"/>
      <w:r w:rsidRPr="008B4890">
        <w:rPr>
          <w:sz w:val="16"/>
          <w:szCs w:val="16"/>
        </w:rPr>
        <w:t xml:space="preserve"> (2012). </w:t>
      </w:r>
      <w:proofErr w:type="gramStart"/>
      <w:r w:rsidRPr="008B4890">
        <w:rPr>
          <w:sz w:val="16"/>
          <w:szCs w:val="16"/>
        </w:rPr>
        <w:t>“The Future of Europe.</w:t>
      </w:r>
      <w:proofErr w:type="gramEnd"/>
      <w:r w:rsidRPr="008B4890">
        <w:rPr>
          <w:sz w:val="16"/>
          <w:szCs w:val="16"/>
        </w:rPr>
        <w:t xml:space="preserve"> </w:t>
      </w:r>
      <w:proofErr w:type="gramStart"/>
      <w:r w:rsidRPr="008B4890">
        <w:rPr>
          <w:sz w:val="16"/>
          <w:szCs w:val="16"/>
        </w:rPr>
        <w:t>Towards a Two-Speed EU?”</w:t>
      </w:r>
      <w:proofErr w:type="gramEnd"/>
      <w:r w:rsidRPr="008B4890">
        <w:rPr>
          <w:sz w:val="16"/>
          <w:szCs w:val="16"/>
        </w:rPr>
        <w:t xml:space="preserve"> Cambridge: CUP.</w:t>
      </w:r>
    </w:p>
  </w:footnote>
  <w:footnote w:id="8">
    <w:p w:rsidR="00DB3981" w:rsidRPr="008B4890" w:rsidRDefault="00DB3981" w:rsidP="0028621F">
      <w:pPr>
        <w:pStyle w:val="FootnoteText"/>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The academic literature suggests a categorisation of variable integration into six dimensions : Permanent vs. temporary differentiation; 2) Territorial vs. purely functional differentiation; 3) Differentiation across nation states vs. multi-level differentiation; 4) Differentiation takes place within the EU treaties vs. outside the EU treaties; 5) Decision-making at EU level vs. at regime level (i.e. intergovernmental decisions); 6) Only for member states vs. also for non-member states/areas outside the EU territory. See for example </w:t>
      </w:r>
      <w:proofErr w:type="spellStart"/>
      <w:r w:rsidRPr="008B4890">
        <w:rPr>
          <w:sz w:val="16"/>
          <w:szCs w:val="16"/>
        </w:rPr>
        <w:t>Leruth</w:t>
      </w:r>
      <w:proofErr w:type="spellEnd"/>
      <w:r w:rsidRPr="008B4890">
        <w:rPr>
          <w:sz w:val="16"/>
          <w:szCs w:val="16"/>
        </w:rPr>
        <w:t xml:space="preserve">, Benjamin; </w:t>
      </w:r>
      <w:proofErr w:type="spellStart"/>
      <w:r w:rsidRPr="008B4890">
        <w:rPr>
          <w:sz w:val="16"/>
          <w:szCs w:val="16"/>
        </w:rPr>
        <w:t>Gänzle</w:t>
      </w:r>
      <w:proofErr w:type="spellEnd"/>
      <w:r w:rsidRPr="008B4890">
        <w:rPr>
          <w:sz w:val="16"/>
          <w:szCs w:val="16"/>
        </w:rPr>
        <w:t xml:space="preserve">, Stefan; </w:t>
      </w:r>
      <w:proofErr w:type="spellStart"/>
      <w:r w:rsidRPr="008B4890">
        <w:rPr>
          <w:sz w:val="16"/>
          <w:szCs w:val="16"/>
        </w:rPr>
        <w:t>Trondal</w:t>
      </w:r>
      <w:proofErr w:type="spellEnd"/>
      <w:r w:rsidRPr="008B4890">
        <w:rPr>
          <w:sz w:val="16"/>
          <w:szCs w:val="16"/>
        </w:rPr>
        <w:t xml:space="preserve">, </w:t>
      </w:r>
      <w:proofErr w:type="spellStart"/>
      <w:r w:rsidRPr="008B4890">
        <w:rPr>
          <w:sz w:val="16"/>
          <w:szCs w:val="16"/>
        </w:rPr>
        <w:t>Jarle</w:t>
      </w:r>
      <w:proofErr w:type="spellEnd"/>
      <w:r w:rsidRPr="008B4890">
        <w:rPr>
          <w:sz w:val="16"/>
          <w:szCs w:val="16"/>
        </w:rPr>
        <w:t>, “Differentiated integration and disintegration in the European Union: State-of-</w:t>
      </w:r>
      <w:proofErr w:type="spellStart"/>
      <w:r w:rsidRPr="008B4890">
        <w:rPr>
          <w:sz w:val="16"/>
          <w:szCs w:val="16"/>
        </w:rPr>
        <w:t>theart</w:t>
      </w:r>
      <w:proofErr w:type="spellEnd"/>
      <w:r w:rsidRPr="008B4890">
        <w:rPr>
          <w:sz w:val="16"/>
          <w:szCs w:val="16"/>
        </w:rPr>
        <w:t xml:space="preserve"> and ways for future research”. ISL Working Paper 2017:1.</w:t>
      </w:r>
    </w:p>
  </w:footnote>
  <w:footnote w:id="9">
    <w:p w:rsidR="00DB3981" w:rsidRPr="008B4890" w:rsidRDefault="00DB3981" w:rsidP="00B543C5">
      <w:pPr>
        <w:pStyle w:val="FootnoteText"/>
        <w:spacing w:before="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r>
      <w:proofErr w:type="spellStart"/>
      <w:r w:rsidRPr="008B4890">
        <w:rPr>
          <w:sz w:val="16"/>
          <w:szCs w:val="16"/>
        </w:rPr>
        <w:t>Emmanouilidis</w:t>
      </w:r>
      <w:proofErr w:type="spellEnd"/>
      <w:r w:rsidRPr="008B4890">
        <w:rPr>
          <w:sz w:val="16"/>
          <w:szCs w:val="16"/>
        </w:rPr>
        <w:t xml:space="preserve">, J., (2017), “The future of a more differentiated </w:t>
      </w:r>
      <w:proofErr w:type="gramStart"/>
      <w:r w:rsidRPr="008B4890">
        <w:rPr>
          <w:sz w:val="16"/>
          <w:szCs w:val="16"/>
        </w:rPr>
        <w:t>E(</w:t>
      </w:r>
      <w:proofErr w:type="gramEnd"/>
      <w:r w:rsidRPr="008B4890">
        <w:rPr>
          <w:sz w:val="16"/>
          <w:szCs w:val="16"/>
        </w:rPr>
        <w:t xml:space="preserve">M)U – Necessities, Options, Choices”, </w:t>
      </w:r>
      <w:proofErr w:type="spellStart"/>
      <w:r w:rsidRPr="008B4890">
        <w:rPr>
          <w:sz w:val="16"/>
          <w:szCs w:val="16"/>
        </w:rPr>
        <w:t>Istituto</w:t>
      </w:r>
      <w:proofErr w:type="spellEnd"/>
      <w:r w:rsidRPr="008B4890">
        <w:rPr>
          <w:sz w:val="16"/>
          <w:szCs w:val="16"/>
        </w:rPr>
        <w:t xml:space="preserve"> </w:t>
      </w:r>
      <w:proofErr w:type="spellStart"/>
      <w:r w:rsidRPr="008B4890">
        <w:rPr>
          <w:sz w:val="16"/>
          <w:szCs w:val="16"/>
        </w:rPr>
        <w:t>Affari</w:t>
      </w:r>
      <w:proofErr w:type="spellEnd"/>
      <w:r w:rsidRPr="008B4890">
        <w:rPr>
          <w:sz w:val="16"/>
          <w:szCs w:val="16"/>
        </w:rPr>
        <w:t xml:space="preserve"> </w:t>
      </w:r>
      <w:proofErr w:type="spellStart"/>
      <w:r w:rsidRPr="008B4890">
        <w:rPr>
          <w:sz w:val="16"/>
          <w:szCs w:val="16"/>
        </w:rPr>
        <w:t>Internazionali</w:t>
      </w:r>
      <w:proofErr w:type="spellEnd"/>
      <w:r w:rsidRPr="008B4890">
        <w:rPr>
          <w:sz w:val="16"/>
          <w:szCs w:val="16"/>
        </w:rPr>
        <w:t xml:space="preserve">. </w:t>
      </w:r>
    </w:p>
  </w:footnote>
  <w:footnote w:id="10">
    <w:p w:rsidR="00DB3981" w:rsidRPr="008B4890" w:rsidRDefault="00DB3981" w:rsidP="00B543C5">
      <w:pPr>
        <w:pStyle w:val="FootnoteText"/>
        <w:spacing w:before="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See </w:t>
      </w:r>
      <w:proofErr w:type="spellStart"/>
      <w:r w:rsidRPr="008B4890">
        <w:rPr>
          <w:sz w:val="16"/>
          <w:szCs w:val="16"/>
        </w:rPr>
        <w:t>Svein</w:t>
      </w:r>
      <w:proofErr w:type="spellEnd"/>
      <w:r w:rsidRPr="008B4890">
        <w:rPr>
          <w:sz w:val="16"/>
          <w:szCs w:val="16"/>
        </w:rPr>
        <w:t xml:space="preserve"> S. Andersen &amp; Nick Sitter (2006), „Differentiated Integration: What is it and How Much Can the EU Accommodate</w:t>
      </w:r>
      <w:proofErr w:type="gramStart"/>
      <w:r w:rsidRPr="008B4890">
        <w:rPr>
          <w:sz w:val="16"/>
          <w:szCs w:val="16"/>
        </w:rPr>
        <w:t>?“</w:t>
      </w:r>
      <w:proofErr w:type="gramEnd"/>
      <w:r w:rsidRPr="008B4890">
        <w:rPr>
          <w:sz w:val="16"/>
          <w:szCs w:val="16"/>
        </w:rPr>
        <w:t xml:space="preserve"> in: </w:t>
      </w:r>
      <w:r w:rsidRPr="008B4890">
        <w:rPr>
          <w:i/>
          <w:sz w:val="16"/>
          <w:szCs w:val="16"/>
        </w:rPr>
        <w:t xml:space="preserve">Journal of European Integration </w:t>
      </w:r>
      <w:r w:rsidRPr="008B4890">
        <w:rPr>
          <w:sz w:val="16"/>
          <w:szCs w:val="16"/>
        </w:rPr>
        <w:t>28 (4), 313-330.</w:t>
      </w:r>
    </w:p>
  </w:footnote>
  <w:footnote w:id="11">
    <w:p w:rsidR="00DB3981" w:rsidRPr="008B4890" w:rsidRDefault="00DB3981" w:rsidP="00B543C5">
      <w:pPr>
        <w:pStyle w:val="FootnoteText"/>
        <w:rPr>
          <w:sz w:val="16"/>
          <w:szCs w:val="16"/>
        </w:rPr>
      </w:pPr>
      <w:r w:rsidRPr="008B4890">
        <w:rPr>
          <w:rStyle w:val="FootnoteReference"/>
          <w:sz w:val="16"/>
          <w:szCs w:val="16"/>
        </w:rPr>
        <w:footnoteRef/>
      </w:r>
      <w:r w:rsidRPr="008B4890">
        <w:rPr>
          <w:sz w:val="16"/>
          <w:szCs w:val="16"/>
        </w:rPr>
        <w:t xml:space="preserve">   </w:t>
      </w:r>
      <w:r>
        <w:rPr>
          <w:sz w:val="16"/>
          <w:szCs w:val="16"/>
        </w:rPr>
        <w:t xml:space="preserve"> </w:t>
      </w:r>
      <w:r w:rsidRPr="008B4890">
        <w:rPr>
          <w:sz w:val="16"/>
          <w:szCs w:val="16"/>
        </w:rPr>
        <w:t xml:space="preserve">Panel 6 of 2015 ECB Legal Conference was also about differentiated integration </w:t>
      </w:r>
    </w:p>
  </w:footnote>
  <w:footnote w:id="12">
    <w:p w:rsidR="00DB3981" w:rsidRPr="008B4890" w:rsidRDefault="00DB3981" w:rsidP="00B543C5">
      <w:pPr>
        <w:pStyle w:val="FootnoteText"/>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Enhanced cooperation has so far only been implemented in three areas – divorce law, the European Patent and property rights for international couples; and has stalled in the case of the FTT. One could therefore argue that it is not a tried and tested model, least of all for making progress in such a sensitive area as EMU.</w:t>
      </w:r>
    </w:p>
  </w:footnote>
  <w:footnote w:id="13">
    <w:p w:rsidR="00DB3981" w:rsidRPr="008B4890" w:rsidRDefault="00DB3981" w:rsidP="00321F1C">
      <w:pPr>
        <w:pStyle w:val="FootnoteText"/>
        <w:rPr>
          <w:sz w:val="16"/>
          <w:szCs w:val="16"/>
        </w:rPr>
      </w:pPr>
      <w:r w:rsidRPr="008B4890">
        <w:rPr>
          <w:rStyle w:val="FootnoteReference"/>
          <w:sz w:val="16"/>
          <w:szCs w:val="16"/>
        </w:rPr>
        <w:footnoteRef/>
      </w:r>
      <w:r w:rsidRPr="008B4890">
        <w:rPr>
          <w:sz w:val="16"/>
          <w:szCs w:val="16"/>
        </w:rPr>
        <w:t xml:space="preserve"> </w:t>
      </w:r>
      <w:r>
        <w:rPr>
          <w:sz w:val="16"/>
          <w:szCs w:val="16"/>
        </w:rPr>
        <w:t xml:space="preserve">    </w:t>
      </w:r>
      <w:r w:rsidRPr="008B4890">
        <w:rPr>
          <w:sz w:val="16"/>
          <w:szCs w:val="16"/>
        </w:rPr>
        <w:t xml:space="preserve">See e.g. Rome Declaration </w:t>
      </w:r>
      <w:hyperlink r:id="rId2" w:history="1">
        <w:r w:rsidRPr="008B4890">
          <w:rPr>
            <w:rStyle w:val="Hyperlink"/>
            <w:sz w:val="16"/>
            <w:szCs w:val="16"/>
          </w:rPr>
          <w:t>http://www.consilium.europa.eu/en/press/press-releases/2017/03/25-rome-declaration/</w:t>
        </w:r>
      </w:hyperlink>
      <w:r w:rsidRPr="008B4890">
        <w:rPr>
          <w:sz w:val="16"/>
          <w:szCs w:val="16"/>
        </w:rPr>
        <w:t xml:space="preserve"> </w:t>
      </w:r>
    </w:p>
  </w:footnote>
  <w:footnote w:id="14">
    <w:p w:rsidR="00DB3981" w:rsidRPr="008B4890" w:rsidRDefault="00DB3981" w:rsidP="005D32A8">
      <w:pPr>
        <w:autoSpaceDE w:val="0"/>
        <w:autoSpaceDN w:val="0"/>
        <w:adjustRightInd w:val="0"/>
        <w:spacing w:line="240" w:lineRule="auto"/>
        <w:ind w:left="284" w:hanging="284"/>
        <w:rPr>
          <w:rFonts w:cs="Arial"/>
          <w:sz w:val="16"/>
          <w:szCs w:val="16"/>
        </w:rPr>
      </w:pPr>
      <w:r w:rsidRPr="008B4890">
        <w:rPr>
          <w:rStyle w:val="FootnoteReference"/>
          <w:rFonts w:cs="Arial"/>
          <w:sz w:val="16"/>
          <w:szCs w:val="16"/>
        </w:rPr>
        <w:footnoteRef/>
      </w:r>
      <w:r w:rsidRPr="008B4890">
        <w:rPr>
          <w:rFonts w:cs="Arial"/>
          <w:sz w:val="16"/>
          <w:szCs w:val="16"/>
        </w:rPr>
        <w:t xml:space="preserve">     For a detailed discussion see Sondermann, D. (2016), </w:t>
      </w:r>
      <w:hyperlink r:id="rId3" w:history="1">
        <w:r w:rsidRPr="008B4890">
          <w:rPr>
            <w:rStyle w:val="Hyperlink"/>
            <w:rFonts w:cs="Arial"/>
            <w:sz w:val="16"/>
            <w:szCs w:val="16"/>
          </w:rPr>
          <w:t>“Towards more resilient economies: the role of well-functioning economic structures”</w:t>
        </w:r>
      </w:hyperlink>
      <w:r w:rsidRPr="008B4890">
        <w:rPr>
          <w:rFonts w:cs="Arial"/>
          <w:sz w:val="16"/>
          <w:szCs w:val="16"/>
        </w:rPr>
        <w:t>, ECB Working Paper.</w:t>
      </w:r>
    </w:p>
  </w:footnote>
  <w:footnote w:id="15">
    <w:p w:rsidR="00DB3981" w:rsidRPr="008B4890" w:rsidRDefault="00DB3981" w:rsidP="005D32A8">
      <w:pPr>
        <w:pStyle w:val="Default"/>
        <w:spacing w:before="60" w:after="60"/>
        <w:ind w:left="284" w:hanging="284"/>
        <w:rPr>
          <w:sz w:val="16"/>
          <w:szCs w:val="16"/>
        </w:rPr>
      </w:pPr>
      <w:r w:rsidRPr="008B4890">
        <w:rPr>
          <w:rStyle w:val="FootnoteReference"/>
          <w:color w:val="auto"/>
          <w:sz w:val="16"/>
          <w:szCs w:val="16"/>
        </w:rPr>
        <w:footnoteRef/>
      </w:r>
      <w:r w:rsidRPr="008B4890">
        <w:rPr>
          <w:color w:val="auto"/>
          <w:sz w:val="16"/>
          <w:szCs w:val="16"/>
        </w:rPr>
        <w:t xml:space="preserve">     </w:t>
      </w:r>
      <w:r>
        <w:rPr>
          <w:color w:val="auto"/>
          <w:sz w:val="16"/>
          <w:szCs w:val="16"/>
        </w:rPr>
        <w:t xml:space="preserve">See e.g. </w:t>
      </w:r>
      <w:r w:rsidRPr="008B4890">
        <w:rPr>
          <w:color w:val="auto"/>
          <w:sz w:val="16"/>
          <w:szCs w:val="16"/>
        </w:rPr>
        <w:t xml:space="preserve">Corsetti, G. (et al.) </w:t>
      </w:r>
      <w:proofErr w:type="gramStart"/>
      <w:r w:rsidRPr="008B4890">
        <w:rPr>
          <w:color w:val="auto"/>
          <w:sz w:val="16"/>
          <w:szCs w:val="16"/>
        </w:rPr>
        <w:t xml:space="preserve">(2016), </w:t>
      </w:r>
      <w:hyperlink r:id="rId4" w:history="1">
        <w:r w:rsidRPr="008B4890">
          <w:rPr>
            <w:rStyle w:val="Hyperlink"/>
            <w:sz w:val="16"/>
            <w:szCs w:val="16"/>
          </w:rPr>
          <w:t>“Macroeconomic stabilization, monetary-fiscal interactions, and Europe’s monetary union”</w:t>
        </w:r>
      </w:hyperlink>
      <w:r w:rsidRPr="008B4890">
        <w:rPr>
          <w:color w:val="auto"/>
          <w:sz w:val="16"/>
          <w:szCs w:val="16"/>
        </w:rPr>
        <w:t>, ECB Working Paper.</w:t>
      </w:r>
      <w:proofErr w:type="gramEnd"/>
    </w:p>
  </w:footnote>
  <w:footnote w:id="16">
    <w:p w:rsidR="00DB3981" w:rsidRPr="008B4890" w:rsidRDefault="00DB3981" w:rsidP="005D32A8">
      <w:pPr>
        <w:pStyle w:val="FootnoteText"/>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In short, resilience is here understood as the capacity to minimise output losses after an adverse shock has hit the economy. Stabilisation refers to the capacity of the EA to improve business cycle stabilisation in times of economic crisis. Governance complexity and effectiveness refers to whether a specific policy innovation might improve or worsen decision making at EMU level, support (or not) monetary-fiscal coordination and the ECB monetary policy. Political </w:t>
      </w:r>
      <w:proofErr w:type="spellStart"/>
      <w:r w:rsidRPr="008B4890">
        <w:rPr>
          <w:sz w:val="16"/>
          <w:szCs w:val="16"/>
        </w:rPr>
        <w:t>spillovers</w:t>
      </w:r>
      <w:proofErr w:type="spellEnd"/>
      <w:r w:rsidRPr="008B4890">
        <w:rPr>
          <w:sz w:val="16"/>
          <w:szCs w:val="16"/>
        </w:rPr>
        <w:t xml:space="preserve"> indicate those cases where further integration in a policy field might increase (or decrease) political tensions in the euro area and support for the single currency.</w:t>
      </w:r>
    </w:p>
  </w:footnote>
  <w:footnote w:id="17">
    <w:p w:rsidR="00DB3981" w:rsidRPr="008B4890" w:rsidRDefault="00DB3981" w:rsidP="003A4807">
      <w:pPr>
        <w:autoSpaceDE w:val="0"/>
        <w:autoSpaceDN w:val="0"/>
        <w:adjustRightInd w:val="0"/>
        <w:spacing w:line="240" w:lineRule="auto"/>
        <w:ind w:left="284" w:hanging="284"/>
        <w:rPr>
          <w:rFonts w:cs="Arial"/>
          <w:sz w:val="16"/>
          <w:szCs w:val="16"/>
        </w:rPr>
      </w:pPr>
      <w:r w:rsidRPr="008B4890">
        <w:rPr>
          <w:rStyle w:val="FootnoteReference"/>
          <w:rFonts w:cs="Arial"/>
          <w:sz w:val="16"/>
          <w:szCs w:val="16"/>
        </w:rPr>
        <w:footnoteRef/>
      </w:r>
      <w:r w:rsidRPr="008B4890">
        <w:rPr>
          <w:rFonts w:cs="Arial"/>
          <w:sz w:val="16"/>
          <w:szCs w:val="16"/>
        </w:rPr>
        <w:t xml:space="preserve">     For a detailed discussion see Sondermann, D. (2016), </w:t>
      </w:r>
      <w:hyperlink r:id="rId5" w:history="1">
        <w:r w:rsidRPr="008B4890">
          <w:rPr>
            <w:rStyle w:val="Hyperlink"/>
            <w:rFonts w:cs="Arial"/>
            <w:sz w:val="16"/>
            <w:szCs w:val="16"/>
          </w:rPr>
          <w:t>“Towards more resilient economies: the role of well-functioning economic structures”</w:t>
        </w:r>
      </w:hyperlink>
      <w:r w:rsidRPr="008B4890">
        <w:rPr>
          <w:rFonts w:cs="Arial"/>
          <w:sz w:val="16"/>
          <w:szCs w:val="16"/>
        </w:rPr>
        <w:t>, ECB Working Paper.</w:t>
      </w:r>
    </w:p>
  </w:footnote>
  <w:footnote w:id="18">
    <w:p w:rsidR="00DB3981" w:rsidRPr="008B4890" w:rsidRDefault="00DB3981" w:rsidP="003A4807">
      <w:pPr>
        <w:autoSpaceDE w:val="0"/>
        <w:autoSpaceDN w:val="0"/>
        <w:adjustRightInd w:val="0"/>
        <w:spacing w:line="240" w:lineRule="auto"/>
        <w:ind w:left="284" w:hanging="284"/>
        <w:rPr>
          <w:rFonts w:cs="Arial"/>
          <w:i/>
          <w:iCs/>
          <w:sz w:val="16"/>
          <w:szCs w:val="16"/>
        </w:rPr>
      </w:pPr>
      <w:r w:rsidRPr="008B4890">
        <w:rPr>
          <w:rStyle w:val="FootnoteReference"/>
          <w:rFonts w:cs="Arial"/>
          <w:sz w:val="16"/>
          <w:szCs w:val="16"/>
        </w:rPr>
        <w:footnoteRef/>
      </w:r>
      <w:r w:rsidRPr="008B4890">
        <w:rPr>
          <w:rFonts w:cs="Arial"/>
          <w:sz w:val="16"/>
          <w:szCs w:val="16"/>
        </w:rPr>
        <w:t xml:space="preserve">     The notion of resilience is used also </w:t>
      </w:r>
      <w:r w:rsidRPr="008B4890">
        <w:rPr>
          <w:rFonts w:cs="Arial"/>
          <w:iCs/>
          <w:sz w:val="16"/>
          <w:szCs w:val="16"/>
        </w:rPr>
        <w:t xml:space="preserve">in light of the emphasis of the </w:t>
      </w:r>
      <w:hyperlink r:id="rId6" w:history="1">
        <w:r w:rsidRPr="008B4890">
          <w:rPr>
            <w:rStyle w:val="Hyperlink"/>
            <w:rFonts w:cs="Arial"/>
            <w:iCs/>
            <w:sz w:val="16"/>
            <w:szCs w:val="16"/>
          </w:rPr>
          <w:t>Five Presidents’ Report</w:t>
        </w:r>
      </w:hyperlink>
      <w:r w:rsidRPr="008B4890">
        <w:rPr>
          <w:rFonts w:cs="Arial"/>
          <w:iCs/>
          <w:sz w:val="16"/>
          <w:szCs w:val="16"/>
        </w:rPr>
        <w:t xml:space="preserve"> on the need for a “convergence process towards more resilient economic structures”.</w:t>
      </w:r>
    </w:p>
  </w:footnote>
  <w:footnote w:id="19">
    <w:p w:rsidR="00DB3981" w:rsidRPr="008B4890" w:rsidRDefault="00DB3981" w:rsidP="003A4807">
      <w:pPr>
        <w:pStyle w:val="Default"/>
        <w:spacing w:before="60" w:after="60"/>
        <w:ind w:left="284" w:hanging="284"/>
        <w:rPr>
          <w:sz w:val="16"/>
          <w:szCs w:val="16"/>
        </w:rPr>
      </w:pPr>
      <w:r w:rsidRPr="008B4890">
        <w:rPr>
          <w:rStyle w:val="FootnoteReference"/>
          <w:color w:val="auto"/>
          <w:sz w:val="16"/>
          <w:szCs w:val="16"/>
        </w:rPr>
        <w:footnoteRef/>
      </w:r>
      <w:r w:rsidRPr="008C24FD">
        <w:rPr>
          <w:color w:val="auto"/>
          <w:sz w:val="16"/>
          <w:szCs w:val="16"/>
        </w:rPr>
        <w:t xml:space="preserve">     Corsetti, G. (et al.) </w:t>
      </w:r>
      <w:proofErr w:type="gramStart"/>
      <w:r w:rsidRPr="008B4890">
        <w:rPr>
          <w:color w:val="auto"/>
          <w:sz w:val="16"/>
          <w:szCs w:val="16"/>
        </w:rPr>
        <w:t xml:space="preserve">(2016), </w:t>
      </w:r>
      <w:hyperlink r:id="rId7" w:history="1">
        <w:r w:rsidRPr="008B4890">
          <w:rPr>
            <w:rStyle w:val="Hyperlink"/>
            <w:sz w:val="16"/>
            <w:szCs w:val="16"/>
          </w:rPr>
          <w:t>“Macroeconomic stabilization, monetary-fiscal interactions, and Europe’s monetary union”</w:t>
        </w:r>
      </w:hyperlink>
      <w:r w:rsidRPr="008B4890">
        <w:rPr>
          <w:color w:val="auto"/>
          <w:sz w:val="16"/>
          <w:szCs w:val="16"/>
        </w:rPr>
        <w:t>, ECB Working Paper.</w:t>
      </w:r>
      <w:proofErr w:type="gramEnd"/>
    </w:p>
  </w:footnote>
  <w:footnote w:id="20">
    <w:p w:rsidR="00DB3981" w:rsidRPr="008B4890" w:rsidRDefault="00DB3981" w:rsidP="00142E5E">
      <w:pPr>
        <w:pStyle w:val="FootnoteText"/>
        <w:ind w:left="114"/>
        <w:jc w:val="both"/>
        <w:rPr>
          <w:rFonts w:cs="Arial"/>
          <w:sz w:val="16"/>
          <w:szCs w:val="16"/>
        </w:rPr>
      </w:pPr>
      <w:r w:rsidRPr="008B4890">
        <w:rPr>
          <w:rStyle w:val="FootnoteReference"/>
          <w:sz w:val="16"/>
          <w:szCs w:val="16"/>
        </w:rPr>
        <w:footnoteRef/>
      </w:r>
      <w:r w:rsidRPr="008B4890">
        <w:rPr>
          <w:rStyle w:val="FootnoteReference"/>
          <w:sz w:val="16"/>
          <w:szCs w:val="16"/>
        </w:rPr>
        <w:t xml:space="preserve"> </w:t>
      </w:r>
      <w:r w:rsidRPr="008B4890">
        <w:rPr>
          <w:rStyle w:val="FootnoteReference"/>
          <w:sz w:val="16"/>
          <w:szCs w:val="16"/>
        </w:rPr>
        <w:tab/>
      </w:r>
      <w:r w:rsidRPr="008B4890">
        <w:rPr>
          <w:rFonts w:cs="Arial"/>
          <w:sz w:val="16"/>
          <w:szCs w:val="16"/>
        </w:rPr>
        <w:t xml:space="preserve">Of possible areas referring in particular to a Franco-German avant-garde are outlined in the 2014 proposal from </w:t>
      </w:r>
      <w:proofErr w:type="spellStart"/>
      <w:r w:rsidRPr="008B4890">
        <w:rPr>
          <w:rFonts w:cs="Arial"/>
          <w:sz w:val="16"/>
          <w:szCs w:val="16"/>
        </w:rPr>
        <w:t>Enderlein</w:t>
      </w:r>
      <w:proofErr w:type="spellEnd"/>
      <w:r w:rsidRPr="008B4890">
        <w:rPr>
          <w:rFonts w:cs="Arial"/>
          <w:sz w:val="16"/>
          <w:szCs w:val="16"/>
        </w:rPr>
        <w:t xml:space="preserve"> and </w:t>
      </w:r>
      <w:proofErr w:type="spellStart"/>
      <w:r w:rsidRPr="008B4890">
        <w:rPr>
          <w:rFonts w:cs="Arial"/>
          <w:sz w:val="16"/>
          <w:szCs w:val="16"/>
        </w:rPr>
        <w:t>Pisani</w:t>
      </w:r>
      <w:proofErr w:type="spellEnd"/>
      <w:r w:rsidRPr="008B4890">
        <w:rPr>
          <w:rFonts w:cs="Arial"/>
          <w:sz w:val="16"/>
          <w:szCs w:val="16"/>
        </w:rPr>
        <w:t xml:space="preserve">-Ferry concerning structural reforms and public investment: </w:t>
      </w:r>
      <w:proofErr w:type="spellStart"/>
      <w:r w:rsidRPr="008B4890">
        <w:rPr>
          <w:rFonts w:cs="Arial"/>
          <w:sz w:val="16"/>
          <w:szCs w:val="16"/>
        </w:rPr>
        <w:t>Enderlein</w:t>
      </w:r>
      <w:proofErr w:type="spellEnd"/>
      <w:r w:rsidRPr="008B4890">
        <w:rPr>
          <w:rFonts w:cs="Arial"/>
          <w:sz w:val="16"/>
          <w:szCs w:val="16"/>
        </w:rPr>
        <w:t xml:space="preserve">, Henrik &amp; </w:t>
      </w:r>
      <w:proofErr w:type="spellStart"/>
      <w:r w:rsidRPr="008B4890">
        <w:rPr>
          <w:rFonts w:cs="Arial"/>
          <w:sz w:val="16"/>
          <w:szCs w:val="16"/>
        </w:rPr>
        <w:t>Pisani</w:t>
      </w:r>
      <w:proofErr w:type="spellEnd"/>
      <w:r w:rsidRPr="008B4890">
        <w:rPr>
          <w:rFonts w:cs="Arial"/>
          <w:sz w:val="16"/>
          <w:szCs w:val="16"/>
        </w:rPr>
        <w:t xml:space="preserve">-Ferry, Jean. (2014). “Reforms, Investment and Growth: An agenda for France, Germany and Europe”. Report to </w:t>
      </w:r>
      <w:proofErr w:type="spellStart"/>
      <w:r w:rsidRPr="008B4890">
        <w:rPr>
          <w:rFonts w:cs="Arial"/>
          <w:sz w:val="16"/>
          <w:szCs w:val="16"/>
        </w:rPr>
        <w:t>Sigmar</w:t>
      </w:r>
      <w:proofErr w:type="spellEnd"/>
      <w:r w:rsidRPr="008B4890">
        <w:rPr>
          <w:rFonts w:cs="Arial"/>
          <w:sz w:val="16"/>
          <w:szCs w:val="16"/>
        </w:rPr>
        <w:t xml:space="preserve"> Gabriel (Federal Minister for Economic Affairs and Energy) and Emmanuel Macron (Minister for the Economy, Industry and Digital Affairs. </w:t>
      </w:r>
      <w:hyperlink r:id="rId8" w:history="1">
        <w:r w:rsidRPr="008B4890">
          <w:rPr>
            <w:rFonts w:cs="Arial"/>
            <w:sz w:val="16"/>
            <w:szCs w:val="16"/>
          </w:rPr>
          <w:t>http://www.economie.gouv.fr/files/files/PDF/rapport_enderlein_pisani-en.pdf</w:t>
        </w:r>
      </w:hyperlink>
      <w:r w:rsidRPr="008B4890">
        <w:rPr>
          <w:rFonts w:cs="Arial"/>
          <w:sz w:val="16"/>
          <w:szCs w:val="16"/>
        </w:rPr>
        <w:t xml:space="preserve"> </w:t>
      </w:r>
    </w:p>
  </w:footnote>
  <w:footnote w:id="21">
    <w:p w:rsidR="00DB3981" w:rsidRPr="008B4890" w:rsidRDefault="00DB3981" w:rsidP="00ED1463">
      <w:pPr>
        <w:pStyle w:val="FootnoteText"/>
        <w:ind w:left="114"/>
        <w:jc w:val="both"/>
        <w:rPr>
          <w:sz w:val="16"/>
          <w:szCs w:val="16"/>
        </w:rPr>
      </w:pPr>
      <w:r w:rsidRPr="008B4890">
        <w:rPr>
          <w:rStyle w:val="FootnoteReference"/>
          <w:sz w:val="16"/>
          <w:szCs w:val="16"/>
        </w:rPr>
        <w:footnoteRef/>
      </w:r>
      <w:r w:rsidRPr="008B4890">
        <w:rPr>
          <w:color w:val="00B0F0"/>
          <w:sz w:val="16"/>
          <w:szCs w:val="16"/>
        </w:rPr>
        <w:t xml:space="preserve">   </w:t>
      </w:r>
      <w:r>
        <w:rPr>
          <w:color w:val="00B0F0"/>
          <w:sz w:val="16"/>
          <w:szCs w:val="16"/>
        </w:rPr>
        <w:t xml:space="preserve"> </w:t>
      </w:r>
      <w:r w:rsidRPr="008B4890">
        <w:rPr>
          <w:sz w:val="16"/>
          <w:szCs w:val="16"/>
        </w:rPr>
        <w:t>Building upon the Varieties of Capitalism (</w:t>
      </w:r>
      <w:proofErr w:type="spellStart"/>
      <w:r w:rsidRPr="008B4890">
        <w:rPr>
          <w:sz w:val="16"/>
          <w:szCs w:val="16"/>
        </w:rPr>
        <w:t>VoC</w:t>
      </w:r>
      <w:proofErr w:type="spellEnd"/>
      <w:r w:rsidRPr="008B4890">
        <w:rPr>
          <w:sz w:val="16"/>
          <w:szCs w:val="16"/>
        </w:rPr>
        <w:t xml:space="preserve">) literature, with peripheral EA </w:t>
      </w:r>
      <w:r w:rsidRPr="008B4890">
        <w:rPr>
          <w:rFonts w:cs="Arial"/>
          <w:sz w:val="16"/>
          <w:szCs w:val="16"/>
        </w:rPr>
        <w:t xml:space="preserve">countries </w:t>
      </w:r>
      <w:r w:rsidRPr="008B4890">
        <w:rPr>
          <w:sz w:val="16"/>
          <w:szCs w:val="16"/>
        </w:rPr>
        <w:t xml:space="preserve">this note </w:t>
      </w:r>
      <w:r w:rsidRPr="008B4890">
        <w:rPr>
          <w:rFonts w:cs="Arial"/>
          <w:sz w:val="16"/>
          <w:szCs w:val="16"/>
        </w:rPr>
        <w:t xml:space="preserve">refers to those having a demand-led growth regime characterised by a large domestic sector and industrial relations systems unable to control wage-led inflationary pressures. Peripheral countries are Cyprus, Greece, Italy, Malta, Portugal and Spain. If one follows the </w:t>
      </w:r>
      <w:proofErr w:type="spellStart"/>
      <w:r w:rsidRPr="008B4890">
        <w:rPr>
          <w:rFonts w:cs="Arial"/>
          <w:sz w:val="16"/>
          <w:szCs w:val="16"/>
        </w:rPr>
        <w:t>VoC</w:t>
      </w:r>
      <w:proofErr w:type="spellEnd"/>
      <w:r w:rsidRPr="008B4890">
        <w:rPr>
          <w:rFonts w:cs="Arial"/>
          <w:sz w:val="16"/>
          <w:szCs w:val="16"/>
        </w:rPr>
        <w:t xml:space="preserve"> approach, France belongs to EMU periphery as it has a demand-led regime. With core countries the note means those pursuing export-led growth, as they have a large export sector and institutional capacity for wage restraint. Core countries are Austria, Belgium, Finland, Germany, Ireland and the Netherlands. To this group belong also Eastern and Central Europe countries, as their export-led regimes are integrated their into German firms’ supply chain. It already becomes clear that whether the </w:t>
      </w:r>
      <w:proofErr w:type="spellStart"/>
      <w:r w:rsidRPr="008B4890">
        <w:rPr>
          <w:rFonts w:cs="Arial"/>
          <w:sz w:val="16"/>
          <w:szCs w:val="16"/>
        </w:rPr>
        <w:t>avant</w:t>
      </w:r>
      <w:proofErr w:type="spellEnd"/>
      <w:r w:rsidRPr="008B4890">
        <w:rPr>
          <w:rFonts w:cs="Arial"/>
          <w:sz w:val="16"/>
          <w:szCs w:val="16"/>
        </w:rPr>
        <w:t xml:space="preserve"> guard is composed by a mix of core and periphery EA </w:t>
      </w:r>
      <w:r>
        <w:rPr>
          <w:rFonts w:cs="Arial"/>
          <w:sz w:val="16"/>
          <w:szCs w:val="16"/>
        </w:rPr>
        <w:t>states</w:t>
      </w:r>
      <w:r w:rsidRPr="008B4890">
        <w:rPr>
          <w:rFonts w:cs="Arial"/>
          <w:sz w:val="16"/>
          <w:szCs w:val="16"/>
        </w:rPr>
        <w:t xml:space="preserve"> or, for example, only core countries this has different crucial implications for convergence within EMU and its stability. </w:t>
      </w:r>
    </w:p>
  </w:footnote>
  <w:footnote w:id="22">
    <w:p w:rsidR="00DB3981" w:rsidRPr="008B4890" w:rsidRDefault="00DB3981" w:rsidP="00010D1C">
      <w:pPr>
        <w:pStyle w:val="FootnoteText"/>
        <w:ind w:left="114"/>
        <w:jc w:val="both"/>
        <w:rPr>
          <w:sz w:val="16"/>
          <w:szCs w:val="16"/>
        </w:rPr>
      </w:pPr>
      <w:r w:rsidRPr="008B4890">
        <w:rPr>
          <w:rStyle w:val="FootnoteReference"/>
          <w:sz w:val="16"/>
          <w:szCs w:val="16"/>
        </w:rPr>
        <w:footnoteRef/>
      </w:r>
      <w:r w:rsidRPr="008B4890">
        <w:rPr>
          <w:sz w:val="16"/>
          <w:szCs w:val="16"/>
        </w:rPr>
        <w:t xml:space="preserve">   It seems likely that if only core EA </w:t>
      </w:r>
      <w:r>
        <w:rPr>
          <w:sz w:val="16"/>
          <w:szCs w:val="16"/>
        </w:rPr>
        <w:t>states</w:t>
      </w:r>
      <w:r w:rsidRPr="008B4890">
        <w:rPr>
          <w:sz w:val="16"/>
          <w:szCs w:val="16"/>
        </w:rPr>
        <w:t xml:space="preserve"> integrate further in the policy areas here considered this will reduce both convergence within EMU and stability of the monetary union. From an economic standpoint such outcome is not desirable as it risks transmitting if not even amplifying asymmetric shocks, undermining EMU functioning. From a political viewpoint, having an </w:t>
      </w:r>
      <w:proofErr w:type="spellStart"/>
      <w:r w:rsidRPr="008B4890">
        <w:rPr>
          <w:sz w:val="16"/>
          <w:szCs w:val="16"/>
        </w:rPr>
        <w:t>avant</w:t>
      </w:r>
      <w:proofErr w:type="spellEnd"/>
      <w:r w:rsidRPr="008B4890">
        <w:rPr>
          <w:sz w:val="16"/>
          <w:szCs w:val="16"/>
        </w:rPr>
        <w:t xml:space="preserve"> guard composed by only core EA MS this might also dilute the effectiveness of EA governance.</w:t>
      </w:r>
    </w:p>
  </w:footnote>
  <w:footnote w:id="23">
    <w:p w:rsidR="00DB3981" w:rsidRPr="008B4890" w:rsidRDefault="00DB3981" w:rsidP="00010D1C">
      <w:pPr>
        <w:spacing w:before="0" w:after="0" w:line="240" w:lineRule="auto"/>
        <w:ind w:left="114" w:hanging="284"/>
        <w:jc w:val="both"/>
        <w:rPr>
          <w:sz w:val="16"/>
          <w:szCs w:val="16"/>
        </w:rPr>
      </w:pPr>
      <w:r w:rsidRPr="008B4890">
        <w:rPr>
          <w:rStyle w:val="FootnoteReference"/>
          <w:sz w:val="16"/>
          <w:szCs w:val="16"/>
        </w:rPr>
        <w:footnoteRef/>
      </w:r>
      <w:r w:rsidRPr="008B4890">
        <w:rPr>
          <w:sz w:val="16"/>
          <w:szCs w:val="16"/>
        </w:rPr>
        <w:t xml:space="preserve">  </w:t>
      </w:r>
      <w:r>
        <w:rPr>
          <w:sz w:val="16"/>
          <w:szCs w:val="16"/>
        </w:rPr>
        <w:t xml:space="preserve"> </w:t>
      </w:r>
      <w:r w:rsidRPr="008B4890">
        <w:rPr>
          <w:sz w:val="16"/>
          <w:szCs w:val="16"/>
        </w:rPr>
        <w:t xml:space="preserve">For example, </w:t>
      </w:r>
      <w:r w:rsidRPr="008B4890">
        <w:rPr>
          <w:rFonts w:cs="Arial"/>
          <w:sz w:val="16"/>
          <w:szCs w:val="16"/>
        </w:rPr>
        <w:t xml:space="preserve">it seems unlikely that only core EA </w:t>
      </w:r>
      <w:r>
        <w:rPr>
          <w:rFonts w:cs="Arial"/>
          <w:sz w:val="16"/>
          <w:szCs w:val="16"/>
        </w:rPr>
        <w:t xml:space="preserve">Member </w:t>
      </w:r>
      <w:proofErr w:type="spellStart"/>
      <w:r>
        <w:rPr>
          <w:rFonts w:cs="Arial"/>
          <w:sz w:val="16"/>
          <w:szCs w:val="16"/>
        </w:rPr>
        <w:t>STates</w:t>
      </w:r>
      <w:proofErr w:type="spellEnd"/>
      <w:r w:rsidRPr="008B4890">
        <w:rPr>
          <w:rFonts w:cs="Arial"/>
          <w:sz w:val="16"/>
          <w:szCs w:val="16"/>
        </w:rPr>
        <w:t xml:space="preserve"> support the creation of a shock-absorber instrument. </w:t>
      </w:r>
      <w:proofErr w:type="gramStart"/>
      <w:r w:rsidRPr="008B4890">
        <w:rPr>
          <w:rFonts w:cs="Arial"/>
          <w:sz w:val="16"/>
          <w:szCs w:val="16"/>
        </w:rPr>
        <w:t>A</w:t>
      </w:r>
      <w:proofErr w:type="gramEnd"/>
      <w:r w:rsidRPr="008B4890">
        <w:rPr>
          <w:rFonts w:cs="Arial"/>
          <w:sz w:val="16"/>
          <w:szCs w:val="16"/>
        </w:rPr>
        <w:t xml:space="preserve"> EA s</w:t>
      </w:r>
      <w:r w:rsidRPr="008B4890">
        <w:rPr>
          <w:sz w:val="16"/>
          <w:szCs w:val="16"/>
        </w:rPr>
        <w:t xml:space="preserve">tabilisation instrument between NL and DE would increase stabilisation neither for them nor for the rest, since they have their own fiscal buffers in any case.  </w:t>
      </w:r>
    </w:p>
  </w:footnote>
  <w:footnote w:id="24">
    <w:p w:rsidR="00DB3981" w:rsidRPr="008B4890" w:rsidRDefault="00DB3981" w:rsidP="008B4890">
      <w:pPr>
        <w:pStyle w:val="FootnoteText"/>
        <w:ind w:left="85" w:hanging="340"/>
        <w:jc w:val="both"/>
        <w:rPr>
          <w:sz w:val="16"/>
          <w:szCs w:val="16"/>
        </w:rPr>
      </w:pPr>
      <w:r>
        <w:rPr>
          <w:sz w:val="16"/>
          <w:szCs w:val="16"/>
        </w:rPr>
        <w:t xml:space="preserve">  </w:t>
      </w:r>
      <w:r w:rsidRPr="008B4890">
        <w:rPr>
          <w:rStyle w:val="FootnoteReference"/>
          <w:sz w:val="16"/>
          <w:szCs w:val="16"/>
        </w:rPr>
        <w:footnoteRef/>
      </w:r>
      <w:r w:rsidRPr="008B4890">
        <w:rPr>
          <w:sz w:val="16"/>
          <w:szCs w:val="16"/>
        </w:rPr>
        <w:t xml:space="preserve">   Such increased imbalances could pose economic and financial stability risks to the Union and c</w:t>
      </w:r>
      <w:r>
        <w:rPr>
          <w:sz w:val="16"/>
          <w:szCs w:val="16"/>
        </w:rPr>
        <w:t>ould, if they lead to financial       fragmentation</w:t>
      </w:r>
      <w:r w:rsidRPr="008B4890">
        <w:rPr>
          <w:sz w:val="16"/>
          <w:szCs w:val="16"/>
        </w:rPr>
        <w:t xml:space="preserve">.  </w:t>
      </w:r>
    </w:p>
  </w:footnote>
  <w:footnote w:id="25">
    <w:p w:rsidR="00DB3981" w:rsidRPr="008B4890" w:rsidRDefault="00DB3981" w:rsidP="00F511D1">
      <w:pPr>
        <w:pStyle w:val="FootnoteText"/>
        <w:spacing w:before="0" w:after="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Such a discussion already took place in the EFC on 9 March 2017, where DE</w:t>
      </w:r>
      <w:r w:rsidRPr="008B4890">
        <w:rPr>
          <w:b/>
          <w:sz w:val="16"/>
          <w:szCs w:val="16"/>
        </w:rPr>
        <w:t xml:space="preserve"> </w:t>
      </w:r>
      <w:r w:rsidRPr="008B4890">
        <w:rPr>
          <w:sz w:val="16"/>
          <w:szCs w:val="16"/>
        </w:rPr>
        <w:t>wondered whether EDIS</w:t>
      </w:r>
      <w:r w:rsidRPr="008B4890">
        <w:rPr>
          <w:b/>
          <w:sz w:val="16"/>
          <w:szCs w:val="16"/>
        </w:rPr>
        <w:t xml:space="preserve"> </w:t>
      </w:r>
      <w:r w:rsidRPr="008B4890">
        <w:rPr>
          <w:sz w:val="16"/>
          <w:szCs w:val="16"/>
        </w:rPr>
        <w:t>could become part of multi-speed Europe and the COM</w:t>
      </w:r>
      <w:r w:rsidRPr="008B4890">
        <w:rPr>
          <w:b/>
          <w:sz w:val="16"/>
          <w:szCs w:val="16"/>
        </w:rPr>
        <w:t xml:space="preserve"> </w:t>
      </w:r>
      <w:r w:rsidRPr="008B4890">
        <w:rPr>
          <w:sz w:val="16"/>
          <w:szCs w:val="16"/>
        </w:rPr>
        <w:t xml:space="preserve">strongly rejected the notion saying that EDIS is an integral part of Banking Union. </w:t>
      </w:r>
    </w:p>
  </w:footnote>
  <w:footnote w:id="26">
    <w:p w:rsidR="00DB3981" w:rsidRPr="008B4890" w:rsidRDefault="00DB3981" w:rsidP="00F511D1">
      <w:pPr>
        <w:pStyle w:val="FootnoteText"/>
        <w:spacing w:before="0" w:after="0" w:line="240" w:lineRule="auto"/>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It also needs to be noted that the legal construction of the EU does not make it necessarily easy to have differentiated integration in important policy domains and perhaps Brexit is an example where differentiation, at least partly and probably because of the specific nature and size of this specific EU member, backfired.    </w:t>
      </w:r>
    </w:p>
  </w:footnote>
  <w:footnote w:id="27">
    <w:p w:rsidR="00DB3981" w:rsidRPr="008B4890" w:rsidRDefault="00DB3981" w:rsidP="00ED1463">
      <w:pPr>
        <w:pStyle w:val="FootnoteText"/>
        <w:rPr>
          <w:sz w:val="16"/>
          <w:szCs w:val="16"/>
        </w:rPr>
      </w:pPr>
      <w:r w:rsidRPr="008B4890">
        <w:rPr>
          <w:rStyle w:val="FootnoteReference"/>
          <w:sz w:val="16"/>
          <w:szCs w:val="16"/>
        </w:rPr>
        <w:footnoteRef/>
      </w:r>
      <w:r w:rsidRPr="008B4890">
        <w:rPr>
          <w:sz w:val="16"/>
          <w:szCs w:val="16"/>
        </w:rPr>
        <w:t xml:space="preserve">    See Georgiadis, G. (2014), “Towards an explanation of cross-countries asymmetries in monetary transmission”, </w:t>
      </w:r>
      <w:r w:rsidRPr="008B4890">
        <w:rPr>
          <w:i/>
          <w:sz w:val="16"/>
          <w:szCs w:val="16"/>
        </w:rPr>
        <w:t>Journal of Macroeconomics</w:t>
      </w:r>
      <w:r w:rsidRPr="008B4890">
        <w:rPr>
          <w:sz w:val="16"/>
          <w:szCs w:val="16"/>
        </w:rPr>
        <w:t>, 39.</w:t>
      </w:r>
    </w:p>
  </w:footnote>
  <w:footnote w:id="28">
    <w:p w:rsidR="00DB3981" w:rsidRPr="008B4890" w:rsidRDefault="00DB3981" w:rsidP="0004697D">
      <w:pPr>
        <w:pStyle w:val="FootnoteText"/>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See e.g. </w:t>
      </w:r>
      <w:proofErr w:type="spellStart"/>
      <w:r w:rsidRPr="008B4890">
        <w:rPr>
          <w:sz w:val="16"/>
          <w:szCs w:val="16"/>
        </w:rPr>
        <w:t>Fabbrini</w:t>
      </w:r>
      <w:proofErr w:type="spellEnd"/>
      <w:r w:rsidRPr="008B4890">
        <w:rPr>
          <w:sz w:val="16"/>
          <w:szCs w:val="16"/>
        </w:rPr>
        <w:t>, Sergio. (2013). “</w:t>
      </w:r>
      <w:proofErr w:type="spellStart"/>
      <w:r w:rsidRPr="008B4890">
        <w:rPr>
          <w:sz w:val="16"/>
          <w:szCs w:val="16"/>
        </w:rPr>
        <w:t>Intergovernamentalism</w:t>
      </w:r>
      <w:proofErr w:type="spellEnd"/>
      <w:r w:rsidRPr="008B4890">
        <w:rPr>
          <w:sz w:val="16"/>
          <w:szCs w:val="16"/>
        </w:rPr>
        <w:t xml:space="preserve"> and Its Limits: Assessing the European Union’s Answer to the Euro Crisis. </w:t>
      </w:r>
      <w:r w:rsidRPr="008B4890">
        <w:rPr>
          <w:i/>
          <w:sz w:val="16"/>
          <w:szCs w:val="16"/>
        </w:rPr>
        <w:t xml:space="preserve">Comparative Political Studies 46 </w:t>
      </w:r>
      <w:r w:rsidRPr="008B4890">
        <w:rPr>
          <w:sz w:val="16"/>
          <w:szCs w:val="16"/>
        </w:rPr>
        <w:t xml:space="preserve">(9): 1003-1029. </w:t>
      </w:r>
    </w:p>
  </w:footnote>
  <w:footnote w:id="29">
    <w:p w:rsidR="00DB3981" w:rsidRPr="008B4890" w:rsidRDefault="00DB3981" w:rsidP="00255D21">
      <w:pPr>
        <w:pStyle w:val="FootnoteText"/>
        <w:rPr>
          <w:sz w:val="16"/>
          <w:szCs w:val="16"/>
        </w:rPr>
      </w:pPr>
      <w:r w:rsidRPr="008B4890">
        <w:rPr>
          <w:rStyle w:val="FootnoteReference"/>
          <w:sz w:val="16"/>
          <w:szCs w:val="16"/>
        </w:rPr>
        <w:footnoteRef/>
      </w:r>
      <w:r w:rsidRPr="009C36CE">
        <w:rPr>
          <w:sz w:val="16"/>
          <w:szCs w:val="16"/>
          <w:lang w:val="fr-FR"/>
        </w:rPr>
        <w:t xml:space="preserve"> Juncker, J.C. et al. </w:t>
      </w:r>
      <w:r w:rsidRPr="008B4890">
        <w:rPr>
          <w:sz w:val="16"/>
          <w:szCs w:val="16"/>
        </w:rPr>
        <w:t xml:space="preserve">(2015) </w:t>
      </w:r>
      <w:hyperlink r:id="rId9" w:history="1">
        <w:r w:rsidRPr="008B4890">
          <w:rPr>
            <w:rStyle w:val="Hyperlink"/>
            <w:i/>
            <w:sz w:val="16"/>
            <w:szCs w:val="16"/>
          </w:rPr>
          <w:t>Five Presidents Report: Completing Europe’s Economic and Monetary Union</w:t>
        </w:r>
      </w:hyperlink>
      <w:r w:rsidRPr="008B4890">
        <w:rPr>
          <w:sz w:val="16"/>
          <w:szCs w:val="16"/>
        </w:rPr>
        <w:t>.</w:t>
      </w:r>
    </w:p>
  </w:footnote>
  <w:footnote w:id="30">
    <w:p w:rsidR="00DB3981" w:rsidRPr="008B4890" w:rsidRDefault="00DB3981" w:rsidP="00255D21">
      <w:pPr>
        <w:pStyle w:val="FootnoteText"/>
        <w:ind w:left="113" w:hanging="113"/>
        <w:jc w:val="both"/>
        <w:rPr>
          <w:sz w:val="16"/>
          <w:szCs w:val="16"/>
        </w:rPr>
      </w:pPr>
      <w:r w:rsidRPr="008B4890">
        <w:rPr>
          <w:rStyle w:val="FootnoteReference"/>
          <w:sz w:val="16"/>
          <w:szCs w:val="16"/>
        </w:rPr>
        <w:footnoteRef/>
      </w:r>
      <w:r w:rsidRPr="008B4890">
        <w:rPr>
          <w:sz w:val="16"/>
          <w:szCs w:val="16"/>
        </w:rPr>
        <w:t xml:space="preserve"> </w:t>
      </w:r>
      <w:proofErr w:type="gramStart"/>
      <w:r w:rsidRPr="008B4890">
        <w:rPr>
          <w:sz w:val="16"/>
          <w:szCs w:val="16"/>
        </w:rPr>
        <w:t xml:space="preserve">MEF </w:t>
      </w:r>
      <w:r w:rsidRPr="008B4890">
        <w:rPr>
          <w:rFonts w:cs="Arial"/>
          <w:sz w:val="16"/>
          <w:szCs w:val="16"/>
        </w:rPr>
        <w:t xml:space="preserve">(2015) </w:t>
      </w:r>
      <w:hyperlink r:id="rId10" w:history="1">
        <w:r w:rsidRPr="008B4890">
          <w:rPr>
            <w:rStyle w:val="Hyperlink"/>
            <w:rFonts w:cs="Arial"/>
            <w:i/>
            <w:sz w:val="16"/>
            <w:szCs w:val="16"/>
          </w:rPr>
          <w:t>European Unemployment Insurance Scheme</w:t>
        </w:r>
      </w:hyperlink>
      <w:r w:rsidRPr="008B4890">
        <w:rPr>
          <w:rFonts w:cs="Arial"/>
          <w:sz w:val="16"/>
          <w:szCs w:val="16"/>
        </w:rPr>
        <w:t xml:space="preserve">, Italian Ministry of Economics and Finance; </w:t>
      </w:r>
      <w:proofErr w:type="spellStart"/>
      <w:r w:rsidRPr="008B4890">
        <w:rPr>
          <w:rFonts w:cs="Arial"/>
          <w:sz w:val="16"/>
          <w:szCs w:val="16"/>
        </w:rPr>
        <w:t>Beblavy</w:t>
      </w:r>
      <w:proofErr w:type="spellEnd"/>
      <w:r w:rsidRPr="008B4890">
        <w:rPr>
          <w:rFonts w:cs="Arial"/>
          <w:sz w:val="16"/>
          <w:szCs w:val="16"/>
        </w:rPr>
        <w:t xml:space="preserve">, M. &amp; </w:t>
      </w:r>
      <w:proofErr w:type="spellStart"/>
      <w:r w:rsidRPr="008B4890">
        <w:rPr>
          <w:rFonts w:cs="Arial"/>
          <w:sz w:val="16"/>
          <w:szCs w:val="16"/>
        </w:rPr>
        <w:t>Lenaerts</w:t>
      </w:r>
      <w:proofErr w:type="spellEnd"/>
      <w:r w:rsidRPr="008B4890">
        <w:rPr>
          <w:rFonts w:cs="Arial"/>
          <w:sz w:val="16"/>
          <w:szCs w:val="16"/>
        </w:rPr>
        <w:t xml:space="preserve">, K. (2017) </w:t>
      </w:r>
      <w:hyperlink r:id="rId11" w:history="1">
        <w:r w:rsidRPr="008B4890">
          <w:rPr>
            <w:rStyle w:val="Hyperlink"/>
            <w:i/>
            <w:sz w:val="16"/>
            <w:szCs w:val="16"/>
            <w:lang w:val="en"/>
          </w:rPr>
          <w:t>Feasibility and Added Value of a European Unemployment Benefits Scheme</w:t>
        </w:r>
      </w:hyperlink>
      <w:r w:rsidRPr="008B4890">
        <w:rPr>
          <w:sz w:val="16"/>
          <w:szCs w:val="16"/>
          <w:lang w:val="en"/>
        </w:rPr>
        <w:t>, CEPS.</w:t>
      </w:r>
      <w:proofErr w:type="gramEnd"/>
    </w:p>
  </w:footnote>
  <w:footnote w:id="31">
    <w:p w:rsidR="00DB3981" w:rsidRPr="008B4890" w:rsidRDefault="00DB3981" w:rsidP="00255D21">
      <w:pPr>
        <w:pStyle w:val="FootnoteText"/>
        <w:ind w:left="113" w:hanging="113"/>
        <w:rPr>
          <w:sz w:val="16"/>
          <w:szCs w:val="16"/>
        </w:rPr>
      </w:pPr>
      <w:r w:rsidRPr="008B4890">
        <w:rPr>
          <w:rStyle w:val="FootnoteReference"/>
          <w:sz w:val="16"/>
          <w:szCs w:val="16"/>
        </w:rPr>
        <w:footnoteRef/>
      </w:r>
      <w:r w:rsidRPr="008B4890">
        <w:rPr>
          <w:sz w:val="16"/>
          <w:szCs w:val="16"/>
        </w:rPr>
        <w:t xml:space="preserve"> </w:t>
      </w:r>
      <w:proofErr w:type="gramStart"/>
      <w:r w:rsidRPr="008B4890">
        <w:rPr>
          <w:sz w:val="16"/>
          <w:szCs w:val="16"/>
        </w:rPr>
        <w:t xml:space="preserve">French Treasury (2017) </w:t>
      </w:r>
      <w:hyperlink r:id="rId12" w:history="1">
        <w:r w:rsidRPr="008B4890">
          <w:rPr>
            <w:rStyle w:val="Hyperlink"/>
            <w:i/>
            <w:sz w:val="16"/>
            <w:szCs w:val="16"/>
          </w:rPr>
          <w:t>A Contribution to the Work on the Strengthening of the Euro Area</w:t>
        </w:r>
      </w:hyperlink>
      <w:r w:rsidRPr="008B4890">
        <w:rPr>
          <w:sz w:val="16"/>
          <w:szCs w:val="16"/>
        </w:rPr>
        <w:t xml:space="preserve">, No. 190; European Commission (2017), </w:t>
      </w:r>
      <w:hyperlink r:id="rId13" w:history="1">
        <w:r w:rsidRPr="008B4890">
          <w:rPr>
            <w:rStyle w:val="Hyperlink"/>
            <w:i/>
            <w:sz w:val="16"/>
            <w:szCs w:val="16"/>
          </w:rPr>
          <w:t>Reflection Paper on the Deepening of the Economic and Monetary Union</w:t>
        </w:r>
      </w:hyperlink>
      <w:r w:rsidRPr="008B4890">
        <w:rPr>
          <w:sz w:val="16"/>
          <w:szCs w:val="16"/>
        </w:rPr>
        <w:t>.</w:t>
      </w:r>
      <w:proofErr w:type="gramEnd"/>
    </w:p>
  </w:footnote>
  <w:footnote w:id="32">
    <w:p w:rsidR="00DB3981" w:rsidRPr="008B4890" w:rsidRDefault="00DB3981" w:rsidP="002253C8">
      <w:pPr>
        <w:pStyle w:val="FootnoteText"/>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r>
      <w:proofErr w:type="gramStart"/>
      <w:r w:rsidRPr="008B4890">
        <w:rPr>
          <w:sz w:val="16"/>
          <w:szCs w:val="16"/>
        </w:rPr>
        <w:t xml:space="preserve">First two graphs taken from </w:t>
      </w:r>
      <w:proofErr w:type="spellStart"/>
      <w:r w:rsidRPr="008B4890">
        <w:rPr>
          <w:sz w:val="16"/>
          <w:szCs w:val="16"/>
        </w:rPr>
        <w:t>Bertoncini</w:t>
      </w:r>
      <w:proofErr w:type="spellEnd"/>
      <w:r w:rsidRPr="008B4890">
        <w:rPr>
          <w:sz w:val="16"/>
          <w:szCs w:val="16"/>
        </w:rPr>
        <w:t xml:space="preserve">, Yves, </w:t>
      </w:r>
      <w:proofErr w:type="spellStart"/>
      <w:r w:rsidRPr="008B4890">
        <w:rPr>
          <w:sz w:val="16"/>
          <w:szCs w:val="16"/>
        </w:rPr>
        <w:t>Delors</w:t>
      </w:r>
      <w:proofErr w:type="spellEnd"/>
      <w:r w:rsidRPr="008B4890">
        <w:rPr>
          <w:sz w:val="16"/>
          <w:szCs w:val="16"/>
        </w:rPr>
        <w:t xml:space="preserve"> Institute, Paris (2017).</w:t>
      </w:r>
      <w:proofErr w:type="gramEnd"/>
      <w:r w:rsidRPr="008B4890">
        <w:rPr>
          <w:sz w:val="16"/>
          <w:szCs w:val="16"/>
        </w:rPr>
        <w:t xml:space="preserve"> “Differentiated Integration and the EU: A Variable Geometry Legitimacy”. </w:t>
      </w:r>
      <w:proofErr w:type="gramStart"/>
      <w:r w:rsidRPr="008B4890">
        <w:rPr>
          <w:sz w:val="16"/>
          <w:szCs w:val="16"/>
        </w:rPr>
        <w:t xml:space="preserve">Map depicting the membership of various groups (see overleaf) taken from </w:t>
      </w:r>
      <w:r w:rsidRPr="008B4890">
        <w:rPr>
          <w:i/>
          <w:sz w:val="16"/>
          <w:szCs w:val="16"/>
        </w:rPr>
        <w:t xml:space="preserve">The Economist, “Creaking at 60 – The Future of the European Union” </w:t>
      </w:r>
      <w:r w:rsidRPr="008B4890">
        <w:rPr>
          <w:sz w:val="16"/>
          <w:szCs w:val="16"/>
        </w:rPr>
        <w:t>25 March 2017.</w:t>
      </w:r>
      <w:proofErr w:type="gramEnd"/>
      <w:r w:rsidRPr="008B4890">
        <w:rPr>
          <w:sz w:val="16"/>
          <w:szCs w:val="16"/>
        </w:rPr>
        <w:t xml:space="preserve">  </w:t>
      </w:r>
    </w:p>
  </w:footnote>
  <w:footnote w:id="33">
    <w:p w:rsidR="00DB3981" w:rsidRPr="008B4890" w:rsidRDefault="00DB3981">
      <w:pPr>
        <w:pStyle w:val="FootnoteText"/>
        <w:rPr>
          <w:sz w:val="16"/>
          <w:szCs w:val="16"/>
        </w:rPr>
      </w:pPr>
      <w:r w:rsidRPr="008B4890">
        <w:rPr>
          <w:rStyle w:val="FootnoteReference"/>
          <w:sz w:val="16"/>
          <w:szCs w:val="16"/>
        </w:rPr>
        <w:footnoteRef/>
      </w:r>
      <w:r w:rsidRPr="008B4890">
        <w:rPr>
          <w:sz w:val="16"/>
          <w:szCs w:val="16"/>
        </w:rPr>
        <w:t xml:space="preserve"> </w:t>
      </w:r>
      <w:r w:rsidRPr="008B4890">
        <w:rPr>
          <w:sz w:val="16"/>
          <w:szCs w:val="16"/>
        </w:rPr>
        <w:tab/>
        <w:t xml:space="preserve">ERM II is not mentioned in this overview, although this could be considered as another form of differentiated integration </w:t>
      </w:r>
    </w:p>
  </w:footnote>
  <w:footnote w:id="34">
    <w:p w:rsidR="00DB3981" w:rsidRPr="008B4890" w:rsidRDefault="00DB3981">
      <w:pPr>
        <w:pStyle w:val="FootnoteText"/>
        <w:rPr>
          <w:sz w:val="16"/>
          <w:szCs w:val="16"/>
        </w:rPr>
      </w:pPr>
      <w:r w:rsidRPr="008B4890">
        <w:rPr>
          <w:rStyle w:val="FootnoteReference"/>
          <w:sz w:val="16"/>
          <w:szCs w:val="16"/>
        </w:rPr>
        <w:footnoteRef/>
      </w:r>
      <w:r w:rsidRPr="008B4890">
        <w:rPr>
          <w:sz w:val="16"/>
          <w:szCs w:val="16"/>
        </w:rPr>
        <w:t xml:space="preserve"> Taken from Special Eurobarometer 451 (2016), see </w:t>
      </w:r>
      <w:hyperlink r:id="rId14" w:history="1">
        <w:r w:rsidRPr="008B4890">
          <w:rPr>
            <w:rStyle w:val="Hyperlink"/>
            <w:sz w:val="16"/>
            <w:szCs w:val="16"/>
          </w:rPr>
          <w:t>https://ec.europa.eu/finland/sites/finland/files/ebs_451_en.pdf</w:t>
        </w:r>
      </w:hyperlink>
      <w:r w:rsidRPr="008B4890">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321F"/>
    <w:multiLevelType w:val="hybridMultilevel"/>
    <w:tmpl w:val="7174DB4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3256E6"/>
    <w:multiLevelType w:val="hybridMultilevel"/>
    <w:tmpl w:val="1C0A1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8C2E94"/>
    <w:multiLevelType w:val="hybridMultilevel"/>
    <w:tmpl w:val="41CE0EB4"/>
    <w:lvl w:ilvl="0" w:tplc="C52CB87E">
      <w:start w:val="1"/>
      <w:numFmt w:val="decimal"/>
      <w:pStyle w:val="Annex"/>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ED5A14"/>
    <w:multiLevelType w:val="multilevel"/>
    <w:tmpl w:val="997CA0FE"/>
    <w:lvl w:ilvl="0">
      <w:start w:val="1"/>
      <w:numFmt w:val="decimal"/>
      <w:lvlText w:val="%1."/>
      <w:lvlJc w:val="left"/>
      <w:pPr>
        <w:ind w:left="360" w:hanging="360"/>
      </w:pPr>
      <w:rPr>
        <w:rFonts w:hint="default"/>
        <w:b/>
        <w:i w:val="0"/>
        <w:sz w:val="22"/>
        <w:szCs w:val="22"/>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8E174CE"/>
    <w:multiLevelType w:val="hybridMultilevel"/>
    <w:tmpl w:val="17209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4D5CC4"/>
    <w:multiLevelType w:val="multilevel"/>
    <w:tmpl w:val="230036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32E3B3A"/>
    <w:multiLevelType w:val="multilevel"/>
    <w:tmpl w:val="A4A49E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92E5ED0"/>
    <w:multiLevelType w:val="multilevel"/>
    <w:tmpl w:val="304EA8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BF0C4A"/>
    <w:multiLevelType w:val="hybridMultilevel"/>
    <w:tmpl w:val="AD9A64B0"/>
    <w:lvl w:ilvl="0" w:tplc="625E0C8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C90F5A"/>
    <w:multiLevelType w:val="hybridMultilevel"/>
    <w:tmpl w:val="131EE594"/>
    <w:lvl w:ilvl="0" w:tplc="DAA2133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D65317"/>
    <w:multiLevelType w:val="hybridMultilevel"/>
    <w:tmpl w:val="AA1E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185A50"/>
    <w:multiLevelType w:val="hybridMultilevel"/>
    <w:tmpl w:val="E8FE1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5206B2"/>
    <w:multiLevelType w:val="multilevel"/>
    <w:tmpl w:val="EF425BD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74F3C28"/>
    <w:multiLevelType w:val="hybridMultilevel"/>
    <w:tmpl w:val="69FC583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1">
      <w:start w:val="1"/>
      <w:numFmt w:val="bullet"/>
      <w:lvlText w:val=""/>
      <w:lvlJc w:val="left"/>
      <w:pPr>
        <w:ind w:left="2520" w:hanging="360"/>
      </w:pPr>
      <w:rPr>
        <w:rFonts w:ascii="Symbol" w:hAnsi="Symbo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82D7C90"/>
    <w:multiLevelType w:val="hybridMultilevel"/>
    <w:tmpl w:val="17209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D7201B2"/>
    <w:multiLevelType w:val="hybridMultilevel"/>
    <w:tmpl w:val="C12AFD00"/>
    <w:lvl w:ilvl="0" w:tplc="B838B53E">
      <w:start w:val="1"/>
      <w:numFmt w:val="decimal"/>
      <w:lvlText w:val="%1."/>
      <w:lvlJc w:val="left"/>
      <w:pPr>
        <w:ind w:left="7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16">
    <w:nsid w:val="6E7D7469"/>
    <w:multiLevelType w:val="multilevel"/>
    <w:tmpl w:val="5DAACC2E"/>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712620CE"/>
    <w:multiLevelType w:val="hybridMultilevel"/>
    <w:tmpl w:val="9098921E"/>
    <w:lvl w:ilvl="0" w:tplc="073CD0E0">
      <w:start w:val="1"/>
      <w:numFmt w:val="lowerRoman"/>
      <w:pStyle w:val="ECBList2"/>
      <w:lvlText w:val="(%1)"/>
      <w:lvlJc w:val="left"/>
      <w:pPr>
        <w:ind w:left="720" w:hanging="36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5324CE1"/>
    <w:multiLevelType w:val="multilevel"/>
    <w:tmpl w:val="CF8A6CC8"/>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7F661D2"/>
    <w:multiLevelType w:val="hybridMultilevel"/>
    <w:tmpl w:val="0408E8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DA5056F"/>
    <w:multiLevelType w:val="hybridMultilevel"/>
    <w:tmpl w:val="C4F0E788"/>
    <w:lvl w:ilvl="0" w:tplc="E38E56AA">
      <w:start w:val="1"/>
      <w:numFmt w:val="lowerLetter"/>
      <w:pStyle w:val="ECBlist1"/>
      <w:lvlText w:val="(%1)"/>
      <w:lvlJc w:val="left"/>
      <w:pPr>
        <w:ind w:left="720" w:hanging="36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20"/>
  </w:num>
  <w:num w:numId="4">
    <w:abstractNumId w:val="17"/>
  </w:num>
  <w:num w:numId="5">
    <w:abstractNumId w:val="8"/>
  </w:num>
  <w:num w:numId="6">
    <w:abstractNumId w:val="18"/>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1"/>
  </w:num>
  <w:num w:numId="11">
    <w:abstractNumId w:val="15"/>
  </w:num>
  <w:num w:numId="12">
    <w:abstractNumId w:val="4"/>
  </w:num>
  <w:num w:numId="13">
    <w:abstractNumId w:val="14"/>
  </w:num>
  <w:num w:numId="14">
    <w:abstractNumId w:val="1"/>
  </w:num>
  <w:num w:numId="15">
    <w:abstractNumId w:val="19"/>
  </w:num>
  <w:num w:numId="16">
    <w:abstractNumId w:val="13"/>
  </w:num>
  <w:num w:numId="17">
    <w:abstractNumId w:val="3"/>
  </w:num>
  <w:num w:numId="18">
    <w:abstractNumId w:val="10"/>
  </w:num>
  <w:num w:numId="19">
    <w:abstractNumId w:val="12"/>
  </w:num>
  <w:num w:numId="20">
    <w:abstractNumId w:val="5"/>
  </w:num>
  <w:num w:numId="21">
    <w:abstractNumId w:val="0"/>
  </w:num>
  <w:num w:numId="2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193"/>
    <w:rsid w:val="00003EF8"/>
    <w:rsid w:val="00010310"/>
    <w:rsid w:val="00010A4E"/>
    <w:rsid w:val="00010D1C"/>
    <w:rsid w:val="000132D7"/>
    <w:rsid w:val="00013609"/>
    <w:rsid w:val="00017AC5"/>
    <w:rsid w:val="00030B58"/>
    <w:rsid w:val="00034866"/>
    <w:rsid w:val="00034B34"/>
    <w:rsid w:val="00040A78"/>
    <w:rsid w:val="00042F3A"/>
    <w:rsid w:val="00044502"/>
    <w:rsid w:val="0004697D"/>
    <w:rsid w:val="00047508"/>
    <w:rsid w:val="00054CAE"/>
    <w:rsid w:val="00063DBE"/>
    <w:rsid w:val="00071495"/>
    <w:rsid w:val="00072101"/>
    <w:rsid w:val="00075E67"/>
    <w:rsid w:val="00077261"/>
    <w:rsid w:val="00077DA8"/>
    <w:rsid w:val="00081721"/>
    <w:rsid w:val="00082894"/>
    <w:rsid w:val="00086AF1"/>
    <w:rsid w:val="00087141"/>
    <w:rsid w:val="00093749"/>
    <w:rsid w:val="00094862"/>
    <w:rsid w:val="000952E5"/>
    <w:rsid w:val="000A16E1"/>
    <w:rsid w:val="000A469C"/>
    <w:rsid w:val="000A57A4"/>
    <w:rsid w:val="000B0231"/>
    <w:rsid w:val="000B0DF1"/>
    <w:rsid w:val="000B4E95"/>
    <w:rsid w:val="000B5305"/>
    <w:rsid w:val="000B7525"/>
    <w:rsid w:val="000B7989"/>
    <w:rsid w:val="000C2DFB"/>
    <w:rsid w:val="000C60DC"/>
    <w:rsid w:val="000D10EA"/>
    <w:rsid w:val="000D4018"/>
    <w:rsid w:val="000D44B2"/>
    <w:rsid w:val="000D52A0"/>
    <w:rsid w:val="000D53C6"/>
    <w:rsid w:val="000E2436"/>
    <w:rsid w:val="000E5413"/>
    <w:rsid w:val="000E7F79"/>
    <w:rsid w:val="000F3F21"/>
    <w:rsid w:val="000F4510"/>
    <w:rsid w:val="000F7D27"/>
    <w:rsid w:val="001018E4"/>
    <w:rsid w:val="0010489D"/>
    <w:rsid w:val="00104C4F"/>
    <w:rsid w:val="001075FF"/>
    <w:rsid w:val="0011029F"/>
    <w:rsid w:val="00110E6C"/>
    <w:rsid w:val="0011138D"/>
    <w:rsid w:val="0011329E"/>
    <w:rsid w:val="00121CA3"/>
    <w:rsid w:val="00121E34"/>
    <w:rsid w:val="00122805"/>
    <w:rsid w:val="00123F66"/>
    <w:rsid w:val="00125483"/>
    <w:rsid w:val="001270B0"/>
    <w:rsid w:val="00130FF1"/>
    <w:rsid w:val="00133543"/>
    <w:rsid w:val="00133ACA"/>
    <w:rsid w:val="00134FCF"/>
    <w:rsid w:val="0014051E"/>
    <w:rsid w:val="00140EAE"/>
    <w:rsid w:val="00141F0D"/>
    <w:rsid w:val="001423EF"/>
    <w:rsid w:val="00142E5E"/>
    <w:rsid w:val="0014369C"/>
    <w:rsid w:val="00143A07"/>
    <w:rsid w:val="001447D3"/>
    <w:rsid w:val="0014792F"/>
    <w:rsid w:val="001501B2"/>
    <w:rsid w:val="001563A3"/>
    <w:rsid w:val="00157F08"/>
    <w:rsid w:val="00162000"/>
    <w:rsid w:val="00165861"/>
    <w:rsid w:val="00170836"/>
    <w:rsid w:val="00185851"/>
    <w:rsid w:val="001903F8"/>
    <w:rsid w:val="00190865"/>
    <w:rsid w:val="001A02E8"/>
    <w:rsid w:val="001A1A88"/>
    <w:rsid w:val="001A29C8"/>
    <w:rsid w:val="001B3F72"/>
    <w:rsid w:val="001B472A"/>
    <w:rsid w:val="001C143C"/>
    <w:rsid w:val="001C47C6"/>
    <w:rsid w:val="001D784B"/>
    <w:rsid w:val="001E6D55"/>
    <w:rsid w:val="001E7871"/>
    <w:rsid w:val="001F253C"/>
    <w:rsid w:val="001F59AE"/>
    <w:rsid w:val="00201101"/>
    <w:rsid w:val="00201470"/>
    <w:rsid w:val="00202BE7"/>
    <w:rsid w:val="00207D2C"/>
    <w:rsid w:val="00207F95"/>
    <w:rsid w:val="002119F2"/>
    <w:rsid w:val="002143D0"/>
    <w:rsid w:val="00214CE8"/>
    <w:rsid w:val="00220FCB"/>
    <w:rsid w:val="002253C8"/>
    <w:rsid w:val="002270F5"/>
    <w:rsid w:val="00230178"/>
    <w:rsid w:val="00230D2B"/>
    <w:rsid w:val="0023549A"/>
    <w:rsid w:val="002454AE"/>
    <w:rsid w:val="00246742"/>
    <w:rsid w:val="00247C35"/>
    <w:rsid w:val="00252F84"/>
    <w:rsid w:val="00255D21"/>
    <w:rsid w:val="0026293E"/>
    <w:rsid w:val="0026387A"/>
    <w:rsid w:val="00270555"/>
    <w:rsid w:val="002831FC"/>
    <w:rsid w:val="002845A5"/>
    <w:rsid w:val="00285462"/>
    <w:rsid w:val="0028621F"/>
    <w:rsid w:val="00293997"/>
    <w:rsid w:val="00294009"/>
    <w:rsid w:val="002977F2"/>
    <w:rsid w:val="002A11D5"/>
    <w:rsid w:val="002A2403"/>
    <w:rsid w:val="002A6C9C"/>
    <w:rsid w:val="002B51C4"/>
    <w:rsid w:val="002B57A4"/>
    <w:rsid w:val="002B76C9"/>
    <w:rsid w:val="002B797C"/>
    <w:rsid w:val="002C09D7"/>
    <w:rsid w:val="002C1156"/>
    <w:rsid w:val="002C1905"/>
    <w:rsid w:val="002C2007"/>
    <w:rsid w:val="002C2A87"/>
    <w:rsid w:val="002C713E"/>
    <w:rsid w:val="002C7D1C"/>
    <w:rsid w:val="002D0387"/>
    <w:rsid w:val="002D37C3"/>
    <w:rsid w:val="002D52CC"/>
    <w:rsid w:val="002E1E23"/>
    <w:rsid w:val="002E243F"/>
    <w:rsid w:val="002E27B0"/>
    <w:rsid w:val="002F16F3"/>
    <w:rsid w:val="002F18BE"/>
    <w:rsid w:val="002F560A"/>
    <w:rsid w:val="00302492"/>
    <w:rsid w:val="00305965"/>
    <w:rsid w:val="00310FBC"/>
    <w:rsid w:val="0032106B"/>
    <w:rsid w:val="00321F1C"/>
    <w:rsid w:val="00323FAA"/>
    <w:rsid w:val="00325E5E"/>
    <w:rsid w:val="00327D10"/>
    <w:rsid w:val="00331B59"/>
    <w:rsid w:val="00332DCE"/>
    <w:rsid w:val="00335A0F"/>
    <w:rsid w:val="003433BF"/>
    <w:rsid w:val="00344138"/>
    <w:rsid w:val="0035556C"/>
    <w:rsid w:val="003619B6"/>
    <w:rsid w:val="00364C97"/>
    <w:rsid w:val="00365144"/>
    <w:rsid w:val="00371574"/>
    <w:rsid w:val="003730DD"/>
    <w:rsid w:val="00374CE4"/>
    <w:rsid w:val="00377871"/>
    <w:rsid w:val="00380313"/>
    <w:rsid w:val="00381343"/>
    <w:rsid w:val="003829E7"/>
    <w:rsid w:val="00385DC8"/>
    <w:rsid w:val="003946B7"/>
    <w:rsid w:val="00397608"/>
    <w:rsid w:val="003A0893"/>
    <w:rsid w:val="003A08A5"/>
    <w:rsid w:val="003A311C"/>
    <w:rsid w:val="003A45D3"/>
    <w:rsid w:val="003A4807"/>
    <w:rsid w:val="003A774F"/>
    <w:rsid w:val="003A7C00"/>
    <w:rsid w:val="003B441D"/>
    <w:rsid w:val="003C0511"/>
    <w:rsid w:val="003C56F0"/>
    <w:rsid w:val="003C6707"/>
    <w:rsid w:val="003C6771"/>
    <w:rsid w:val="003D1F4C"/>
    <w:rsid w:val="003D2089"/>
    <w:rsid w:val="003D5291"/>
    <w:rsid w:val="003D5D39"/>
    <w:rsid w:val="003E504E"/>
    <w:rsid w:val="003E6DC8"/>
    <w:rsid w:val="003F231E"/>
    <w:rsid w:val="003F2EF7"/>
    <w:rsid w:val="003F5C2C"/>
    <w:rsid w:val="004001EC"/>
    <w:rsid w:val="004022D8"/>
    <w:rsid w:val="00404AB7"/>
    <w:rsid w:val="00405986"/>
    <w:rsid w:val="00406B20"/>
    <w:rsid w:val="0040733F"/>
    <w:rsid w:val="00410965"/>
    <w:rsid w:val="00421036"/>
    <w:rsid w:val="00423F16"/>
    <w:rsid w:val="004323BC"/>
    <w:rsid w:val="00432BCE"/>
    <w:rsid w:val="0043652C"/>
    <w:rsid w:val="004419BE"/>
    <w:rsid w:val="004423B5"/>
    <w:rsid w:val="0044443F"/>
    <w:rsid w:val="0044592B"/>
    <w:rsid w:val="00445E9F"/>
    <w:rsid w:val="00446AB7"/>
    <w:rsid w:val="00457A2C"/>
    <w:rsid w:val="004602C7"/>
    <w:rsid w:val="0046108E"/>
    <w:rsid w:val="00461A40"/>
    <w:rsid w:val="00465805"/>
    <w:rsid w:val="00470EA3"/>
    <w:rsid w:val="00473BBE"/>
    <w:rsid w:val="00473F05"/>
    <w:rsid w:val="004744D6"/>
    <w:rsid w:val="0047738B"/>
    <w:rsid w:val="004775E6"/>
    <w:rsid w:val="00481433"/>
    <w:rsid w:val="004904EC"/>
    <w:rsid w:val="004A1D81"/>
    <w:rsid w:val="004A44B0"/>
    <w:rsid w:val="004A4A6C"/>
    <w:rsid w:val="004A6CF1"/>
    <w:rsid w:val="004A6DFD"/>
    <w:rsid w:val="004A7B60"/>
    <w:rsid w:val="004B0048"/>
    <w:rsid w:val="004B023B"/>
    <w:rsid w:val="004B344A"/>
    <w:rsid w:val="004B7F4B"/>
    <w:rsid w:val="004C095E"/>
    <w:rsid w:val="004C30DA"/>
    <w:rsid w:val="004D2896"/>
    <w:rsid w:val="004D3900"/>
    <w:rsid w:val="004D624E"/>
    <w:rsid w:val="004D6743"/>
    <w:rsid w:val="004E0087"/>
    <w:rsid w:val="004E368F"/>
    <w:rsid w:val="004E3D9A"/>
    <w:rsid w:val="004E5B72"/>
    <w:rsid w:val="004E67BD"/>
    <w:rsid w:val="0050078D"/>
    <w:rsid w:val="00501509"/>
    <w:rsid w:val="005020D4"/>
    <w:rsid w:val="00503319"/>
    <w:rsid w:val="00506BCF"/>
    <w:rsid w:val="0051283B"/>
    <w:rsid w:val="00512ED7"/>
    <w:rsid w:val="005140AF"/>
    <w:rsid w:val="00514658"/>
    <w:rsid w:val="00517679"/>
    <w:rsid w:val="00517C9B"/>
    <w:rsid w:val="005200CD"/>
    <w:rsid w:val="005216E2"/>
    <w:rsid w:val="005243B5"/>
    <w:rsid w:val="00524BEE"/>
    <w:rsid w:val="005259E0"/>
    <w:rsid w:val="00525CC5"/>
    <w:rsid w:val="00542DEC"/>
    <w:rsid w:val="005435C9"/>
    <w:rsid w:val="00546354"/>
    <w:rsid w:val="00547B1D"/>
    <w:rsid w:val="005554FA"/>
    <w:rsid w:val="005569EA"/>
    <w:rsid w:val="00561E33"/>
    <w:rsid w:val="00564A20"/>
    <w:rsid w:val="0056781C"/>
    <w:rsid w:val="00570C1C"/>
    <w:rsid w:val="00574746"/>
    <w:rsid w:val="00577765"/>
    <w:rsid w:val="00582DD0"/>
    <w:rsid w:val="00591822"/>
    <w:rsid w:val="00591D1C"/>
    <w:rsid w:val="00593327"/>
    <w:rsid w:val="00594DF2"/>
    <w:rsid w:val="00595255"/>
    <w:rsid w:val="00595E1E"/>
    <w:rsid w:val="005A2025"/>
    <w:rsid w:val="005A27D7"/>
    <w:rsid w:val="005A27F0"/>
    <w:rsid w:val="005A34B6"/>
    <w:rsid w:val="005B00CE"/>
    <w:rsid w:val="005B0FDB"/>
    <w:rsid w:val="005B14A3"/>
    <w:rsid w:val="005B3601"/>
    <w:rsid w:val="005B72B9"/>
    <w:rsid w:val="005C3880"/>
    <w:rsid w:val="005C4140"/>
    <w:rsid w:val="005D32A8"/>
    <w:rsid w:val="005D43F8"/>
    <w:rsid w:val="005D4EE1"/>
    <w:rsid w:val="005D54C1"/>
    <w:rsid w:val="005D6497"/>
    <w:rsid w:val="005D7690"/>
    <w:rsid w:val="005E3923"/>
    <w:rsid w:val="005E3BE6"/>
    <w:rsid w:val="005E760F"/>
    <w:rsid w:val="005E7647"/>
    <w:rsid w:val="005F4EAD"/>
    <w:rsid w:val="005F6A68"/>
    <w:rsid w:val="005F7851"/>
    <w:rsid w:val="005F7F5A"/>
    <w:rsid w:val="0060723F"/>
    <w:rsid w:val="0061012B"/>
    <w:rsid w:val="0061046D"/>
    <w:rsid w:val="00613B24"/>
    <w:rsid w:val="00617839"/>
    <w:rsid w:val="006229A9"/>
    <w:rsid w:val="006233BB"/>
    <w:rsid w:val="00624983"/>
    <w:rsid w:val="00625065"/>
    <w:rsid w:val="0062728D"/>
    <w:rsid w:val="006334DB"/>
    <w:rsid w:val="006374EC"/>
    <w:rsid w:val="00644188"/>
    <w:rsid w:val="0064533E"/>
    <w:rsid w:val="0064568F"/>
    <w:rsid w:val="0064697A"/>
    <w:rsid w:val="00646B61"/>
    <w:rsid w:val="00650110"/>
    <w:rsid w:val="00653DCC"/>
    <w:rsid w:val="00656310"/>
    <w:rsid w:val="00663506"/>
    <w:rsid w:val="00664523"/>
    <w:rsid w:val="00667349"/>
    <w:rsid w:val="0066782B"/>
    <w:rsid w:val="00676118"/>
    <w:rsid w:val="00677062"/>
    <w:rsid w:val="0068181C"/>
    <w:rsid w:val="00681E34"/>
    <w:rsid w:val="0068241F"/>
    <w:rsid w:val="00682937"/>
    <w:rsid w:val="00690518"/>
    <w:rsid w:val="00696D5F"/>
    <w:rsid w:val="00697576"/>
    <w:rsid w:val="00697ED4"/>
    <w:rsid w:val="006A3307"/>
    <w:rsid w:val="006A492B"/>
    <w:rsid w:val="006A71EA"/>
    <w:rsid w:val="006B2090"/>
    <w:rsid w:val="006B3BF1"/>
    <w:rsid w:val="006C1640"/>
    <w:rsid w:val="006C1EB1"/>
    <w:rsid w:val="006C4997"/>
    <w:rsid w:val="006C4A4D"/>
    <w:rsid w:val="006C752E"/>
    <w:rsid w:val="006D1BDF"/>
    <w:rsid w:val="006D24BB"/>
    <w:rsid w:val="006D77C8"/>
    <w:rsid w:val="006E072F"/>
    <w:rsid w:val="006E1B14"/>
    <w:rsid w:val="006E2BB7"/>
    <w:rsid w:val="006E2EBF"/>
    <w:rsid w:val="006E4069"/>
    <w:rsid w:val="006E64FF"/>
    <w:rsid w:val="006E7885"/>
    <w:rsid w:val="006F1AAA"/>
    <w:rsid w:val="006F2A9D"/>
    <w:rsid w:val="006F35A7"/>
    <w:rsid w:val="00704924"/>
    <w:rsid w:val="00705E23"/>
    <w:rsid w:val="0071564C"/>
    <w:rsid w:val="007246EE"/>
    <w:rsid w:val="00725AC5"/>
    <w:rsid w:val="007311AB"/>
    <w:rsid w:val="00740F5C"/>
    <w:rsid w:val="007446B6"/>
    <w:rsid w:val="0075243D"/>
    <w:rsid w:val="007548CF"/>
    <w:rsid w:val="00756A9E"/>
    <w:rsid w:val="00764513"/>
    <w:rsid w:val="00774E56"/>
    <w:rsid w:val="00777AC9"/>
    <w:rsid w:val="0078267F"/>
    <w:rsid w:val="00795C7B"/>
    <w:rsid w:val="00796DDD"/>
    <w:rsid w:val="007A1E87"/>
    <w:rsid w:val="007A5F67"/>
    <w:rsid w:val="007A6BC3"/>
    <w:rsid w:val="007B299E"/>
    <w:rsid w:val="007C138B"/>
    <w:rsid w:val="007C4856"/>
    <w:rsid w:val="007D1C00"/>
    <w:rsid w:val="007D2B03"/>
    <w:rsid w:val="007D47E9"/>
    <w:rsid w:val="007E3671"/>
    <w:rsid w:val="007E532A"/>
    <w:rsid w:val="007F1F9B"/>
    <w:rsid w:val="007F392D"/>
    <w:rsid w:val="007F6B82"/>
    <w:rsid w:val="007F7632"/>
    <w:rsid w:val="007F7F4C"/>
    <w:rsid w:val="00802B1E"/>
    <w:rsid w:val="0080396D"/>
    <w:rsid w:val="008042C6"/>
    <w:rsid w:val="0080472F"/>
    <w:rsid w:val="0080475E"/>
    <w:rsid w:val="0080593F"/>
    <w:rsid w:val="00816770"/>
    <w:rsid w:val="0082459E"/>
    <w:rsid w:val="008261CB"/>
    <w:rsid w:val="0083173F"/>
    <w:rsid w:val="00832F12"/>
    <w:rsid w:val="00840CAB"/>
    <w:rsid w:val="0084161E"/>
    <w:rsid w:val="00843D9E"/>
    <w:rsid w:val="00845158"/>
    <w:rsid w:val="00847BA6"/>
    <w:rsid w:val="00850C71"/>
    <w:rsid w:val="00850CC3"/>
    <w:rsid w:val="008549A2"/>
    <w:rsid w:val="00865820"/>
    <w:rsid w:val="008658B0"/>
    <w:rsid w:val="008659CF"/>
    <w:rsid w:val="00867D24"/>
    <w:rsid w:val="00867D73"/>
    <w:rsid w:val="00870A94"/>
    <w:rsid w:val="008757FC"/>
    <w:rsid w:val="00875DD1"/>
    <w:rsid w:val="00881719"/>
    <w:rsid w:val="00890983"/>
    <w:rsid w:val="008A00B4"/>
    <w:rsid w:val="008A07CE"/>
    <w:rsid w:val="008A4B6C"/>
    <w:rsid w:val="008A6372"/>
    <w:rsid w:val="008B4890"/>
    <w:rsid w:val="008B72E9"/>
    <w:rsid w:val="008B7A32"/>
    <w:rsid w:val="008C24FD"/>
    <w:rsid w:val="008C45CB"/>
    <w:rsid w:val="008D24E4"/>
    <w:rsid w:val="008D4AB8"/>
    <w:rsid w:val="008D4F7B"/>
    <w:rsid w:val="008D652E"/>
    <w:rsid w:val="008D789E"/>
    <w:rsid w:val="008E1B1E"/>
    <w:rsid w:val="008F0B52"/>
    <w:rsid w:val="008F2E33"/>
    <w:rsid w:val="008F465F"/>
    <w:rsid w:val="008F7947"/>
    <w:rsid w:val="008F79B7"/>
    <w:rsid w:val="00906C11"/>
    <w:rsid w:val="0091284C"/>
    <w:rsid w:val="009136D5"/>
    <w:rsid w:val="009148C0"/>
    <w:rsid w:val="00924980"/>
    <w:rsid w:val="0093255F"/>
    <w:rsid w:val="00937EDD"/>
    <w:rsid w:val="0094133A"/>
    <w:rsid w:val="00944EAC"/>
    <w:rsid w:val="009500EB"/>
    <w:rsid w:val="0095289A"/>
    <w:rsid w:val="00953A0A"/>
    <w:rsid w:val="0095658B"/>
    <w:rsid w:val="00956863"/>
    <w:rsid w:val="00957DC3"/>
    <w:rsid w:val="0096634A"/>
    <w:rsid w:val="009749DF"/>
    <w:rsid w:val="009765C6"/>
    <w:rsid w:val="00976F1B"/>
    <w:rsid w:val="00994946"/>
    <w:rsid w:val="00997A9A"/>
    <w:rsid w:val="009A5777"/>
    <w:rsid w:val="009B4922"/>
    <w:rsid w:val="009B607B"/>
    <w:rsid w:val="009B6F77"/>
    <w:rsid w:val="009C36CE"/>
    <w:rsid w:val="009C41C5"/>
    <w:rsid w:val="009C5BD6"/>
    <w:rsid w:val="009C6879"/>
    <w:rsid w:val="009D23FC"/>
    <w:rsid w:val="009D2B2B"/>
    <w:rsid w:val="009D45E2"/>
    <w:rsid w:val="009D5758"/>
    <w:rsid w:val="009E5824"/>
    <w:rsid w:val="009E63B4"/>
    <w:rsid w:val="009F010D"/>
    <w:rsid w:val="009F0E24"/>
    <w:rsid w:val="00A005EF"/>
    <w:rsid w:val="00A02AD9"/>
    <w:rsid w:val="00A0482D"/>
    <w:rsid w:val="00A05ED8"/>
    <w:rsid w:val="00A05FE5"/>
    <w:rsid w:val="00A126CE"/>
    <w:rsid w:val="00A12CA3"/>
    <w:rsid w:val="00A13843"/>
    <w:rsid w:val="00A304FA"/>
    <w:rsid w:val="00A30B81"/>
    <w:rsid w:val="00A31889"/>
    <w:rsid w:val="00A340B7"/>
    <w:rsid w:val="00A34834"/>
    <w:rsid w:val="00A34A8A"/>
    <w:rsid w:val="00A358F0"/>
    <w:rsid w:val="00A3683F"/>
    <w:rsid w:val="00A37B2F"/>
    <w:rsid w:val="00A4339B"/>
    <w:rsid w:val="00A520D0"/>
    <w:rsid w:val="00A52FC5"/>
    <w:rsid w:val="00A53B90"/>
    <w:rsid w:val="00A53C69"/>
    <w:rsid w:val="00A54411"/>
    <w:rsid w:val="00A61ADE"/>
    <w:rsid w:val="00A70CC2"/>
    <w:rsid w:val="00A72CB3"/>
    <w:rsid w:val="00A73B12"/>
    <w:rsid w:val="00A76183"/>
    <w:rsid w:val="00A76385"/>
    <w:rsid w:val="00A765CE"/>
    <w:rsid w:val="00A83FD3"/>
    <w:rsid w:val="00A8584A"/>
    <w:rsid w:val="00A85B7B"/>
    <w:rsid w:val="00A972A5"/>
    <w:rsid w:val="00A9745D"/>
    <w:rsid w:val="00AA0D1D"/>
    <w:rsid w:val="00AA22FD"/>
    <w:rsid w:val="00AC0088"/>
    <w:rsid w:val="00AC2A20"/>
    <w:rsid w:val="00AC4F75"/>
    <w:rsid w:val="00AC5164"/>
    <w:rsid w:val="00AC5223"/>
    <w:rsid w:val="00AC71A7"/>
    <w:rsid w:val="00AD0199"/>
    <w:rsid w:val="00AD35CF"/>
    <w:rsid w:val="00AD5B52"/>
    <w:rsid w:val="00AE45FF"/>
    <w:rsid w:val="00AE7B59"/>
    <w:rsid w:val="00AF14DA"/>
    <w:rsid w:val="00AF5D03"/>
    <w:rsid w:val="00AF7FAC"/>
    <w:rsid w:val="00B00E4D"/>
    <w:rsid w:val="00B10800"/>
    <w:rsid w:val="00B111F6"/>
    <w:rsid w:val="00B130CD"/>
    <w:rsid w:val="00B14983"/>
    <w:rsid w:val="00B20966"/>
    <w:rsid w:val="00B21E92"/>
    <w:rsid w:val="00B23D7A"/>
    <w:rsid w:val="00B27064"/>
    <w:rsid w:val="00B275CF"/>
    <w:rsid w:val="00B35936"/>
    <w:rsid w:val="00B3619A"/>
    <w:rsid w:val="00B364EB"/>
    <w:rsid w:val="00B44EC9"/>
    <w:rsid w:val="00B45920"/>
    <w:rsid w:val="00B53502"/>
    <w:rsid w:val="00B543C5"/>
    <w:rsid w:val="00B56DD2"/>
    <w:rsid w:val="00B57112"/>
    <w:rsid w:val="00B61E1A"/>
    <w:rsid w:val="00B72A19"/>
    <w:rsid w:val="00B7406E"/>
    <w:rsid w:val="00B771A7"/>
    <w:rsid w:val="00B83E6A"/>
    <w:rsid w:val="00B87421"/>
    <w:rsid w:val="00B87FFE"/>
    <w:rsid w:val="00B90EB6"/>
    <w:rsid w:val="00B91DCE"/>
    <w:rsid w:val="00B92D15"/>
    <w:rsid w:val="00B94642"/>
    <w:rsid w:val="00B94AB8"/>
    <w:rsid w:val="00B97A80"/>
    <w:rsid w:val="00B97AC1"/>
    <w:rsid w:val="00BA05F3"/>
    <w:rsid w:val="00BA1E76"/>
    <w:rsid w:val="00BA3EA5"/>
    <w:rsid w:val="00BA5B2C"/>
    <w:rsid w:val="00BA726D"/>
    <w:rsid w:val="00BB0B39"/>
    <w:rsid w:val="00BB24D1"/>
    <w:rsid w:val="00BB3BC4"/>
    <w:rsid w:val="00BB7191"/>
    <w:rsid w:val="00BC1EC5"/>
    <w:rsid w:val="00BC201D"/>
    <w:rsid w:val="00BC3FC2"/>
    <w:rsid w:val="00BC5A98"/>
    <w:rsid w:val="00BD744A"/>
    <w:rsid w:val="00BD7738"/>
    <w:rsid w:val="00BE02B1"/>
    <w:rsid w:val="00BE45A7"/>
    <w:rsid w:val="00BE52FA"/>
    <w:rsid w:val="00BE61B9"/>
    <w:rsid w:val="00BF0422"/>
    <w:rsid w:val="00BF14F7"/>
    <w:rsid w:val="00BF4EF3"/>
    <w:rsid w:val="00BF7497"/>
    <w:rsid w:val="00C03F67"/>
    <w:rsid w:val="00C071B0"/>
    <w:rsid w:val="00C07E79"/>
    <w:rsid w:val="00C11D85"/>
    <w:rsid w:val="00C14F0D"/>
    <w:rsid w:val="00C266DC"/>
    <w:rsid w:val="00C2726F"/>
    <w:rsid w:val="00C30977"/>
    <w:rsid w:val="00C31E0A"/>
    <w:rsid w:val="00C34230"/>
    <w:rsid w:val="00C353B9"/>
    <w:rsid w:val="00C41BE4"/>
    <w:rsid w:val="00C4206C"/>
    <w:rsid w:val="00C434D5"/>
    <w:rsid w:val="00C43E03"/>
    <w:rsid w:val="00C524F1"/>
    <w:rsid w:val="00C52C68"/>
    <w:rsid w:val="00C531CC"/>
    <w:rsid w:val="00C60011"/>
    <w:rsid w:val="00C70FB3"/>
    <w:rsid w:val="00C76F4E"/>
    <w:rsid w:val="00C83B5F"/>
    <w:rsid w:val="00C84193"/>
    <w:rsid w:val="00C90EE0"/>
    <w:rsid w:val="00C9539E"/>
    <w:rsid w:val="00C96A23"/>
    <w:rsid w:val="00C9780F"/>
    <w:rsid w:val="00CA0E11"/>
    <w:rsid w:val="00CA4594"/>
    <w:rsid w:val="00CB050F"/>
    <w:rsid w:val="00CB49BC"/>
    <w:rsid w:val="00CB4FBC"/>
    <w:rsid w:val="00CC0AD2"/>
    <w:rsid w:val="00CC1118"/>
    <w:rsid w:val="00CC7CB3"/>
    <w:rsid w:val="00CC7FEC"/>
    <w:rsid w:val="00CD1AAC"/>
    <w:rsid w:val="00CD46EF"/>
    <w:rsid w:val="00CD7889"/>
    <w:rsid w:val="00CD7992"/>
    <w:rsid w:val="00CE072E"/>
    <w:rsid w:val="00CE0935"/>
    <w:rsid w:val="00CE494B"/>
    <w:rsid w:val="00CE6907"/>
    <w:rsid w:val="00CF1E77"/>
    <w:rsid w:val="00CF78C5"/>
    <w:rsid w:val="00D132F3"/>
    <w:rsid w:val="00D13714"/>
    <w:rsid w:val="00D162A4"/>
    <w:rsid w:val="00D20986"/>
    <w:rsid w:val="00D2531F"/>
    <w:rsid w:val="00D27F6C"/>
    <w:rsid w:val="00D3014E"/>
    <w:rsid w:val="00D31112"/>
    <w:rsid w:val="00D34D10"/>
    <w:rsid w:val="00D4065D"/>
    <w:rsid w:val="00D409F9"/>
    <w:rsid w:val="00D4108D"/>
    <w:rsid w:val="00D43007"/>
    <w:rsid w:val="00D470E9"/>
    <w:rsid w:val="00D51FFB"/>
    <w:rsid w:val="00D54FA5"/>
    <w:rsid w:val="00D56D2C"/>
    <w:rsid w:val="00D57460"/>
    <w:rsid w:val="00D65906"/>
    <w:rsid w:val="00D668D1"/>
    <w:rsid w:val="00D6730D"/>
    <w:rsid w:val="00D8036A"/>
    <w:rsid w:val="00D85A6B"/>
    <w:rsid w:val="00D87F0D"/>
    <w:rsid w:val="00DA1740"/>
    <w:rsid w:val="00DA6E46"/>
    <w:rsid w:val="00DB0B4F"/>
    <w:rsid w:val="00DB0F6C"/>
    <w:rsid w:val="00DB3981"/>
    <w:rsid w:val="00DB5943"/>
    <w:rsid w:val="00DC6282"/>
    <w:rsid w:val="00DD0514"/>
    <w:rsid w:val="00DD2447"/>
    <w:rsid w:val="00DD5341"/>
    <w:rsid w:val="00DD76CD"/>
    <w:rsid w:val="00DE112D"/>
    <w:rsid w:val="00DE1EB4"/>
    <w:rsid w:val="00DE2744"/>
    <w:rsid w:val="00DE3C06"/>
    <w:rsid w:val="00DE5304"/>
    <w:rsid w:val="00DF21D3"/>
    <w:rsid w:val="00E009C9"/>
    <w:rsid w:val="00E07D33"/>
    <w:rsid w:val="00E11E89"/>
    <w:rsid w:val="00E1205B"/>
    <w:rsid w:val="00E149A8"/>
    <w:rsid w:val="00E15B39"/>
    <w:rsid w:val="00E15BA2"/>
    <w:rsid w:val="00E16C65"/>
    <w:rsid w:val="00E21A16"/>
    <w:rsid w:val="00E25CC5"/>
    <w:rsid w:val="00E32143"/>
    <w:rsid w:val="00E321F3"/>
    <w:rsid w:val="00E32FD7"/>
    <w:rsid w:val="00E3338F"/>
    <w:rsid w:val="00E34098"/>
    <w:rsid w:val="00E3435A"/>
    <w:rsid w:val="00E36F2E"/>
    <w:rsid w:val="00E425D7"/>
    <w:rsid w:val="00E44DA0"/>
    <w:rsid w:val="00E4635C"/>
    <w:rsid w:val="00E46E94"/>
    <w:rsid w:val="00E527CE"/>
    <w:rsid w:val="00E52A30"/>
    <w:rsid w:val="00E539EA"/>
    <w:rsid w:val="00E54CC7"/>
    <w:rsid w:val="00E54D6D"/>
    <w:rsid w:val="00E553E8"/>
    <w:rsid w:val="00E55D21"/>
    <w:rsid w:val="00E6106B"/>
    <w:rsid w:val="00E67562"/>
    <w:rsid w:val="00E75AEE"/>
    <w:rsid w:val="00E800C8"/>
    <w:rsid w:val="00E84B2B"/>
    <w:rsid w:val="00E86B32"/>
    <w:rsid w:val="00E9450E"/>
    <w:rsid w:val="00EA0B08"/>
    <w:rsid w:val="00EA51EC"/>
    <w:rsid w:val="00EA7336"/>
    <w:rsid w:val="00EB1DB3"/>
    <w:rsid w:val="00EB1E8C"/>
    <w:rsid w:val="00EB7A85"/>
    <w:rsid w:val="00EC108D"/>
    <w:rsid w:val="00EC1225"/>
    <w:rsid w:val="00EC6489"/>
    <w:rsid w:val="00EC7A9C"/>
    <w:rsid w:val="00EC7EE8"/>
    <w:rsid w:val="00ED1463"/>
    <w:rsid w:val="00ED39B1"/>
    <w:rsid w:val="00ED533E"/>
    <w:rsid w:val="00EE453F"/>
    <w:rsid w:val="00EF5E8C"/>
    <w:rsid w:val="00F00213"/>
    <w:rsid w:val="00F0106A"/>
    <w:rsid w:val="00F10247"/>
    <w:rsid w:val="00F16A0A"/>
    <w:rsid w:val="00F17005"/>
    <w:rsid w:val="00F32FDE"/>
    <w:rsid w:val="00F33713"/>
    <w:rsid w:val="00F33D1B"/>
    <w:rsid w:val="00F344AD"/>
    <w:rsid w:val="00F34EED"/>
    <w:rsid w:val="00F4143F"/>
    <w:rsid w:val="00F431EF"/>
    <w:rsid w:val="00F44734"/>
    <w:rsid w:val="00F4625B"/>
    <w:rsid w:val="00F508D1"/>
    <w:rsid w:val="00F511D1"/>
    <w:rsid w:val="00F52E48"/>
    <w:rsid w:val="00F5623A"/>
    <w:rsid w:val="00F56A29"/>
    <w:rsid w:val="00F63179"/>
    <w:rsid w:val="00F63719"/>
    <w:rsid w:val="00F66FA7"/>
    <w:rsid w:val="00F71940"/>
    <w:rsid w:val="00F75813"/>
    <w:rsid w:val="00F76D51"/>
    <w:rsid w:val="00F872CC"/>
    <w:rsid w:val="00F90798"/>
    <w:rsid w:val="00F90EB2"/>
    <w:rsid w:val="00F9157A"/>
    <w:rsid w:val="00FA0223"/>
    <w:rsid w:val="00FA2B6D"/>
    <w:rsid w:val="00FA3431"/>
    <w:rsid w:val="00FB2D17"/>
    <w:rsid w:val="00FB572C"/>
    <w:rsid w:val="00FB575C"/>
    <w:rsid w:val="00FB690D"/>
    <w:rsid w:val="00FB69B6"/>
    <w:rsid w:val="00FB72C2"/>
    <w:rsid w:val="00FC308D"/>
    <w:rsid w:val="00FC65F0"/>
    <w:rsid w:val="00FD226C"/>
    <w:rsid w:val="00FD4FEF"/>
    <w:rsid w:val="00FD7A00"/>
    <w:rsid w:val="00FE0D1E"/>
    <w:rsid w:val="00FE10CF"/>
    <w:rsid w:val="00FE1F8F"/>
    <w:rsid w:val="00FE3218"/>
    <w:rsid w:val="00FE3B75"/>
    <w:rsid w:val="00FE526F"/>
    <w:rsid w:val="00FE592A"/>
    <w:rsid w:val="00FE7362"/>
    <w:rsid w:val="00FE7844"/>
    <w:rsid w:val="00FF10AA"/>
    <w:rsid w:val="00FF1190"/>
    <w:rsid w:val="00FF4260"/>
    <w:rsid w:val="00FF52AE"/>
    <w:rsid w:val="00FF5AA2"/>
    <w:rsid w:val="00FF669B"/>
    <w:rsid w:val="00FF7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B72C2"/>
    <w:pPr>
      <w:spacing w:before="60" w:after="60" w:line="340" w:lineRule="atLeast"/>
    </w:pPr>
    <w:rPr>
      <w:rFonts w:ascii="Arial" w:hAnsi="Arial" w:cs="Sendnya"/>
      <w:szCs w:val="22"/>
    </w:rPr>
  </w:style>
  <w:style w:type="paragraph" w:styleId="Heading1">
    <w:name w:val="heading 1"/>
    <w:basedOn w:val="Normal"/>
    <w:next w:val="Normal"/>
    <w:rsid w:val="004E368F"/>
    <w:pPr>
      <w:keepNext/>
      <w:numPr>
        <w:numId w:val="1"/>
      </w:numPr>
      <w:tabs>
        <w:tab w:val="clear" w:pos="567"/>
      </w:tabs>
      <w:spacing w:before="340" w:after="120"/>
      <w:ind w:left="851" w:hanging="851"/>
      <w:outlineLvl w:val="0"/>
    </w:pPr>
    <w:rPr>
      <w:b/>
      <w:bCs/>
      <w:kern w:val="28"/>
      <w:sz w:val="24"/>
      <w:szCs w:val="28"/>
    </w:rPr>
  </w:style>
  <w:style w:type="paragraph" w:styleId="Heading2">
    <w:name w:val="heading 2"/>
    <w:basedOn w:val="Normal"/>
    <w:next w:val="Normal"/>
    <w:rsid w:val="004E368F"/>
    <w:pPr>
      <w:keepNext/>
      <w:numPr>
        <w:ilvl w:val="1"/>
        <w:numId w:val="1"/>
      </w:numPr>
      <w:tabs>
        <w:tab w:val="clear" w:pos="567"/>
      </w:tabs>
      <w:spacing w:before="220"/>
      <w:ind w:left="851" w:hanging="851"/>
      <w:outlineLvl w:val="1"/>
    </w:pPr>
    <w:rPr>
      <w:b/>
      <w:bCs/>
      <w:szCs w:val="26"/>
    </w:rPr>
  </w:style>
  <w:style w:type="paragraph" w:styleId="Heading3">
    <w:name w:val="heading 3"/>
    <w:basedOn w:val="Normal"/>
    <w:next w:val="Normal"/>
    <w:rsid w:val="004E368F"/>
    <w:pPr>
      <w:keepNext/>
      <w:numPr>
        <w:ilvl w:val="2"/>
        <w:numId w:val="1"/>
      </w:numPr>
      <w:tabs>
        <w:tab w:val="clear" w:pos="567"/>
      </w:tabs>
      <w:spacing w:before="160"/>
      <w:ind w:left="851" w:hanging="851"/>
      <w:outlineLvl w:val="2"/>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
    <w:name w:val="Annex"/>
    <w:basedOn w:val="Heading2"/>
    <w:next w:val="Normal"/>
    <w:qFormat/>
    <w:rsid w:val="00FC65F0"/>
    <w:pPr>
      <w:pageBreakBefore/>
      <w:numPr>
        <w:ilvl w:val="0"/>
        <w:numId w:val="2"/>
      </w:numPr>
      <w:tabs>
        <w:tab w:val="left" w:pos="1134"/>
      </w:tabs>
      <w:ind w:left="357" w:hanging="357"/>
    </w:pPr>
    <w:rPr>
      <w:szCs w:val="22"/>
    </w:rPr>
  </w:style>
  <w:style w:type="paragraph" w:customStyle="1" w:styleId="ECBlist1">
    <w:name w:val="ECB list 1"/>
    <w:basedOn w:val="List"/>
    <w:rsid w:val="0080396D"/>
    <w:pPr>
      <w:numPr>
        <w:numId w:val="3"/>
      </w:numPr>
      <w:tabs>
        <w:tab w:val="num" w:pos="360"/>
      </w:tabs>
      <w:ind w:left="567" w:hanging="567"/>
    </w:pPr>
    <w:rPr>
      <w:b/>
    </w:rPr>
  </w:style>
  <w:style w:type="paragraph" w:styleId="List">
    <w:name w:val="List"/>
    <w:basedOn w:val="Normal"/>
    <w:uiPriority w:val="99"/>
    <w:semiHidden/>
    <w:unhideWhenUsed/>
    <w:rsid w:val="00FC65F0"/>
    <w:pPr>
      <w:ind w:left="283" w:hanging="283"/>
      <w:contextualSpacing/>
    </w:pPr>
  </w:style>
  <w:style w:type="paragraph" w:customStyle="1" w:styleId="ECBList2">
    <w:name w:val="ECB List 2"/>
    <w:basedOn w:val="ECBlist1"/>
    <w:rsid w:val="0080396D"/>
    <w:pPr>
      <w:numPr>
        <w:numId w:val="4"/>
      </w:numPr>
      <w:tabs>
        <w:tab w:val="num" w:pos="360"/>
      </w:tabs>
      <w:ind w:left="1134" w:hanging="567"/>
    </w:pPr>
  </w:style>
  <w:style w:type="paragraph" w:styleId="Footer">
    <w:name w:val="footer"/>
    <w:basedOn w:val="Normal"/>
    <w:rsid w:val="00FC65F0"/>
    <w:pPr>
      <w:spacing w:line="200" w:lineRule="atLeast"/>
      <w:jc w:val="right"/>
    </w:pPr>
    <w:rPr>
      <w:noProof/>
      <w:snapToGrid w:val="0"/>
      <w:sz w:val="17"/>
      <w:szCs w:val="16"/>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sid w:val="00870A94"/>
    <w:pPr>
      <w:keepLines/>
      <w:tabs>
        <w:tab w:val="left" w:pos="284"/>
      </w:tabs>
      <w:spacing w:line="200" w:lineRule="atLeast"/>
      <w:ind w:left="284" w:hanging="284"/>
    </w:pPr>
    <w:rPr>
      <w:sz w:val="18"/>
      <w:szCs w:val="18"/>
    </w:rPr>
  </w:style>
  <w:style w:type="paragraph" w:styleId="Header">
    <w:name w:val="header"/>
    <w:basedOn w:val="Normal"/>
    <w:rsid w:val="00870A94"/>
    <w:pPr>
      <w:spacing w:line="160" w:lineRule="atLeast"/>
      <w:jc w:val="center"/>
    </w:pPr>
    <w:rPr>
      <w:sz w:val="16"/>
      <w:szCs w:val="16"/>
    </w:rPr>
  </w:style>
  <w:style w:type="paragraph" w:styleId="TOC1">
    <w:name w:val="toc 1"/>
    <w:basedOn w:val="Normal"/>
    <w:next w:val="Normal"/>
    <w:semiHidden/>
    <w:rsid w:val="00870A94"/>
    <w:pPr>
      <w:tabs>
        <w:tab w:val="left" w:pos="993"/>
        <w:tab w:val="right" w:pos="9214"/>
      </w:tabs>
      <w:spacing w:line="280" w:lineRule="exact"/>
      <w:ind w:left="993" w:right="566" w:hanging="993"/>
    </w:pPr>
    <w:rPr>
      <w:b/>
      <w:bCs/>
      <w:noProof/>
    </w:rPr>
  </w:style>
  <w:style w:type="paragraph" w:styleId="TOC2">
    <w:name w:val="toc 2"/>
    <w:basedOn w:val="Normal"/>
    <w:next w:val="Normal"/>
    <w:semiHidden/>
    <w:rsid w:val="00870A94"/>
    <w:pPr>
      <w:tabs>
        <w:tab w:val="left" w:pos="993"/>
        <w:tab w:val="right" w:pos="9214"/>
      </w:tabs>
      <w:spacing w:line="280" w:lineRule="exact"/>
      <w:ind w:left="993" w:right="424" w:hanging="993"/>
    </w:pPr>
    <w:rPr>
      <w:noProof/>
    </w:rPr>
  </w:style>
  <w:style w:type="paragraph" w:styleId="TOC3">
    <w:name w:val="toc 3"/>
    <w:basedOn w:val="Normal"/>
    <w:next w:val="Normal"/>
    <w:semiHidden/>
    <w:rsid w:val="00870A94"/>
    <w:pPr>
      <w:tabs>
        <w:tab w:val="right" w:pos="9214"/>
      </w:tabs>
      <w:spacing w:line="280" w:lineRule="exact"/>
      <w:ind w:left="993" w:right="424" w:hanging="993"/>
    </w:pPr>
    <w:rPr>
      <w:i/>
      <w:iCs/>
      <w:noProof/>
    </w:rPr>
  </w:style>
  <w:style w:type="paragraph" w:styleId="BalloonText">
    <w:name w:val="Balloon Text"/>
    <w:basedOn w:val="Normal"/>
    <w:semiHidden/>
    <w:rsid w:val="00110E6C"/>
    <w:rPr>
      <w:rFonts w:ascii="Tahoma" w:hAnsi="Tahoma"/>
      <w:sz w:val="16"/>
      <w:szCs w:val="16"/>
    </w:rPr>
  </w:style>
  <w:style w:type="paragraph" w:customStyle="1" w:styleId="ECBMarking">
    <w:name w:val="ECB Marking"/>
    <w:basedOn w:val="Normal"/>
    <w:qFormat/>
    <w:rsid w:val="0080396D"/>
    <w:pPr>
      <w:jc w:val="right"/>
    </w:pPr>
    <w:rPr>
      <w:b/>
    </w:rPr>
  </w:style>
  <w:style w:type="paragraph" w:customStyle="1" w:styleId="ECBBodyText">
    <w:name w:val="ECB Body Text"/>
    <w:basedOn w:val="Normal"/>
    <w:link w:val="ECBBodyTextChar"/>
    <w:qFormat/>
    <w:rsid w:val="00CF78C5"/>
    <w:pPr>
      <w:spacing w:line="240" w:lineRule="atLeast"/>
    </w:pPr>
  </w:style>
  <w:style w:type="character" w:customStyle="1" w:styleId="ECBBodyTextChar">
    <w:name w:val="ECB Body Text Char"/>
    <w:link w:val="ECBBodyText"/>
    <w:rsid w:val="00CF78C5"/>
    <w:rPr>
      <w:rFonts w:ascii="Arial" w:hAnsi="Arial" w:cs="Sendnya"/>
      <w:szCs w:val="22"/>
    </w:rPr>
  </w:style>
  <w:style w:type="paragraph" w:customStyle="1" w:styleId="ECBTitlereference">
    <w:name w:val="ECB Title/ reference"/>
    <w:basedOn w:val="Normal"/>
    <w:rsid w:val="0080396D"/>
    <w:pPr>
      <w:spacing w:before="0" w:after="0" w:line="240" w:lineRule="atLeast"/>
    </w:pPr>
    <w:rPr>
      <w:rFonts w:cs="Times New Roman"/>
      <w:sz w:val="17"/>
      <w:szCs w:val="20"/>
    </w:rPr>
  </w:style>
  <w:style w:type="paragraph" w:customStyle="1" w:styleId="ECBStatus">
    <w:name w:val="ECB Status"/>
    <w:basedOn w:val="Normal"/>
    <w:qFormat/>
    <w:rsid w:val="0080396D"/>
    <w:pPr>
      <w:spacing w:before="0" w:after="0" w:line="240" w:lineRule="atLeast"/>
      <w:jc w:val="right"/>
    </w:pPr>
    <w:rPr>
      <w:b/>
    </w:rPr>
  </w:style>
  <w:style w:type="paragraph" w:customStyle="1" w:styleId="ECBReferenceNo">
    <w:name w:val="ECB Reference No."/>
    <w:basedOn w:val="Normal"/>
    <w:rsid w:val="0080396D"/>
    <w:pPr>
      <w:spacing w:before="0" w:after="0" w:line="240" w:lineRule="atLeast"/>
      <w:jc w:val="right"/>
    </w:pPr>
    <w:rPr>
      <w:rFonts w:cs="Times New Roman"/>
      <w:sz w:val="17"/>
      <w:szCs w:val="20"/>
    </w:rPr>
  </w:style>
  <w:style w:type="paragraph" w:customStyle="1" w:styleId="ECBTitle">
    <w:name w:val="ECB Title"/>
    <w:basedOn w:val="Normal"/>
    <w:rsid w:val="0080396D"/>
    <w:rPr>
      <w:rFonts w:cs="Times New Roman"/>
      <w:b/>
      <w:bCs/>
      <w:sz w:val="24"/>
      <w:szCs w:val="20"/>
    </w:rPr>
  </w:style>
  <w:style w:type="paragraph" w:customStyle="1" w:styleId="ECBHeading1">
    <w:name w:val="ECB Heading 1"/>
    <w:basedOn w:val="Heading1"/>
    <w:rsid w:val="0080396D"/>
    <w:rPr>
      <w:rFonts w:cs="Times New Roman"/>
      <w:szCs w:val="20"/>
    </w:rPr>
  </w:style>
  <w:style w:type="paragraph" w:customStyle="1" w:styleId="ECBHeading2">
    <w:name w:val="ECB Heading 2"/>
    <w:basedOn w:val="Heading2"/>
    <w:rsid w:val="0080396D"/>
    <w:rPr>
      <w:rFonts w:cs="Times New Roman"/>
      <w:szCs w:val="20"/>
    </w:rPr>
  </w:style>
  <w:style w:type="paragraph" w:customStyle="1" w:styleId="ECBHeading3">
    <w:name w:val="ECB Heading 3"/>
    <w:basedOn w:val="Heading3"/>
    <w:rsid w:val="0080396D"/>
    <w:rPr>
      <w:rFonts w:cs="Times New Roman"/>
      <w:szCs w:val="20"/>
    </w:rPr>
  </w:style>
  <w:style w:type="paragraph" w:customStyle="1" w:styleId="ECBClassification">
    <w:name w:val="ECB Classification"/>
    <w:basedOn w:val="Normal"/>
    <w:qFormat/>
    <w:rsid w:val="00FC65F0"/>
    <w:pPr>
      <w:jc w:val="right"/>
    </w:pPr>
    <w:rPr>
      <w:b/>
    </w:rPr>
  </w:style>
  <w:style w:type="paragraph" w:customStyle="1" w:styleId="StyleBefore0ptAfter0ptLinespacingExactly12pt">
    <w:name w:val="Style Before:  0 pt After:  0 pt Line spacing:  Exactly 12 pt"/>
    <w:basedOn w:val="Normal"/>
    <w:rsid w:val="0080396D"/>
    <w:pPr>
      <w:spacing w:before="0" w:after="0" w:line="240" w:lineRule="atLeast"/>
    </w:pPr>
    <w:rPr>
      <w:rFonts w:cs="Times New Roman"/>
      <w:szCs w:val="20"/>
    </w:rPr>
  </w:style>
  <w:style w:type="character" w:styleId="CommentReference">
    <w:name w:val="annotation reference"/>
    <w:basedOn w:val="DefaultParagraphFont"/>
    <w:uiPriority w:val="99"/>
    <w:semiHidden/>
    <w:unhideWhenUsed/>
    <w:rsid w:val="00364C97"/>
    <w:rPr>
      <w:sz w:val="16"/>
      <w:szCs w:val="16"/>
    </w:rPr>
  </w:style>
  <w:style w:type="paragraph" w:styleId="CommentText">
    <w:name w:val="annotation text"/>
    <w:basedOn w:val="Normal"/>
    <w:link w:val="CommentTextChar"/>
    <w:uiPriority w:val="99"/>
    <w:unhideWhenUsed/>
    <w:rsid w:val="00364C97"/>
    <w:pPr>
      <w:spacing w:line="240" w:lineRule="auto"/>
    </w:pPr>
    <w:rPr>
      <w:szCs w:val="20"/>
    </w:rPr>
  </w:style>
  <w:style w:type="character" w:customStyle="1" w:styleId="CommentTextChar">
    <w:name w:val="Comment Text Char"/>
    <w:basedOn w:val="DefaultParagraphFont"/>
    <w:link w:val="CommentText"/>
    <w:uiPriority w:val="99"/>
    <w:rsid w:val="00364C97"/>
    <w:rPr>
      <w:rFonts w:ascii="Arial" w:hAnsi="Arial" w:cs="Sendnya"/>
    </w:rPr>
  </w:style>
  <w:style w:type="paragraph" w:styleId="CommentSubject">
    <w:name w:val="annotation subject"/>
    <w:basedOn w:val="CommentText"/>
    <w:next w:val="CommentText"/>
    <w:link w:val="CommentSubjectChar"/>
    <w:uiPriority w:val="99"/>
    <w:semiHidden/>
    <w:unhideWhenUsed/>
    <w:rsid w:val="00364C97"/>
    <w:rPr>
      <w:b/>
      <w:bCs/>
    </w:rPr>
  </w:style>
  <w:style w:type="character" w:customStyle="1" w:styleId="CommentSubjectChar">
    <w:name w:val="Comment Subject Char"/>
    <w:basedOn w:val="CommentTextChar"/>
    <w:link w:val="CommentSubject"/>
    <w:uiPriority w:val="99"/>
    <w:semiHidden/>
    <w:rsid w:val="00364C97"/>
    <w:rPr>
      <w:rFonts w:ascii="Arial" w:hAnsi="Arial" w:cs="Sendnya"/>
      <w:b/>
      <w:bCs/>
    </w:rPr>
  </w:style>
  <w:style w:type="paragraph" w:styleId="ListParagraph">
    <w:name w:val="List Paragraph"/>
    <w:aliases w:val="OBC Bullet,List Paragraph11,F5 List Paragraph,Bullet Points,Dot pt,List Paragraph1,Colorful List - Accent 11,No Spacing1,List Paragraph Char Char Char,Indicator Text,Numbered Para 1,Bullet 1,List Paragraph2,MAIN CONTENT,List Paragraph12,L"/>
    <w:basedOn w:val="Normal"/>
    <w:link w:val="ListParagraphChar"/>
    <w:uiPriority w:val="34"/>
    <w:qFormat/>
    <w:rsid w:val="00867D73"/>
    <w:pPr>
      <w:ind w:left="720"/>
      <w:contextualSpacing/>
    </w:pPr>
  </w:style>
  <w:style w:type="paragraph" w:styleId="Revision">
    <w:name w:val="Revision"/>
    <w:hidden/>
    <w:uiPriority w:val="99"/>
    <w:semiHidden/>
    <w:rsid w:val="004A6CF1"/>
    <w:rPr>
      <w:rFonts w:ascii="Arial" w:hAnsi="Arial" w:cs="Sendnya"/>
      <w:szCs w:val="22"/>
    </w:rPr>
  </w:style>
  <w:style w:type="character" w:styleId="Hyperlink">
    <w:name w:val="Hyperlink"/>
    <w:basedOn w:val="DefaultParagraphFont"/>
    <w:uiPriority w:val="99"/>
    <w:unhideWhenUsed/>
    <w:rsid w:val="00B23D7A"/>
    <w:rPr>
      <w:color w:val="0000FF" w:themeColor="hyperlink"/>
      <w:u w:val="single"/>
    </w:rPr>
  </w:style>
  <w:style w:type="paragraph" w:styleId="Caption">
    <w:name w:val="caption"/>
    <w:basedOn w:val="Normal"/>
    <w:uiPriority w:val="35"/>
    <w:semiHidden/>
    <w:unhideWhenUsed/>
    <w:qFormat/>
    <w:rsid w:val="00546354"/>
    <w:pPr>
      <w:spacing w:before="0" w:after="200" w:line="240" w:lineRule="auto"/>
    </w:pPr>
    <w:rPr>
      <w:rFonts w:ascii="Calibri" w:eastAsiaTheme="minorHAnsi" w:hAnsi="Calibri" w:cs="Times New Roman"/>
      <w:b/>
      <w:bCs/>
      <w:color w:val="4F81BD"/>
      <w:sz w:val="18"/>
      <w:szCs w:val="18"/>
      <w:lang w:eastAsia="en-US"/>
    </w:rPr>
  </w:style>
  <w:style w:type="paragraph" w:styleId="NoSpacing">
    <w:name w:val="No Spacing"/>
    <w:uiPriority w:val="1"/>
    <w:qFormat/>
    <w:rsid w:val="00093749"/>
    <w:rPr>
      <w:rFonts w:ascii="Arial" w:hAnsi="Arial" w:cs="Sendnya"/>
      <w:szCs w:val="22"/>
    </w:rPr>
  </w:style>
  <w:style w:type="paragraph" w:styleId="NormalWeb">
    <w:name w:val="Normal (Web)"/>
    <w:basedOn w:val="Normal"/>
    <w:uiPriority w:val="99"/>
    <w:unhideWhenUsed/>
    <w:rsid w:val="002253C8"/>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C4997"/>
    <w:rPr>
      <w:color w:val="800080" w:themeColor="followedHyperlink"/>
      <w:u w:val="single"/>
    </w:rPr>
  </w:style>
  <w:style w:type="character" w:customStyle="1" w:styleId="ListParagraphChar">
    <w:name w:val="List Paragraph Char"/>
    <w:aliases w:val="OBC Bullet Char,List Paragraph11 Char,F5 List Paragraph Char,Bullet Points Char,Dot pt Char,List Paragraph1 Char,Colorful List - Accent 11 Char,No Spacing1 Char,List Paragraph Char Char Char Char,Indicator Text Char,Bullet 1 Char"/>
    <w:link w:val="ListParagraph"/>
    <w:uiPriority w:val="34"/>
    <w:qFormat/>
    <w:locked/>
    <w:rsid w:val="007D2B03"/>
    <w:rPr>
      <w:rFonts w:ascii="Arial" w:hAnsi="Arial" w:cs="Sendnya"/>
      <w:szCs w:val="22"/>
    </w:rPr>
  </w:style>
  <w:style w:type="paragraph" w:customStyle="1" w:styleId="norm">
    <w:name w:val="norm"/>
    <w:basedOn w:val="Normal"/>
    <w:link w:val="normChar"/>
    <w:rsid w:val="009C6879"/>
    <w:pPr>
      <w:tabs>
        <w:tab w:val="left" w:pos="851"/>
        <w:tab w:val="right" w:pos="9356"/>
      </w:tabs>
      <w:spacing w:line="360" w:lineRule="atLeast"/>
      <w:jc w:val="both"/>
    </w:pPr>
    <w:rPr>
      <w:rFonts w:ascii="Times New Roman" w:hAnsi="Times New Roman" w:cs="Times New Roman"/>
      <w:sz w:val="22"/>
      <w:szCs w:val="20"/>
    </w:rPr>
  </w:style>
  <w:style w:type="character" w:customStyle="1" w:styleId="normChar">
    <w:name w:val="norm Char"/>
    <w:link w:val="norm"/>
    <w:rsid w:val="009C6879"/>
    <w:rPr>
      <w:sz w:val="22"/>
    </w:rPr>
  </w:style>
  <w:style w:type="character" w:customStyle="1" w:styleId="FootnoteTextChar">
    <w:name w:val="Footnote Text Char"/>
    <w:basedOn w:val="DefaultParagraphFont"/>
    <w:link w:val="FootnoteText"/>
    <w:uiPriority w:val="99"/>
    <w:semiHidden/>
    <w:rsid w:val="004775E6"/>
    <w:rPr>
      <w:rFonts w:ascii="Arial" w:hAnsi="Arial" w:cs="Sendnya"/>
      <w:sz w:val="18"/>
      <w:szCs w:val="18"/>
    </w:rPr>
  </w:style>
  <w:style w:type="table" w:styleId="TableGrid">
    <w:name w:val="Table Grid"/>
    <w:basedOn w:val="TableNormal"/>
    <w:uiPriority w:val="59"/>
    <w:rsid w:val="00432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53B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B72C2"/>
    <w:pPr>
      <w:spacing w:before="60" w:after="60" w:line="340" w:lineRule="atLeast"/>
    </w:pPr>
    <w:rPr>
      <w:rFonts w:ascii="Arial" w:hAnsi="Arial" w:cs="Sendnya"/>
      <w:szCs w:val="22"/>
    </w:rPr>
  </w:style>
  <w:style w:type="paragraph" w:styleId="Heading1">
    <w:name w:val="heading 1"/>
    <w:basedOn w:val="Normal"/>
    <w:next w:val="Normal"/>
    <w:rsid w:val="004E368F"/>
    <w:pPr>
      <w:keepNext/>
      <w:numPr>
        <w:numId w:val="1"/>
      </w:numPr>
      <w:tabs>
        <w:tab w:val="clear" w:pos="567"/>
      </w:tabs>
      <w:spacing w:before="340" w:after="120"/>
      <w:ind w:left="851" w:hanging="851"/>
      <w:outlineLvl w:val="0"/>
    </w:pPr>
    <w:rPr>
      <w:b/>
      <w:bCs/>
      <w:kern w:val="28"/>
      <w:sz w:val="24"/>
      <w:szCs w:val="28"/>
    </w:rPr>
  </w:style>
  <w:style w:type="paragraph" w:styleId="Heading2">
    <w:name w:val="heading 2"/>
    <w:basedOn w:val="Normal"/>
    <w:next w:val="Normal"/>
    <w:rsid w:val="004E368F"/>
    <w:pPr>
      <w:keepNext/>
      <w:numPr>
        <w:ilvl w:val="1"/>
        <w:numId w:val="1"/>
      </w:numPr>
      <w:tabs>
        <w:tab w:val="clear" w:pos="567"/>
      </w:tabs>
      <w:spacing w:before="220"/>
      <w:ind w:left="851" w:hanging="851"/>
      <w:outlineLvl w:val="1"/>
    </w:pPr>
    <w:rPr>
      <w:b/>
      <w:bCs/>
      <w:szCs w:val="26"/>
    </w:rPr>
  </w:style>
  <w:style w:type="paragraph" w:styleId="Heading3">
    <w:name w:val="heading 3"/>
    <w:basedOn w:val="Normal"/>
    <w:next w:val="Normal"/>
    <w:rsid w:val="004E368F"/>
    <w:pPr>
      <w:keepNext/>
      <w:numPr>
        <w:ilvl w:val="2"/>
        <w:numId w:val="1"/>
      </w:numPr>
      <w:tabs>
        <w:tab w:val="clear" w:pos="567"/>
      </w:tabs>
      <w:spacing w:before="160"/>
      <w:ind w:left="851" w:hanging="851"/>
      <w:outlineLvl w:val="2"/>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
    <w:name w:val="Annex"/>
    <w:basedOn w:val="Heading2"/>
    <w:next w:val="Normal"/>
    <w:qFormat/>
    <w:rsid w:val="00FC65F0"/>
    <w:pPr>
      <w:pageBreakBefore/>
      <w:numPr>
        <w:ilvl w:val="0"/>
        <w:numId w:val="2"/>
      </w:numPr>
      <w:tabs>
        <w:tab w:val="left" w:pos="1134"/>
      </w:tabs>
      <w:ind w:left="357" w:hanging="357"/>
    </w:pPr>
    <w:rPr>
      <w:szCs w:val="22"/>
    </w:rPr>
  </w:style>
  <w:style w:type="paragraph" w:customStyle="1" w:styleId="ECBlist1">
    <w:name w:val="ECB list 1"/>
    <w:basedOn w:val="List"/>
    <w:rsid w:val="0080396D"/>
    <w:pPr>
      <w:numPr>
        <w:numId w:val="3"/>
      </w:numPr>
      <w:tabs>
        <w:tab w:val="num" w:pos="360"/>
      </w:tabs>
      <w:ind w:left="567" w:hanging="567"/>
    </w:pPr>
    <w:rPr>
      <w:b/>
    </w:rPr>
  </w:style>
  <w:style w:type="paragraph" w:styleId="List">
    <w:name w:val="List"/>
    <w:basedOn w:val="Normal"/>
    <w:uiPriority w:val="99"/>
    <w:semiHidden/>
    <w:unhideWhenUsed/>
    <w:rsid w:val="00FC65F0"/>
    <w:pPr>
      <w:ind w:left="283" w:hanging="283"/>
      <w:contextualSpacing/>
    </w:pPr>
  </w:style>
  <w:style w:type="paragraph" w:customStyle="1" w:styleId="ECBList2">
    <w:name w:val="ECB List 2"/>
    <w:basedOn w:val="ECBlist1"/>
    <w:rsid w:val="0080396D"/>
    <w:pPr>
      <w:numPr>
        <w:numId w:val="4"/>
      </w:numPr>
      <w:tabs>
        <w:tab w:val="num" w:pos="360"/>
      </w:tabs>
      <w:ind w:left="1134" w:hanging="567"/>
    </w:pPr>
  </w:style>
  <w:style w:type="paragraph" w:styleId="Footer">
    <w:name w:val="footer"/>
    <w:basedOn w:val="Normal"/>
    <w:rsid w:val="00FC65F0"/>
    <w:pPr>
      <w:spacing w:line="200" w:lineRule="atLeast"/>
      <w:jc w:val="right"/>
    </w:pPr>
    <w:rPr>
      <w:noProof/>
      <w:snapToGrid w:val="0"/>
      <w:sz w:val="17"/>
      <w:szCs w:val="16"/>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sid w:val="00870A94"/>
    <w:pPr>
      <w:keepLines/>
      <w:tabs>
        <w:tab w:val="left" w:pos="284"/>
      </w:tabs>
      <w:spacing w:line="200" w:lineRule="atLeast"/>
      <w:ind w:left="284" w:hanging="284"/>
    </w:pPr>
    <w:rPr>
      <w:sz w:val="18"/>
      <w:szCs w:val="18"/>
    </w:rPr>
  </w:style>
  <w:style w:type="paragraph" w:styleId="Header">
    <w:name w:val="header"/>
    <w:basedOn w:val="Normal"/>
    <w:rsid w:val="00870A94"/>
    <w:pPr>
      <w:spacing w:line="160" w:lineRule="atLeast"/>
      <w:jc w:val="center"/>
    </w:pPr>
    <w:rPr>
      <w:sz w:val="16"/>
      <w:szCs w:val="16"/>
    </w:rPr>
  </w:style>
  <w:style w:type="paragraph" w:styleId="TOC1">
    <w:name w:val="toc 1"/>
    <w:basedOn w:val="Normal"/>
    <w:next w:val="Normal"/>
    <w:semiHidden/>
    <w:rsid w:val="00870A94"/>
    <w:pPr>
      <w:tabs>
        <w:tab w:val="left" w:pos="993"/>
        <w:tab w:val="right" w:pos="9214"/>
      </w:tabs>
      <w:spacing w:line="280" w:lineRule="exact"/>
      <w:ind w:left="993" w:right="566" w:hanging="993"/>
    </w:pPr>
    <w:rPr>
      <w:b/>
      <w:bCs/>
      <w:noProof/>
    </w:rPr>
  </w:style>
  <w:style w:type="paragraph" w:styleId="TOC2">
    <w:name w:val="toc 2"/>
    <w:basedOn w:val="Normal"/>
    <w:next w:val="Normal"/>
    <w:semiHidden/>
    <w:rsid w:val="00870A94"/>
    <w:pPr>
      <w:tabs>
        <w:tab w:val="left" w:pos="993"/>
        <w:tab w:val="right" w:pos="9214"/>
      </w:tabs>
      <w:spacing w:line="280" w:lineRule="exact"/>
      <w:ind w:left="993" w:right="424" w:hanging="993"/>
    </w:pPr>
    <w:rPr>
      <w:noProof/>
    </w:rPr>
  </w:style>
  <w:style w:type="paragraph" w:styleId="TOC3">
    <w:name w:val="toc 3"/>
    <w:basedOn w:val="Normal"/>
    <w:next w:val="Normal"/>
    <w:semiHidden/>
    <w:rsid w:val="00870A94"/>
    <w:pPr>
      <w:tabs>
        <w:tab w:val="right" w:pos="9214"/>
      </w:tabs>
      <w:spacing w:line="280" w:lineRule="exact"/>
      <w:ind w:left="993" w:right="424" w:hanging="993"/>
    </w:pPr>
    <w:rPr>
      <w:i/>
      <w:iCs/>
      <w:noProof/>
    </w:rPr>
  </w:style>
  <w:style w:type="paragraph" w:styleId="BalloonText">
    <w:name w:val="Balloon Text"/>
    <w:basedOn w:val="Normal"/>
    <w:semiHidden/>
    <w:rsid w:val="00110E6C"/>
    <w:rPr>
      <w:rFonts w:ascii="Tahoma" w:hAnsi="Tahoma"/>
      <w:sz w:val="16"/>
      <w:szCs w:val="16"/>
    </w:rPr>
  </w:style>
  <w:style w:type="paragraph" w:customStyle="1" w:styleId="ECBMarking">
    <w:name w:val="ECB Marking"/>
    <w:basedOn w:val="Normal"/>
    <w:qFormat/>
    <w:rsid w:val="0080396D"/>
    <w:pPr>
      <w:jc w:val="right"/>
    </w:pPr>
    <w:rPr>
      <w:b/>
    </w:rPr>
  </w:style>
  <w:style w:type="paragraph" w:customStyle="1" w:styleId="ECBBodyText">
    <w:name w:val="ECB Body Text"/>
    <w:basedOn w:val="Normal"/>
    <w:link w:val="ECBBodyTextChar"/>
    <w:qFormat/>
    <w:rsid w:val="00CF78C5"/>
    <w:pPr>
      <w:spacing w:line="240" w:lineRule="atLeast"/>
    </w:pPr>
  </w:style>
  <w:style w:type="character" w:customStyle="1" w:styleId="ECBBodyTextChar">
    <w:name w:val="ECB Body Text Char"/>
    <w:link w:val="ECBBodyText"/>
    <w:rsid w:val="00CF78C5"/>
    <w:rPr>
      <w:rFonts w:ascii="Arial" w:hAnsi="Arial" w:cs="Sendnya"/>
      <w:szCs w:val="22"/>
    </w:rPr>
  </w:style>
  <w:style w:type="paragraph" w:customStyle="1" w:styleId="ECBTitlereference">
    <w:name w:val="ECB Title/ reference"/>
    <w:basedOn w:val="Normal"/>
    <w:rsid w:val="0080396D"/>
    <w:pPr>
      <w:spacing w:before="0" w:after="0" w:line="240" w:lineRule="atLeast"/>
    </w:pPr>
    <w:rPr>
      <w:rFonts w:cs="Times New Roman"/>
      <w:sz w:val="17"/>
      <w:szCs w:val="20"/>
    </w:rPr>
  </w:style>
  <w:style w:type="paragraph" w:customStyle="1" w:styleId="ECBStatus">
    <w:name w:val="ECB Status"/>
    <w:basedOn w:val="Normal"/>
    <w:qFormat/>
    <w:rsid w:val="0080396D"/>
    <w:pPr>
      <w:spacing w:before="0" w:after="0" w:line="240" w:lineRule="atLeast"/>
      <w:jc w:val="right"/>
    </w:pPr>
    <w:rPr>
      <w:b/>
    </w:rPr>
  </w:style>
  <w:style w:type="paragraph" w:customStyle="1" w:styleId="ECBReferenceNo">
    <w:name w:val="ECB Reference No."/>
    <w:basedOn w:val="Normal"/>
    <w:rsid w:val="0080396D"/>
    <w:pPr>
      <w:spacing w:before="0" w:after="0" w:line="240" w:lineRule="atLeast"/>
      <w:jc w:val="right"/>
    </w:pPr>
    <w:rPr>
      <w:rFonts w:cs="Times New Roman"/>
      <w:sz w:val="17"/>
      <w:szCs w:val="20"/>
    </w:rPr>
  </w:style>
  <w:style w:type="paragraph" w:customStyle="1" w:styleId="ECBTitle">
    <w:name w:val="ECB Title"/>
    <w:basedOn w:val="Normal"/>
    <w:rsid w:val="0080396D"/>
    <w:rPr>
      <w:rFonts w:cs="Times New Roman"/>
      <w:b/>
      <w:bCs/>
      <w:sz w:val="24"/>
      <w:szCs w:val="20"/>
    </w:rPr>
  </w:style>
  <w:style w:type="paragraph" w:customStyle="1" w:styleId="ECBHeading1">
    <w:name w:val="ECB Heading 1"/>
    <w:basedOn w:val="Heading1"/>
    <w:rsid w:val="0080396D"/>
    <w:rPr>
      <w:rFonts w:cs="Times New Roman"/>
      <w:szCs w:val="20"/>
    </w:rPr>
  </w:style>
  <w:style w:type="paragraph" w:customStyle="1" w:styleId="ECBHeading2">
    <w:name w:val="ECB Heading 2"/>
    <w:basedOn w:val="Heading2"/>
    <w:rsid w:val="0080396D"/>
    <w:rPr>
      <w:rFonts w:cs="Times New Roman"/>
      <w:szCs w:val="20"/>
    </w:rPr>
  </w:style>
  <w:style w:type="paragraph" w:customStyle="1" w:styleId="ECBHeading3">
    <w:name w:val="ECB Heading 3"/>
    <w:basedOn w:val="Heading3"/>
    <w:rsid w:val="0080396D"/>
    <w:rPr>
      <w:rFonts w:cs="Times New Roman"/>
      <w:szCs w:val="20"/>
    </w:rPr>
  </w:style>
  <w:style w:type="paragraph" w:customStyle="1" w:styleId="ECBClassification">
    <w:name w:val="ECB Classification"/>
    <w:basedOn w:val="Normal"/>
    <w:qFormat/>
    <w:rsid w:val="00FC65F0"/>
    <w:pPr>
      <w:jc w:val="right"/>
    </w:pPr>
    <w:rPr>
      <w:b/>
    </w:rPr>
  </w:style>
  <w:style w:type="paragraph" w:customStyle="1" w:styleId="StyleBefore0ptAfter0ptLinespacingExactly12pt">
    <w:name w:val="Style Before:  0 pt After:  0 pt Line spacing:  Exactly 12 pt"/>
    <w:basedOn w:val="Normal"/>
    <w:rsid w:val="0080396D"/>
    <w:pPr>
      <w:spacing w:before="0" w:after="0" w:line="240" w:lineRule="atLeast"/>
    </w:pPr>
    <w:rPr>
      <w:rFonts w:cs="Times New Roman"/>
      <w:szCs w:val="20"/>
    </w:rPr>
  </w:style>
  <w:style w:type="character" w:styleId="CommentReference">
    <w:name w:val="annotation reference"/>
    <w:basedOn w:val="DefaultParagraphFont"/>
    <w:uiPriority w:val="99"/>
    <w:semiHidden/>
    <w:unhideWhenUsed/>
    <w:rsid w:val="00364C97"/>
    <w:rPr>
      <w:sz w:val="16"/>
      <w:szCs w:val="16"/>
    </w:rPr>
  </w:style>
  <w:style w:type="paragraph" w:styleId="CommentText">
    <w:name w:val="annotation text"/>
    <w:basedOn w:val="Normal"/>
    <w:link w:val="CommentTextChar"/>
    <w:uiPriority w:val="99"/>
    <w:unhideWhenUsed/>
    <w:rsid w:val="00364C97"/>
    <w:pPr>
      <w:spacing w:line="240" w:lineRule="auto"/>
    </w:pPr>
    <w:rPr>
      <w:szCs w:val="20"/>
    </w:rPr>
  </w:style>
  <w:style w:type="character" w:customStyle="1" w:styleId="CommentTextChar">
    <w:name w:val="Comment Text Char"/>
    <w:basedOn w:val="DefaultParagraphFont"/>
    <w:link w:val="CommentText"/>
    <w:uiPriority w:val="99"/>
    <w:rsid w:val="00364C97"/>
    <w:rPr>
      <w:rFonts w:ascii="Arial" w:hAnsi="Arial" w:cs="Sendnya"/>
    </w:rPr>
  </w:style>
  <w:style w:type="paragraph" w:styleId="CommentSubject">
    <w:name w:val="annotation subject"/>
    <w:basedOn w:val="CommentText"/>
    <w:next w:val="CommentText"/>
    <w:link w:val="CommentSubjectChar"/>
    <w:uiPriority w:val="99"/>
    <w:semiHidden/>
    <w:unhideWhenUsed/>
    <w:rsid w:val="00364C97"/>
    <w:rPr>
      <w:b/>
      <w:bCs/>
    </w:rPr>
  </w:style>
  <w:style w:type="character" w:customStyle="1" w:styleId="CommentSubjectChar">
    <w:name w:val="Comment Subject Char"/>
    <w:basedOn w:val="CommentTextChar"/>
    <w:link w:val="CommentSubject"/>
    <w:uiPriority w:val="99"/>
    <w:semiHidden/>
    <w:rsid w:val="00364C97"/>
    <w:rPr>
      <w:rFonts w:ascii="Arial" w:hAnsi="Arial" w:cs="Sendnya"/>
      <w:b/>
      <w:bCs/>
    </w:rPr>
  </w:style>
  <w:style w:type="paragraph" w:styleId="ListParagraph">
    <w:name w:val="List Paragraph"/>
    <w:aliases w:val="OBC Bullet,List Paragraph11,F5 List Paragraph,Bullet Points,Dot pt,List Paragraph1,Colorful List - Accent 11,No Spacing1,List Paragraph Char Char Char,Indicator Text,Numbered Para 1,Bullet 1,List Paragraph2,MAIN CONTENT,List Paragraph12,L"/>
    <w:basedOn w:val="Normal"/>
    <w:link w:val="ListParagraphChar"/>
    <w:uiPriority w:val="34"/>
    <w:qFormat/>
    <w:rsid w:val="00867D73"/>
    <w:pPr>
      <w:ind w:left="720"/>
      <w:contextualSpacing/>
    </w:pPr>
  </w:style>
  <w:style w:type="paragraph" w:styleId="Revision">
    <w:name w:val="Revision"/>
    <w:hidden/>
    <w:uiPriority w:val="99"/>
    <w:semiHidden/>
    <w:rsid w:val="004A6CF1"/>
    <w:rPr>
      <w:rFonts w:ascii="Arial" w:hAnsi="Arial" w:cs="Sendnya"/>
      <w:szCs w:val="22"/>
    </w:rPr>
  </w:style>
  <w:style w:type="character" w:styleId="Hyperlink">
    <w:name w:val="Hyperlink"/>
    <w:basedOn w:val="DefaultParagraphFont"/>
    <w:uiPriority w:val="99"/>
    <w:unhideWhenUsed/>
    <w:rsid w:val="00B23D7A"/>
    <w:rPr>
      <w:color w:val="0000FF" w:themeColor="hyperlink"/>
      <w:u w:val="single"/>
    </w:rPr>
  </w:style>
  <w:style w:type="paragraph" w:styleId="Caption">
    <w:name w:val="caption"/>
    <w:basedOn w:val="Normal"/>
    <w:uiPriority w:val="35"/>
    <w:semiHidden/>
    <w:unhideWhenUsed/>
    <w:qFormat/>
    <w:rsid w:val="00546354"/>
    <w:pPr>
      <w:spacing w:before="0" w:after="200" w:line="240" w:lineRule="auto"/>
    </w:pPr>
    <w:rPr>
      <w:rFonts w:ascii="Calibri" w:eastAsiaTheme="minorHAnsi" w:hAnsi="Calibri" w:cs="Times New Roman"/>
      <w:b/>
      <w:bCs/>
      <w:color w:val="4F81BD"/>
      <w:sz w:val="18"/>
      <w:szCs w:val="18"/>
      <w:lang w:eastAsia="en-US"/>
    </w:rPr>
  </w:style>
  <w:style w:type="paragraph" w:styleId="NoSpacing">
    <w:name w:val="No Spacing"/>
    <w:uiPriority w:val="1"/>
    <w:qFormat/>
    <w:rsid w:val="00093749"/>
    <w:rPr>
      <w:rFonts w:ascii="Arial" w:hAnsi="Arial" w:cs="Sendnya"/>
      <w:szCs w:val="22"/>
    </w:rPr>
  </w:style>
  <w:style w:type="paragraph" w:styleId="NormalWeb">
    <w:name w:val="Normal (Web)"/>
    <w:basedOn w:val="Normal"/>
    <w:uiPriority w:val="99"/>
    <w:unhideWhenUsed/>
    <w:rsid w:val="002253C8"/>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C4997"/>
    <w:rPr>
      <w:color w:val="800080" w:themeColor="followedHyperlink"/>
      <w:u w:val="single"/>
    </w:rPr>
  </w:style>
  <w:style w:type="character" w:customStyle="1" w:styleId="ListParagraphChar">
    <w:name w:val="List Paragraph Char"/>
    <w:aliases w:val="OBC Bullet Char,List Paragraph11 Char,F5 List Paragraph Char,Bullet Points Char,Dot pt Char,List Paragraph1 Char,Colorful List - Accent 11 Char,No Spacing1 Char,List Paragraph Char Char Char Char,Indicator Text Char,Bullet 1 Char"/>
    <w:link w:val="ListParagraph"/>
    <w:uiPriority w:val="34"/>
    <w:qFormat/>
    <w:locked/>
    <w:rsid w:val="007D2B03"/>
    <w:rPr>
      <w:rFonts w:ascii="Arial" w:hAnsi="Arial" w:cs="Sendnya"/>
      <w:szCs w:val="22"/>
    </w:rPr>
  </w:style>
  <w:style w:type="paragraph" w:customStyle="1" w:styleId="norm">
    <w:name w:val="norm"/>
    <w:basedOn w:val="Normal"/>
    <w:link w:val="normChar"/>
    <w:rsid w:val="009C6879"/>
    <w:pPr>
      <w:tabs>
        <w:tab w:val="left" w:pos="851"/>
        <w:tab w:val="right" w:pos="9356"/>
      </w:tabs>
      <w:spacing w:line="360" w:lineRule="atLeast"/>
      <w:jc w:val="both"/>
    </w:pPr>
    <w:rPr>
      <w:rFonts w:ascii="Times New Roman" w:hAnsi="Times New Roman" w:cs="Times New Roman"/>
      <w:sz w:val="22"/>
      <w:szCs w:val="20"/>
    </w:rPr>
  </w:style>
  <w:style w:type="character" w:customStyle="1" w:styleId="normChar">
    <w:name w:val="norm Char"/>
    <w:link w:val="norm"/>
    <w:rsid w:val="009C6879"/>
    <w:rPr>
      <w:sz w:val="22"/>
    </w:rPr>
  </w:style>
  <w:style w:type="character" w:customStyle="1" w:styleId="FootnoteTextChar">
    <w:name w:val="Footnote Text Char"/>
    <w:basedOn w:val="DefaultParagraphFont"/>
    <w:link w:val="FootnoteText"/>
    <w:uiPriority w:val="99"/>
    <w:semiHidden/>
    <w:rsid w:val="004775E6"/>
    <w:rPr>
      <w:rFonts w:ascii="Arial" w:hAnsi="Arial" w:cs="Sendnya"/>
      <w:sz w:val="18"/>
      <w:szCs w:val="18"/>
    </w:rPr>
  </w:style>
  <w:style w:type="table" w:styleId="TableGrid">
    <w:name w:val="Table Grid"/>
    <w:basedOn w:val="TableNormal"/>
    <w:uiPriority w:val="59"/>
    <w:rsid w:val="00432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53B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76247">
      <w:bodyDiv w:val="1"/>
      <w:marLeft w:val="0"/>
      <w:marRight w:val="0"/>
      <w:marTop w:val="0"/>
      <w:marBottom w:val="0"/>
      <w:divBdr>
        <w:top w:val="none" w:sz="0" w:space="0" w:color="auto"/>
        <w:left w:val="none" w:sz="0" w:space="0" w:color="auto"/>
        <w:bottom w:val="none" w:sz="0" w:space="0" w:color="auto"/>
        <w:right w:val="none" w:sz="0" w:space="0" w:color="auto"/>
      </w:divBdr>
    </w:div>
    <w:div w:id="212079950">
      <w:bodyDiv w:val="1"/>
      <w:marLeft w:val="0"/>
      <w:marRight w:val="0"/>
      <w:marTop w:val="0"/>
      <w:marBottom w:val="0"/>
      <w:divBdr>
        <w:top w:val="none" w:sz="0" w:space="0" w:color="auto"/>
        <w:left w:val="none" w:sz="0" w:space="0" w:color="auto"/>
        <w:bottom w:val="none" w:sz="0" w:space="0" w:color="auto"/>
        <w:right w:val="none" w:sz="0" w:space="0" w:color="auto"/>
      </w:divBdr>
    </w:div>
    <w:div w:id="258828694">
      <w:bodyDiv w:val="1"/>
      <w:marLeft w:val="0"/>
      <w:marRight w:val="0"/>
      <w:marTop w:val="0"/>
      <w:marBottom w:val="0"/>
      <w:divBdr>
        <w:top w:val="none" w:sz="0" w:space="0" w:color="auto"/>
        <w:left w:val="none" w:sz="0" w:space="0" w:color="auto"/>
        <w:bottom w:val="none" w:sz="0" w:space="0" w:color="auto"/>
        <w:right w:val="none" w:sz="0" w:space="0" w:color="auto"/>
      </w:divBdr>
    </w:div>
    <w:div w:id="371853183">
      <w:bodyDiv w:val="1"/>
      <w:marLeft w:val="0"/>
      <w:marRight w:val="0"/>
      <w:marTop w:val="0"/>
      <w:marBottom w:val="0"/>
      <w:divBdr>
        <w:top w:val="none" w:sz="0" w:space="0" w:color="auto"/>
        <w:left w:val="none" w:sz="0" w:space="0" w:color="auto"/>
        <w:bottom w:val="none" w:sz="0" w:space="0" w:color="auto"/>
        <w:right w:val="none" w:sz="0" w:space="0" w:color="auto"/>
      </w:divBdr>
    </w:div>
    <w:div w:id="407194602">
      <w:bodyDiv w:val="1"/>
      <w:marLeft w:val="0"/>
      <w:marRight w:val="0"/>
      <w:marTop w:val="0"/>
      <w:marBottom w:val="0"/>
      <w:divBdr>
        <w:top w:val="none" w:sz="0" w:space="0" w:color="auto"/>
        <w:left w:val="none" w:sz="0" w:space="0" w:color="auto"/>
        <w:bottom w:val="none" w:sz="0" w:space="0" w:color="auto"/>
        <w:right w:val="none" w:sz="0" w:space="0" w:color="auto"/>
      </w:divBdr>
    </w:div>
    <w:div w:id="472987314">
      <w:bodyDiv w:val="1"/>
      <w:marLeft w:val="0"/>
      <w:marRight w:val="0"/>
      <w:marTop w:val="0"/>
      <w:marBottom w:val="0"/>
      <w:divBdr>
        <w:top w:val="none" w:sz="0" w:space="0" w:color="auto"/>
        <w:left w:val="none" w:sz="0" w:space="0" w:color="auto"/>
        <w:bottom w:val="none" w:sz="0" w:space="0" w:color="auto"/>
        <w:right w:val="none" w:sz="0" w:space="0" w:color="auto"/>
      </w:divBdr>
    </w:div>
    <w:div w:id="549265863">
      <w:bodyDiv w:val="1"/>
      <w:marLeft w:val="0"/>
      <w:marRight w:val="0"/>
      <w:marTop w:val="0"/>
      <w:marBottom w:val="0"/>
      <w:divBdr>
        <w:top w:val="none" w:sz="0" w:space="0" w:color="auto"/>
        <w:left w:val="none" w:sz="0" w:space="0" w:color="auto"/>
        <w:bottom w:val="none" w:sz="0" w:space="0" w:color="auto"/>
        <w:right w:val="none" w:sz="0" w:space="0" w:color="auto"/>
      </w:divBdr>
    </w:div>
    <w:div w:id="602034905">
      <w:bodyDiv w:val="1"/>
      <w:marLeft w:val="0"/>
      <w:marRight w:val="0"/>
      <w:marTop w:val="0"/>
      <w:marBottom w:val="0"/>
      <w:divBdr>
        <w:top w:val="none" w:sz="0" w:space="0" w:color="auto"/>
        <w:left w:val="none" w:sz="0" w:space="0" w:color="auto"/>
        <w:bottom w:val="none" w:sz="0" w:space="0" w:color="auto"/>
        <w:right w:val="none" w:sz="0" w:space="0" w:color="auto"/>
      </w:divBdr>
    </w:div>
    <w:div w:id="728262972">
      <w:bodyDiv w:val="1"/>
      <w:marLeft w:val="0"/>
      <w:marRight w:val="0"/>
      <w:marTop w:val="0"/>
      <w:marBottom w:val="0"/>
      <w:divBdr>
        <w:top w:val="none" w:sz="0" w:space="0" w:color="auto"/>
        <w:left w:val="none" w:sz="0" w:space="0" w:color="auto"/>
        <w:bottom w:val="none" w:sz="0" w:space="0" w:color="auto"/>
        <w:right w:val="none" w:sz="0" w:space="0" w:color="auto"/>
      </w:divBdr>
      <w:divsChild>
        <w:div w:id="1469935284">
          <w:marLeft w:val="0"/>
          <w:marRight w:val="0"/>
          <w:marTop w:val="100"/>
          <w:marBottom w:val="100"/>
          <w:divBdr>
            <w:top w:val="none" w:sz="0" w:space="0" w:color="auto"/>
            <w:left w:val="none" w:sz="0" w:space="0" w:color="auto"/>
            <w:bottom w:val="none" w:sz="0" w:space="0" w:color="auto"/>
            <w:right w:val="none" w:sz="0" w:space="0" w:color="auto"/>
          </w:divBdr>
          <w:divsChild>
            <w:div w:id="17208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9856">
      <w:bodyDiv w:val="1"/>
      <w:marLeft w:val="0"/>
      <w:marRight w:val="0"/>
      <w:marTop w:val="0"/>
      <w:marBottom w:val="0"/>
      <w:divBdr>
        <w:top w:val="none" w:sz="0" w:space="0" w:color="auto"/>
        <w:left w:val="none" w:sz="0" w:space="0" w:color="auto"/>
        <w:bottom w:val="none" w:sz="0" w:space="0" w:color="auto"/>
        <w:right w:val="none" w:sz="0" w:space="0" w:color="auto"/>
      </w:divBdr>
    </w:div>
    <w:div w:id="888564946">
      <w:bodyDiv w:val="1"/>
      <w:marLeft w:val="0"/>
      <w:marRight w:val="0"/>
      <w:marTop w:val="0"/>
      <w:marBottom w:val="0"/>
      <w:divBdr>
        <w:top w:val="none" w:sz="0" w:space="0" w:color="auto"/>
        <w:left w:val="none" w:sz="0" w:space="0" w:color="auto"/>
        <w:bottom w:val="none" w:sz="0" w:space="0" w:color="auto"/>
        <w:right w:val="none" w:sz="0" w:space="0" w:color="auto"/>
      </w:divBdr>
    </w:div>
    <w:div w:id="1318993412">
      <w:bodyDiv w:val="1"/>
      <w:marLeft w:val="0"/>
      <w:marRight w:val="0"/>
      <w:marTop w:val="0"/>
      <w:marBottom w:val="0"/>
      <w:divBdr>
        <w:top w:val="none" w:sz="0" w:space="0" w:color="auto"/>
        <w:left w:val="none" w:sz="0" w:space="0" w:color="auto"/>
        <w:bottom w:val="none" w:sz="0" w:space="0" w:color="auto"/>
        <w:right w:val="none" w:sz="0" w:space="0" w:color="auto"/>
      </w:divBdr>
    </w:div>
    <w:div w:id="1461264193">
      <w:bodyDiv w:val="1"/>
      <w:marLeft w:val="0"/>
      <w:marRight w:val="0"/>
      <w:marTop w:val="0"/>
      <w:marBottom w:val="0"/>
      <w:divBdr>
        <w:top w:val="none" w:sz="0" w:space="0" w:color="auto"/>
        <w:left w:val="none" w:sz="0" w:space="0" w:color="auto"/>
        <w:bottom w:val="none" w:sz="0" w:space="0" w:color="auto"/>
        <w:right w:val="none" w:sz="0" w:space="0" w:color="auto"/>
      </w:divBdr>
    </w:div>
    <w:div w:id="1504777567">
      <w:bodyDiv w:val="1"/>
      <w:marLeft w:val="0"/>
      <w:marRight w:val="0"/>
      <w:marTop w:val="0"/>
      <w:marBottom w:val="0"/>
      <w:divBdr>
        <w:top w:val="none" w:sz="0" w:space="0" w:color="auto"/>
        <w:left w:val="none" w:sz="0" w:space="0" w:color="auto"/>
        <w:bottom w:val="none" w:sz="0" w:space="0" w:color="auto"/>
        <w:right w:val="none" w:sz="0" w:space="0" w:color="auto"/>
      </w:divBdr>
    </w:div>
    <w:div w:id="1558589604">
      <w:bodyDiv w:val="1"/>
      <w:marLeft w:val="0"/>
      <w:marRight w:val="0"/>
      <w:marTop w:val="0"/>
      <w:marBottom w:val="0"/>
      <w:divBdr>
        <w:top w:val="none" w:sz="0" w:space="0" w:color="auto"/>
        <w:left w:val="none" w:sz="0" w:space="0" w:color="auto"/>
        <w:bottom w:val="none" w:sz="0" w:space="0" w:color="auto"/>
        <w:right w:val="none" w:sz="0" w:space="0" w:color="auto"/>
      </w:divBdr>
    </w:div>
    <w:div w:id="1841462537">
      <w:bodyDiv w:val="1"/>
      <w:marLeft w:val="0"/>
      <w:marRight w:val="0"/>
      <w:marTop w:val="0"/>
      <w:marBottom w:val="0"/>
      <w:divBdr>
        <w:top w:val="none" w:sz="0" w:space="0" w:color="auto"/>
        <w:left w:val="none" w:sz="0" w:space="0" w:color="auto"/>
        <w:bottom w:val="none" w:sz="0" w:space="0" w:color="auto"/>
        <w:right w:val="none" w:sz="0" w:space="0" w:color="auto"/>
      </w:divBdr>
    </w:div>
    <w:div w:id="196118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cid:image004.png@01D29CA5.7BDF14C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science/journal/01618938/40/1" TargetMode="External"/><Relationship Id="rId5" Type="http://schemas.openxmlformats.org/officeDocument/2006/relationships/settings" Target="settings.xml"/><Relationship Id="rId15" Type="http://schemas.openxmlformats.org/officeDocument/2006/relationships/image" Target="media/image3.tmp"/><Relationship Id="rId10" Type="http://schemas.openxmlformats.org/officeDocument/2006/relationships/hyperlink" Target="https://www.sciencedirect.com/science/journal/01618938" TargetMode="External"/><Relationship Id="rId19" Type="http://schemas.openxmlformats.org/officeDocument/2006/relationships/image" Target="cid:image006.png@01D29CA5.7BDF14C0" TargetMode="External"/><Relationship Id="rId4" Type="http://schemas.microsoft.com/office/2007/relationships/stylesWithEffects" Target="stylesWithEffects.xml"/><Relationship Id="rId9" Type="http://schemas.openxmlformats.org/officeDocument/2006/relationships/hyperlink" Target="https://www.ecb.europa.eu/pub/pdf/scpwps/ecbwp1984.en.pdf" TargetMode="Externa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www.economie.gouv.fr/files/files/PDF/rapport_enderlein_pisani-en.pdf" TargetMode="External"/><Relationship Id="rId13" Type="http://schemas.openxmlformats.org/officeDocument/2006/relationships/hyperlink" Target="https://ec.europa.eu/commission/sites/beta-political/files/reflection-paper-emu_en.pdf" TargetMode="External"/><Relationship Id="rId3" Type="http://schemas.openxmlformats.org/officeDocument/2006/relationships/hyperlink" Target="https://www.ecb.europa.eu/pub/pdf/scpwps/ecbwp1984.en.pdf" TargetMode="External"/><Relationship Id="rId7" Type="http://schemas.openxmlformats.org/officeDocument/2006/relationships/hyperlink" Target="https://www.ecb.europa.eu/pub/pdf/scpwps/ecbwp1988.en.pdf" TargetMode="External"/><Relationship Id="rId12" Type="http://schemas.openxmlformats.org/officeDocument/2006/relationships/hyperlink" Target="https://www.tresor.economie.gouv.fr/Ressources/File/440712" TargetMode="External"/><Relationship Id="rId2" Type="http://schemas.openxmlformats.org/officeDocument/2006/relationships/hyperlink" Target="http://www.consilium.europa.eu/en/press/press-releases/2017/03/25-rome-declaration/" TargetMode="External"/><Relationship Id="rId1" Type="http://schemas.openxmlformats.org/officeDocument/2006/relationships/hyperlink" Target="http://www.consilium.europa.eu/en/press/press-releases/2017/03/25-rome-declaration/" TargetMode="External"/><Relationship Id="rId6" Type="http://schemas.openxmlformats.org/officeDocument/2006/relationships/hyperlink" Target="https://ec.europa.eu/commission/sites/beta-political/files/5-presidents-report_en.pdf" TargetMode="External"/><Relationship Id="rId11" Type="http://schemas.openxmlformats.org/officeDocument/2006/relationships/hyperlink" Target="https://www.ceps.eu/system/files/EUBS%20final.pdf" TargetMode="External"/><Relationship Id="rId5" Type="http://schemas.openxmlformats.org/officeDocument/2006/relationships/hyperlink" Target="https://www.ecb.europa.eu/pub/pdf/scpwps/ecbwp1984.en.pdf" TargetMode="External"/><Relationship Id="rId10" Type="http://schemas.openxmlformats.org/officeDocument/2006/relationships/hyperlink" Target="http://www.tesoro.it/documenti-allegati/2015/note_unemployment/note_unemployment_insurance_2015_5OCT.pdf" TargetMode="External"/><Relationship Id="rId4" Type="http://schemas.openxmlformats.org/officeDocument/2006/relationships/hyperlink" Target="https://www.ecb.europa.eu/pub/pdf/scpwps/ecbwp1988.en.pdf" TargetMode="External"/><Relationship Id="rId9" Type="http://schemas.openxmlformats.org/officeDocument/2006/relationships/hyperlink" Target="https://ec.europa.eu/commission/sites/beta-political/files/5-presidents-report_en.pdf" TargetMode="External"/><Relationship Id="rId14" Type="http://schemas.openxmlformats.org/officeDocument/2006/relationships/hyperlink" Target="https://ec.europa.eu/finland/sites/finland/files/ebs_451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nzpat\AppData\Roaming\OpenText\OTEdit\EC_darwin\c58059757\Generi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034A6-B9D3-4E5C-B16D-102BE97FC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
  <TotalTime>1719</TotalTime>
  <Pages>33</Pages>
  <Words>8465</Words>
  <Characters>47474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Generic</vt:lpstr>
    </vt:vector>
  </TitlesOfParts>
  <Company>European Central Bank</Company>
  <LinksUpToDate>false</LinksUpToDate>
  <CharactersWithSpaces>55828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dc:title>
  <dc:creator>Devaney, Conall</dc:creator>
  <cp:lastModifiedBy>Tordoir, Sander</cp:lastModifiedBy>
  <cp:revision>27</cp:revision>
  <cp:lastPrinted>2017-11-30T09:15:00Z</cp:lastPrinted>
  <dcterms:created xsi:type="dcterms:W3CDTF">2019-04-17T08:28:00Z</dcterms:created>
  <dcterms:modified xsi:type="dcterms:W3CDTF">2019-05-08T08:55:00Z</dcterms:modified>
</cp:coreProperties>
</file>