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A5192" w14:textId="77777777" w:rsidR="00D75D4F" w:rsidRPr="00C40EC1" w:rsidRDefault="00D75D4F" w:rsidP="00D75D4F">
      <w:pPr>
        <w:spacing w:before="120" w:after="120" w:line="240" w:lineRule="auto"/>
        <w:jc w:val="center"/>
        <w:rPr>
          <w:rFonts w:ascii="Times New Roman" w:eastAsia="Times New Roman" w:hAnsi="Times New Roman"/>
          <w:b/>
          <w:iCs/>
          <w:color w:val="000000"/>
          <w:sz w:val="24"/>
          <w:szCs w:val="20"/>
          <w:lang w:val="en-US"/>
        </w:rPr>
      </w:pPr>
      <w:r w:rsidRPr="00C40EC1">
        <w:rPr>
          <w:rFonts w:ascii="Times New Roman" w:eastAsia="Times New Roman" w:hAnsi="Times New Roman"/>
          <w:b/>
          <w:iCs/>
          <w:color w:val="000000"/>
          <w:sz w:val="24"/>
          <w:szCs w:val="20"/>
          <w:lang w:val="en-US"/>
        </w:rPr>
        <w:t xml:space="preserve">Arab Spring Testing the </w:t>
      </w:r>
      <w:r w:rsidR="00987CA1" w:rsidRPr="00C40EC1">
        <w:rPr>
          <w:rFonts w:ascii="Times New Roman" w:eastAsia="Times New Roman" w:hAnsi="Times New Roman"/>
          <w:b/>
          <w:iCs/>
          <w:color w:val="000000"/>
          <w:sz w:val="24"/>
          <w:szCs w:val="20"/>
          <w:lang w:val="en-US"/>
        </w:rPr>
        <w:t xml:space="preserve">Limits of EU's Border Control Regime: </w:t>
      </w:r>
    </w:p>
    <w:p w14:paraId="6D30F8E0" w14:textId="1B7B5F65" w:rsidR="00E7489D" w:rsidRPr="00C40EC1" w:rsidRDefault="00987CA1" w:rsidP="00333D07">
      <w:pPr>
        <w:spacing w:before="120" w:after="120" w:line="240" w:lineRule="auto"/>
        <w:jc w:val="center"/>
        <w:rPr>
          <w:rFonts w:ascii="Times New Roman" w:eastAsia="Times New Roman" w:hAnsi="Times New Roman"/>
          <w:b/>
          <w:sz w:val="36"/>
          <w:szCs w:val="24"/>
          <w:lang w:val="en-US"/>
        </w:rPr>
      </w:pPr>
      <w:r w:rsidRPr="00C40EC1">
        <w:rPr>
          <w:rFonts w:ascii="Times New Roman" w:eastAsia="Times New Roman" w:hAnsi="Times New Roman"/>
          <w:b/>
          <w:iCs/>
          <w:color w:val="000000"/>
          <w:sz w:val="24"/>
          <w:szCs w:val="20"/>
          <w:lang w:val="en-US"/>
        </w:rPr>
        <w:t xml:space="preserve">The case of Turkey-EU Migration </w:t>
      </w:r>
      <w:r w:rsidR="00595ECF" w:rsidRPr="00C40EC1">
        <w:rPr>
          <w:rFonts w:ascii="Times New Roman" w:eastAsia="Times New Roman" w:hAnsi="Times New Roman"/>
          <w:b/>
          <w:iCs/>
          <w:color w:val="000000"/>
          <w:sz w:val="24"/>
          <w:szCs w:val="20"/>
          <w:lang w:val="en-US"/>
        </w:rPr>
        <w:t>Deal</w:t>
      </w:r>
    </w:p>
    <w:p w14:paraId="6C764518" w14:textId="4632873F" w:rsidR="00FF5184" w:rsidRPr="00C40EC1" w:rsidRDefault="00FF5184" w:rsidP="00333D07">
      <w:pPr>
        <w:spacing w:before="120" w:after="120" w:line="240" w:lineRule="auto"/>
        <w:contextualSpacing/>
        <w:rPr>
          <w:rFonts w:ascii="Times New Roman" w:hAnsi="Times New Roman"/>
          <w:color w:val="FF0000"/>
          <w:sz w:val="24"/>
          <w:szCs w:val="24"/>
          <w:lang w:val="en-US"/>
        </w:rPr>
      </w:pPr>
    </w:p>
    <w:p w14:paraId="78AC8849" w14:textId="77777777" w:rsidR="00B443F7" w:rsidRPr="00C40EC1" w:rsidRDefault="00B443F7" w:rsidP="00D75D4F">
      <w:pPr>
        <w:spacing w:before="120" w:after="120" w:line="240" w:lineRule="auto"/>
        <w:contextualSpacing/>
        <w:jc w:val="right"/>
        <w:rPr>
          <w:rFonts w:ascii="Times New Roman" w:hAnsi="Times New Roman"/>
          <w:sz w:val="24"/>
          <w:szCs w:val="24"/>
          <w:lang w:val="en-US"/>
        </w:rPr>
      </w:pPr>
    </w:p>
    <w:p w14:paraId="2AB63177" w14:textId="2E4BAE19" w:rsidR="00042062" w:rsidRPr="00C40EC1" w:rsidRDefault="00042062" w:rsidP="00D75D4F">
      <w:pPr>
        <w:spacing w:before="120" w:after="120" w:line="240" w:lineRule="auto"/>
        <w:contextualSpacing/>
        <w:jc w:val="right"/>
        <w:rPr>
          <w:rFonts w:ascii="Times New Roman" w:hAnsi="Times New Roman"/>
          <w:b/>
          <w:sz w:val="24"/>
          <w:szCs w:val="24"/>
          <w:lang w:val="en-US"/>
        </w:rPr>
      </w:pPr>
      <w:r w:rsidRPr="00C40EC1">
        <w:rPr>
          <w:rFonts w:ascii="Times New Roman" w:hAnsi="Times New Roman"/>
          <w:b/>
          <w:sz w:val="24"/>
          <w:szCs w:val="24"/>
          <w:lang w:val="en-US"/>
        </w:rPr>
        <w:t>DRAFT-Please do not quote or circulate without the author’s permission</w:t>
      </w:r>
    </w:p>
    <w:p w14:paraId="3968706E" w14:textId="3A421100" w:rsidR="00A922CB" w:rsidRPr="00C40EC1" w:rsidRDefault="003128F7" w:rsidP="00D75D4F">
      <w:pPr>
        <w:spacing w:before="120" w:after="120" w:line="240" w:lineRule="auto"/>
        <w:contextualSpacing/>
        <w:jc w:val="center"/>
        <w:rPr>
          <w:rFonts w:ascii="Times New Roman" w:hAnsi="Times New Roman"/>
          <w:sz w:val="24"/>
          <w:szCs w:val="24"/>
          <w:lang w:val="en-US"/>
        </w:rPr>
      </w:pPr>
      <w:r w:rsidRPr="00C40EC1">
        <w:rPr>
          <w:rFonts w:ascii="Times New Roman" w:hAnsi="Times New Roman"/>
          <w:sz w:val="24"/>
          <w:szCs w:val="24"/>
          <w:lang w:val="en-US"/>
        </w:rPr>
        <w:t>Cigd</w:t>
      </w:r>
      <w:r w:rsidR="000028DF" w:rsidRPr="00C40EC1">
        <w:rPr>
          <w:rFonts w:ascii="Times New Roman" w:hAnsi="Times New Roman"/>
          <w:sz w:val="24"/>
          <w:szCs w:val="24"/>
          <w:lang w:val="en-US"/>
        </w:rPr>
        <w:t>em H. Benam</w:t>
      </w:r>
      <w:r w:rsidR="00C12C5A" w:rsidRPr="00C40EC1">
        <w:rPr>
          <w:rFonts w:ascii="Times New Roman" w:hAnsi="Times New Roman"/>
          <w:sz w:val="24"/>
          <w:szCs w:val="24"/>
          <w:lang w:val="en-US"/>
        </w:rPr>
        <w:t>, PhD</w:t>
      </w:r>
      <w:r w:rsidR="000028DF" w:rsidRPr="00C40EC1">
        <w:rPr>
          <w:rStyle w:val="FootnoteReference"/>
          <w:rFonts w:ascii="Times New Roman" w:hAnsi="Times New Roman"/>
          <w:sz w:val="24"/>
          <w:szCs w:val="24"/>
          <w:lang w:val="en-US"/>
        </w:rPr>
        <w:footnoteReference w:id="1"/>
      </w:r>
    </w:p>
    <w:p w14:paraId="525EF61E" w14:textId="7D2A449E" w:rsidR="000028DF" w:rsidRPr="00C40EC1" w:rsidRDefault="00206318" w:rsidP="00D75D4F">
      <w:pPr>
        <w:spacing w:before="120" w:after="120" w:line="240" w:lineRule="auto"/>
        <w:jc w:val="both"/>
        <w:rPr>
          <w:rFonts w:ascii="Times New Roman" w:hAnsi="Times New Roman"/>
          <w:sz w:val="24"/>
          <w:szCs w:val="24"/>
          <w:lang w:val="en-US"/>
        </w:rPr>
      </w:pPr>
      <w:r w:rsidRPr="00C40EC1">
        <w:rPr>
          <w:rFonts w:ascii="Times New Roman" w:hAnsi="Times New Roman"/>
          <w:b/>
          <w:sz w:val="24"/>
          <w:szCs w:val="24"/>
          <w:lang w:val="en-US"/>
        </w:rPr>
        <w:t xml:space="preserve"> </w:t>
      </w:r>
    </w:p>
    <w:p w14:paraId="1DEAC120" w14:textId="1D367191" w:rsidR="001651E7" w:rsidRPr="00C40EC1" w:rsidRDefault="00755E30" w:rsidP="00D75D4F">
      <w:pPr>
        <w:spacing w:before="120" w:after="120" w:line="240" w:lineRule="auto"/>
        <w:jc w:val="both"/>
        <w:rPr>
          <w:rFonts w:ascii="Times New Roman" w:hAnsi="Times New Roman"/>
          <w:sz w:val="24"/>
          <w:szCs w:val="24"/>
          <w:lang w:val="en-US"/>
        </w:rPr>
      </w:pPr>
      <w:r w:rsidRPr="00C40EC1">
        <w:rPr>
          <w:rFonts w:ascii="Times New Roman" w:hAnsi="Times New Roman"/>
          <w:sz w:val="24"/>
          <w:szCs w:val="24"/>
          <w:lang w:val="en-US"/>
        </w:rPr>
        <w:t>It has been almost a decade since the self-immolation of a street vendor in Tunisia on 17 December 2010 which triggered an expected but unpredicted wave of social upheavals in the Middle East. These massive protests and the following civil war in Syria caught many by surprise, inc</w:t>
      </w:r>
      <w:r w:rsidR="00E47C2C" w:rsidRPr="00C40EC1">
        <w:rPr>
          <w:rFonts w:ascii="Times New Roman" w:hAnsi="Times New Roman"/>
          <w:sz w:val="24"/>
          <w:szCs w:val="24"/>
          <w:lang w:val="en-US"/>
        </w:rPr>
        <w:t>luding the European Union (EU)</w:t>
      </w:r>
      <w:r w:rsidR="002E1647" w:rsidRPr="00C40EC1">
        <w:rPr>
          <w:rFonts w:ascii="Times New Roman" w:hAnsi="Times New Roman"/>
          <w:sz w:val="24"/>
          <w:szCs w:val="24"/>
          <w:lang w:val="en-US"/>
        </w:rPr>
        <w:t xml:space="preserve"> which now </w:t>
      </w:r>
      <w:r w:rsidR="00206318" w:rsidRPr="00C40EC1">
        <w:rPr>
          <w:rFonts w:ascii="Times New Roman" w:hAnsi="Times New Roman"/>
          <w:sz w:val="24"/>
          <w:szCs w:val="24"/>
          <w:lang w:val="en-US"/>
        </w:rPr>
        <w:t xml:space="preserve">shares the sovereignty of nation-states on issues of border control, asylum and migration policies. On the one hand, </w:t>
      </w:r>
      <w:r w:rsidR="00607267" w:rsidRPr="00C40EC1">
        <w:rPr>
          <w:rFonts w:ascii="Times New Roman" w:hAnsi="Times New Roman"/>
          <w:sz w:val="24"/>
          <w:szCs w:val="24"/>
          <w:lang w:val="en-US"/>
        </w:rPr>
        <w:t>the EU</w:t>
      </w:r>
      <w:r w:rsidR="00206318" w:rsidRPr="00C40EC1">
        <w:rPr>
          <w:rFonts w:ascii="Times New Roman" w:hAnsi="Times New Roman"/>
          <w:sz w:val="24"/>
          <w:szCs w:val="24"/>
          <w:lang w:val="en-US"/>
        </w:rPr>
        <w:t xml:space="preserve"> strives for facilitating freedom of movement inside the Union as well as easing the rules and reducing the red-tape for entering the Union from </w:t>
      </w:r>
      <w:r w:rsidR="007E7933" w:rsidRPr="00C40EC1">
        <w:rPr>
          <w:rFonts w:ascii="Times New Roman" w:hAnsi="Times New Roman"/>
          <w:sz w:val="24"/>
          <w:szCs w:val="24"/>
          <w:lang w:val="en-US"/>
        </w:rPr>
        <w:t>neighboring</w:t>
      </w:r>
      <w:r w:rsidR="00206318" w:rsidRPr="00C40EC1">
        <w:rPr>
          <w:rFonts w:ascii="Times New Roman" w:hAnsi="Times New Roman"/>
          <w:sz w:val="24"/>
          <w:szCs w:val="24"/>
          <w:lang w:val="en-US"/>
        </w:rPr>
        <w:t xml:space="preserve"> countries to obviate erecting new ‘walls’ in Europe (Rehn, 2006). Yet, on the other hand, it aims to provide security through filtering out unwanted goods and aliens, to be free from the security risks they might pose. </w:t>
      </w:r>
      <w:r w:rsidRPr="00C40EC1">
        <w:rPr>
          <w:rFonts w:ascii="Times New Roman" w:hAnsi="Times New Roman"/>
          <w:sz w:val="24"/>
          <w:szCs w:val="24"/>
          <w:lang w:val="en-US"/>
        </w:rPr>
        <w:t xml:space="preserve">The EU’s </w:t>
      </w:r>
      <w:r w:rsidR="002F56B3" w:rsidRPr="00C40EC1">
        <w:rPr>
          <w:rFonts w:ascii="Times New Roman" w:hAnsi="Times New Roman"/>
          <w:sz w:val="24"/>
          <w:szCs w:val="24"/>
          <w:lang w:val="en-US"/>
        </w:rPr>
        <w:t xml:space="preserve">solution to </w:t>
      </w:r>
      <w:r w:rsidRPr="00C40EC1">
        <w:rPr>
          <w:rFonts w:ascii="Times New Roman" w:hAnsi="Times New Roman"/>
          <w:sz w:val="24"/>
          <w:szCs w:val="24"/>
          <w:lang w:val="en-US"/>
        </w:rPr>
        <w:t xml:space="preserve">border control and irregular migration </w:t>
      </w:r>
      <w:r w:rsidR="007A532A" w:rsidRPr="00C40EC1">
        <w:rPr>
          <w:rFonts w:ascii="Times New Roman" w:hAnsi="Times New Roman"/>
          <w:sz w:val="24"/>
          <w:szCs w:val="24"/>
          <w:lang w:val="en-US"/>
        </w:rPr>
        <w:t>has been</w:t>
      </w:r>
      <w:r w:rsidRPr="00C40EC1">
        <w:rPr>
          <w:rFonts w:ascii="Times New Roman" w:hAnsi="Times New Roman"/>
          <w:sz w:val="24"/>
          <w:szCs w:val="24"/>
          <w:lang w:val="en-US"/>
        </w:rPr>
        <w:t xml:space="preserve"> built on externalization </w:t>
      </w:r>
      <w:r w:rsidR="007A532A" w:rsidRPr="00C40EC1">
        <w:rPr>
          <w:rFonts w:ascii="Times New Roman" w:hAnsi="Times New Roman"/>
          <w:sz w:val="24"/>
          <w:szCs w:val="24"/>
          <w:lang w:val="en-US"/>
        </w:rPr>
        <w:t xml:space="preserve">of responsibility and control </w:t>
      </w:r>
      <w:r w:rsidRPr="00C40EC1">
        <w:rPr>
          <w:rFonts w:ascii="Times New Roman" w:hAnsi="Times New Roman"/>
          <w:sz w:val="24"/>
          <w:szCs w:val="24"/>
          <w:lang w:val="en-US"/>
        </w:rPr>
        <w:t xml:space="preserve">requiring intensive cooperation with </w:t>
      </w:r>
      <w:r w:rsidR="00F87D10" w:rsidRPr="00C40EC1">
        <w:rPr>
          <w:rFonts w:ascii="Times New Roman" w:hAnsi="Times New Roman"/>
          <w:sz w:val="24"/>
          <w:szCs w:val="24"/>
          <w:lang w:val="en-US"/>
        </w:rPr>
        <w:t>neighboring</w:t>
      </w:r>
      <w:r w:rsidRPr="00C40EC1">
        <w:rPr>
          <w:rFonts w:ascii="Times New Roman" w:hAnsi="Times New Roman"/>
          <w:sz w:val="24"/>
          <w:szCs w:val="24"/>
          <w:lang w:val="en-US"/>
        </w:rPr>
        <w:t xml:space="preserve"> states. </w:t>
      </w:r>
      <w:r w:rsidR="00675F11" w:rsidRPr="00C40EC1">
        <w:rPr>
          <w:rFonts w:ascii="Times New Roman" w:hAnsi="Times New Roman"/>
          <w:sz w:val="24"/>
          <w:szCs w:val="24"/>
          <w:lang w:val="en-US"/>
        </w:rPr>
        <w:t xml:space="preserve">Arab Spring has </w:t>
      </w:r>
      <w:r w:rsidR="007A532A" w:rsidRPr="00C40EC1">
        <w:rPr>
          <w:rFonts w:ascii="Times New Roman" w:hAnsi="Times New Roman"/>
          <w:sz w:val="24"/>
          <w:szCs w:val="24"/>
          <w:lang w:val="en-US"/>
        </w:rPr>
        <w:t>exposed</w:t>
      </w:r>
      <w:r w:rsidR="005153AA" w:rsidRPr="00C40EC1">
        <w:rPr>
          <w:rFonts w:ascii="Times New Roman" w:hAnsi="Times New Roman"/>
          <w:sz w:val="24"/>
          <w:szCs w:val="24"/>
          <w:lang w:val="en-US"/>
        </w:rPr>
        <w:t xml:space="preserve"> the EU policies</w:t>
      </w:r>
      <w:r w:rsidR="00306603" w:rsidRPr="00C40EC1">
        <w:rPr>
          <w:rFonts w:ascii="Times New Roman" w:hAnsi="Times New Roman"/>
          <w:sz w:val="24"/>
          <w:szCs w:val="24"/>
          <w:lang w:val="en-US"/>
        </w:rPr>
        <w:t xml:space="preserve"> on migration</w:t>
      </w:r>
      <w:r w:rsidR="005153AA" w:rsidRPr="00C40EC1">
        <w:rPr>
          <w:rFonts w:ascii="Times New Roman" w:hAnsi="Times New Roman"/>
          <w:sz w:val="24"/>
          <w:szCs w:val="24"/>
          <w:lang w:val="en-US"/>
        </w:rPr>
        <w:t>,</w:t>
      </w:r>
      <w:r w:rsidR="00306603" w:rsidRPr="00C40EC1">
        <w:rPr>
          <w:rFonts w:ascii="Times New Roman" w:hAnsi="Times New Roman"/>
          <w:sz w:val="24"/>
          <w:szCs w:val="24"/>
          <w:lang w:val="en-US"/>
        </w:rPr>
        <w:t xml:space="preserve"> asylum and border control </w:t>
      </w:r>
      <w:r w:rsidR="009876D2" w:rsidRPr="00C40EC1">
        <w:rPr>
          <w:rFonts w:ascii="Times New Roman" w:hAnsi="Times New Roman"/>
          <w:sz w:val="24"/>
          <w:szCs w:val="24"/>
          <w:lang w:val="en-US"/>
        </w:rPr>
        <w:t xml:space="preserve">to a </w:t>
      </w:r>
      <w:r w:rsidR="007A532A" w:rsidRPr="00C40EC1">
        <w:rPr>
          <w:rFonts w:ascii="Times New Roman" w:hAnsi="Times New Roman"/>
          <w:sz w:val="24"/>
          <w:szCs w:val="24"/>
          <w:lang w:val="en-US"/>
        </w:rPr>
        <w:t>stress</w:t>
      </w:r>
      <w:r w:rsidR="009876D2" w:rsidRPr="00C40EC1">
        <w:rPr>
          <w:rFonts w:ascii="Times New Roman" w:hAnsi="Times New Roman"/>
          <w:sz w:val="24"/>
          <w:szCs w:val="24"/>
          <w:lang w:val="en-US"/>
        </w:rPr>
        <w:t xml:space="preserve"> test </w:t>
      </w:r>
      <w:r w:rsidR="007A532A" w:rsidRPr="00C40EC1">
        <w:rPr>
          <w:rFonts w:ascii="Times New Roman" w:hAnsi="Times New Roman"/>
          <w:sz w:val="24"/>
          <w:szCs w:val="24"/>
          <w:lang w:val="en-US"/>
        </w:rPr>
        <w:t>to measure</w:t>
      </w:r>
      <w:r w:rsidR="005153AA" w:rsidRPr="00C40EC1">
        <w:rPr>
          <w:rFonts w:ascii="Times New Roman" w:hAnsi="Times New Roman"/>
          <w:sz w:val="24"/>
          <w:szCs w:val="24"/>
          <w:lang w:val="en-US"/>
        </w:rPr>
        <w:t xml:space="preserve"> the success of </w:t>
      </w:r>
      <w:r w:rsidR="0063246A" w:rsidRPr="00C40EC1">
        <w:rPr>
          <w:rFonts w:ascii="Times New Roman" w:hAnsi="Times New Roman"/>
          <w:sz w:val="24"/>
          <w:szCs w:val="24"/>
          <w:lang w:val="en-US"/>
        </w:rPr>
        <w:t xml:space="preserve">harmonization </w:t>
      </w:r>
      <w:r w:rsidR="00CA4CA5" w:rsidRPr="00C40EC1">
        <w:rPr>
          <w:rFonts w:ascii="Times New Roman" w:hAnsi="Times New Roman"/>
          <w:sz w:val="24"/>
          <w:szCs w:val="24"/>
          <w:lang w:val="en-US"/>
        </w:rPr>
        <w:t>as well as</w:t>
      </w:r>
      <w:r w:rsidR="00181824" w:rsidRPr="00C40EC1">
        <w:rPr>
          <w:rFonts w:ascii="Times New Roman" w:hAnsi="Times New Roman"/>
          <w:sz w:val="24"/>
          <w:szCs w:val="24"/>
          <w:lang w:val="en-US"/>
        </w:rPr>
        <w:t xml:space="preserve"> </w:t>
      </w:r>
      <w:r w:rsidR="007A532A" w:rsidRPr="00C40EC1">
        <w:rPr>
          <w:rFonts w:ascii="Times New Roman" w:hAnsi="Times New Roman"/>
          <w:sz w:val="24"/>
          <w:szCs w:val="24"/>
          <w:lang w:val="en-US"/>
        </w:rPr>
        <w:t>to reveal</w:t>
      </w:r>
      <w:r w:rsidR="00181824" w:rsidRPr="00C40EC1">
        <w:rPr>
          <w:rFonts w:ascii="Times New Roman" w:hAnsi="Times New Roman"/>
          <w:sz w:val="24"/>
          <w:szCs w:val="24"/>
          <w:lang w:val="en-US"/>
        </w:rPr>
        <w:t xml:space="preserve"> the tensions between </w:t>
      </w:r>
      <w:r w:rsidR="00675F11" w:rsidRPr="00C40EC1">
        <w:rPr>
          <w:rFonts w:ascii="Times New Roman" w:hAnsi="Times New Roman"/>
          <w:sz w:val="24"/>
          <w:szCs w:val="24"/>
          <w:lang w:val="en-US"/>
        </w:rPr>
        <w:t xml:space="preserve">various </w:t>
      </w:r>
      <w:r w:rsidR="00181824" w:rsidRPr="00C40EC1">
        <w:rPr>
          <w:rFonts w:ascii="Times New Roman" w:hAnsi="Times New Roman"/>
          <w:sz w:val="24"/>
          <w:szCs w:val="24"/>
          <w:lang w:val="en-US"/>
        </w:rPr>
        <w:t>U</w:t>
      </w:r>
      <w:r w:rsidR="005153AA" w:rsidRPr="00C40EC1">
        <w:rPr>
          <w:rFonts w:ascii="Times New Roman" w:hAnsi="Times New Roman"/>
          <w:sz w:val="24"/>
          <w:szCs w:val="24"/>
          <w:lang w:val="en-US"/>
        </w:rPr>
        <w:t>nion</w:t>
      </w:r>
      <w:r w:rsidR="00181824" w:rsidRPr="00C40EC1">
        <w:rPr>
          <w:rFonts w:ascii="Times New Roman" w:hAnsi="Times New Roman"/>
          <w:sz w:val="24"/>
          <w:szCs w:val="24"/>
          <w:lang w:val="en-US"/>
        </w:rPr>
        <w:t xml:space="preserve"> policies</w:t>
      </w:r>
      <w:r w:rsidR="001856A7" w:rsidRPr="00C40EC1">
        <w:rPr>
          <w:rFonts w:ascii="Times New Roman" w:hAnsi="Times New Roman"/>
          <w:sz w:val="24"/>
          <w:szCs w:val="24"/>
          <w:lang w:val="en-US"/>
        </w:rPr>
        <w:t xml:space="preserve"> </w:t>
      </w:r>
      <w:r w:rsidR="00B15A68" w:rsidRPr="00C40EC1">
        <w:rPr>
          <w:rFonts w:ascii="Times New Roman" w:hAnsi="Times New Roman"/>
          <w:sz w:val="24"/>
          <w:szCs w:val="24"/>
          <w:lang w:val="en-US"/>
        </w:rPr>
        <w:t xml:space="preserve">in the post-Lisbon </w:t>
      </w:r>
      <w:r w:rsidR="00472451" w:rsidRPr="00C40EC1">
        <w:rPr>
          <w:rFonts w:ascii="Times New Roman" w:hAnsi="Times New Roman"/>
          <w:sz w:val="24"/>
          <w:szCs w:val="24"/>
          <w:lang w:val="en-US"/>
        </w:rPr>
        <w:t>Treaty</w:t>
      </w:r>
      <w:r w:rsidR="00B15A68" w:rsidRPr="00C40EC1">
        <w:rPr>
          <w:rFonts w:ascii="Times New Roman" w:hAnsi="Times New Roman"/>
          <w:sz w:val="24"/>
          <w:szCs w:val="24"/>
          <w:lang w:val="en-US"/>
        </w:rPr>
        <w:t xml:space="preserve"> era</w:t>
      </w:r>
      <w:r w:rsidR="00181824" w:rsidRPr="00C40EC1">
        <w:rPr>
          <w:rFonts w:ascii="Times New Roman" w:hAnsi="Times New Roman"/>
          <w:sz w:val="24"/>
          <w:szCs w:val="24"/>
          <w:lang w:val="en-US"/>
        </w:rPr>
        <w:t>. The Union while on the one hand</w:t>
      </w:r>
      <w:r w:rsidR="005153AA" w:rsidRPr="00C40EC1">
        <w:rPr>
          <w:rFonts w:ascii="Times New Roman" w:hAnsi="Times New Roman"/>
          <w:sz w:val="24"/>
          <w:szCs w:val="24"/>
          <w:lang w:val="en-US"/>
        </w:rPr>
        <w:t>,</w:t>
      </w:r>
      <w:r w:rsidR="00181824" w:rsidRPr="00C40EC1">
        <w:rPr>
          <w:rFonts w:ascii="Times New Roman" w:hAnsi="Times New Roman"/>
          <w:sz w:val="24"/>
          <w:szCs w:val="24"/>
          <w:lang w:val="en-US"/>
        </w:rPr>
        <w:t xml:space="preserve"> keeps emphasizing its support for more liberal and democratic governments in its </w:t>
      </w:r>
      <w:r w:rsidR="007E7933" w:rsidRPr="00C40EC1">
        <w:rPr>
          <w:rFonts w:ascii="Times New Roman" w:hAnsi="Times New Roman"/>
          <w:sz w:val="24"/>
          <w:szCs w:val="24"/>
          <w:lang w:val="en-US"/>
        </w:rPr>
        <w:t>neighborhood</w:t>
      </w:r>
      <w:r w:rsidR="00181824" w:rsidRPr="00C40EC1">
        <w:rPr>
          <w:rFonts w:ascii="Times New Roman" w:hAnsi="Times New Roman"/>
          <w:sz w:val="24"/>
          <w:szCs w:val="24"/>
          <w:lang w:val="en-US"/>
        </w:rPr>
        <w:t>, upholding li</w:t>
      </w:r>
      <w:r w:rsidR="0063246A" w:rsidRPr="00C40EC1">
        <w:rPr>
          <w:rFonts w:ascii="Times New Roman" w:hAnsi="Times New Roman"/>
          <w:sz w:val="24"/>
          <w:szCs w:val="24"/>
          <w:lang w:val="en-US"/>
        </w:rPr>
        <w:t xml:space="preserve">beral values including </w:t>
      </w:r>
      <w:r w:rsidR="002D2B0B" w:rsidRPr="00C40EC1">
        <w:rPr>
          <w:rFonts w:ascii="Times New Roman" w:hAnsi="Times New Roman"/>
          <w:sz w:val="24"/>
          <w:szCs w:val="24"/>
          <w:lang w:val="en-US"/>
        </w:rPr>
        <w:t xml:space="preserve">the </w:t>
      </w:r>
      <w:r w:rsidR="0063246A" w:rsidRPr="00C40EC1">
        <w:rPr>
          <w:rFonts w:ascii="Times New Roman" w:hAnsi="Times New Roman"/>
          <w:sz w:val="24"/>
          <w:szCs w:val="24"/>
          <w:lang w:val="en-US"/>
        </w:rPr>
        <w:t>right of</w:t>
      </w:r>
      <w:r w:rsidR="00181824" w:rsidRPr="00C40EC1">
        <w:rPr>
          <w:rFonts w:ascii="Times New Roman" w:hAnsi="Times New Roman"/>
          <w:sz w:val="24"/>
          <w:szCs w:val="24"/>
          <w:lang w:val="en-US"/>
        </w:rPr>
        <w:t xml:space="preserve"> asylum, on the other hand increasingly stresses the importance of securing external borders</w:t>
      </w:r>
      <w:r w:rsidR="002B1087" w:rsidRPr="00C40EC1">
        <w:rPr>
          <w:rFonts w:ascii="Times New Roman" w:hAnsi="Times New Roman"/>
          <w:sz w:val="24"/>
          <w:szCs w:val="24"/>
          <w:lang w:val="en-US"/>
        </w:rPr>
        <w:t>, the link between internal and external security</w:t>
      </w:r>
      <w:r w:rsidR="00181824" w:rsidRPr="00C40EC1">
        <w:rPr>
          <w:rFonts w:ascii="Times New Roman" w:hAnsi="Times New Roman"/>
          <w:sz w:val="24"/>
          <w:szCs w:val="24"/>
          <w:lang w:val="en-US"/>
        </w:rPr>
        <w:t xml:space="preserve">. </w:t>
      </w:r>
      <w:r w:rsidR="001651E7" w:rsidRPr="00C40EC1">
        <w:rPr>
          <w:rFonts w:ascii="Times New Roman" w:hAnsi="Times New Roman"/>
          <w:sz w:val="24"/>
          <w:szCs w:val="24"/>
          <w:lang w:val="en-US"/>
        </w:rPr>
        <w:t xml:space="preserve">This paper aims to critically evaluate the policy response of the EU in the field of asylum and border control in the post Arab Spring period. </w:t>
      </w:r>
      <w:r w:rsidR="007A532A" w:rsidRPr="00C40EC1">
        <w:rPr>
          <w:rFonts w:ascii="Times New Roman" w:hAnsi="Times New Roman"/>
          <w:sz w:val="24"/>
          <w:szCs w:val="24"/>
          <w:lang w:val="en-US"/>
        </w:rPr>
        <w:t xml:space="preserve">It will juxtapose the Union’s initial reaction to the migratory flows from the south versus the east with the heightened conflict in Syria 2015 onwards. </w:t>
      </w:r>
      <w:r w:rsidR="00607267" w:rsidRPr="00C40EC1">
        <w:rPr>
          <w:rFonts w:ascii="Times New Roman" w:hAnsi="Times New Roman"/>
          <w:sz w:val="24"/>
          <w:szCs w:val="24"/>
          <w:lang w:val="en-US"/>
        </w:rPr>
        <w:t xml:space="preserve"> </w:t>
      </w:r>
    </w:p>
    <w:p w14:paraId="213689D0" w14:textId="048CE7E7" w:rsidR="00333D07" w:rsidRPr="00C40EC1" w:rsidRDefault="004321DA" w:rsidP="00D75D4F">
      <w:pPr>
        <w:spacing w:before="120" w:after="120" w:line="240" w:lineRule="auto"/>
        <w:contextualSpacing/>
        <w:jc w:val="both"/>
        <w:rPr>
          <w:rFonts w:ascii="Times New Roman" w:hAnsi="Times New Roman"/>
          <w:color w:val="000000" w:themeColor="text1"/>
          <w:sz w:val="24"/>
          <w:szCs w:val="24"/>
          <w:lang w:val="en-US"/>
        </w:rPr>
      </w:pPr>
      <w:r w:rsidRPr="00C40EC1">
        <w:rPr>
          <w:rFonts w:ascii="Times New Roman" w:hAnsi="Times New Roman"/>
          <w:color w:val="000000" w:themeColor="text1"/>
          <w:sz w:val="24"/>
          <w:szCs w:val="24"/>
          <w:lang w:val="en-US"/>
        </w:rPr>
        <w:t xml:space="preserve">The article will </w:t>
      </w:r>
      <w:r w:rsidR="00EA75CD" w:rsidRPr="00C40EC1">
        <w:rPr>
          <w:rFonts w:ascii="Times New Roman" w:hAnsi="Times New Roman"/>
          <w:color w:val="000000" w:themeColor="text1"/>
          <w:sz w:val="24"/>
          <w:szCs w:val="24"/>
          <w:lang w:val="en-US"/>
        </w:rPr>
        <w:t xml:space="preserve">first provide the framework for analysis, </w:t>
      </w:r>
      <w:r w:rsidR="00472451" w:rsidRPr="00C40EC1">
        <w:rPr>
          <w:rFonts w:ascii="Times New Roman" w:hAnsi="Times New Roman"/>
          <w:color w:val="000000" w:themeColor="text1"/>
          <w:sz w:val="24"/>
          <w:szCs w:val="24"/>
          <w:lang w:val="en-US"/>
        </w:rPr>
        <w:t>building on securitization and externalization</w:t>
      </w:r>
      <w:r w:rsidR="00787606" w:rsidRPr="00C40EC1">
        <w:rPr>
          <w:rFonts w:ascii="Times New Roman" w:hAnsi="Times New Roman"/>
          <w:color w:val="000000" w:themeColor="text1"/>
          <w:sz w:val="24"/>
          <w:szCs w:val="24"/>
          <w:lang w:val="en-US"/>
        </w:rPr>
        <w:t xml:space="preserve"> of migration</w:t>
      </w:r>
      <w:r w:rsidR="00472451" w:rsidRPr="00C40EC1">
        <w:rPr>
          <w:rFonts w:ascii="Times New Roman" w:hAnsi="Times New Roman"/>
          <w:color w:val="000000" w:themeColor="text1"/>
          <w:sz w:val="24"/>
          <w:szCs w:val="24"/>
          <w:lang w:val="en-US"/>
        </w:rPr>
        <w:t xml:space="preserve"> discussions in the literature, </w:t>
      </w:r>
      <w:r w:rsidR="00EA75CD" w:rsidRPr="00C40EC1">
        <w:rPr>
          <w:rFonts w:ascii="Times New Roman" w:hAnsi="Times New Roman"/>
          <w:color w:val="000000" w:themeColor="text1"/>
          <w:sz w:val="24"/>
          <w:szCs w:val="24"/>
          <w:lang w:val="en-US"/>
        </w:rPr>
        <w:t>which reveals the tension between democracy promotion</w:t>
      </w:r>
      <w:r w:rsidR="009B0497" w:rsidRPr="00C40EC1">
        <w:rPr>
          <w:rFonts w:ascii="Times New Roman" w:hAnsi="Times New Roman"/>
          <w:color w:val="000000" w:themeColor="text1"/>
          <w:sz w:val="24"/>
          <w:szCs w:val="24"/>
          <w:lang w:val="en-US"/>
        </w:rPr>
        <w:t>,</w:t>
      </w:r>
      <w:r w:rsidR="00EA75CD" w:rsidRPr="00C40EC1">
        <w:rPr>
          <w:rFonts w:ascii="Times New Roman" w:hAnsi="Times New Roman"/>
          <w:color w:val="000000" w:themeColor="text1"/>
          <w:sz w:val="24"/>
          <w:szCs w:val="24"/>
          <w:lang w:val="en-US"/>
        </w:rPr>
        <w:t xml:space="preserve"> </w:t>
      </w:r>
      <w:r w:rsidR="009B0497" w:rsidRPr="00C40EC1">
        <w:rPr>
          <w:rFonts w:ascii="Times New Roman" w:hAnsi="Times New Roman"/>
          <w:color w:val="000000" w:themeColor="text1"/>
          <w:sz w:val="24"/>
          <w:szCs w:val="24"/>
          <w:lang w:val="en-US"/>
        </w:rPr>
        <w:t xml:space="preserve">externalization of </w:t>
      </w:r>
      <w:r w:rsidR="00EA75CD" w:rsidRPr="00C40EC1">
        <w:rPr>
          <w:rFonts w:ascii="Times New Roman" w:hAnsi="Times New Roman"/>
          <w:color w:val="000000" w:themeColor="text1"/>
          <w:sz w:val="24"/>
          <w:szCs w:val="24"/>
          <w:lang w:val="en-US"/>
        </w:rPr>
        <w:t>border</w:t>
      </w:r>
      <w:r w:rsidR="002D2B0B" w:rsidRPr="00C40EC1">
        <w:rPr>
          <w:rFonts w:ascii="Times New Roman" w:hAnsi="Times New Roman"/>
          <w:color w:val="000000" w:themeColor="text1"/>
          <w:sz w:val="24"/>
          <w:szCs w:val="24"/>
          <w:lang w:val="en-US"/>
        </w:rPr>
        <w:t xml:space="preserve"> and migration</w:t>
      </w:r>
      <w:r w:rsidR="00EA75CD" w:rsidRPr="00C40EC1">
        <w:rPr>
          <w:rFonts w:ascii="Times New Roman" w:hAnsi="Times New Roman"/>
          <w:color w:val="000000" w:themeColor="text1"/>
          <w:sz w:val="24"/>
          <w:szCs w:val="24"/>
          <w:lang w:val="en-US"/>
        </w:rPr>
        <w:t xml:space="preserve"> control </w:t>
      </w:r>
      <w:r w:rsidR="009876D2" w:rsidRPr="00C40EC1">
        <w:rPr>
          <w:rFonts w:ascii="Times New Roman" w:hAnsi="Times New Roman"/>
          <w:color w:val="000000" w:themeColor="text1"/>
          <w:sz w:val="24"/>
          <w:szCs w:val="24"/>
          <w:lang w:val="en-US"/>
        </w:rPr>
        <w:t>as well as the</w:t>
      </w:r>
      <w:r w:rsidR="00EA75CD" w:rsidRPr="00C40EC1">
        <w:rPr>
          <w:rFonts w:ascii="Times New Roman" w:hAnsi="Times New Roman"/>
          <w:color w:val="000000" w:themeColor="text1"/>
          <w:sz w:val="24"/>
          <w:szCs w:val="24"/>
          <w:lang w:val="en-US"/>
        </w:rPr>
        <w:t xml:space="preserve"> internal security policies of the EU. The following </w:t>
      </w:r>
      <w:r w:rsidR="00342AD3" w:rsidRPr="00C40EC1">
        <w:rPr>
          <w:rFonts w:ascii="Times New Roman" w:hAnsi="Times New Roman"/>
          <w:color w:val="000000" w:themeColor="text1"/>
          <w:sz w:val="24"/>
          <w:szCs w:val="24"/>
          <w:lang w:val="en-US"/>
        </w:rPr>
        <w:t>section</w:t>
      </w:r>
      <w:r w:rsidR="00EA75CD" w:rsidRPr="00C40EC1">
        <w:rPr>
          <w:rFonts w:ascii="Times New Roman" w:hAnsi="Times New Roman"/>
          <w:color w:val="000000" w:themeColor="text1"/>
          <w:sz w:val="24"/>
          <w:szCs w:val="24"/>
          <w:lang w:val="en-US"/>
        </w:rPr>
        <w:t xml:space="preserve"> will focus on the specific measures an</w:t>
      </w:r>
      <w:r w:rsidR="00607267" w:rsidRPr="00C40EC1">
        <w:rPr>
          <w:rFonts w:ascii="Times New Roman" w:hAnsi="Times New Roman"/>
          <w:color w:val="000000" w:themeColor="text1"/>
          <w:sz w:val="24"/>
          <w:szCs w:val="24"/>
          <w:lang w:val="en-US"/>
        </w:rPr>
        <w:t>d methods adopted by the EU to ‘</w:t>
      </w:r>
      <w:r w:rsidR="00EA75CD" w:rsidRPr="00C40EC1">
        <w:rPr>
          <w:rFonts w:ascii="Times New Roman" w:hAnsi="Times New Roman"/>
          <w:color w:val="000000" w:themeColor="text1"/>
          <w:sz w:val="24"/>
          <w:szCs w:val="24"/>
          <w:lang w:val="en-US"/>
        </w:rPr>
        <w:t>cope’ with the change i</w:t>
      </w:r>
      <w:r w:rsidR="00342AD3" w:rsidRPr="00C40EC1">
        <w:rPr>
          <w:rFonts w:ascii="Times New Roman" w:hAnsi="Times New Roman"/>
          <w:color w:val="000000" w:themeColor="text1"/>
          <w:sz w:val="24"/>
          <w:szCs w:val="24"/>
          <w:lang w:val="en-US"/>
        </w:rPr>
        <w:t xml:space="preserve">n its </w:t>
      </w:r>
      <w:r w:rsidR="007E7933" w:rsidRPr="00C40EC1">
        <w:rPr>
          <w:rFonts w:ascii="Times New Roman" w:hAnsi="Times New Roman"/>
          <w:color w:val="000000" w:themeColor="text1"/>
          <w:sz w:val="24"/>
          <w:szCs w:val="24"/>
          <w:lang w:val="en-US"/>
        </w:rPr>
        <w:t>neighborhood</w:t>
      </w:r>
      <w:r w:rsidR="00342AD3" w:rsidRPr="00C40EC1">
        <w:rPr>
          <w:rFonts w:ascii="Times New Roman" w:hAnsi="Times New Roman"/>
          <w:color w:val="000000" w:themeColor="text1"/>
          <w:sz w:val="24"/>
          <w:szCs w:val="24"/>
          <w:lang w:val="en-US"/>
        </w:rPr>
        <w:t xml:space="preserve"> in the early years of the crisis. Then</w:t>
      </w:r>
      <w:r w:rsidR="00362381" w:rsidRPr="00C40EC1">
        <w:rPr>
          <w:rFonts w:ascii="Times New Roman" w:hAnsi="Times New Roman"/>
          <w:color w:val="000000" w:themeColor="text1"/>
          <w:sz w:val="24"/>
          <w:szCs w:val="24"/>
          <w:lang w:val="en-US"/>
        </w:rPr>
        <w:t xml:space="preserve"> the paper will introduce the </w:t>
      </w:r>
      <w:r w:rsidR="00607267" w:rsidRPr="00C40EC1">
        <w:rPr>
          <w:rFonts w:ascii="Times New Roman" w:hAnsi="Times New Roman"/>
          <w:color w:val="000000" w:themeColor="text1"/>
          <w:sz w:val="24"/>
          <w:szCs w:val="24"/>
          <w:lang w:val="en-US"/>
        </w:rPr>
        <w:t xml:space="preserve">response to </w:t>
      </w:r>
      <w:r w:rsidR="00362381" w:rsidRPr="00C40EC1">
        <w:rPr>
          <w:rFonts w:ascii="Times New Roman" w:hAnsi="Times New Roman"/>
          <w:color w:val="000000" w:themeColor="text1"/>
          <w:sz w:val="24"/>
          <w:szCs w:val="24"/>
          <w:lang w:val="en-US"/>
        </w:rPr>
        <w:t xml:space="preserve">migratory flows </w:t>
      </w:r>
      <w:r w:rsidR="00607267" w:rsidRPr="00C40EC1">
        <w:rPr>
          <w:rFonts w:ascii="Times New Roman" w:hAnsi="Times New Roman"/>
          <w:color w:val="000000" w:themeColor="text1"/>
          <w:sz w:val="24"/>
          <w:szCs w:val="24"/>
          <w:lang w:val="en-US"/>
        </w:rPr>
        <w:t>on</w:t>
      </w:r>
      <w:r w:rsidR="00362381" w:rsidRPr="00C40EC1">
        <w:rPr>
          <w:rFonts w:ascii="Times New Roman" w:hAnsi="Times New Roman"/>
          <w:color w:val="000000" w:themeColor="text1"/>
          <w:sz w:val="24"/>
          <w:szCs w:val="24"/>
          <w:lang w:val="en-US"/>
        </w:rPr>
        <w:t xml:space="preserve"> the eastern borders of the Union in 2015 and </w:t>
      </w:r>
      <w:r w:rsidR="001651E7" w:rsidRPr="00C40EC1">
        <w:rPr>
          <w:rFonts w:ascii="Times New Roman" w:hAnsi="Times New Roman"/>
          <w:color w:val="000000" w:themeColor="text1"/>
          <w:sz w:val="24"/>
          <w:szCs w:val="24"/>
          <w:lang w:val="en-US"/>
        </w:rPr>
        <w:t xml:space="preserve">EU-Turkey migration deal </w:t>
      </w:r>
      <w:r w:rsidR="00607267" w:rsidRPr="00C40EC1">
        <w:rPr>
          <w:rFonts w:ascii="Times New Roman" w:hAnsi="Times New Roman"/>
          <w:color w:val="000000" w:themeColor="text1"/>
          <w:sz w:val="24"/>
          <w:szCs w:val="24"/>
          <w:lang w:val="en-US"/>
        </w:rPr>
        <w:t xml:space="preserve">will be discussed </w:t>
      </w:r>
      <w:r w:rsidR="001651E7" w:rsidRPr="00C40EC1">
        <w:rPr>
          <w:rFonts w:ascii="Times New Roman" w:hAnsi="Times New Roman"/>
          <w:color w:val="000000" w:themeColor="text1"/>
          <w:sz w:val="24"/>
          <w:szCs w:val="24"/>
          <w:lang w:val="en-US"/>
        </w:rPr>
        <w:t xml:space="preserve">as a case study </w:t>
      </w:r>
      <w:r w:rsidR="007A532A" w:rsidRPr="00C40EC1">
        <w:rPr>
          <w:rFonts w:ascii="Times New Roman" w:hAnsi="Times New Roman"/>
          <w:color w:val="000000" w:themeColor="text1"/>
          <w:sz w:val="24"/>
          <w:szCs w:val="24"/>
          <w:lang w:val="en-US"/>
        </w:rPr>
        <w:t xml:space="preserve">to </w:t>
      </w:r>
      <w:r w:rsidR="00607267" w:rsidRPr="00C40EC1">
        <w:rPr>
          <w:rFonts w:ascii="Times New Roman" w:hAnsi="Times New Roman"/>
          <w:color w:val="000000" w:themeColor="text1"/>
          <w:sz w:val="24"/>
          <w:szCs w:val="24"/>
          <w:lang w:val="en-US"/>
        </w:rPr>
        <w:t xml:space="preserve">reveal the </w:t>
      </w:r>
      <w:r w:rsidR="007A532A" w:rsidRPr="00C40EC1">
        <w:rPr>
          <w:rFonts w:ascii="Times New Roman" w:hAnsi="Times New Roman"/>
          <w:color w:val="000000" w:themeColor="text1"/>
          <w:sz w:val="24"/>
          <w:szCs w:val="24"/>
          <w:lang w:val="en-US"/>
        </w:rPr>
        <w:t xml:space="preserve">inherent complexities and </w:t>
      </w:r>
      <w:r w:rsidR="00607267" w:rsidRPr="00C40EC1">
        <w:rPr>
          <w:rFonts w:ascii="Times New Roman" w:hAnsi="Times New Roman"/>
          <w:color w:val="000000" w:themeColor="text1"/>
          <w:sz w:val="24"/>
          <w:szCs w:val="24"/>
          <w:lang w:val="en-US"/>
        </w:rPr>
        <w:t xml:space="preserve">to </w:t>
      </w:r>
      <w:r w:rsidR="001651E7" w:rsidRPr="00C40EC1">
        <w:rPr>
          <w:rFonts w:ascii="Times New Roman" w:hAnsi="Times New Roman"/>
          <w:color w:val="000000" w:themeColor="text1"/>
          <w:sz w:val="24"/>
          <w:szCs w:val="24"/>
          <w:lang w:val="en-US"/>
        </w:rPr>
        <w:t xml:space="preserve">exemplify the </w:t>
      </w:r>
      <w:r w:rsidR="00B06A17" w:rsidRPr="00C40EC1">
        <w:rPr>
          <w:rFonts w:ascii="Times New Roman" w:hAnsi="Times New Roman"/>
          <w:color w:val="000000" w:themeColor="text1"/>
          <w:sz w:val="24"/>
          <w:szCs w:val="24"/>
          <w:lang w:val="en-US"/>
        </w:rPr>
        <w:t>discourse-pr</w:t>
      </w:r>
      <w:r w:rsidR="00362381" w:rsidRPr="00C40EC1">
        <w:rPr>
          <w:rFonts w:ascii="Times New Roman" w:hAnsi="Times New Roman"/>
          <w:color w:val="000000" w:themeColor="text1"/>
          <w:sz w:val="24"/>
          <w:szCs w:val="24"/>
          <w:lang w:val="en-US"/>
        </w:rPr>
        <w:t>actice gap regarding migration and the challenge in reconciling humanitarianism and security concerns.</w:t>
      </w:r>
    </w:p>
    <w:p w14:paraId="08CD63C5" w14:textId="428A7A86" w:rsidR="001651E7" w:rsidRPr="00C40EC1" w:rsidRDefault="001651E7" w:rsidP="00D75D4F">
      <w:pPr>
        <w:spacing w:before="120" w:after="120" w:line="240" w:lineRule="auto"/>
        <w:contextualSpacing/>
        <w:jc w:val="both"/>
        <w:rPr>
          <w:rFonts w:ascii="Times New Roman" w:hAnsi="Times New Roman"/>
          <w:sz w:val="24"/>
          <w:szCs w:val="24"/>
          <w:lang w:val="en-US"/>
        </w:rPr>
      </w:pPr>
    </w:p>
    <w:p w14:paraId="16EE1B4F" w14:textId="3E47F03F" w:rsidR="00742298" w:rsidRPr="00C40EC1" w:rsidRDefault="00742298" w:rsidP="00D75D4F">
      <w:pPr>
        <w:spacing w:before="120" w:after="120" w:line="240" w:lineRule="auto"/>
        <w:contextualSpacing/>
        <w:jc w:val="both"/>
        <w:rPr>
          <w:rFonts w:ascii="Times New Roman" w:hAnsi="Times New Roman"/>
          <w:b/>
          <w:sz w:val="24"/>
          <w:szCs w:val="24"/>
          <w:lang w:val="en-US"/>
        </w:rPr>
      </w:pPr>
      <w:r w:rsidRPr="00C40EC1">
        <w:rPr>
          <w:rFonts w:ascii="Times New Roman" w:hAnsi="Times New Roman"/>
          <w:b/>
          <w:sz w:val="24"/>
          <w:szCs w:val="24"/>
          <w:lang w:val="en-US"/>
        </w:rPr>
        <w:t>FRAMEWORK FOR ANALYSIS</w:t>
      </w:r>
      <w:r w:rsidR="004B46A4" w:rsidRPr="00C40EC1">
        <w:rPr>
          <w:rFonts w:ascii="Times New Roman" w:hAnsi="Times New Roman"/>
          <w:b/>
          <w:sz w:val="24"/>
          <w:szCs w:val="24"/>
          <w:lang w:val="en-US"/>
        </w:rPr>
        <w:t xml:space="preserve"> </w:t>
      </w:r>
    </w:p>
    <w:p w14:paraId="75ADA82C" w14:textId="7E853C2F" w:rsidR="00686D4C" w:rsidRPr="00C40EC1" w:rsidRDefault="003D4C57" w:rsidP="00D75D4F">
      <w:pPr>
        <w:spacing w:before="120" w:after="120" w:line="240" w:lineRule="auto"/>
        <w:jc w:val="both"/>
        <w:rPr>
          <w:rFonts w:ascii="Times New Roman" w:hAnsi="Times New Roman"/>
          <w:color w:val="000000" w:themeColor="text1"/>
          <w:sz w:val="24"/>
          <w:szCs w:val="24"/>
          <w:lang w:val="en-US"/>
        </w:rPr>
      </w:pPr>
      <w:r w:rsidRPr="00C40EC1">
        <w:rPr>
          <w:rFonts w:ascii="Times New Roman" w:hAnsi="Times New Roman"/>
          <w:sz w:val="24"/>
          <w:szCs w:val="24"/>
          <w:lang w:val="en-US"/>
        </w:rPr>
        <w:t>Arab Spring exposed</w:t>
      </w:r>
      <w:r w:rsidR="00686D4C" w:rsidRPr="00C40EC1">
        <w:rPr>
          <w:rFonts w:ascii="Times New Roman" w:hAnsi="Times New Roman"/>
          <w:sz w:val="24"/>
          <w:szCs w:val="24"/>
          <w:lang w:val="en-US"/>
        </w:rPr>
        <w:t xml:space="preserve"> </w:t>
      </w:r>
      <w:r w:rsidRPr="00C40EC1">
        <w:rPr>
          <w:rFonts w:ascii="Times New Roman" w:hAnsi="Times New Roman"/>
          <w:sz w:val="24"/>
          <w:szCs w:val="24"/>
          <w:lang w:val="en-US"/>
        </w:rPr>
        <w:t xml:space="preserve">the long-time dilemma of the </w:t>
      </w:r>
      <w:r w:rsidR="00B7121B" w:rsidRPr="00C40EC1">
        <w:rPr>
          <w:rFonts w:ascii="Times New Roman" w:hAnsi="Times New Roman"/>
          <w:sz w:val="24"/>
          <w:szCs w:val="24"/>
          <w:lang w:val="en-US"/>
        </w:rPr>
        <w:t>Union;</w:t>
      </w:r>
      <w:r w:rsidR="002E1647" w:rsidRPr="00C40EC1">
        <w:rPr>
          <w:rFonts w:ascii="Times New Roman" w:hAnsi="Times New Roman"/>
          <w:sz w:val="24"/>
          <w:szCs w:val="24"/>
          <w:lang w:val="en-US"/>
        </w:rPr>
        <w:t xml:space="preserve"> “how may the ambition of nation-states to control the entry and movement of people be reconciled with liberal standards promoting free markets, open borders and humanitarian values?” (Gammeltoft-Hansen, 2006: 1). It is no secret that European nation-states have been adopting restrictive migration policies particularly since </w:t>
      </w:r>
      <w:r w:rsidR="002E1647" w:rsidRPr="00C40EC1">
        <w:rPr>
          <w:rFonts w:ascii="Times New Roman" w:hAnsi="Times New Roman"/>
          <w:sz w:val="24"/>
          <w:szCs w:val="24"/>
          <w:lang w:val="en-US"/>
        </w:rPr>
        <w:lastRenderedPageBreak/>
        <w:t xml:space="preserve">mid-1970s onwards. Interestingly, this period also overlaps with the accentuated efforts for regional integration which culminated in establishing an internal border-free Europe.  </w:t>
      </w:r>
      <w:r w:rsidR="00167C97" w:rsidRPr="00C40EC1">
        <w:rPr>
          <w:rFonts w:ascii="Times New Roman" w:hAnsi="Times New Roman"/>
          <w:sz w:val="24"/>
          <w:szCs w:val="24"/>
          <w:lang w:val="en-US"/>
        </w:rPr>
        <w:t>The Union</w:t>
      </w:r>
      <w:r w:rsidR="00686D4C" w:rsidRPr="00C40EC1">
        <w:rPr>
          <w:rFonts w:ascii="Times New Roman" w:hAnsi="Times New Roman"/>
          <w:sz w:val="24"/>
          <w:szCs w:val="24"/>
          <w:lang w:val="en-US"/>
        </w:rPr>
        <w:t xml:space="preserve"> </w:t>
      </w:r>
      <w:r w:rsidR="00B7121B" w:rsidRPr="00C40EC1">
        <w:rPr>
          <w:rFonts w:ascii="Times New Roman" w:hAnsi="Times New Roman"/>
          <w:sz w:val="24"/>
          <w:szCs w:val="24"/>
          <w:lang w:val="en-US"/>
        </w:rPr>
        <w:t xml:space="preserve">now </w:t>
      </w:r>
      <w:r w:rsidR="00686D4C" w:rsidRPr="00C40EC1">
        <w:rPr>
          <w:rFonts w:ascii="Times New Roman" w:hAnsi="Times New Roman"/>
          <w:sz w:val="24"/>
          <w:szCs w:val="24"/>
          <w:lang w:val="en-US"/>
        </w:rPr>
        <w:t>shares the sovereignty of nation-states on issues of border control, asylum and migration p</w:t>
      </w:r>
      <w:r w:rsidR="00B7121B" w:rsidRPr="00C40EC1">
        <w:rPr>
          <w:rFonts w:ascii="Times New Roman" w:hAnsi="Times New Roman"/>
          <w:sz w:val="24"/>
          <w:szCs w:val="24"/>
          <w:lang w:val="en-US"/>
        </w:rPr>
        <w:t>olicies and</w:t>
      </w:r>
      <w:r w:rsidR="00686D4C" w:rsidRPr="00C40EC1">
        <w:rPr>
          <w:rFonts w:ascii="Times New Roman" w:hAnsi="Times New Roman"/>
          <w:sz w:val="24"/>
          <w:szCs w:val="24"/>
          <w:lang w:val="en-US"/>
        </w:rPr>
        <w:t xml:space="preserve"> </w:t>
      </w:r>
      <w:r w:rsidR="00B7121B" w:rsidRPr="00C40EC1">
        <w:rPr>
          <w:rFonts w:ascii="Times New Roman" w:hAnsi="Times New Roman"/>
          <w:sz w:val="24"/>
          <w:szCs w:val="24"/>
          <w:lang w:val="en-US"/>
        </w:rPr>
        <w:t>it</w:t>
      </w:r>
      <w:r w:rsidR="00686D4C" w:rsidRPr="00C40EC1">
        <w:rPr>
          <w:rFonts w:ascii="Times New Roman" w:hAnsi="Times New Roman"/>
          <w:sz w:val="24"/>
          <w:szCs w:val="24"/>
          <w:lang w:val="en-US"/>
        </w:rPr>
        <w:t xml:space="preserve"> wants to liberalize but also strictly regulate its borders. Therefore, as Stefano Bertozzini frames it “[f]inding the correct tools to achieve the objectives of the EU and its external policy while ensuring good border management lie at the heart of the challenges” (2008:2</w:t>
      </w:r>
      <w:r w:rsidR="00686D4C" w:rsidRPr="00C40EC1">
        <w:rPr>
          <w:rFonts w:ascii="Times New Roman" w:hAnsi="Times New Roman"/>
          <w:color w:val="000000" w:themeColor="text1"/>
          <w:sz w:val="24"/>
          <w:szCs w:val="24"/>
          <w:lang w:val="en-US"/>
        </w:rPr>
        <w:t xml:space="preserve">). </w:t>
      </w:r>
      <w:r w:rsidR="00882F81" w:rsidRPr="00C40EC1">
        <w:rPr>
          <w:rFonts w:ascii="Times New Roman" w:hAnsi="Times New Roman"/>
          <w:color w:val="000000" w:themeColor="text1"/>
          <w:sz w:val="24"/>
          <w:szCs w:val="24"/>
          <w:lang w:val="en-US"/>
        </w:rPr>
        <w:t xml:space="preserve">The Union have been investing into methods to regulate border controls and migratory moves, however, Arab Spring caught </w:t>
      </w:r>
      <w:r w:rsidR="00E84F60" w:rsidRPr="00C40EC1">
        <w:rPr>
          <w:rFonts w:ascii="Times New Roman" w:hAnsi="Times New Roman"/>
          <w:color w:val="000000" w:themeColor="text1"/>
          <w:sz w:val="24"/>
          <w:szCs w:val="24"/>
          <w:lang w:val="en-US"/>
        </w:rPr>
        <w:t>it</w:t>
      </w:r>
      <w:r w:rsidR="00882F81" w:rsidRPr="00C40EC1">
        <w:rPr>
          <w:rFonts w:ascii="Times New Roman" w:hAnsi="Times New Roman"/>
          <w:color w:val="000000" w:themeColor="text1"/>
          <w:sz w:val="24"/>
          <w:szCs w:val="24"/>
          <w:lang w:val="en-US"/>
        </w:rPr>
        <w:t xml:space="preserve"> by surprise exposing the limitations of its policies leading to unilateral action of member states going as far as building </w:t>
      </w:r>
      <w:r w:rsidR="00952C52" w:rsidRPr="00C40EC1">
        <w:rPr>
          <w:rFonts w:ascii="Times New Roman" w:hAnsi="Times New Roman"/>
          <w:color w:val="000000" w:themeColor="text1"/>
          <w:sz w:val="24"/>
          <w:szCs w:val="24"/>
          <w:lang w:val="en-US"/>
        </w:rPr>
        <w:t xml:space="preserve">physical </w:t>
      </w:r>
      <w:r w:rsidR="00882F81" w:rsidRPr="00C40EC1">
        <w:rPr>
          <w:rFonts w:ascii="Times New Roman" w:hAnsi="Times New Roman"/>
          <w:color w:val="000000" w:themeColor="text1"/>
          <w:sz w:val="24"/>
          <w:szCs w:val="24"/>
          <w:lang w:val="en-US"/>
        </w:rPr>
        <w:t xml:space="preserve">walls. </w:t>
      </w:r>
    </w:p>
    <w:p w14:paraId="75CC67DD" w14:textId="77777777" w:rsidR="00167C97" w:rsidRPr="00C40EC1" w:rsidRDefault="00A83DFB"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W</w:t>
      </w:r>
      <w:r w:rsidR="00DD6920" w:rsidRPr="00C40EC1">
        <w:rPr>
          <w:rFonts w:ascii="Times New Roman" w:hAnsi="Times New Roman"/>
          <w:sz w:val="24"/>
          <w:szCs w:val="24"/>
          <w:lang w:val="en-US"/>
        </w:rPr>
        <w:t xml:space="preserve">ith the Treaty of Amsterdam and the following Tampere European Council the legal nature as well as practice of border management, migration and asylum policies have been transformed that allows bigger room for Community activism. Amsterdam put forward the goal of establishing the EU as an “Area of Freedom, Security and Justice” (AFSJ) which, since then, has become a key concern of the EU literature as well as EU institutions. Indeed, the Treaty brought a five-year term for the Community within which it should take the necessary steps to achieve this goal. This five-year period was also an expression of the desire to establish this policy field and take necessary precautions before the next round of enlargement that was planned to take place in 2004. In this context, each and every day new ways of surveillance, inspection, legislation, regulation are being produced by European institutions to establish and govern the AFSJ, which has a direct effect on the lives of European citizens as well as third country nationals. </w:t>
      </w:r>
    </w:p>
    <w:p w14:paraId="2533EF98" w14:textId="77777777" w:rsidR="00D75D4F" w:rsidRPr="00C40EC1" w:rsidRDefault="00D75D4F" w:rsidP="00D75D4F">
      <w:pPr>
        <w:spacing w:before="120" w:after="120" w:line="240" w:lineRule="auto"/>
        <w:contextualSpacing/>
        <w:jc w:val="both"/>
        <w:rPr>
          <w:rFonts w:ascii="Times New Roman" w:hAnsi="Times New Roman"/>
          <w:sz w:val="24"/>
          <w:szCs w:val="24"/>
          <w:lang w:val="en-US"/>
        </w:rPr>
      </w:pPr>
    </w:p>
    <w:p w14:paraId="2A3877E2" w14:textId="630EEEC8" w:rsidR="00BE3ADA" w:rsidRPr="00C40EC1" w:rsidRDefault="00DD6920"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 xml:space="preserve">The strategy of the EU in the field of migration, oscillated between finding a comprehensive solution and adopting a border security and containment obsessed strategy. However, differing from European nation states, the EU texts generally refrained from directly linking the issue of migration to security. Particularly the European Commission rather frames the issue as a technical issue to be dealt with better planning and effective management techniques of different sort. Indeed, the border management strategy increasingly focuses on limiting immigration and “bogus” asylum seekers by standardizing control measures around Europe and its periphery, particularly by relying on high-tech surveillance methods and by externalization or ‘extra-territorialization’ of measures of control and policing. </w:t>
      </w:r>
    </w:p>
    <w:p w14:paraId="5862D840" w14:textId="77777777" w:rsidR="00952C52" w:rsidRPr="00C40EC1" w:rsidRDefault="00952C52" w:rsidP="00D75D4F">
      <w:pPr>
        <w:spacing w:before="120" w:after="120" w:line="240" w:lineRule="auto"/>
        <w:contextualSpacing/>
        <w:jc w:val="both"/>
        <w:rPr>
          <w:rFonts w:ascii="Times New Roman" w:hAnsi="Times New Roman"/>
          <w:sz w:val="24"/>
          <w:szCs w:val="24"/>
          <w:lang w:val="en-US"/>
        </w:rPr>
      </w:pPr>
    </w:p>
    <w:p w14:paraId="174FD3E7" w14:textId="583E99BC" w:rsidR="00DD6920" w:rsidRPr="00C40EC1" w:rsidRDefault="00BE3ADA"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One of the fastest growing arms of JHA policies has been the external dimension, which became a separate policy domain in the last decade. The JHA bureaucracy of member states played a crucial role in formulating the policy and practice since its inception. Also</w:t>
      </w:r>
      <w:r w:rsidR="00385059" w:rsidRPr="00C40EC1">
        <w:rPr>
          <w:rFonts w:ascii="Times New Roman" w:hAnsi="Times New Roman"/>
          <w:sz w:val="24"/>
          <w:szCs w:val="24"/>
          <w:lang w:val="en-US"/>
        </w:rPr>
        <w:t>,</w:t>
      </w:r>
      <w:r w:rsidRPr="00C40EC1">
        <w:rPr>
          <w:rFonts w:ascii="Times New Roman" w:hAnsi="Times New Roman"/>
          <w:sz w:val="24"/>
          <w:szCs w:val="24"/>
          <w:lang w:val="en-US"/>
        </w:rPr>
        <w:t xml:space="preserve"> as the member states proved reluctant to move forward on the legal side of migration the Commission adopted externalization as a deliberate strategy to broaden its remit. Although this field is related to the external relations of the Union it was furthered by the security bureaucracy rather than diplomats, which resulted in a policy field framed in logics of security rather than promoting freedom and mobility (Carrera et al 2012, 2). </w:t>
      </w:r>
      <w:r w:rsidR="00A83DFB" w:rsidRPr="00C40EC1">
        <w:rPr>
          <w:rFonts w:ascii="Times New Roman" w:hAnsi="Times New Roman"/>
          <w:sz w:val="24"/>
          <w:szCs w:val="24"/>
          <w:lang w:val="en-US"/>
        </w:rPr>
        <w:t>T</w:t>
      </w:r>
      <w:r w:rsidR="00DD6920" w:rsidRPr="00C40EC1">
        <w:rPr>
          <w:rFonts w:ascii="Times New Roman" w:hAnsi="Times New Roman"/>
          <w:sz w:val="24"/>
          <w:szCs w:val="24"/>
          <w:lang w:val="en-US"/>
        </w:rPr>
        <w:t xml:space="preserve">he EU has been constructing, to borrow Didier Bigo’s </w:t>
      </w:r>
      <w:r w:rsidR="00882F81" w:rsidRPr="00C40EC1">
        <w:rPr>
          <w:rFonts w:ascii="Times New Roman" w:hAnsi="Times New Roman"/>
          <w:sz w:val="24"/>
          <w:szCs w:val="24"/>
          <w:lang w:val="en-US"/>
        </w:rPr>
        <w:t xml:space="preserve">(2008) </w:t>
      </w:r>
      <w:r w:rsidR="00DD6920" w:rsidRPr="00C40EC1">
        <w:rPr>
          <w:rFonts w:ascii="Times New Roman" w:hAnsi="Times New Roman"/>
          <w:sz w:val="24"/>
          <w:szCs w:val="24"/>
          <w:lang w:val="en-US"/>
        </w:rPr>
        <w:t xml:space="preserve">term, a “ban-opticon” like structure. As opposed to a “pan-opticon”, which allows surveillance of all with little effort, in a ban-opticon certain groups are selected as target groups, as potential criminals, as risky groups and are subjected to increased surveillance, whereas movement for the rest is facilitated. </w:t>
      </w:r>
    </w:p>
    <w:p w14:paraId="547B5809" w14:textId="77777777" w:rsidR="00D75D4F" w:rsidRPr="00C40EC1" w:rsidRDefault="00D75D4F" w:rsidP="00D75D4F">
      <w:pPr>
        <w:spacing w:before="120" w:after="120" w:line="240" w:lineRule="auto"/>
        <w:contextualSpacing/>
        <w:jc w:val="both"/>
        <w:rPr>
          <w:rFonts w:ascii="Times New Roman" w:hAnsi="Times New Roman"/>
          <w:sz w:val="24"/>
          <w:szCs w:val="24"/>
          <w:lang w:val="en-US"/>
        </w:rPr>
      </w:pPr>
    </w:p>
    <w:p w14:paraId="5687E8BA" w14:textId="6DF0CD4F" w:rsidR="00DD6920" w:rsidRPr="00C40EC1" w:rsidRDefault="00DD6920"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 xml:space="preserve">In Europe the group to </w:t>
      </w:r>
      <w:r w:rsidR="00A83DFB" w:rsidRPr="00C40EC1">
        <w:rPr>
          <w:rFonts w:ascii="Times New Roman" w:hAnsi="Times New Roman"/>
          <w:sz w:val="24"/>
          <w:szCs w:val="24"/>
          <w:lang w:val="en-US"/>
        </w:rPr>
        <w:t>be the subject of surveillance ha</w:t>
      </w:r>
      <w:r w:rsidR="00D45ACE" w:rsidRPr="00C40EC1">
        <w:rPr>
          <w:rFonts w:ascii="Times New Roman" w:hAnsi="Times New Roman"/>
          <w:sz w:val="24"/>
          <w:szCs w:val="24"/>
          <w:lang w:val="en-US"/>
        </w:rPr>
        <w:t>s become</w:t>
      </w:r>
      <w:r w:rsidRPr="00C40EC1">
        <w:rPr>
          <w:rFonts w:ascii="Times New Roman" w:hAnsi="Times New Roman"/>
          <w:sz w:val="24"/>
          <w:szCs w:val="24"/>
          <w:lang w:val="en-US"/>
        </w:rPr>
        <w:t xml:space="preserve"> immigrants and asylum seekers. In return for this, by increasingly relying on high technological </w:t>
      </w:r>
      <w:r w:rsidR="00D45ACE" w:rsidRPr="00C40EC1">
        <w:rPr>
          <w:rFonts w:ascii="Times New Roman" w:hAnsi="Times New Roman"/>
          <w:sz w:val="24"/>
          <w:szCs w:val="24"/>
          <w:lang w:val="en-US"/>
        </w:rPr>
        <w:t>tools</w:t>
      </w:r>
      <w:r w:rsidRPr="00C40EC1">
        <w:rPr>
          <w:rFonts w:ascii="Times New Roman" w:hAnsi="Times New Roman"/>
          <w:sz w:val="24"/>
          <w:szCs w:val="24"/>
          <w:lang w:val="en-US"/>
        </w:rPr>
        <w:t xml:space="preserve">, new methods of surveillance </w:t>
      </w:r>
      <w:r w:rsidRPr="00C40EC1">
        <w:rPr>
          <w:rFonts w:ascii="Times New Roman" w:hAnsi="Times New Roman"/>
          <w:sz w:val="24"/>
          <w:szCs w:val="24"/>
          <w:lang w:val="en-US"/>
        </w:rPr>
        <w:lastRenderedPageBreak/>
        <w:t xml:space="preserve">are being developed. Besides European agencies, border control and immigration authorities of Europe’s peripheries are also being incorporated into this system. Therefore, the issue has two dimensions, internal construction of the ban-opticon, particularly around the notion of border management, by relying on new technological developments and secondly its externalization through different techniques of governance which results in governing at a distance. Or to put it in another way; increased surveillance of ‘risky’ groups and pre-emptive approach towards eliminating risk at its source, before reaching the borders of Europe. </w:t>
      </w:r>
    </w:p>
    <w:p w14:paraId="1AED257E" w14:textId="77777777" w:rsidR="00D75D4F" w:rsidRPr="00C40EC1" w:rsidRDefault="00D75D4F" w:rsidP="00D75D4F">
      <w:pPr>
        <w:spacing w:before="120" w:after="120" w:line="240" w:lineRule="auto"/>
        <w:contextualSpacing/>
        <w:jc w:val="both"/>
        <w:rPr>
          <w:rFonts w:ascii="Times New Roman" w:hAnsi="Times New Roman"/>
          <w:sz w:val="24"/>
          <w:szCs w:val="24"/>
          <w:lang w:val="en-US"/>
        </w:rPr>
      </w:pPr>
    </w:p>
    <w:p w14:paraId="3913BE56" w14:textId="3B251011" w:rsidR="00DD6920" w:rsidRPr="00C40EC1" w:rsidRDefault="00DD6920"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 xml:space="preserve">Extra-territorialisation of control worked through several means such as visa policy, readmission agreements, carrier liability, safe third country rule which were implemented through bilateral agreements, enlargement or intermediary instruments like </w:t>
      </w:r>
      <w:r w:rsidR="00BE3ADA" w:rsidRPr="00C40EC1">
        <w:rPr>
          <w:rFonts w:ascii="Times New Roman" w:hAnsi="Times New Roman"/>
          <w:sz w:val="24"/>
          <w:szCs w:val="24"/>
          <w:lang w:val="en-US"/>
        </w:rPr>
        <w:t xml:space="preserve">the </w:t>
      </w:r>
      <w:r w:rsidRPr="00C40EC1">
        <w:rPr>
          <w:rFonts w:ascii="Times New Roman" w:hAnsi="Times New Roman"/>
          <w:sz w:val="24"/>
          <w:szCs w:val="24"/>
          <w:lang w:val="en-US"/>
        </w:rPr>
        <w:t xml:space="preserve">European Neighbourhood Policy. In a way the Union differentiated between various regions and developed tailor made relations with each by benefitting from different tools. Sandra Lavenex correctly argues that “[i]n contrast to a preventive comprehensive approach addressing the factors which lead people to leave their country of origin, European policies focused on the repression of undesired inflows through externalization” (Lavenex, 2007: 134). This externalization worked with the implicit rationale of “remote control” where the aim has been to shift the locus of control further outside of the Union and its common territory. Schengen Agreements signed in 1990 </w:t>
      </w:r>
      <w:r w:rsidR="000E3C93" w:rsidRPr="00C40EC1">
        <w:rPr>
          <w:rFonts w:ascii="Times New Roman" w:hAnsi="Times New Roman"/>
          <w:sz w:val="24"/>
          <w:szCs w:val="24"/>
          <w:lang w:val="en-US"/>
        </w:rPr>
        <w:t>provided</w:t>
      </w:r>
      <w:r w:rsidRPr="00C40EC1">
        <w:rPr>
          <w:rFonts w:ascii="Times New Roman" w:hAnsi="Times New Roman"/>
          <w:sz w:val="24"/>
          <w:szCs w:val="24"/>
          <w:lang w:val="en-US"/>
        </w:rPr>
        <w:t xml:space="preserve"> several instruments which became a part of the EU </w:t>
      </w:r>
      <w:r w:rsidRPr="00C40EC1">
        <w:rPr>
          <w:rFonts w:ascii="Times New Roman" w:hAnsi="Times New Roman"/>
          <w:i/>
          <w:sz w:val="24"/>
          <w:szCs w:val="24"/>
          <w:lang w:val="en-US"/>
        </w:rPr>
        <w:t>acquis</w:t>
      </w:r>
      <w:r w:rsidRPr="00C40EC1">
        <w:rPr>
          <w:rFonts w:ascii="Times New Roman" w:hAnsi="Times New Roman"/>
          <w:sz w:val="24"/>
          <w:szCs w:val="24"/>
          <w:lang w:val="en-US"/>
        </w:rPr>
        <w:t xml:space="preserve"> as a result of the Amsterdam Treaty. The early coordination of visa policies in the Schengen group, the introduction of carrier liability, in the second half of the 1990s, placing national liaison officers from the home ministries at airports in countries of origin in order to check validity of documents were among these instruments. On the other hand, “second form of early externalisation was the mobilisation of third countries in the control of migration flows to Europe, mainly through the adoption of the ‘safe third count</w:t>
      </w:r>
      <w:r w:rsidR="009F126C" w:rsidRPr="00C40EC1">
        <w:rPr>
          <w:rFonts w:ascii="Times New Roman" w:hAnsi="Times New Roman"/>
          <w:sz w:val="24"/>
          <w:szCs w:val="24"/>
          <w:lang w:val="en-US"/>
        </w:rPr>
        <w:t xml:space="preserve">ry’ rule” (Lavenex, 2007: 134). </w:t>
      </w:r>
      <w:r w:rsidRPr="00C40EC1">
        <w:rPr>
          <w:rFonts w:ascii="Times New Roman" w:hAnsi="Times New Roman"/>
          <w:sz w:val="24"/>
          <w:szCs w:val="24"/>
          <w:lang w:val="en-US"/>
        </w:rPr>
        <w:t xml:space="preserve">The Schengen Agreement and Dublin Convention led to the emergence of such a rule. However, it was later on adopted by the Union as well through the Council Regulation no.343/2003 of 18 February 2003 which replaced the 1990 Dublin Convention. Article 3(3) of the Regulation clarified the “safe third country rule”. According to this member states were given the right to deny examination of an asylum claim and to send back the applicant to a third country where s/he would have had the chance to apply for asylum so long as this state is party to international refugee treaties. </w:t>
      </w:r>
      <w:r w:rsidR="00BE3ADA" w:rsidRPr="00C40EC1">
        <w:rPr>
          <w:rFonts w:ascii="Times New Roman" w:hAnsi="Times New Roman"/>
          <w:sz w:val="24"/>
          <w:szCs w:val="24"/>
          <w:lang w:val="en-US"/>
        </w:rPr>
        <w:t>For this rule to function a</w:t>
      </w:r>
      <w:r w:rsidRPr="00C40EC1">
        <w:rPr>
          <w:rFonts w:ascii="Times New Roman" w:hAnsi="Times New Roman"/>
          <w:sz w:val="24"/>
          <w:szCs w:val="24"/>
          <w:lang w:val="en-US"/>
        </w:rPr>
        <w:t xml:space="preserve">nother crucial tool </w:t>
      </w:r>
      <w:r w:rsidR="00BE3ADA" w:rsidRPr="00C40EC1">
        <w:rPr>
          <w:rFonts w:ascii="Times New Roman" w:hAnsi="Times New Roman"/>
          <w:sz w:val="24"/>
          <w:szCs w:val="24"/>
          <w:lang w:val="en-US"/>
        </w:rPr>
        <w:t xml:space="preserve">was needed </w:t>
      </w:r>
      <w:r w:rsidRPr="00C40EC1">
        <w:rPr>
          <w:rFonts w:ascii="Times New Roman" w:hAnsi="Times New Roman"/>
          <w:sz w:val="24"/>
          <w:szCs w:val="24"/>
          <w:lang w:val="en-US"/>
        </w:rPr>
        <w:t>the “readmission agreements”</w:t>
      </w:r>
      <w:r w:rsidR="00BE3ADA" w:rsidRPr="00C40EC1">
        <w:rPr>
          <w:rFonts w:ascii="Times New Roman" w:hAnsi="Times New Roman"/>
          <w:sz w:val="24"/>
          <w:szCs w:val="24"/>
          <w:lang w:val="en-US"/>
        </w:rPr>
        <w:t xml:space="preserve"> which would enable European countries to send back these asylum seekers or migrants to the “safe countries”. The EU has been aggressively promoting readmission agreements and mainstreaming this to its foreign relations. </w:t>
      </w:r>
      <w:r w:rsidR="0053254F" w:rsidRPr="00C40EC1">
        <w:rPr>
          <w:rFonts w:ascii="Times New Roman" w:hAnsi="Times New Roman"/>
          <w:sz w:val="24"/>
          <w:szCs w:val="24"/>
          <w:lang w:val="en-US"/>
        </w:rPr>
        <w:t xml:space="preserve">However, it is a quite controversial practice for it passes the burden of asylum seekers to poorer countries, putting the protection of refugees in danger. </w:t>
      </w:r>
    </w:p>
    <w:p w14:paraId="16C40C8C" w14:textId="77777777" w:rsidR="00D75D4F" w:rsidRPr="00C40EC1" w:rsidRDefault="00D75D4F" w:rsidP="00D75D4F">
      <w:pPr>
        <w:spacing w:before="120" w:after="120" w:line="240" w:lineRule="auto"/>
        <w:contextualSpacing/>
        <w:jc w:val="both"/>
        <w:rPr>
          <w:rFonts w:ascii="Times New Roman" w:hAnsi="Times New Roman"/>
          <w:sz w:val="24"/>
          <w:szCs w:val="24"/>
          <w:lang w:val="en-US"/>
        </w:rPr>
      </w:pPr>
    </w:p>
    <w:p w14:paraId="64D56720" w14:textId="05353B5E" w:rsidR="00E84F60" w:rsidRPr="00C40EC1" w:rsidRDefault="00E84F60"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 xml:space="preserve">Although, all these initial remote-control techniques were developed within the intergovernmental Schengen cooperation, they soon became a tool of the Union where JHA policies are supranationalized. At this conjunction, enlargement of the Union has been a defining moment in managing the surrounding of the Union and formulating specific tools and mechanisms to this aim. Especially Central and East European Countries` (CEEC) enlargement deserves particular attention, as major policy tools of externalization related to border management and migration were structured through this process. There are several policy instruments at EU’s disposal to influence the actions of other countries. Indeed, they represent a significant strength enabling the EU to tailor its external cooperation according to the situation of each country. The Commission lists in one of its Communications; bilateral agreements, enlargement and pre-accession processes, </w:t>
      </w:r>
      <w:r w:rsidRPr="00C40EC1">
        <w:rPr>
          <w:rFonts w:ascii="Times New Roman" w:hAnsi="Times New Roman"/>
          <w:sz w:val="24"/>
          <w:szCs w:val="24"/>
          <w:lang w:val="en-US"/>
        </w:rPr>
        <w:lastRenderedPageBreak/>
        <w:t xml:space="preserve">European Neighbourhood Policy Action Plans, regional cooperation, individual arrangements, operational cooperation, institution building and twinning, development policy, external aid programmes, international organization and monitoring as examples to these policy instruments (European Commission 2005b, 7). Policies developed in response to the Arab Spring also benefitted from these tools, yet framed in a discourse of partnership. </w:t>
      </w:r>
    </w:p>
    <w:p w14:paraId="7A220C0E" w14:textId="77777777" w:rsidR="00D75D4F" w:rsidRPr="00C40EC1" w:rsidRDefault="00D75D4F" w:rsidP="00D75D4F">
      <w:pPr>
        <w:spacing w:before="120" w:after="120" w:line="240" w:lineRule="auto"/>
        <w:contextualSpacing/>
        <w:jc w:val="both"/>
        <w:rPr>
          <w:rFonts w:ascii="Times New Roman" w:hAnsi="Times New Roman"/>
          <w:sz w:val="24"/>
          <w:szCs w:val="24"/>
          <w:lang w:val="en-US"/>
        </w:rPr>
      </w:pPr>
    </w:p>
    <w:p w14:paraId="21C2ED6C" w14:textId="20CB7B5E" w:rsidR="00805594" w:rsidRPr="00C40EC1" w:rsidRDefault="00805594" w:rsidP="00D75D4F">
      <w:pPr>
        <w:spacing w:before="120" w:after="120" w:line="240" w:lineRule="auto"/>
        <w:contextualSpacing/>
        <w:jc w:val="both"/>
        <w:rPr>
          <w:rFonts w:ascii="Times New Roman" w:hAnsi="Times New Roman"/>
          <w:color w:val="000000" w:themeColor="text1"/>
          <w:sz w:val="24"/>
          <w:szCs w:val="24"/>
          <w:lang w:val="en-US"/>
        </w:rPr>
      </w:pPr>
      <w:r w:rsidRPr="00C40EC1">
        <w:rPr>
          <w:rFonts w:ascii="Times New Roman" w:hAnsi="Times New Roman"/>
          <w:color w:val="000000" w:themeColor="text1"/>
          <w:sz w:val="24"/>
          <w:szCs w:val="24"/>
          <w:lang w:val="en-US"/>
        </w:rPr>
        <w:t xml:space="preserve">Just before the </w:t>
      </w:r>
      <w:r w:rsidR="002E1647" w:rsidRPr="00C40EC1">
        <w:rPr>
          <w:rFonts w:ascii="Times New Roman" w:hAnsi="Times New Roman"/>
          <w:color w:val="000000" w:themeColor="text1"/>
          <w:sz w:val="24"/>
          <w:szCs w:val="24"/>
          <w:lang w:val="en-US"/>
        </w:rPr>
        <w:t xml:space="preserve">turmoil </w:t>
      </w:r>
      <w:r w:rsidRPr="00C40EC1">
        <w:rPr>
          <w:rFonts w:ascii="Times New Roman" w:hAnsi="Times New Roman"/>
          <w:color w:val="000000" w:themeColor="text1"/>
          <w:sz w:val="24"/>
          <w:szCs w:val="24"/>
          <w:lang w:val="en-US"/>
        </w:rPr>
        <w:t xml:space="preserve">in the southern neighbourhood, the Union has gone through </w:t>
      </w:r>
      <w:r w:rsidR="00C5411D" w:rsidRPr="00C40EC1">
        <w:rPr>
          <w:rFonts w:ascii="Times New Roman" w:hAnsi="Times New Roman"/>
          <w:color w:val="000000" w:themeColor="text1"/>
          <w:sz w:val="24"/>
          <w:szCs w:val="24"/>
          <w:lang w:val="en-US"/>
        </w:rPr>
        <w:t xml:space="preserve">a </w:t>
      </w:r>
      <w:r w:rsidRPr="00C40EC1">
        <w:rPr>
          <w:rFonts w:ascii="Times New Roman" w:hAnsi="Times New Roman"/>
          <w:color w:val="000000" w:themeColor="text1"/>
          <w:sz w:val="24"/>
          <w:szCs w:val="24"/>
          <w:lang w:val="en-US"/>
        </w:rPr>
        <w:t xml:space="preserve">major constitutional transformation with important institutional ramifications. The Lisbon Treaty was signed on 13 December 2007, and entered into force on 1 December 2009. Lisbon brought fundamental changes in many areas, but particularly for foreign relations and the JHA field for it demolished totally the old pillar structure remaining from the Maastricht Agreement and sought ways to increase the global profile of the EU. </w:t>
      </w:r>
    </w:p>
    <w:p w14:paraId="073573F1" w14:textId="77777777" w:rsidR="00D75D4F" w:rsidRPr="00C40EC1" w:rsidRDefault="00D75D4F" w:rsidP="00D75D4F">
      <w:pPr>
        <w:spacing w:before="120" w:after="120" w:line="240" w:lineRule="auto"/>
        <w:contextualSpacing/>
        <w:jc w:val="both"/>
        <w:rPr>
          <w:rFonts w:ascii="Times New Roman" w:hAnsi="Times New Roman"/>
          <w:color w:val="000000" w:themeColor="text1"/>
          <w:sz w:val="24"/>
          <w:szCs w:val="24"/>
          <w:lang w:val="en-US"/>
        </w:rPr>
      </w:pPr>
    </w:p>
    <w:p w14:paraId="4E1B12DD" w14:textId="0E94EFBD" w:rsidR="00805594" w:rsidRPr="00C40EC1" w:rsidRDefault="00805594" w:rsidP="00D75D4F">
      <w:pPr>
        <w:spacing w:before="120" w:after="120" w:line="240" w:lineRule="auto"/>
        <w:contextualSpacing/>
        <w:jc w:val="both"/>
        <w:rPr>
          <w:rFonts w:ascii="Times New Roman" w:hAnsi="Times New Roman"/>
          <w:color w:val="000000" w:themeColor="text1"/>
          <w:sz w:val="24"/>
          <w:szCs w:val="24"/>
          <w:lang w:val="en-US"/>
        </w:rPr>
      </w:pPr>
      <w:r w:rsidRPr="00C40EC1">
        <w:rPr>
          <w:rFonts w:ascii="Times New Roman" w:hAnsi="Times New Roman"/>
          <w:color w:val="000000" w:themeColor="text1"/>
          <w:sz w:val="24"/>
          <w:szCs w:val="24"/>
          <w:lang w:val="en-US"/>
        </w:rPr>
        <w:t xml:space="preserve">Abolishing pillar structure meant merging of previously separated JHA policies as well as changing </w:t>
      </w:r>
      <w:r w:rsidR="00952C52" w:rsidRPr="00C40EC1">
        <w:rPr>
          <w:rFonts w:ascii="Times New Roman" w:hAnsi="Times New Roman"/>
          <w:color w:val="000000" w:themeColor="text1"/>
          <w:sz w:val="24"/>
          <w:szCs w:val="24"/>
          <w:lang w:val="en-US"/>
        </w:rPr>
        <w:t>decision-making</w:t>
      </w:r>
      <w:r w:rsidRPr="00C40EC1">
        <w:rPr>
          <w:rFonts w:ascii="Times New Roman" w:hAnsi="Times New Roman"/>
          <w:color w:val="000000" w:themeColor="text1"/>
          <w:sz w:val="24"/>
          <w:szCs w:val="24"/>
          <w:lang w:val="en-US"/>
        </w:rPr>
        <w:t xml:space="preserve"> procedures. “With few exceptions, the ‘ordinary legislative procedure’ has been defined as the standard decision-making method in the AFSJ, which has empowered the European Parliament and enlarged the jurisdiction of the European Court of Justice (ECJ)” (Trauner and Carrapico 2012, 8). Another major step taken in the post-Lisbon phase was the division of Directorate General (DG) for Justice, Freedom and Security into two separate DGs; Justice, Fundamental Rights and Citizenship and Home Affairs (Carrera and Guild 2012). However, this division was not the only transformation leading to change of “classical relational power and actor-based architecture in JHA cooperation at Union levels”, the change in decision making procedures, increased involvement of European Parliament, creation of new committees all lead to some sort of confusion, especially in the ownership of f</w:t>
      </w:r>
      <w:r w:rsidR="007E7933">
        <w:rPr>
          <w:rFonts w:ascii="Times New Roman" w:hAnsi="Times New Roman"/>
          <w:color w:val="000000" w:themeColor="text1"/>
          <w:sz w:val="24"/>
          <w:szCs w:val="24"/>
          <w:lang w:val="en-US"/>
        </w:rPr>
        <w:t>ollow-up for Stockholm Program</w:t>
      </w:r>
      <w:r w:rsidRPr="00C40EC1">
        <w:rPr>
          <w:rFonts w:ascii="Times New Roman" w:hAnsi="Times New Roman"/>
          <w:color w:val="000000" w:themeColor="text1"/>
          <w:sz w:val="24"/>
          <w:szCs w:val="24"/>
          <w:lang w:val="en-US"/>
        </w:rPr>
        <w:t>- the third multi-</w:t>
      </w:r>
      <w:r w:rsidR="007E7933">
        <w:rPr>
          <w:rFonts w:ascii="Times New Roman" w:hAnsi="Times New Roman"/>
          <w:color w:val="000000" w:themeColor="text1"/>
          <w:sz w:val="24"/>
          <w:szCs w:val="24"/>
          <w:lang w:val="en-US"/>
        </w:rPr>
        <w:t>annual (2009-2014) JHA program</w:t>
      </w:r>
      <w:r w:rsidRPr="00C40EC1">
        <w:rPr>
          <w:rFonts w:ascii="Times New Roman" w:hAnsi="Times New Roman"/>
          <w:color w:val="000000" w:themeColor="text1"/>
          <w:sz w:val="24"/>
          <w:szCs w:val="24"/>
          <w:lang w:val="en-US"/>
        </w:rPr>
        <w:t xml:space="preserve"> (Guild and Carrera 2012, 4).</w:t>
      </w:r>
    </w:p>
    <w:p w14:paraId="28ADABF6" w14:textId="77777777" w:rsidR="00D75D4F" w:rsidRPr="00C40EC1" w:rsidRDefault="00D75D4F" w:rsidP="00D75D4F">
      <w:pPr>
        <w:spacing w:before="120" w:after="120" w:line="240" w:lineRule="auto"/>
        <w:contextualSpacing/>
        <w:jc w:val="both"/>
        <w:rPr>
          <w:rFonts w:ascii="Times New Roman" w:hAnsi="Times New Roman"/>
          <w:color w:val="000000" w:themeColor="text1"/>
          <w:sz w:val="24"/>
          <w:szCs w:val="24"/>
          <w:lang w:val="en-US"/>
        </w:rPr>
      </w:pPr>
    </w:p>
    <w:p w14:paraId="7FAF7ED3" w14:textId="696E8E98" w:rsidR="00805594" w:rsidRPr="00C40EC1" w:rsidRDefault="00805594" w:rsidP="00D75D4F">
      <w:pPr>
        <w:spacing w:before="120" w:after="120" w:line="240" w:lineRule="auto"/>
        <w:contextualSpacing/>
        <w:jc w:val="both"/>
        <w:rPr>
          <w:rFonts w:ascii="Times New Roman" w:hAnsi="Times New Roman"/>
          <w:color w:val="000000" w:themeColor="text1"/>
          <w:sz w:val="24"/>
          <w:szCs w:val="24"/>
          <w:lang w:val="en-US"/>
        </w:rPr>
      </w:pPr>
      <w:r w:rsidRPr="00C40EC1">
        <w:rPr>
          <w:rFonts w:ascii="Times New Roman" w:hAnsi="Times New Roman"/>
          <w:color w:val="000000" w:themeColor="text1"/>
          <w:sz w:val="24"/>
          <w:szCs w:val="24"/>
          <w:lang w:val="en-US"/>
        </w:rPr>
        <w:t xml:space="preserve">In theory, Lisbon supranationalized the JHA, with the potential to limit the room for </w:t>
      </w:r>
      <w:r w:rsidR="000326AB" w:rsidRPr="00C40EC1">
        <w:rPr>
          <w:rFonts w:ascii="Times New Roman" w:hAnsi="Times New Roman"/>
          <w:color w:val="000000" w:themeColor="text1"/>
          <w:sz w:val="24"/>
          <w:szCs w:val="24"/>
          <w:lang w:val="en-US"/>
        </w:rPr>
        <w:t>maneuver</w:t>
      </w:r>
      <w:r w:rsidRPr="00C40EC1">
        <w:rPr>
          <w:rFonts w:ascii="Times New Roman" w:hAnsi="Times New Roman"/>
          <w:color w:val="000000" w:themeColor="text1"/>
          <w:sz w:val="24"/>
          <w:szCs w:val="24"/>
          <w:lang w:val="en-US"/>
        </w:rPr>
        <w:t xml:space="preserve"> of national executives and improve the protection standards for refugees. However, in practice as will be discussed below, during the Arab Spring many of the problems in JHA field proved to be resilient. The increasing emphasis on the link between internal and external security creates the logic where externalization of JHA becomes an integral part of EU’s `global actorness` (Trauner and Carrapico 2012, 2). Another problem is the resentment at the national level against increasing supranationaliza</w:t>
      </w:r>
      <w:r w:rsidR="00952C52" w:rsidRPr="00C40EC1">
        <w:rPr>
          <w:rFonts w:ascii="Times New Roman" w:hAnsi="Times New Roman"/>
          <w:color w:val="000000" w:themeColor="text1"/>
          <w:sz w:val="24"/>
          <w:szCs w:val="24"/>
          <w:lang w:val="en-US"/>
        </w:rPr>
        <w:t>tion; despite the move towards it</w:t>
      </w:r>
      <w:r w:rsidRPr="00C40EC1">
        <w:rPr>
          <w:rFonts w:ascii="Times New Roman" w:hAnsi="Times New Roman"/>
          <w:color w:val="000000" w:themeColor="text1"/>
          <w:sz w:val="24"/>
          <w:szCs w:val="24"/>
          <w:lang w:val="en-US"/>
        </w:rPr>
        <w:t xml:space="preserve">, with a transition period of five years, it is not always easy to convince the member states to behave accordingly.  </w:t>
      </w:r>
    </w:p>
    <w:p w14:paraId="0AA15CFE" w14:textId="77777777" w:rsidR="00805594" w:rsidRPr="00C40EC1" w:rsidRDefault="00805594" w:rsidP="00D75D4F">
      <w:pPr>
        <w:spacing w:before="120" w:after="120" w:line="240" w:lineRule="auto"/>
        <w:ind w:left="567"/>
        <w:contextualSpacing/>
        <w:jc w:val="both"/>
        <w:rPr>
          <w:rFonts w:ascii="Times New Roman" w:hAnsi="Times New Roman"/>
          <w:color w:val="000000" w:themeColor="text1"/>
          <w:sz w:val="24"/>
          <w:szCs w:val="24"/>
          <w:lang w:val="en-US"/>
        </w:rPr>
      </w:pPr>
      <w:r w:rsidRPr="00C40EC1">
        <w:rPr>
          <w:rFonts w:ascii="Times New Roman" w:hAnsi="Times New Roman"/>
          <w:color w:val="000000" w:themeColor="text1"/>
          <w:sz w:val="24"/>
          <w:szCs w:val="24"/>
          <w:lang w:val="en-US"/>
        </w:rPr>
        <w:t xml:space="preserve">An exemplary case illustrating the tendency to `renationalise` or return to the period of intergovernmentalism has been the debates surrounding the Schengen system, which has been challenged through 2011 and 2012 as a result of member states` attempts to limit or apply unlawful exceptions to the right of free movement of persons and the abolition of internal border checks (Carrera and Guild 2012, 12). </w:t>
      </w:r>
    </w:p>
    <w:p w14:paraId="4ED119E7" w14:textId="77777777" w:rsidR="00D75D4F" w:rsidRPr="00C40EC1" w:rsidRDefault="00D75D4F" w:rsidP="00D75D4F">
      <w:pPr>
        <w:spacing w:before="120" w:after="120" w:line="240" w:lineRule="auto"/>
        <w:ind w:left="567"/>
        <w:contextualSpacing/>
        <w:jc w:val="both"/>
        <w:rPr>
          <w:rFonts w:ascii="Times New Roman" w:hAnsi="Times New Roman"/>
          <w:color w:val="000000" w:themeColor="text1"/>
          <w:sz w:val="24"/>
          <w:szCs w:val="24"/>
          <w:lang w:val="en-US"/>
        </w:rPr>
      </w:pPr>
    </w:p>
    <w:p w14:paraId="36B6E6D9" w14:textId="35D369CF" w:rsidR="00805594" w:rsidRPr="00C40EC1" w:rsidRDefault="00805594" w:rsidP="00D75D4F">
      <w:pPr>
        <w:spacing w:before="120" w:after="120" w:line="240" w:lineRule="auto"/>
        <w:contextualSpacing/>
        <w:jc w:val="both"/>
        <w:rPr>
          <w:rFonts w:ascii="Times New Roman" w:hAnsi="Times New Roman"/>
          <w:color w:val="000000" w:themeColor="text1"/>
          <w:sz w:val="24"/>
          <w:szCs w:val="24"/>
          <w:highlight w:val="yellow"/>
          <w:lang w:val="en-US"/>
        </w:rPr>
      </w:pPr>
      <w:r w:rsidRPr="00C40EC1">
        <w:rPr>
          <w:rFonts w:ascii="Times New Roman" w:hAnsi="Times New Roman"/>
          <w:color w:val="000000" w:themeColor="text1"/>
          <w:sz w:val="24"/>
          <w:szCs w:val="24"/>
          <w:lang w:val="en-US"/>
        </w:rPr>
        <w:t xml:space="preserve">Several new institutions were </w:t>
      </w:r>
      <w:r w:rsidR="009772D8" w:rsidRPr="00C40EC1">
        <w:rPr>
          <w:rFonts w:ascii="Times New Roman" w:hAnsi="Times New Roman"/>
          <w:color w:val="000000" w:themeColor="text1"/>
          <w:sz w:val="24"/>
          <w:szCs w:val="24"/>
          <w:lang w:val="en-US"/>
        </w:rPr>
        <w:t xml:space="preserve">also </w:t>
      </w:r>
      <w:r w:rsidRPr="00C40EC1">
        <w:rPr>
          <w:rFonts w:ascii="Times New Roman" w:hAnsi="Times New Roman"/>
          <w:color w:val="000000" w:themeColor="text1"/>
          <w:sz w:val="24"/>
          <w:szCs w:val="24"/>
          <w:lang w:val="en-US"/>
        </w:rPr>
        <w:t xml:space="preserve">formed, two of which were; the High Representative of the Union for Foreign Affairs and Security Policy and the office to support the high representative, the European External Action Service (EEAS) which hosts officials from Council and Commission as well as temporarily assigned staff from the Member countries (Monar, 2012). Arab spring was a major test particularly for the High Representative in asserting the influence of the Union in its </w:t>
      </w:r>
      <w:r w:rsidR="000326AB" w:rsidRPr="00C40EC1">
        <w:rPr>
          <w:rFonts w:ascii="Times New Roman" w:hAnsi="Times New Roman"/>
          <w:color w:val="000000" w:themeColor="text1"/>
          <w:sz w:val="24"/>
          <w:szCs w:val="24"/>
          <w:lang w:val="en-US"/>
        </w:rPr>
        <w:t>neighborhood</w:t>
      </w:r>
      <w:r w:rsidRPr="00C40EC1">
        <w:rPr>
          <w:rFonts w:ascii="Times New Roman" w:hAnsi="Times New Roman"/>
          <w:color w:val="000000" w:themeColor="text1"/>
          <w:sz w:val="24"/>
          <w:szCs w:val="24"/>
          <w:lang w:val="en-US"/>
        </w:rPr>
        <w:t xml:space="preserve">. The EEAS started its operations on 1December 2010 just couple of days before the </w:t>
      </w:r>
      <w:r w:rsidRPr="00C40EC1">
        <w:rPr>
          <w:rFonts w:ascii="Times New Roman" w:hAnsi="Times New Roman"/>
          <w:color w:val="000000" w:themeColor="text1"/>
          <w:sz w:val="24"/>
          <w:szCs w:val="24"/>
          <w:lang w:val="en-US"/>
        </w:rPr>
        <w:lastRenderedPageBreak/>
        <w:t xml:space="preserve">fire of the Arab Spring was ignited.  Catherine Ashton, as the </w:t>
      </w:r>
      <w:r w:rsidR="00E84F60" w:rsidRPr="00C40EC1">
        <w:rPr>
          <w:rFonts w:ascii="Times New Roman" w:hAnsi="Times New Roman"/>
          <w:color w:val="000000" w:themeColor="text1"/>
          <w:sz w:val="24"/>
          <w:szCs w:val="24"/>
          <w:lang w:val="en-US"/>
        </w:rPr>
        <w:t xml:space="preserve">then </w:t>
      </w:r>
      <w:r w:rsidRPr="00C40EC1">
        <w:rPr>
          <w:rFonts w:ascii="Times New Roman" w:hAnsi="Times New Roman"/>
          <w:color w:val="000000" w:themeColor="text1"/>
          <w:sz w:val="24"/>
          <w:szCs w:val="24"/>
          <w:lang w:val="en-US"/>
        </w:rPr>
        <w:t>High Representative paid a visit to Tunisia on 14 February 2011 and declared EU’s ‘willingness to be the strongest ally of Tunisia in its move to democracy.’</w:t>
      </w:r>
      <w:r w:rsidRPr="00C40EC1">
        <w:rPr>
          <w:rStyle w:val="FootnoteReference"/>
          <w:rFonts w:ascii="Times New Roman" w:hAnsi="Times New Roman"/>
          <w:color w:val="000000" w:themeColor="text1"/>
          <w:sz w:val="24"/>
          <w:szCs w:val="24"/>
          <w:lang w:val="en-US"/>
        </w:rPr>
        <w:footnoteReference w:id="2"/>
      </w:r>
      <w:r w:rsidRPr="00C40EC1">
        <w:rPr>
          <w:rFonts w:ascii="Times New Roman" w:hAnsi="Times New Roman"/>
          <w:color w:val="000000" w:themeColor="text1"/>
          <w:sz w:val="24"/>
          <w:szCs w:val="24"/>
          <w:lang w:val="en-US"/>
        </w:rPr>
        <w:t xml:space="preserve"> However, the year 2010 was much about the institutional transformation in the post-Lisbon era and the internal strife among various institutions of the Union. Things were aggravated by the Euro-crisis and the declining interest in the Union by its citizens. Thus, the EU was very much consumed by its internal discussions when a tectonic shift was happening in its </w:t>
      </w:r>
      <w:r w:rsidR="000326AB" w:rsidRPr="00C40EC1">
        <w:rPr>
          <w:rFonts w:ascii="Times New Roman" w:hAnsi="Times New Roman"/>
          <w:color w:val="000000" w:themeColor="text1"/>
          <w:sz w:val="24"/>
          <w:szCs w:val="24"/>
          <w:lang w:val="en-US"/>
        </w:rPr>
        <w:t>neighborhood</w:t>
      </w:r>
      <w:r w:rsidRPr="00C40EC1">
        <w:rPr>
          <w:rFonts w:ascii="Times New Roman" w:hAnsi="Times New Roman"/>
          <w:color w:val="000000" w:themeColor="text1"/>
          <w:sz w:val="24"/>
          <w:szCs w:val="24"/>
          <w:lang w:val="en-US"/>
        </w:rPr>
        <w:t xml:space="preserve"> ignited by a discourse of dignity and freedom, values the EU long defended, but recently traded with stability and narrow interpretations of security.  </w:t>
      </w:r>
    </w:p>
    <w:p w14:paraId="55478145" w14:textId="77777777" w:rsidR="00805594" w:rsidRPr="00C40EC1" w:rsidRDefault="00805594" w:rsidP="00D75D4F">
      <w:pPr>
        <w:spacing w:before="120" w:after="120" w:line="240" w:lineRule="auto"/>
        <w:contextualSpacing/>
        <w:jc w:val="both"/>
        <w:rPr>
          <w:rFonts w:ascii="Times New Roman" w:hAnsi="Times New Roman"/>
          <w:color w:val="000000" w:themeColor="text1"/>
          <w:sz w:val="24"/>
          <w:szCs w:val="24"/>
          <w:lang w:val="en-US"/>
        </w:rPr>
      </w:pPr>
    </w:p>
    <w:p w14:paraId="400B3B83" w14:textId="5F3FBC8E" w:rsidR="002F059D" w:rsidRPr="00C40EC1" w:rsidRDefault="00D45ACE" w:rsidP="002D20CE">
      <w:pPr>
        <w:spacing w:before="120" w:after="120" w:line="240" w:lineRule="auto"/>
        <w:contextualSpacing/>
        <w:rPr>
          <w:rFonts w:ascii="Times New Roman" w:hAnsi="Times New Roman"/>
          <w:b/>
          <w:sz w:val="24"/>
          <w:szCs w:val="24"/>
          <w:lang w:val="en-US"/>
        </w:rPr>
      </w:pPr>
      <w:r w:rsidRPr="00C40EC1">
        <w:rPr>
          <w:rFonts w:ascii="Times New Roman" w:hAnsi="Times New Roman"/>
          <w:b/>
          <w:sz w:val="24"/>
          <w:szCs w:val="24"/>
          <w:lang w:val="en-US"/>
        </w:rPr>
        <w:t>THE EU`S RESPONSE</w:t>
      </w:r>
      <w:r w:rsidR="003E624E" w:rsidRPr="00C40EC1">
        <w:rPr>
          <w:rFonts w:ascii="Times New Roman" w:hAnsi="Times New Roman"/>
          <w:b/>
          <w:sz w:val="24"/>
          <w:szCs w:val="24"/>
          <w:lang w:val="en-US"/>
        </w:rPr>
        <w:t xml:space="preserve"> TO </w:t>
      </w:r>
      <w:r w:rsidR="009772D8" w:rsidRPr="00C40EC1">
        <w:rPr>
          <w:rFonts w:ascii="Times New Roman" w:hAnsi="Times New Roman"/>
          <w:b/>
          <w:sz w:val="24"/>
          <w:szCs w:val="24"/>
          <w:lang w:val="en-US"/>
        </w:rPr>
        <w:t xml:space="preserve">THE </w:t>
      </w:r>
      <w:r w:rsidR="003E624E" w:rsidRPr="00C40EC1">
        <w:rPr>
          <w:rFonts w:ascii="Times New Roman" w:hAnsi="Times New Roman"/>
          <w:b/>
          <w:sz w:val="24"/>
          <w:szCs w:val="24"/>
          <w:lang w:val="en-US"/>
        </w:rPr>
        <w:t>FIRST WAVE OF MIGRATION IN 2011</w:t>
      </w:r>
    </w:p>
    <w:p w14:paraId="2B318EC5" w14:textId="77777777" w:rsidR="009772D8" w:rsidRPr="00C40EC1" w:rsidRDefault="009772D8" w:rsidP="002D20CE">
      <w:pPr>
        <w:spacing w:before="120" w:after="120" w:line="240" w:lineRule="auto"/>
        <w:contextualSpacing/>
        <w:rPr>
          <w:rFonts w:ascii="Times New Roman" w:hAnsi="Times New Roman"/>
          <w:b/>
          <w:sz w:val="24"/>
          <w:szCs w:val="24"/>
          <w:lang w:val="en-US"/>
        </w:rPr>
      </w:pPr>
    </w:p>
    <w:p w14:paraId="09F6ED81" w14:textId="52984BAE" w:rsidR="002F059D" w:rsidRPr="00C40EC1" w:rsidRDefault="002F059D"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 xml:space="preserve">The turbulence in North Africa deepened as peaceful protests evolved into uprisings and civil war in Libya and Syria. Clashes and turmoil inevitably resulted in cross border </w:t>
      </w:r>
      <w:r w:rsidR="001F77BC" w:rsidRPr="00C40EC1">
        <w:rPr>
          <w:rFonts w:ascii="Times New Roman" w:hAnsi="Times New Roman"/>
          <w:sz w:val="24"/>
          <w:szCs w:val="24"/>
          <w:lang w:val="en-US"/>
        </w:rPr>
        <w:t xml:space="preserve">population </w:t>
      </w:r>
      <w:r w:rsidRPr="00C40EC1">
        <w:rPr>
          <w:rFonts w:ascii="Times New Roman" w:hAnsi="Times New Roman"/>
          <w:sz w:val="24"/>
          <w:szCs w:val="24"/>
          <w:lang w:val="en-US"/>
        </w:rPr>
        <w:t xml:space="preserve">movements. North African countries were not only hosting their citizens, but also huge number of migrants and asylum seekers from various parts of Africa. As already explained </w:t>
      </w:r>
      <w:r w:rsidR="009772D8" w:rsidRPr="00C40EC1">
        <w:rPr>
          <w:rFonts w:ascii="Times New Roman" w:hAnsi="Times New Roman"/>
          <w:sz w:val="24"/>
          <w:szCs w:val="24"/>
          <w:lang w:val="en-US"/>
        </w:rPr>
        <w:t>the</w:t>
      </w:r>
      <w:r w:rsidRPr="00C40EC1">
        <w:rPr>
          <w:rFonts w:ascii="Times New Roman" w:hAnsi="Times New Roman"/>
          <w:sz w:val="24"/>
          <w:szCs w:val="24"/>
          <w:lang w:val="en-US"/>
        </w:rPr>
        <w:t xml:space="preserve"> EU has been following a policy of gradual externalization, or remote control of migration and border co</w:t>
      </w:r>
      <w:r w:rsidR="001F77BC" w:rsidRPr="00C40EC1">
        <w:rPr>
          <w:rFonts w:ascii="Times New Roman" w:hAnsi="Times New Roman"/>
          <w:sz w:val="24"/>
          <w:szCs w:val="24"/>
          <w:lang w:val="en-US"/>
        </w:rPr>
        <w:t>ntrol. Arab Spring pushed</w:t>
      </w:r>
      <w:r w:rsidRPr="00C40EC1">
        <w:rPr>
          <w:rFonts w:ascii="Times New Roman" w:hAnsi="Times New Roman"/>
          <w:sz w:val="24"/>
          <w:szCs w:val="24"/>
          <w:lang w:val="en-US"/>
        </w:rPr>
        <w:t xml:space="preserve"> this policy under the spotlights. Despite tantalizing news in European newspapers about flooding refugees</w:t>
      </w:r>
      <w:r w:rsidRPr="00C40EC1">
        <w:rPr>
          <w:rStyle w:val="FootnoteReference"/>
          <w:rFonts w:ascii="Times New Roman" w:hAnsi="Times New Roman"/>
          <w:sz w:val="24"/>
          <w:szCs w:val="24"/>
          <w:lang w:val="en-US"/>
        </w:rPr>
        <w:footnoteReference w:id="3"/>
      </w:r>
      <w:r w:rsidRPr="00C40EC1">
        <w:rPr>
          <w:rFonts w:ascii="Times New Roman" w:hAnsi="Times New Roman"/>
          <w:sz w:val="24"/>
          <w:szCs w:val="24"/>
          <w:lang w:val="en-US"/>
        </w:rPr>
        <w:t>, the number of migrants succeeding to cross over the Mediterranean was extremely low when compared to the overall numbers of displacement in the region.</w:t>
      </w:r>
      <w:r w:rsidR="00662F73" w:rsidRPr="00C40EC1">
        <w:rPr>
          <w:rFonts w:ascii="Times New Roman" w:hAnsi="Times New Roman"/>
          <w:sz w:val="24"/>
          <w:szCs w:val="24"/>
          <w:lang w:val="en-US"/>
        </w:rPr>
        <w:t xml:space="preserve"> Interestingly, Fargues and Fandrich (2012) reveal that the overall number of migrants coming to Europe did not change due to the Arab Spring</w:t>
      </w:r>
      <w:r w:rsidR="00D75D4F" w:rsidRPr="00C40EC1">
        <w:rPr>
          <w:rFonts w:ascii="Times New Roman" w:hAnsi="Times New Roman"/>
          <w:sz w:val="24"/>
          <w:szCs w:val="24"/>
          <w:lang w:val="en-US"/>
        </w:rPr>
        <w:t xml:space="preserve"> during 2011</w:t>
      </w:r>
      <w:r w:rsidR="00662F73" w:rsidRPr="00C40EC1">
        <w:rPr>
          <w:rFonts w:ascii="Times New Roman" w:hAnsi="Times New Roman"/>
          <w:sz w:val="24"/>
          <w:szCs w:val="24"/>
          <w:lang w:val="en-US"/>
        </w:rPr>
        <w:t>.</w:t>
      </w:r>
      <w:r w:rsidRPr="00C40EC1">
        <w:rPr>
          <w:rFonts w:ascii="Times New Roman" w:hAnsi="Times New Roman"/>
          <w:sz w:val="24"/>
          <w:szCs w:val="24"/>
          <w:lang w:val="en-US"/>
        </w:rPr>
        <w:t xml:space="preserve"> </w:t>
      </w:r>
      <w:r w:rsidR="00662F73" w:rsidRPr="00C40EC1">
        <w:rPr>
          <w:rFonts w:ascii="Times New Roman" w:hAnsi="Times New Roman"/>
          <w:sz w:val="24"/>
          <w:szCs w:val="24"/>
          <w:lang w:val="en-US"/>
        </w:rPr>
        <w:t>What has change was the route of irregular migrants. Yet</w:t>
      </w:r>
      <w:r w:rsidRPr="00C40EC1">
        <w:rPr>
          <w:rFonts w:ascii="Times New Roman" w:hAnsi="Times New Roman"/>
          <w:sz w:val="24"/>
          <w:szCs w:val="24"/>
          <w:lang w:val="en-US"/>
        </w:rPr>
        <w:t>, curbing migration and containing it within the r</w:t>
      </w:r>
      <w:r w:rsidR="00AF5798" w:rsidRPr="00C40EC1">
        <w:rPr>
          <w:rFonts w:ascii="Times New Roman" w:hAnsi="Times New Roman"/>
          <w:sz w:val="24"/>
          <w:szCs w:val="24"/>
          <w:lang w:val="en-US"/>
        </w:rPr>
        <w:t xml:space="preserve">egion was a major goal for </w:t>
      </w:r>
      <w:r w:rsidRPr="00C40EC1">
        <w:rPr>
          <w:rFonts w:ascii="Times New Roman" w:hAnsi="Times New Roman"/>
          <w:sz w:val="24"/>
          <w:szCs w:val="24"/>
          <w:lang w:val="en-US"/>
        </w:rPr>
        <w:t xml:space="preserve">Member States which in some cases resulted in tragic events in the Mediterranean. In such a context, the Union adopted emergency responses but also </w:t>
      </w:r>
      <w:r w:rsidR="00D75D4F" w:rsidRPr="00C40EC1">
        <w:rPr>
          <w:rFonts w:ascii="Times New Roman" w:hAnsi="Times New Roman"/>
          <w:sz w:val="24"/>
          <w:szCs w:val="24"/>
          <w:lang w:val="en-US"/>
        </w:rPr>
        <w:t xml:space="preserve">tried to </w:t>
      </w:r>
      <w:r w:rsidRPr="00C40EC1">
        <w:rPr>
          <w:rFonts w:ascii="Times New Roman" w:hAnsi="Times New Roman"/>
          <w:sz w:val="24"/>
          <w:szCs w:val="24"/>
          <w:lang w:val="en-US"/>
        </w:rPr>
        <w:t xml:space="preserve">plan for medium to long term ones. How far these responses could go beyond security </w:t>
      </w:r>
      <w:r w:rsidR="000326AB" w:rsidRPr="00C40EC1">
        <w:rPr>
          <w:rFonts w:ascii="Times New Roman" w:hAnsi="Times New Roman"/>
          <w:sz w:val="24"/>
          <w:szCs w:val="24"/>
          <w:lang w:val="en-US"/>
        </w:rPr>
        <w:t>centered</w:t>
      </w:r>
      <w:r w:rsidRPr="00C40EC1">
        <w:rPr>
          <w:rFonts w:ascii="Times New Roman" w:hAnsi="Times New Roman"/>
          <w:sz w:val="24"/>
          <w:szCs w:val="24"/>
          <w:lang w:val="en-US"/>
        </w:rPr>
        <w:t xml:space="preserve"> concerns by approximating a holistic approach to migration will be elaborated below.  </w:t>
      </w:r>
    </w:p>
    <w:p w14:paraId="2A955CF9" w14:textId="77777777" w:rsidR="002D20CE" w:rsidRPr="00C40EC1" w:rsidRDefault="002D20CE" w:rsidP="00D75D4F">
      <w:pPr>
        <w:spacing w:before="120" w:after="120" w:line="240" w:lineRule="auto"/>
        <w:contextualSpacing/>
        <w:jc w:val="both"/>
        <w:rPr>
          <w:rFonts w:ascii="Times New Roman" w:hAnsi="Times New Roman"/>
          <w:sz w:val="24"/>
          <w:szCs w:val="24"/>
          <w:lang w:val="en-US"/>
        </w:rPr>
      </w:pPr>
    </w:p>
    <w:p w14:paraId="61022A54" w14:textId="7F9A4623" w:rsidR="002F059D" w:rsidRPr="00C40EC1" w:rsidRDefault="002F059D"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As part of the initial response</w:t>
      </w:r>
      <w:r w:rsidR="00D31353" w:rsidRPr="00C40EC1">
        <w:rPr>
          <w:rFonts w:ascii="Times New Roman" w:hAnsi="Times New Roman"/>
          <w:sz w:val="24"/>
          <w:szCs w:val="24"/>
          <w:lang w:val="en-US"/>
        </w:rPr>
        <w:t>,</w:t>
      </w:r>
      <w:r w:rsidRPr="00C40EC1">
        <w:rPr>
          <w:rFonts w:ascii="Times New Roman" w:hAnsi="Times New Roman"/>
          <w:sz w:val="24"/>
          <w:szCs w:val="24"/>
          <w:lang w:val="en-US"/>
        </w:rPr>
        <w:t xml:space="preserve"> plethora of Communications defining the incidents and deciding on the EU’s response was published. On </w:t>
      </w:r>
      <w:r w:rsidR="00D31353" w:rsidRPr="00C40EC1">
        <w:rPr>
          <w:rFonts w:ascii="Times New Roman" w:hAnsi="Times New Roman"/>
          <w:sz w:val="24"/>
          <w:szCs w:val="24"/>
          <w:lang w:val="en-US"/>
        </w:rPr>
        <w:t>8 March</w:t>
      </w:r>
      <w:r w:rsidRPr="00C40EC1">
        <w:rPr>
          <w:rFonts w:ascii="Times New Roman" w:hAnsi="Times New Roman"/>
          <w:sz w:val="24"/>
          <w:szCs w:val="24"/>
          <w:lang w:val="en-US"/>
        </w:rPr>
        <w:t xml:space="preserve"> 2011 High Representative and the Commission adopted a joint communication, </w:t>
      </w:r>
      <w:r w:rsidRPr="00C40EC1">
        <w:rPr>
          <w:rFonts w:ascii="Times New Roman" w:hAnsi="Times New Roman"/>
          <w:i/>
          <w:sz w:val="24"/>
          <w:szCs w:val="24"/>
          <w:lang w:val="en-US"/>
        </w:rPr>
        <w:t>A Partnership for Democracy and Shared Prosperity with the Southern Mediterranean</w:t>
      </w:r>
      <w:r w:rsidRPr="00C40EC1">
        <w:rPr>
          <w:rFonts w:ascii="Times New Roman" w:hAnsi="Times New Roman"/>
          <w:sz w:val="24"/>
          <w:szCs w:val="24"/>
          <w:lang w:val="en-US"/>
        </w:rPr>
        <w:t xml:space="preserve"> (</w:t>
      </w:r>
      <w:r w:rsidR="00D31353" w:rsidRPr="00C40EC1">
        <w:rPr>
          <w:rFonts w:ascii="Times New Roman" w:hAnsi="Times New Roman"/>
          <w:sz w:val="24"/>
          <w:szCs w:val="24"/>
          <w:lang w:val="en-US"/>
        </w:rPr>
        <w:t>European Commission 2011a</w:t>
      </w:r>
      <w:r w:rsidRPr="00C40EC1">
        <w:rPr>
          <w:rFonts w:ascii="Times New Roman" w:hAnsi="Times New Roman"/>
          <w:sz w:val="24"/>
          <w:szCs w:val="24"/>
          <w:lang w:val="en-US"/>
        </w:rPr>
        <w:t xml:space="preserve">). This was the first legal document adopted in response to the tectonic changes taking place in the southern </w:t>
      </w:r>
      <w:r w:rsidR="000326AB" w:rsidRPr="00C40EC1">
        <w:rPr>
          <w:rFonts w:ascii="Times New Roman" w:hAnsi="Times New Roman"/>
          <w:sz w:val="24"/>
          <w:szCs w:val="24"/>
          <w:lang w:val="en-US"/>
        </w:rPr>
        <w:t>neighborhood</w:t>
      </w:r>
      <w:r w:rsidRPr="00C40EC1">
        <w:rPr>
          <w:rFonts w:ascii="Times New Roman" w:hAnsi="Times New Roman"/>
          <w:sz w:val="24"/>
          <w:szCs w:val="24"/>
          <w:lang w:val="en-US"/>
        </w:rPr>
        <w:t xml:space="preserve">. The spirit of the text is in line with the need to support the transformation with a ‘more for more’ ie differentiated approach, which basically supports improving ties with individual countries according to their own speed and willingness. The support of the EU </w:t>
      </w:r>
      <w:r w:rsidR="001F77BC" w:rsidRPr="00C40EC1">
        <w:rPr>
          <w:rFonts w:ascii="Times New Roman" w:hAnsi="Times New Roman"/>
          <w:sz w:val="24"/>
          <w:szCs w:val="24"/>
          <w:lang w:val="en-US"/>
        </w:rPr>
        <w:t xml:space="preserve">is planned to be </w:t>
      </w:r>
      <w:r w:rsidRPr="00C40EC1">
        <w:rPr>
          <w:rFonts w:ascii="Times New Roman" w:hAnsi="Times New Roman"/>
          <w:sz w:val="24"/>
          <w:szCs w:val="24"/>
          <w:lang w:val="en-US"/>
        </w:rPr>
        <w:t>structured around 3Ms: Money, Mobility and Markets.</w:t>
      </w:r>
      <w:r w:rsidRPr="00C40EC1">
        <w:rPr>
          <w:rStyle w:val="FootnoteReference"/>
          <w:rFonts w:ascii="Times New Roman" w:hAnsi="Times New Roman"/>
          <w:sz w:val="24"/>
          <w:szCs w:val="24"/>
          <w:lang w:val="en-US"/>
        </w:rPr>
        <w:footnoteReference w:id="4"/>
      </w:r>
      <w:r w:rsidRPr="00C40EC1">
        <w:rPr>
          <w:rFonts w:ascii="Times New Roman" w:hAnsi="Times New Roman"/>
          <w:sz w:val="24"/>
          <w:szCs w:val="24"/>
          <w:lang w:val="en-US"/>
        </w:rPr>
        <w:t xml:space="preserve"> </w:t>
      </w:r>
      <w:r w:rsidR="001F77BC" w:rsidRPr="00C40EC1">
        <w:rPr>
          <w:rFonts w:ascii="Times New Roman" w:hAnsi="Times New Roman"/>
          <w:sz w:val="24"/>
          <w:szCs w:val="24"/>
          <w:lang w:val="en-US"/>
        </w:rPr>
        <w:t>The EU’s overall approach wa</w:t>
      </w:r>
      <w:r w:rsidRPr="00C40EC1">
        <w:rPr>
          <w:rFonts w:ascii="Times New Roman" w:hAnsi="Times New Roman"/>
          <w:sz w:val="24"/>
          <w:szCs w:val="24"/>
          <w:lang w:val="en-US"/>
        </w:rPr>
        <w:t xml:space="preserve">s first lining up </w:t>
      </w:r>
      <w:r w:rsidR="001F77BC" w:rsidRPr="00C40EC1">
        <w:rPr>
          <w:rFonts w:ascii="Times New Roman" w:hAnsi="Times New Roman"/>
          <w:sz w:val="24"/>
          <w:szCs w:val="24"/>
          <w:lang w:val="en-US"/>
        </w:rPr>
        <w:t>financial and humanitarian aid which</w:t>
      </w:r>
      <w:r w:rsidRPr="00C40EC1">
        <w:rPr>
          <w:rFonts w:ascii="Times New Roman" w:hAnsi="Times New Roman"/>
          <w:sz w:val="24"/>
          <w:szCs w:val="24"/>
          <w:lang w:val="en-US"/>
        </w:rPr>
        <w:t xml:space="preserve"> is mostly devoted to refugees fleeing war zones as the case in Libya. This is in line with the EU’s overall </w:t>
      </w:r>
      <w:r w:rsidR="00D75D4F" w:rsidRPr="00C40EC1">
        <w:rPr>
          <w:rFonts w:ascii="Times New Roman" w:hAnsi="Times New Roman"/>
          <w:sz w:val="24"/>
          <w:szCs w:val="24"/>
          <w:lang w:val="en-US"/>
        </w:rPr>
        <w:t>‘</w:t>
      </w:r>
      <w:r w:rsidRPr="00C40EC1">
        <w:rPr>
          <w:rFonts w:ascii="Times New Roman" w:hAnsi="Times New Roman"/>
          <w:sz w:val="24"/>
          <w:szCs w:val="24"/>
          <w:lang w:val="en-US"/>
        </w:rPr>
        <w:t>keep</w:t>
      </w:r>
      <w:r w:rsidR="00D75D4F" w:rsidRPr="00C40EC1">
        <w:rPr>
          <w:rFonts w:ascii="Times New Roman" w:hAnsi="Times New Roman"/>
          <w:sz w:val="24"/>
          <w:szCs w:val="24"/>
          <w:lang w:val="en-US"/>
        </w:rPr>
        <w:t xml:space="preserve">ing the refugees where they are’ </w:t>
      </w:r>
      <w:r w:rsidRPr="00C40EC1">
        <w:rPr>
          <w:rFonts w:ascii="Times New Roman" w:hAnsi="Times New Roman"/>
          <w:sz w:val="24"/>
          <w:szCs w:val="24"/>
          <w:lang w:val="en-US"/>
        </w:rPr>
        <w:t xml:space="preserve">approach. The Union defined </w:t>
      </w:r>
      <w:r w:rsidR="00C40DDC" w:rsidRPr="00C40EC1">
        <w:rPr>
          <w:rFonts w:ascii="Times New Roman" w:hAnsi="Times New Roman"/>
          <w:sz w:val="24"/>
          <w:szCs w:val="24"/>
          <w:lang w:val="en-US"/>
        </w:rPr>
        <w:t xml:space="preserve">its immediate response </w:t>
      </w:r>
      <w:r w:rsidRPr="00C40EC1">
        <w:rPr>
          <w:rFonts w:ascii="Times New Roman" w:hAnsi="Times New Roman"/>
          <w:sz w:val="24"/>
          <w:szCs w:val="24"/>
          <w:lang w:val="en-US"/>
        </w:rPr>
        <w:t>in the Commission document as follows:</w:t>
      </w:r>
    </w:p>
    <w:p w14:paraId="2B1EC8C3" w14:textId="77777777" w:rsidR="002F059D" w:rsidRPr="00C40EC1" w:rsidRDefault="002F059D" w:rsidP="00D75D4F">
      <w:pPr>
        <w:pStyle w:val="ListParagraph"/>
        <w:numPr>
          <w:ilvl w:val="0"/>
          <w:numId w:val="3"/>
        </w:numPr>
        <w:spacing w:before="120" w:after="120" w:line="240" w:lineRule="auto"/>
        <w:ind w:firstLine="0"/>
        <w:jc w:val="both"/>
        <w:rPr>
          <w:rFonts w:ascii="Times New Roman" w:hAnsi="Times New Roman"/>
          <w:sz w:val="24"/>
          <w:szCs w:val="24"/>
        </w:rPr>
      </w:pPr>
      <w:r w:rsidRPr="00C40EC1">
        <w:rPr>
          <w:rFonts w:ascii="Times New Roman" w:hAnsi="Times New Roman"/>
          <w:sz w:val="24"/>
          <w:szCs w:val="24"/>
        </w:rPr>
        <w:lastRenderedPageBreak/>
        <w:t>Humanitarian aid of 30 million Euro to be used by the Commission for refugees in Tunisia and Egypt mainly coming from Libya</w:t>
      </w:r>
    </w:p>
    <w:p w14:paraId="57089810" w14:textId="77777777" w:rsidR="002F059D" w:rsidRPr="00C40EC1" w:rsidRDefault="002F059D" w:rsidP="00D75D4F">
      <w:pPr>
        <w:pStyle w:val="ListParagraph"/>
        <w:numPr>
          <w:ilvl w:val="0"/>
          <w:numId w:val="3"/>
        </w:numPr>
        <w:spacing w:before="120" w:after="120" w:line="240" w:lineRule="auto"/>
        <w:ind w:firstLine="0"/>
        <w:jc w:val="both"/>
        <w:rPr>
          <w:rFonts w:ascii="Times New Roman" w:hAnsi="Times New Roman"/>
          <w:sz w:val="24"/>
          <w:szCs w:val="24"/>
        </w:rPr>
      </w:pPr>
      <w:r w:rsidRPr="00C40EC1">
        <w:rPr>
          <w:rFonts w:ascii="Times New Roman" w:hAnsi="Times New Roman"/>
          <w:sz w:val="24"/>
          <w:szCs w:val="24"/>
        </w:rPr>
        <w:t>Facilitating consular cooperation and evacuation</w:t>
      </w:r>
    </w:p>
    <w:p w14:paraId="7FBE72A1" w14:textId="77777777" w:rsidR="002F059D" w:rsidRPr="00C40EC1" w:rsidRDefault="002F059D" w:rsidP="00D75D4F">
      <w:pPr>
        <w:pStyle w:val="ListParagraph"/>
        <w:numPr>
          <w:ilvl w:val="0"/>
          <w:numId w:val="3"/>
        </w:numPr>
        <w:spacing w:before="120" w:after="120" w:line="240" w:lineRule="auto"/>
        <w:ind w:firstLine="0"/>
        <w:jc w:val="both"/>
        <w:rPr>
          <w:rFonts w:ascii="Times New Roman" w:hAnsi="Times New Roman"/>
          <w:sz w:val="24"/>
          <w:szCs w:val="24"/>
        </w:rPr>
      </w:pPr>
      <w:r w:rsidRPr="00C40EC1">
        <w:rPr>
          <w:rFonts w:ascii="Times New Roman" w:hAnsi="Times New Roman"/>
          <w:sz w:val="24"/>
          <w:szCs w:val="24"/>
        </w:rPr>
        <w:t>Frontex joint operations</w:t>
      </w:r>
    </w:p>
    <w:p w14:paraId="48407C01" w14:textId="686BDEE3" w:rsidR="002F059D" w:rsidRPr="00C40EC1" w:rsidRDefault="002F059D" w:rsidP="00D75D4F">
      <w:pPr>
        <w:pStyle w:val="ListParagraph"/>
        <w:numPr>
          <w:ilvl w:val="0"/>
          <w:numId w:val="3"/>
        </w:numPr>
        <w:spacing w:before="120" w:after="120" w:line="240" w:lineRule="auto"/>
        <w:ind w:firstLine="0"/>
        <w:jc w:val="both"/>
        <w:rPr>
          <w:rFonts w:ascii="Times New Roman" w:hAnsi="Times New Roman"/>
          <w:sz w:val="24"/>
          <w:szCs w:val="24"/>
        </w:rPr>
      </w:pPr>
      <w:r w:rsidRPr="00C40EC1">
        <w:rPr>
          <w:rFonts w:ascii="Times New Roman" w:hAnsi="Times New Roman"/>
          <w:sz w:val="24"/>
          <w:szCs w:val="24"/>
        </w:rPr>
        <w:t xml:space="preserve">Using EU </w:t>
      </w:r>
      <w:r w:rsidR="009772D8" w:rsidRPr="00C40EC1">
        <w:rPr>
          <w:rFonts w:ascii="Times New Roman" w:hAnsi="Times New Roman"/>
          <w:sz w:val="24"/>
          <w:szCs w:val="24"/>
        </w:rPr>
        <w:t>E</w:t>
      </w:r>
      <w:r w:rsidRPr="00C40EC1">
        <w:rPr>
          <w:rFonts w:ascii="Times New Roman" w:hAnsi="Times New Roman"/>
          <w:sz w:val="24"/>
          <w:szCs w:val="24"/>
        </w:rPr>
        <w:t>xternal Borders Fund and European Refugee Funds</w:t>
      </w:r>
    </w:p>
    <w:p w14:paraId="6CE21365" w14:textId="77777777" w:rsidR="002F059D" w:rsidRPr="00C40EC1" w:rsidRDefault="002F059D" w:rsidP="00D75D4F">
      <w:pPr>
        <w:pStyle w:val="ListParagraph"/>
        <w:numPr>
          <w:ilvl w:val="0"/>
          <w:numId w:val="3"/>
        </w:numPr>
        <w:spacing w:before="120" w:after="120" w:line="240" w:lineRule="auto"/>
        <w:ind w:firstLine="0"/>
        <w:jc w:val="both"/>
        <w:rPr>
          <w:rFonts w:ascii="Times New Roman" w:hAnsi="Times New Roman"/>
          <w:sz w:val="24"/>
          <w:szCs w:val="24"/>
        </w:rPr>
      </w:pPr>
      <w:r w:rsidRPr="00C40EC1">
        <w:rPr>
          <w:rFonts w:ascii="Times New Roman" w:hAnsi="Times New Roman"/>
          <w:sz w:val="24"/>
          <w:szCs w:val="24"/>
        </w:rPr>
        <w:t>High Representatives visit to the region to Tunisia and Egypt</w:t>
      </w:r>
    </w:p>
    <w:p w14:paraId="380EEC26" w14:textId="42053558" w:rsidR="002F059D" w:rsidRPr="00C40EC1" w:rsidRDefault="002F059D" w:rsidP="00D75D4F">
      <w:pPr>
        <w:pStyle w:val="ListParagraph"/>
        <w:numPr>
          <w:ilvl w:val="0"/>
          <w:numId w:val="3"/>
        </w:numPr>
        <w:spacing w:before="120" w:after="120" w:line="240" w:lineRule="auto"/>
        <w:ind w:firstLine="0"/>
        <w:jc w:val="both"/>
        <w:rPr>
          <w:rFonts w:ascii="Times New Roman" w:hAnsi="Times New Roman"/>
          <w:sz w:val="24"/>
          <w:szCs w:val="24"/>
        </w:rPr>
      </w:pPr>
      <w:r w:rsidRPr="00C40EC1">
        <w:rPr>
          <w:rFonts w:ascii="Times New Roman" w:hAnsi="Times New Roman"/>
          <w:sz w:val="24"/>
          <w:szCs w:val="24"/>
        </w:rPr>
        <w:t>Support for democratic transition (</w:t>
      </w:r>
      <w:r w:rsidR="00D31353" w:rsidRPr="00C40EC1">
        <w:rPr>
          <w:rFonts w:ascii="Times New Roman" w:hAnsi="Times New Roman"/>
          <w:sz w:val="24"/>
          <w:szCs w:val="24"/>
        </w:rPr>
        <w:t>European Commission 2011</w:t>
      </w:r>
      <w:r w:rsidRPr="00C40EC1">
        <w:rPr>
          <w:rFonts w:ascii="Times New Roman" w:hAnsi="Times New Roman"/>
          <w:sz w:val="24"/>
          <w:szCs w:val="24"/>
        </w:rPr>
        <w:t>, 3)</w:t>
      </w:r>
    </w:p>
    <w:p w14:paraId="24817765" w14:textId="77777777" w:rsidR="003E624E" w:rsidRPr="00C40EC1" w:rsidRDefault="003E624E" w:rsidP="00D75D4F">
      <w:pPr>
        <w:spacing w:before="120" w:after="120" w:line="240" w:lineRule="auto"/>
        <w:contextualSpacing/>
        <w:jc w:val="both"/>
        <w:rPr>
          <w:rFonts w:ascii="Times New Roman" w:hAnsi="Times New Roman"/>
          <w:sz w:val="24"/>
          <w:szCs w:val="24"/>
          <w:lang w:val="en-US"/>
        </w:rPr>
      </w:pPr>
    </w:p>
    <w:p w14:paraId="2F863B35" w14:textId="05EB8D92" w:rsidR="002F059D" w:rsidRPr="00C40EC1" w:rsidRDefault="003B0513"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However,</w:t>
      </w:r>
      <w:r w:rsidR="00932F51" w:rsidRPr="00C40EC1">
        <w:rPr>
          <w:rFonts w:ascii="Times New Roman" w:hAnsi="Times New Roman"/>
          <w:sz w:val="24"/>
          <w:szCs w:val="24"/>
          <w:lang w:val="en-US"/>
        </w:rPr>
        <w:t xml:space="preserve"> </w:t>
      </w:r>
      <w:r w:rsidR="002F059D" w:rsidRPr="00C40EC1">
        <w:rPr>
          <w:rFonts w:ascii="Times New Roman" w:hAnsi="Times New Roman"/>
          <w:sz w:val="24"/>
          <w:szCs w:val="24"/>
          <w:lang w:val="en-US"/>
        </w:rPr>
        <w:t xml:space="preserve">four </w:t>
      </w:r>
      <w:r w:rsidRPr="00C40EC1">
        <w:rPr>
          <w:rFonts w:ascii="Times New Roman" w:hAnsi="Times New Roman"/>
          <w:sz w:val="24"/>
          <w:szCs w:val="24"/>
          <w:lang w:val="en-US"/>
        </w:rPr>
        <w:t xml:space="preserve">problematical </w:t>
      </w:r>
      <w:r w:rsidR="003E624E" w:rsidRPr="00C40EC1">
        <w:rPr>
          <w:rFonts w:ascii="Times New Roman" w:hAnsi="Times New Roman"/>
          <w:sz w:val="24"/>
          <w:szCs w:val="24"/>
          <w:lang w:val="en-US"/>
        </w:rPr>
        <w:t>areas related to</w:t>
      </w:r>
      <w:r w:rsidR="002F059D" w:rsidRPr="00C40EC1">
        <w:rPr>
          <w:rFonts w:ascii="Times New Roman" w:hAnsi="Times New Roman"/>
          <w:sz w:val="24"/>
          <w:szCs w:val="24"/>
          <w:lang w:val="en-US"/>
        </w:rPr>
        <w:t xml:space="preserve"> emergency responses</w:t>
      </w:r>
      <w:r w:rsidR="00D75D4F" w:rsidRPr="00C40EC1">
        <w:rPr>
          <w:rFonts w:ascii="Times New Roman" w:hAnsi="Times New Roman"/>
          <w:sz w:val="24"/>
          <w:szCs w:val="24"/>
          <w:lang w:val="en-US"/>
        </w:rPr>
        <w:t>;</w:t>
      </w:r>
      <w:r w:rsidR="002F059D" w:rsidRPr="00C40EC1">
        <w:rPr>
          <w:rFonts w:ascii="Times New Roman" w:hAnsi="Times New Roman"/>
          <w:sz w:val="24"/>
          <w:szCs w:val="24"/>
          <w:lang w:val="en-US"/>
        </w:rPr>
        <w:t xml:space="preserve"> increased surveillance in the borders and FRONTEX operation, helping build capacity to fight irregular migration, dealing with the crises </w:t>
      </w:r>
      <w:r w:rsidR="00776C5B" w:rsidRPr="00C40EC1">
        <w:rPr>
          <w:rFonts w:ascii="Times New Roman" w:hAnsi="Times New Roman"/>
          <w:sz w:val="24"/>
          <w:szCs w:val="24"/>
          <w:lang w:val="en-US"/>
        </w:rPr>
        <w:t>of</w:t>
      </w:r>
      <w:r w:rsidR="002F059D" w:rsidRPr="00C40EC1">
        <w:rPr>
          <w:rFonts w:ascii="Times New Roman" w:hAnsi="Times New Roman"/>
          <w:sz w:val="24"/>
          <w:szCs w:val="24"/>
          <w:lang w:val="en-US"/>
        </w:rPr>
        <w:t xml:space="preserve"> the Schengen System and finally failing to help refugees</w:t>
      </w:r>
      <w:r w:rsidR="00D75D4F" w:rsidRPr="00C40EC1">
        <w:rPr>
          <w:rFonts w:ascii="Times New Roman" w:hAnsi="Times New Roman"/>
          <w:sz w:val="24"/>
          <w:szCs w:val="24"/>
          <w:lang w:val="en-US"/>
        </w:rPr>
        <w:t xml:space="preserve"> deserves unpacking</w:t>
      </w:r>
      <w:r w:rsidR="002F059D" w:rsidRPr="00C40EC1">
        <w:rPr>
          <w:rFonts w:ascii="Times New Roman" w:hAnsi="Times New Roman"/>
          <w:sz w:val="24"/>
          <w:szCs w:val="24"/>
          <w:lang w:val="en-US"/>
        </w:rPr>
        <w:t xml:space="preserve"> (Carrera et al</w:t>
      </w:r>
      <w:r w:rsidR="00C870C6" w:rsidRPr="00C40EC1">
        <w:rPr>
          <w:rFonts w:ascii="Times New Roman" w:hAnsi="Times New Roman"/>
          <w:sz w:val="24"/>
          <w:szCs w:val="24"/>
          <w:lang w:val="en-US"/>
        </w:rPr>
        <w:t>.</w:t>
      </w:r>
      <w:r w:rsidR="002F059D" w:rsidRPr="00C40EC1">
        <w:rPr>
          <w:rFonts w:ascii="Times New Roman" w:hAnsi="Times New Roman"/>
          <w:sz w:val="24"/>
          <w:szCs w:val="24"/>
          <w:lang w:val="en-US"/>
        </w:rPr>
        <w:t xml:space="preserve"> 2012). </w:t>
      </w:r>
    </w:p>
    <w:p w14:paraId="15CE2EFE" w14:textId="77777777" w:rsidR="003E624E" w:rsidRPr="00C40EC1" w:rsidRDefault="003E624E" w:rsidP="00D75D4F">
      <w:pPr>
        <w:spacing w:before="120" w:after="120" w:line="240" w:lineRule="auto"/>
        <w:contextualSpacing/>
        <w:jc w:val="both"/>
        <w:rPr>
          <w:rFonts w:ascii="Times New Roman" w:hAnsi="Times New Roman"/>
          <w:b/>
          <w:sz w:val="24"/>
          <w:szCs w:val="24"/>
          <w:lang w:val="en-US"/>
        </w:rPr>
      </w:pPr>
    </w:p>
    <w:p w14:paraId="4B9A2C15" w14:textId="77066F98" w:rsidR="002F059D" w:rsidRPr="00C40EC1" w:rsidRDefault="002F059D" w:rsidP="00D75D4F">
      <w:pPr>
        <w:spacing w:before="120" w:after="120" w:line="240" w:lineRule="auto"/>
        <w:jc w:val="both"/>
        <w:rPr>
          <w:rFonts w:ascii="Times New Roman" w:hAnsi="Times New Roman"/>
          <w:b/>
          <w:sz w:val="24"/>
          <w:szCs w:val="24"/>
          <w:lang w:val="en-US"/>
        </w:rPr>
      </w:pPr>
      <w:r w:rsidRPr="00C40EC1">
        <w:rPr>
          <w:rFonts w:ascii="Times New Roman" w:hAnsi="Times New Roman"/>
          <w:b/>
          <w:sz w:val="24"/>
          <w:szCs w:val="24"/>
          <w:lang w:val="en-US"/>
        </w:rPr>
        <w:t>BORDER CONTROL AND FRONTEX OPERATION</w:t>
      </w:r>
    </w:p>
    <w:p w14:paraId="7499F492" w14:textId="7F24AADE" w:rsidR="002F059D" w:rsidRPr="00C40EC1" w:rsidRDefault="002F059D"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 xml:space="preserve">The immediate response of the EU </w:t>
      </w:r>
      <w:r w:rsidR="00776C5B" w:rsidRPr="00C40EC1">
        <w:rPr>
          <w:rFonts w:ascii="Times New Roman" w:hAnsi="Times New Roman"/>
          <w:sz w:val="24"/>
          <w:szCs w:val="24"/>
          <w:lang w:val="en-US"/>
        </w:rPr>
        <w:t>to</w:t>
      </w:r>
      <w:r w:rsidRPr="00C40EC1">
        <w:rPr>
          <w:rFonts w:ascii="Times New Roman" w:hAnsi="Times New Roman"/>
          <w:sz w:val="24"/>
          <w:szCs w:val="24"/>
          <w:lang w:val="en-US"/>
        </w:rPr>
        <w:t xml:space="preserve"> human displacement was driven very much </w:t>
      </w:r>
      <w:r w:rsidR="00D75D4F" w:rsidRPr="00C40EC1">
        <w:rPr>
          <w:rFonts w:ascii="Times New Roman" w:hAnsi="Times New Roman"/>
          <w:sz w:val="24"/>
          <w:szCs w:val="24"/>
          <w:lang w:val="en-US"/>
        </w:rPr>
        <w:t xml:space="preserve">by </w:t>
      </w:r>
      <w:r w:rsidRPr="00C40EC1">
        <w:rPr>
          <w:rFonts w:ascii="Times New Roman" w:hAnsi="Times New Roman"/>
          <w:sz w:val="24"/>
          <w:szCs w:val="24"/>
          <w:lang w:val="en-US"/>
        </w:rPr>
        <w:t>Eurocentric security concerns defined in a narrow way of preventing people from crossing the Mediterranean</w:t>
      </w:r>
      <w:r w:rsidR="00A34306" w:rsidRPr="00C40EC1">
        <w:rPr>
          <w:rFonts w:ascii="Times New Roman" w:hAnsi="Times New Roman"/>
          <w:sz w:val="24"/>
          <w:szCs w:val="24"/>
          <w:lang w:val="en-US"/>
        </w:rPr>
        <w:t xml:space="preserve"> Sea</w:t>
      </w:r>
      <w:r w:rsidRPr="00C40EC1">
        <w:rPr>
          <w:rFonts w:ascii="Times New Roman" w:hAnsi="Times New Roman"/>
          <w:sz w:val="24"/>
          <w:szCs w:val="24"/>
          <w:lang w:val="en-US"/>
        </w:rPr>
        <w:t xml:space="preserve">. A major measure was intensifying border controls and surveillance, hand in hand with finding ways to exert pressure to newly emerging authorities after the uprisings to cooperate in border control and prevent migration flows. On 20 February 2011, in response to the request of Italy, the EU Border Agency FRONTEX started a Joint Operation EPN Hermes. This operation is articulated as the concrete form of </w:t>
      </w:r>
      <w:r w:rsidR="00AF4284" w:rsidRPr="00C40EC1">
        <w:rPr>
          <w:rFonts w:ascii="Times New Roman" w:hAnsi="Times New Roman"/>
          <w:sz w:val="24"/>
          <w:szCs w:val="24"/>
          <w:lang w:val="en-US"/>
        </w:rPr>
        <w:t>solidarity among member states with the one facing</w:t>
      </w:r>
      <w:r w:rsidRPr="00C40EC1">
        <w:rPr>
          <w:rFonts w:ascii="Times New Roman" w:hAnsi="Times New Roman"/>
          <w:sz w:val="24"/>
          <w:szCs w:val="24"/>
          <w:lang w:val="en-US"/>
        </w:rPr>
        <w:t xml:space="preserve"> with pressing migratory flows</w:t>
      </w:r>
      <w:r w:rsidRPr="00C40EC1">
        <w:rPr>
          <w:rStyle w:val="FootnoteReference"/>
          <w:rFonts w:ascii="Times New Roman" w:hAnsi="Times New Roman"/>
          <w:sz w:val="24"/>
          <w:szCs w:val="24"/>
          <w:lang w:val="en-US"/>
        </w:rPr>
        <w:footnoteReference w:id="5"/>
      </w:r>
      <w:r w:rsidRPr="00C40EC1">
        <w:rPr>
          <w:rFonts w:ascii="Times New Roman" w:hAnsi="Times New Roman"/>
          <w:sz w:val="24"/>
          <w:szCs w:val="24"/>
          <w:lang w:val="en-US"/>
        </w:rPr>
        <w:t xml:space="preserve">. Italy was leading the operation by providing naval and aerial equipment, but it </w:t>
      </w:r>
      <w:r w:rsidR="00351F01" w:rsidRPr="00C40EC1">
        <w:rPr>
          <w:rFonts w:ascii="Times New Roman" w:hAnsi="Times New Roman"/>
          <w:sz w:val="24"/>
          <w:szCs w:val="24"/>
          <w:lang w:val="en-US"/>
        </w:rPr>
        <w:t xml:space="preserve">also </w:t>
      </w:r>
      <w:r w:rsidRPr="00C40EC1">
        <w:rPr>
          <w:rFonts w:ascii="Times New Roman" w:hAnsi="Times New Roman"/>
          <w:sz w:val="24"/>
          <w:szCs w:val="24"/>
          <w:lang w:val="en-US"/>
        </w:rPr>
        <w:t>included experts from ten other mem</w:t>
      </w:r>
      <w:r w:rsidR="00351F01" w:rsidRPr="00C40EC1">
        <w:rPr>
          <w:rFonts w:ascii="Times New Roman" w:hAnsi="Times New Roman"/>
          <w:sz w:val="24"/>
          <w:szCs w:val="24"/>
          <w:lang w:val="en-US"/>
        </w:rPr>
        <w:t xml:space="preserve">ber states. The Commission </w:t>
      </w:r>
      <w:r w:rsidRPr="00C40EC1">
        <w:rPr>
          <w:rFonts w:ascii="Times New Roman" w:hAnsi="Times New Roman"/>
          <w:sz w:val="24"/>
          <w:szCs w:val="24"/>
          <w:lang w:val="en-US"/>
        </w:rPr>
        <w:t>declared its readiness to mobilize further financial assistance “from funds such as the Exte</w:t>
      </w:r>
      <w:r w:rsidR="00740067" w:rsidRPr="00C40EC1">
        <w:rPr>
          <w:rFonts w:ascii="Times New Roman" w:hAnsi="Times New Roman"/>
          <w:sz w:val="24"/>
          <w:szCs w:val="24"/>
          <w:lang w:val="en-US"/>
        </w:rPr>
        <w:t>r</w:t>
      </w:r>
      <w:r w:rsidRPr="00C40EC1">
        <w:rPr>
          <w:rFonts w:ascii="Times New Roman" w:hAnsi="Times New Roman"/>
          <w:sz w:val="24"/>
          <w:szCs w:val="24"/>
          <w:lang w:val="en-US"/>
        </w:rPr>
        <w:t>nal Borders Fund and European Refugee Fund which amount to EUR 25 million in total” (</w:t>
      </w:r>
      <w:r w:rsidR="00351F01" w:rsidRPr="00C40EC1">
        <w:rPr>
          <w:rFonts w:ascii="Times New Roman" w:hAnsi="Times New Roman"/>
          <w:sz w:val="24"/>
          <w:szCs w:val="24"/>
          <w:lang w:val="en-US"/>
        </w:rPr>
        <w:t>European Commission 2011a</w:t>
      </w:r>
      <w:r w:rsidRPr="00C40EC1">
        <w:rPr>
          <w:rFonts w:ascii="Times New Roman" w:hAnsi="Times New Roman"/>
          <w:sz w:val="24"/>
          <w:szCs w:val="24"/>
          <w:lang w:val="en-US"/>
        </w:rPr>
        <w:t xml:space="preserve">, 4). </w:t>
      </w:r>
    </w:p>
    <w:p w14:paraId="29AAB3D1" w14:textId="77777777" w:rsidR="00D75D4F" w:rsidRPr="00C40EC1" w:rsidRDefault="00D75D4F" w:rsidP="00D75D4F">
      <w:pPr>
        <w:spacing w:before="120" w:after="120" w:line="240" w:lineRule="auto"/>
        <w:contextualSpacing/>
        <w:jc w:val="both"/>
        <w:rPr>
          <w:rFonts w:ascii="Times New Roman" w:hAnsi="Times New Roman"/>
          <w:sz w:val="24"/>
          <w:szCs w:val="24"/>
          <w:lang w:val="en-US"/>
        </w:rPr>
      </w:pPr>
    </w:p>
    <w:p w14:paraId="7907FBB5" w14:textId="35424CA0" w:rsidR="00351F01" w:rsidRPr="00C40EC1" w:rsidRDefault="002F059D"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The main focus of the Union and FRONTEX operation was to prevent illegal border crossings in the Mediterranean and collect as much data</w:t>
      </w:r>
      <w:r w:rsidR="00AF4284" w:rsidRPr="00C40EC1">
        <w:rPr>
          <w:rFonts w:ascii="Times New Roman" w:hAnsi="Times New Roman"/>
          <w:sz w:val="24"/>
          <w:szCs w:val="24"/>
          <w:lang w:val="en-US"/>
        </w:rPr>
        <w:t xml:space="preserve"> possible</w:t>
      </w:r>
      <w:r w:rsidRPr="00C40EC1">
        <w:rPr>
          <w:rFonts w:ascii="Times New Roman" w:hAnsi="Times New Roman"/>
          <w:sz w:val="24"/>
          <w:szCs w:val="24"/>
          <w:lang w:val="en-US"/>
        </w:rPr>
        <w:t xml:space="preserve"> to draw accurate risk maps regarding potential routes.</w:t>
      </w:r>
      <w:r w:rsidRPr="00C40EC1">
        <w:rPr>
          <w:rStyle w:val="FootnoteReference"/>
          <w:rFonts w:ascii="Times New Roman" w:hAnsi="Times New Roman"/>
          <w:sz w:val="24"/>
          <w:szCs w:val="24"/>
          <w:lang w:val="en-US"/>
        </w:rPr>
        <w:footnoteReference w:id="6"/>
      </w:r>
      <w:r w:rsidRPr="00C40EC1">
        <w:rPr>
          <w:rFonts w:ascii="Times New Roman" w:hAnsi="Times New Roman"/>
          <w:sz w:val="24"/>
          <w:szCs w:val="24"/>
          <w:lang w:val="en-US"/>
        </w:rPr>
        <w:t xml:space="preserve"> Europol also supported Italian law enforcement agencies in identifying potential criminals arriving with migrants (Carrera et al 2012, 5). There have been already various criticisms for the excessive </w:t>
      </w:r>
      <w:r w:rsidR="009772D8" w:rsidRPr="00C40EC1">
        <w:rPr>
          <w:rFonts w:ascii="Times New Roman" w:hAnsi="Times New Roman"/>
          <w:sz w:val="24"/>
          <w:szCs w:val="24"/>
          <w:lang w:val="en-US"/>
        </w:rPr>
        <w:t>security-oriented</w:t>
      </w:r>
      <w:r w:rsidRPr="00C40EC1">
        <w:rPr>
          <w:rFonts w:ascii="Times New Roman" w:hAnsi="Times New Roman"/>
          <w:sz w:val="24"/>
          <w:szCs w:val="24"/>
          <w:lang w:val="en-US"/>
        </w:rPr>
        <w:t xml:space="preserve"> </w:t>
      </w:r>
      <w:r w:rsidR="00351F01" w:rsidRPr="00C40EC1">
        <w:rPr>
          <w:rFonts w:ascii="Times New Roman" w:hAnsi="Times New Roman"/>
          <w:sz w:val="24"/>
          <w:szCs w:val="24"/>
          <w:lang w:val="en-US"/>
        </w:rPr>
        <w:t>framework</w:t>
      </w:r>
      <w:r w:rsidRPr="00C40EC1">
        <w:rPr>
          <w:rFonts w:ascii="Times New Roman" w:hAnsi="Times New Roman"/>
          <w:sz w:val="24"/>
          <w:szCs w:val="24"/>
          <w:lang w:val="en-US"/>
        </w:rPr>
        <w:t xml:space="preserve"> of FRONTEX operations, </w:t>
      </w:r>
      <w:r w:rsidR="00351F01" w:rsidRPr="00C40EC1">
        <w:rPr>
          <w:rFonts w:ascii="Times New Roman" w:hAnsi="Times New Roman"/>
          <w:sz w:val="24"/>
          <w:szCs w:val="24"/>
          <w:lang w:val="en-US"/>
        </w:rPr>
        <w:t xml:space="preserve">the </w:t>
      </w:r>
      <w:r w:rsidRPr="00C40EC1">
        <w:rPr>
          <w:rFonts w:ascii="Times New Roman" w:hAnsi="Times New Roman"/>
          <w:sz w:val="24"/>
          <w:szCs w:val="24"/>
          <w:lang w:val="en-US"/>
        </w:rPr>
        <w:t>lack of transparency and accountability.</w:t>
      </w:r>
      <w:r w:rsidRPr="00C40EC1">
        <w:rPr>
          <w:rStyle w:val="FootnoteReference"/>
          <w:rFonts w:ascii="Times New Roman" w:hAnsi="Times New Roman"/>
          <w:sz w:val="24"/>
          <w:szCs w:val="24"/>
          <w:lang w:val="en-US"/>
        </w:rPr>
        <w:footnoteReference w:id="7"/>
      </w:r>
      <w:r w:rsidRPr="00C40EC1">
        <w:rPr>
          <w:rFonts w:ascii="Times New Roman" w:hAnsi="Times New Roman"/>
          <w:sz w:val="24"/>
          <w:szCs w:val="24"/>
          <w:lang w:val="en-US"/>
        </w:rPr>
        <w:t xml:space="preserve"> Several tragic incidents</w:t>
      </w:r>
      <w:r w:rsidR="00AF4284" w:rsidRPr="00C40EC1">
        <w:rPr>
          <w:rFonts w:ascii="Times New Roman" w:hAnsi="Times New Roman"/>
          <w:sz w:val="24"/>
          <w:szCs w:val="24"/>
          <w:lang w:val="en-US"/>
        </w:rPr>
        <w:t xml:space="preserve"> took place during this mission too.</w:t>
      </w:r>
      <w:r w:rsidRPr="00C40EC1">
        <w:rPr>
          <w:rFonts w:ascii="Times New Roman" w:hAnsi="Times New Roman"/>
          <w:sz w:val="24"/>
          <w:szCs w:val="24"/>
          <w:lang w:val="en-US"/>
        </w:rPr>
        <w:t xml:space="preserve"> </w:t>
      </w:r>
    </w:p>
    <w:p w14:paraId="4F6701AC" w14:textId="77777777" w:rsidR="00D75D4F" w:rsidRPr="00C40EC1" w:rsidRDefault="00D75D4F" w:rsidP="00D75D4F">
      <w:pPr>
        <w:spacing w:before="120" w:after="120" w:line="240" w:lineRule="auto"/>
        <w:contextualSpacing/>
        <w:jc w:val="both"/>
        <w:rPr>
          <w:rFonts w:ascii="Times New Roman" w:hAnsi="Times New Roman"/>
          <w:sz w:val="24"/>
          <w:szCs w:val="24"/>
          <w:lang w:val="en-US"/>
        </w:rPr>
      </w:pPr>
    </w:p>
    <w:p w14:paraId="1E20124B" w14:textId="4B826121" w:rsidR="002F059D" w:rsidRPr="00C40EC1" w:rsidRDefault="00594069"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A</w:t>
      </w:r>
      <w:r w:rsidR="002F059D" w:rsidRPr="00C40EC1">
        <w:rPr>
          <w:rFonts w:ascii="Times New Roman" w:hAnsi="Times New Roman"/>
          <w:sz w:val="24"/>
          <w:szCs w:val="24"/>
          <w:lang w:val="en-US"/>
        </w:rPr>
        <w:t xml:space="preserve"> </w:t>
      </w:r>
      <w:r w:rsidR="00351F01" w:rsidRPr="00C40EC1">
        <w:rPr>
          <w:rFonts w:ascii="Times New Roman" w:hAnsi="Times New Roman"/>
          <w:sz w:val="24"/>
          <w:szCs w:val="24"/>
          <w:lang w:val="en-US"/>
        </w:rPr>
        <w:t>worrying</w:t>
      </w:r>
      <w:r w:rsidR="00552E08" w:rsidRPr="00C40EC1">
        <w:rPr>
          <w:rFonts w:ascii="Times New Roman" w:hAnsi="Times New Roman"/>
          <w:sz w:val="24"/>
          <w:szCs w:val="24"/>
          <w:lang w:val="en-US"/>
        </w:rPr>
        <w:t xml:space="preserve"> </w:t>
      </w:r>
      <w:r w:rsidR="002F059D" w:rsidRPr="00C40EC1">
        <w:rPr>
          <w:rFonts w:ascii="Times New Roman" w:hAnsi="Times New Roman"/>
          <w:sz w:val="24"/>
          <w:szCs w:val="24"/>
          <w:lang w:val="en-US"/>
        </w:rPr>
        <w:t xml:space="preserve">practice has </w:t>
      </w:r>
      <w:r w:rsidR="009772D8" w:rsidRPr="00C40EC1">
        <w:rPr>
          <w:rFonts w:ascii="Times New Roman" w:hAnsi="Times New Roman"/>
          <w:sz w:val="24"/>
          <w:szCs w:val="24"/>
          <w:lang w:val="en-US"/>
        </w:rPr>
        <w:t xml:space="preserve">for sure </w:t>
      </w:r>
      <w:r w:rsidR="002F059D" w:rsidRPr="00C40EC1">
        <w:rPr>
          <w:rFonts w:ascii="Times New Roman" w:hAnsi="Times New Roman"/>
          <w:sz w:val="24"/>
          <w:szCs w:val="24"/>
          <w:lang w:val="en-US"/>
        </w:rPr>
        <w:t>been the `push back` operations, which means preventing migrants from reaching</w:t>
      </w:r>
      <w:r w:rsidR="00D56BEF" w:rsidRPr="00C40EC1">
        <w:rPr>
          <w:rFonts w:ascii="Times New Roman" w:hAnsi="Times New Roman"/>
          <w:sz w:val="24"/>
          <w:szCs w:val="24"/>
          <w:lang w:val="en-US"/>
        </w:rPr>
        <w:t xml:space="preserve"> the European territories by</w:t>
      </w:r>
      <w:r w:rsidR="002F059D" w:rsidRPr="00C40EC1">
        <w:rPr>
          <w:rFonts w:ascii="Times New Roman" w:hAnsi="Times New Roman"/>
          <w:sz w:val="24"/>
          <w:szCs w:val="24"/>
          <w:lang w:val="en-US"/>
        </w:rPr>
        <w:t xml:space="preserve"> capturing vehicles in open seas and returning them back to where they left. </w:t>
      </w:r>
      <w:r w:rsidR="00D56BEF" w:rsidRPr="00C40EC1">
        <w:rPr>
          <w:rFonts w:ascii="Times New Roman" w:hAnsi="Times New Roman"/>
          <w:sz w:val="24"/>
          <w:szCs w:val="24"/>
          <w:lang w:val="en-US"/>
        </w:rPr>
        <w:t>Readmission and repatriation agreements with the autocrats of the region served this practice</w:t>
      </w:r>
      <w:r w:rsidR="00351F01" w:rsidRPr="00C40EC1">
        <w:rPr>
          <w:rFonts w:ascii="Times New Roman" w:hAnsi="Times New Roman"/>
          <w:sz w:val="24"/>
          <w:szCs w:val="24"/>
          <w:lang w:val="en-US"/>
        </w:rPr>
        <w:t xml:space="preserve"> for long years</w:t>
      </w:r>
      <w:r w:rsidR="00D56BEF" w:rsidRPr="00C40EC1">
        <w:rPr>
          <w:rFonts w:ascii="Times New Roman" w:hAnsi="Times New Roman"/>
          <w:sz w:val="24"/>
          <w:szCs w:val="24"/>
          <w:lang w:val="en-US"/>
        </w:rPr>
        <w:t>. The reason for push backs is to prevent migrants and potential asylum seekers reaching the land, which transform</w:t>
      </w:r>
      <w:r w:rsidR="00351F01" w:rsidRPr="00C40EC1">
        <w:rPr>
          <w:rFonts w:ascii="Times New Roman" w:hAnsi="Times New Roman"/>
          <w:sz w:val="24"/>
          <w:szCs w:val="24"/>
          <w:lang w:val="en-US"/>
        </w:rPr>
        <w:t>s</w:t>
      </w:r>
      <w:r w:rsidR="00D56BEF" w:rsidRPr="00C40EC1">
        <w:rPr>
          <w:rFonts w:ascii="Times New Roman" w:hAnsi="Times New Roman"/>
          <w:sz w:val="24"/>
          <w:szCs w:val="24"/>
          <w:lang w:val="en-US"/>
        </w:rPr>
        <w:t xml:space="preserve"> their legal status and empower the </w:t>
      </w:r>
      <w:r w:rsidR="00D56BEF" w:rsidRPr="00C40EC1">
        <w:rPr>
          <w:rFonts w:ascii="Times New Roman" w:hAnsi="Times New Roman"/>
          <w:sz w:val="24"/>
          <w:szCs w:val="24"/>
          <w:lang w:val="en-US"/>
        </w:rPr>
        <w:lastRenderedPageBreak/>
        <w:t xml:space="preserve">courts against the will of the executive. </w:t>
      </w:r>
      <w:r w:rsidR="002F059D" w:rsidRPr="00C40EC1">
        <w:rPr>
          <w:rFonts w:ascii="Times New Roman" w:hAnsi="Times New Roman"/>
          <w:sz w:val="24"/>
          <w:szCs w:val="24"/>
          <w:lang w:val="en-US"/>
        </w:rPr>
        <w:t>A famous case</w:t>
      </w:r>
      <w:r w:rsidR="00351F01" w:rsidRPr="00C40EC1">
        <w:rPr>
          <w:rFonts w:ascii="Times New Roman" w:hAnsi="Times New Roman"/>
          <w:sz w:val="24"/>
          <w:szCs w:val="24"/>
          <w:lang w:val="en-US"/>
        </w:rPr>
        <w:t xml:space="preserve"> of push back</w:t>
      </w:r>
      <w:r w:rsidR="002F059D" w:rsidRPr="00C40EC1">
        <w:rPr>
          <w:rFonts w:ascii="Times New Roman" w:hAnsi="Times New Roman"/>
          <w:sz w:val="24"/>
          <w:szCs w:val="24"/>
          <w:lang w:val="en-US"/>
        </w:rPr>
        <w:t xml:space="preserve">, </w:t>
      </w:r>
      <w:r w:rsidR="002F059D" w:rsidRPr="00C40EC1">
        <w:rPr>
          <w:rFonts w:ascii="Times New Roman" w:hAnsi="Times New Roman"/>
          <w:i/>
          <w:sz w:val="24"/>
          <w:szCs w:val="24"/>
          <w:lang w:val="en-US"/>
        </w:rPr>
        <w:t xml:space="preserve">the Hirsi </w:t>
      </w:r>
      <w:r w:rsidR="002F059D" w:rsidRPr="00C40EC1">
        <w:rPr>
          <w:rFonts w:ascii="Times New Roman" w:hAnsi="Times New Roman"/>
          <w:sz w:val="24"/>
          <w:szCs w:val="24"/>
          <w:lang w:val="en-US"/>
        </w:rPr>
        <w:t xml:space="preserve">case, took place in 2009 where Eritrean and Somali nationals left Libya for Italy, but intercepted by Italian police in international waters and were sent back to Libya. The migrants were made to believe they are being taken to Italy and when realized they were taken back </w:t>
      </w:r>
      <w:r w:rsidR="00351F01" w:rsidRPr="00C40EC1">
        <w:rPr>
          <w:rFonts w:ascii="Times New Roman" w:hAnsi="Times New Roman"/>
          <w:sz w:val="24"/>
          <w:szCs w:val="24"/>
          <w:lang w:val="en-US"/>
        </w:rPr>
        <w:t xml:space="preserve">to Libya </w:t>
      </w:r>
      <w:r w:rsidR="002F059D" w:rsidRPr="00C40EC1">
        <w:rPr>
          <w:rFonts w:ascii="Times New Roman" w:hAnsi="Times New Roman"/>
          <w:sz w:val="24"/>
          <w:szCs w:val="24"/>
          <w:lang w:val="en-US"/>
        </w:rPr>
        <w:t>some rejected and asked for asylum without success. This was enable</w:t>
      </w:r>
      <w:r w:rsidR="00D56BEF" w:rsidRPr="00C40EC1">
        <w:rPr>
          <w:rFonts w:ascii="Times New Roman" w:hAnsi="Times New Roman"/>
          <w:sz w:val="24"/>
          <w:szCs w:val="24"/>
          <w:lang w:val="en-US"/>
        </w:rPr>
        <w:t>d</w:t>
      </w:r>
      <w:r w:rsidR="002F059D" w:rsidRPr="00C40EC1">
        <w:rPr>
          <w:rFonts w:ascii="Times New Roman" w:hAnsi="Times New Roman"/>
          <w:sz w:val="24"/>
          <w:szCs w:val="24"/>
          <w:lang w:val="en-US"/>
        </w:rPr>
        <w:t xml:space="preserve"> by the </w:t>
      </w:r>
      <w:r w:rsidR="00351F01" w:rsidRPr="00C40EC1">
        <w:rPr>
          <w:rFonts w:ascii="Times New Roman" w:hAnsi="Times New Roman"/>
          <w:sz w:val="24"/>
          <w:szCs w:val="24"/>
          <w:lang w:val="en-US"/>
        </w:rPr>
        <w:t xml:space="preserve">readmission </w:t>
      </w:r>
      <w:r w:rsidR="002F059D" w:rsidRPr="00C40EC1">
        <w:rPr>
          <w:rFonts w:ascii="Times New Roman" w:hAnsi="Times New Roman"/>
          <w:sz w:val="24"/>
          <w:szCs w:val="24"/>
          <w:lang w:val="en-US"/>
        </w:rPr>
        <w:t>agreement between Libya</w:t>
      </w:r>
      <w:r w:rsidR="00351F01" w:rsidRPr="00C40EC1">
        <w:rPr>
          <w:rFonts w:ascii="Times New Roman" w:hAnsi="Times New Roman"/>
          <w:sz w:val="24"/>
          <w:szCs w:val="24"/>
          <w:lang w:val="en-US"/>
        </w:rPr>
        <w:t>, which is not a signatory of 1951 Geneva Convention</w:t>
      </w:r>
      <w:r w:rsidR="002F059D" w:rsidRPr="00C40EC1">
        <w:rPr>
          <w:rFonts w:ascii="Times New Roman" w:hAnsi="Times New Roman"/>
          <w:sz w:val="24"/>
          <w:szCs w:val="24"/>
          <w:lang w:val="en-US"/>
        </w:rPr>
        <w:t xml:space="preserve"> and Italy. Some of these migrants managed to get recognition from UNHCR for their refugee status, which raises serious co</w:t>
      </w:r>
      <w:r w:rsidR="00351F01" w:rsidRPr="00C40EC1">
        <w:rPr>
          <w:rFonts w:ascii="Times New Roman" w:hAnsi="Times New Roman"/>
          <w:sz w:val="24"/>
          <w:szCs w:val="24"/>
          <w:lang w:val="en-US"/>
        </w:rPr>
        <w:t xml:space="preserve">ncern over the practice of </w:t>
      </w:r>
      <w:r w:rsidR="002F059D" w:rsidRPr="00C40EC1">
        <w:rPr>
          <w:rFonts w:ascii="Times New Roman" w:hAnsi="Times New Roman"/>
          <w:sz w:val="24"/>
          <w:szCs w:val="24"/>
          <w:lang w:val="en-US"/>
        </w:rPr>
        <w:t xml:space="preserve">Geneva Convention and its basic clause on </w:t>
      </w:r>
      <w:r w:rsidR="002F059D" w:rsidRPr="00C40EC1">
        <w:rPr>
          <w:rFonts w:ascii="Times New Roman" w:hAnsi="Times New Roman"/>
          <w:i/>
          <w:sz w:val="24"/>
          <w:szCs w:val="24"/>
          <w:lang w:val="en-US"/>
        </w:rPr>
        <w:t xml:space="preserve">non-refoulement. </w:t>
      </w:r>
      <w:r w:rsidR="00082945" w:rsidRPr="00C40EC1">
        <w:rPr>
          <w:rFonts w:ascii="Times New Roman" w:hAnsi="Times New Roman"/>
          <w:sz w:val="24"/>
          <w:szCs w:val="24"/>
          <w:lang w:val="en-US"/>
        </w:rPr>
        <w:t>Indeed, s</w:t>
      </w:r>
      <w:r w:rsidR="002F059D" w:rsidRPr="00C40EC1">
        <w:rPr>
          <w:rFonts w:ascii="Times New Roman" w:hAnsi="Times New Roman"/>
          <w:sz w:val="24"/>
          <w:szCs w:val="24"/>
          <w:lang w:val="en-US"/>
        </w:rPr>
        <w:t xml:space="preserve">ome managed to bring a legal case </w:t>
      </w:r>
      <w:r w:rsidR="00082945" w:rsidRPr="00C40EC1">
        <w:rPr>
          <w:rFonts w:ascii="Times New Roman" w:hAnsi="Times New Roman"/>
          <w:sz w:val="24"/>
          <w:szCs w:val="24"/>
          <w:lang w:val="en-US"/>
        </w:rPr>
        <w:t>in front of the</w:t>
      </w:r>
      <w:r w:rsidR="002F059D" w:rsidRPr="00C40EC1">
        <w:rPr>
          <w:rFonts w:ascii="Times New Roman" w:hAnsi="Times New Roman"/>
          <w:sz w:val="24"/>
          <w:szCs w:val="24"/>
          <w:lang w:val="en-US"/>
        </w:rPr>
        <w:t xml:space="preserve"> European Court of Human Rights. The Court`s decision was supporting the migrants and was confirming the rights of refugees even in international waters, whic</w:t>
      </w:r>
      <w:r w:rsidR="00082945" w:rsidRPr="00C40EC1">
        <w:rPr>
          <w:rFonts w:ascii="Times New Roman" w:hAnsi="Times New Roman"/>
          <w:sz w:val="24"/>
          <w:szCs w:val="24"/>
          <w:lang w:val="en-US"/>
        </w:rPr>
        <w:t>h for den Hertog (2012, 3) was “</w:t>
      </w:r>
      <w:r w:rsidR="002F059D" w:rsidRPr="00C40EC1">
        <w:rPr>
          <w:rFonts w:ascii="Times New Roman" w:hAnsi="Times New Roman"/>
          <w:sz w:val="24"/>
          <w:szCs w:val="24"/>
          <w:lang w:val="en-US"/>
        </w:rPr>
        <w:t>denounce[ing] the push back practice</w:t>
      </w:r>
      <w:r w:rsidR="00082945" w:rsidRPr="00C40EC1">
        <w:rPr>
          <w:rFonts w:ascii="Times New Roman" w:hAnsi="Times New Roman"/>
          <w:sz w:val="24"/>
          <w:szCs w:val="24"/>
          <w:lang w:val="en-US"/>
        </w:rPr>
        <w:t>”</w:t>
      </w:r>
      <w:r w:rsidR="002F059D" w:rsidRPr="00C40EC1">
        <w:rPr>
          <w:rFonts w:ascii="Times New Roman" w:hAnsi="Times New Roman"/>
          <w:sz w:val="24"/>
          <w:szCs w:val="24"/>
          <w:lang w:val="en-US"/>
        </w:rPr>
        <w:t xml:space="preserve">.  </w:t>
      </w:r>
    </w:p>
    <w:p w14:paraId="3DB80591" w14:textId="77777777" w:rsidR="00D75D4F" w:rsidRPr="00C40EC1" w:rsidRDefault="00D75D4F" w:rsidP="00D75D4F">
      <w:pPr>
        <w:spacing w:before="120" w:after="120" w:line="240" w:lineRule="auto"/>
        <w:contextualSpacing/>
        <w:jc w:val="both"/>
        <w:rPr>
          <w:rFonts w:ascii="Times New Roman" w:hAnsi="Times New Roman"/>
          <w:sz w:val="24"/>
          <w:szCs w:val="24"/>
          <w:lang w:val="en-US"/>
        </w:rPr>
      </w:pPr>
    </w:p>
    <w:p w14:paraId="4F6A7DB8" w14:textId="3396B41C" w:rsidR="002F059D" w:rsidRPr="00C40EC1" w:rsidRDefault="002F059D"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 xml:space="preserve">UNHCR declared the year 2011 as the deadliest year so far in the Mediterranean. It estimated 1500 similar deaths (UNHCR 2012). </w:t>
      </w:r>
      <w:r w:rsidR="009772D8" w:rsidRPr="00C40EC1">
        <w:rPr>
          <w:rFonts w:ascii="Times New Roman" w:hAnsi="Times New Roman"/>
          <w:sz w:val="24"/>
          <w:szCs w:val="24"/>
          <w:lang w:val="en-US"/>
        </w:rPr>
        <w:t>Eight years after and much of</w:t>
      </w:r>
      <w:r w:rsidR="00594069" w:rsidRPr="00C40EC1">
        <w:rPr>
          <w:rFonts w:ascii="Times New Roman" w:hAnsi="Times New Roman"/>
          <w:sz w:val="24"/>
          <w:szCs w:val="24"/>
          <w:lang w:val="en-US"/>
        </w:rPr>
        <w:t xml:space="preserve"> lip service to saving lives the Mediterranean remain</w:t>
      </w:r>
      <w:r w:rsidR="009772D8" w:rsidRPr="00C40EC1">
        <w:rPr>
          <w:rFonts w:ascii="Times New Roman" w:hAnsi="Times New Roman"/>
          <w:sz w:val="24"/>
          <w:szCs w:val="24"/>
          <w:lang w:val="en-US"/>
        </w:rPr>
        <w:t>s to be a deadly</w:t>
      </w:r>
      <w:r w:rsidR="00594069" w:rsidRPr="00C40EC1">
        <w:rPr>
          <w:rFonts w:ascii="Times New Roman" w:hAnsi="Times New Roman"/>
          <w:sz w:val="24"/>
          <w:szCs w:val="24"/>
          <w:lang w:val="en-US"/>
        </w:rPr>
        <w:t xml:space="preserve"> sea. </w:t>
      </w:r>
      <w:r w:rsidRPr="00C40EC1">
        <w:rPr>
          <w:rFonts w:ascii="Times New Roman" w:hAnsi="Times New Roman"/>
          <w:sz w:val="24"/>
          <w:szCs w:val="24"/>
          <w:lang w:val="en-US"/>
        </w:rPr>
        <w:t>Statewatch boldly reveals the `double standards` in the EU</w:t>
      </w:r>
      <w:r w:rsidR="009772D8" w:rsidRPr="00C40EC1">
        <w:rPr>
          <w:rFonts w:ascii="Times New Roman" w:hAnsi="Times New Roman"/>
          <w:sz w:val="24"/>
          <w:szCs w:val="24"/>
          <w:lang w:val="en-US"/>
        </w:rPr>
        <w:t>’s</w:t>
      </w:r>
      <w:r w:rsidRPr="00C40EC1">
        <w:rPr>
          <w:rFonts w:ascii="Times New Roman" w:hAnsi="Times New Roman"/>
          <w:sz w:val="24"/>
          <w:szCs w:val="24"/>
          <w:lang w:val="en-US"/>
        </w:rPr>
        <w:t xml:space="preserve"> approach</w:t>
      </w:r>
      <w:r w:rsidR="009772D8" w:rsidRPr="00C40EC1">
        <w:rPr>
          <w:rFonts w:ascii="Times New Roman" w:hAnsi="Times New Roman"/>
          <w:sz w:val="24"/>
          <w:szCs w:val="24"/>
          <w:lang w:val="en-US"/>
        </w:rPr>
        <w:t xml:space="preserve"> towards Arab Spring</w:t>
      </w:r>
      <w:r w:rsidRPr="00C40EC1">
        <w:rPr>
          <w:rFonts w:ascii="Times New Roman" w:hAnsi="Times New Roman"/>
          <w:sz w:val="24"/>
          <w:szCs w:val="24"/>
          <w:lang w:val="en-US"/>
        </w:rPr>
        <w:t>: claiming to welcome the democratic move in the region, while meeting the movement of population linked to it with hostility (Martin 2012). Martin highlights correctly</w:t>
      </w:r>
      <w:r w:rsidR="00D56BEF" w:rsidRPr="00C40EC1">
        <w:rPr>
          <w:rFonts w:ascii="Times New Roman" w:hAnsi="Times New Roman"/>
          <w:sz w:val="24"/>
          <w:szCs w:val="24"/>
          <w:lang w:val="en-US"/>
        </w:rPr>
        <w:t xml:space="preserve"> the EU`s approach of</w:t>
      </w:r>
      <w:r w:rsidRPr="00C40EC1">
        <w:rPr>
          <w:rFonts w:ascii="Times New Roman" w:hAnsi="Times New Roman"/>
          <w:sz w:val="24"/>
          <w:szCs w:val="24"/>
          <w:lang w:val="en-US"/>
        </w:rPr>
        <w:t xml:space="preserve"> reducing </w:t>
      </w:r>
      <w:r w:rsidR="00D11428" w:rsidRPr="00C40EC1">
        <w:rPr>
          <w:rFonts w:ascii="Times New Roman" w:hAnsi="Times New Roman"/>
          <w:sz w:val="24"/>
          <w:szCs w:val="24"/>
          <w:lang w:val="en-US"/>
        </w:rPr>
        <w:t>the migrants just to statistics and</w:t>
      </w:r>
      <w:r w:rsidRPr="00C40EC1">
        <w:rPr>
          <w:rFonts w:ascii="Times New Roman" w:hAnsi="Times New Roman"/>
          <w:sz w:val="24"/>
          <w:szCs w:val="24"/>
          <w:lang w:val="en-US"/>
        </w:rPr>
        <w:t xml:space="preserve"> numbers where not all are represented. Total number o</w:t>
      </w:r>
      <w:r w:rsidR="00D56BEF" w:rsidRPr="00C40EC1">
        <w:rPr>
          <w:rFonts w:ascii="Times New Roman" w:hAnsi="Times New Roman"/>
          <w:sz w:val="24"/>
          <w:szCs w:val="24"/>
          <w:lang w:val="en-US"/>
        </w:rPr>
        <w:t>f</w:t>
      </w:r>
      <w:r w:rsidRPr="00C40EC1">
        <w:rPr>
          <w:rFonts w:ascii="Times New Roman" w:hAnsi="Times New Roman"/>
          <w:sz w:val="24"/>
          <w:szCs w:val="24"/>
          <w:lang w:val="en-US"/>
        </w:rPr>
        <w:t xml:space="preserve"> migrants, deportations, refugees are recorded, but not necessarily the ones left to die either by drowning in open seas or by returning to `unsafe countries`. There is a clear lack of accountability for the tragic events taking place in the Mediterranean, which has two components lack of clarity and lack of monitoring (den Hertog 2012, 6). It is not necessarily clarified with whom</w:t>
      </w:r>
      <w:r w:rsidR="00D11428" w:rsidRPr="00C40EC1">
        <w:rPr>
          <w:rFonts w:ascii="Times New Roman" w:hAnsi="Times New Roman"/>
          <w:sz w:val="24"/>
          <w:szCs w:val="24"/>
          <w:lang w:val="en-US"/>
        </w:rPr>
        <w:t xml:space="preserve"> lie</w:t>
      </w:r>
      <w:r w:rsidRPr="00C40EC1">
        <w:rPr>
          <w:rFonts w:ascii="Times New Roman" w:hAnsi="Times New Roman"/>
          <w:sz w:val="24"/>
          <w:szCs w:val="24"/>
          <w:lang w:val="en-US"/>
        </w:rPr>
        <w:t xml:space="preserve"> the responsibilit</w:t>
      </w:r>
      <w:r w:rsidR="00D56BEF" w:rsidRPr="00C40EC1">
        <w:rPr>
          <w:rFonts w:ascii="Times New Roman" w:hAnsi="Times New Roman"/>
          <w:sz w:val="24"/>
          <w:szCs w:val="24"/>
          <w:lang w:val="en-US"/>
        </w:rPr>
        <w:t>y in situations of distress</w:t>
      </w:r>
      <w:r w:rsidR="00D11428" w:rsidRPr="00C40EC1">
        <w:rPr>
          <w:rFonts w:ascii="Times New Roman" w:hAnsi="Times New Roman"/>
          <w:sz w:val="24"/>
          <w:szCs w:val="24"/>
          <w:lang w:val="en-US"/>
        </w:rPr>
        <w:t>.</w:t>
      </w:r>
      <w:r w:rsidR="00D56BEF" w:rsidRPr="00C40EC1">
        <w:rPr>
          <w:rFonts w:ascii="Times New Roman" w:hAnsi="Times New Roman"/>
          <w:sz w:val="24"/>
          <w:szCs w:val="24"/>
          <w:lang w:val="en-US"/>
        </w:rPr>
        <w:t xml:space="preserve"> </w:t>
      </w:r>
      <w:r w:rsidRPr="00C40EC1">
        <w:rPr>
          <w:rFonts w:ascii="Times New Roman" w:hAnsi="Times New Roman"/>
          <w:sz w:val="24"/>
          <w:szCs w:val="24"/>
          <w:lang w:val="en-US"/>
        </w:rPr>
        <w:t>FRONTEX claim</w:t>
      </w:r>
      <w:r w:rsidR="000853B2" w:rsidRPr="00C40EC1">
        <w:rPr>
          <w:rFonts w:ascii="Times New Roman" w:hAnsi="Times New Roman"/>
          <w:sz w:val="24"/>
          <w:szCs w:val="24"/>
          <w:lang w:val="en-US"/>
        </w:rPr>
        <w:t>ed</w:t>
      </w:r>
      <w:r w:rsidRPr="00C40EC1">
        <w:rPr>
          <w:rFonts w:ascii="Times New Roman" w:hAnsi="Times New Roman"/>
          <w:sz w:val="24"/>
          <w:szCs w:val="24"/>
          <w:lang w:val="en-US"/>
        </w:rPr>
        <w:t xml:space="preserve"> to have </w:t>
      </w:r>
      <w:r w:rsidR="00D56BEF" w:rsidRPr="00C40EC1">
        <w:rPr>
          <w:rFonts w:ascii="Times New Roman" w:hAnsi="Times New Roman"/>
          <w:sz w:val="24"/>
          <w:szCs w:val="24"/>
          <w:lang w:val="en-US"/>
        </w:rPr>
        <w:t xml:space="preserve">only </w:t>
      </w:r>
      <w:r w:rsidRPr="00C40EC1">
        <w:rPr>
          <w:rFonts w:ascii="Times New Roman" w:hAnsi="Times New Roman"/>
          <w:sz w:val="24"/>
          <w:szCs w:val="24"/>
          <w:lang w:val="en-US"/>
        </w:rPr>
        <w:t xml:space="preserve">a coordination role. Similarly, there is no authority to supervise the humanitarian dimension of the operations. Indeed, “[d]uring the negotiations of the new FRONTEX mandate in 2011, the member states insisted that independent observers would not be allowed in board without their approval” (den Hertog 2012, 7). Therefore, there is a clear logic of secrecy and security dominating operations of FRONTEX. </w:t>
      </w:r>
      <w:r w:rsidR="00D56BEF" w:rsidRPr="00C40EC1">
        <w:rPr>
          <w:rFonts w:ascii="Times New Roman" w:hAnsi="Times New Roman"/>
          <w:sz w:val="24"/>
          <w:szCs w:val="24"/>
          <w:lang w:val="en-US"/>
        </w:rPr>
        <w:t>Establishing r</w:t>
      </w:r>
      <w:r w:rsidRPr="00C40EC1">
        <w:rPr>
          <w:rFonts w:ascii="Times New Roman" w:hAnsi="Times New Roman"/>
          <w:sz w:val="24"/>
          <w:szCs w:val="24"/>
          <w:lang w:val="en-US"/>
        </w:rPr>
        <w:t>ule of law in the field of border control and immigration seem difficult than envisaged</w:t>
      </w:r>
      <w:r w:rsidR="00D11428" w:rsidRPr="00C40EC1">
        <w:rPr>
          <w:rFonts w:ascii="Times New Roman" w:hAnsi="Times New Roman"/>
          <w:sz w:val="24"/>
          <w:szCs w:val="24"/>
          <w:lang w:val="en-US"/>
        </w:rPr>
        <w:t xml:space="preserve"> and the amendments introduced with the Li</w:t>
      </w:r>
      <w:r w:rsidR="000853B2" w:rsidRPr="00C40EC1">
        <w:rPr>
          <w:rFonts w:ascii="Times New Roman" w:hAnsi="Times New Roman"/>
          <w:sz w:val="24"/>
          <w:szCs w:val="24"/>
          <w:lang w:val="en-US"/>
        </w:rPr>
        <w:t>sbon Treaty has not produced a major</w:t>
      </w:r>
      <w:r w:rsidR="00D11428" w:rsidRPr="00C40EC1">
        <w:rPr>
          <w:rFonts w:ascii="Times New Roman" w:hAnsi="Times New Roman"/>
          <w:sz w:val="24"/>
          <w:szCs w:val="24"/>
          <w:lang w:val="en-US"/>
        </w:rPr>
        <w:t xml:space="preserve"> change</w:t>
      </w:r>
      <w:r w:rsidRPr="00C40EC1">
        <w:rPr>
          <w:rFonts w:ascii="Times New Roman" w:hAnsi="Times New Roman"/>
          <w:sz w:val="24"/>
          <w:szCs w:val="24"/>
          <w:lang w:val="en-US"/>
        </w:rPr>
        <w:t xml:space="preserve">. </w:t>
      </w:r>
    </w:p>
    <w:p w14:paraId="2633ADDF" w14:textId="69C543B2" w:rsidR="00594069" w:rsidRPr="00C40EC1" w:rsidRDefault="00594069" w:rsidP="00D75D4F">
      <w:pPr>
        <w:spacing w:before="120" w:after="120" w:line="240" w:lineRule="auto"/>
        <w:contextualSpacing/>
        <w:jc w:val="both"/>
        <w:rPr>
          <w:rFonts w:ascii="Times New Roman" w:hAnsi="Times New Roman"/>
          <w:sz w:val="24"/>
          <w:szCs w:val="24"/>
          <w:lang w:val="en-US"/>
        </w:rPr>
      </w:pPr>
    </w:p>
    <w:p w14:paraId="351108C1" w14:textId="2F7F0C23" w:rsidR="002F059D" w:rsidRPr="007E7933" w:rsidRDefault="002F059D" w:rsidP="007E7933">
      <w:pPr>
        <w:spacing w:before="120" w:after="120" w:line="240" w:lineRule="auto"/>
        <w:jc w:val="both"/>
        <w:rPr>
          <w:rFonts w:ascii="Times New Roman" w:hAnsi="Times New Roman"/>
          <w:b/>
          <w:sz w:val="24"/>
          <w:szCs w:val="24"/>
        </w:rPr>
      </w:pPr>
      <w:r w:rsidRPr="007E7933">
        <w:rPr>
          <w:rFonts w:ascii="Times New Roman" w:hAnsi="Times New Roman"/>
          <w:b/>
          <w:sz w:val="24"/>
          <w:szCs w:val="24"/>
        </w:rPr>
        <w:t>COOPERATION ON BORDER CONTROL</w:t>
      </w:r>
    </w:p>
    <w:p w14:paraId="6989B152" w14:textId="768B1FD0" w:rsidR="002F059D" w:rsidRPr="00C40EC1" w:rsidRDefault="002F059D"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A simultaneous emergency measure of the EU was pushing the newly formed authorities in the neighbourhood to cooperate in preventing irregular migration, through various partnership agreements and financial aid. Such agreements are closely linked to the above menti</w:t>
      </w:r>
      <w:r w:rsidR="00AD3A5E" w:rsidRPr="00C40EC1">
        <w:rPr>
          <w:rFonts w:ascii="Times New Roman" w:hAnsi="Times New Roman"/>
          <w:sz w:val="24"/>
          <w:szCs w:val="24"/>
          <w:lang w:val="en-US"/>
        </w:rPr>
        <w:t>oned `push back` practices. Most</w:t>
      </w:r>
      <w:r w:rsidRPr="00C40EC1">
        <w:rPr>
          <w:rFonts w:ascii="Times New Roman" w:hAnsi="Times New Roman"/>
          <w:sz w:val="24"/>
          <w:szCs w:val="24"/>
          <w:lang w:val="en-US"/>
        </w:rPr>
        <w:t xml:space="preserve"> of the times</w:t>
      </w:r>
      <w:r w:rsidR="00AD3A5E" w:rsidRPr="00C40EC1">
        <w:rPr>
          <w:rFonts w:ascii="Times New Roman" w:hAnsi="Times New Roman"/>
          <w:sz w:val="24"/>
          <w:szCs w:val="24"/>
          <w:lang w:val="en-US"/>
        </w:rPr>
        <w:t xml:space="preserve"> European countries ask for </w:t>
      </w:r>
      <w:r w:rsidRPr="00C40EC1">
        <w:rPr>
          <w:rFonts w:ascii="Times New Roman" w:hAnsi="Times New Roman"/>
          <w:sz w:val="24"/>
          <w:szCs w:val="24"/>
          <w:lang w:val="en-US"/>
        </w:rPr>
        <w:t>permis</w:t>
      </w:r>
      <w:r w:rsidR="00AD3A5E" w:rsidRPr="00C40EC1">
        <w:rPr>
          <w:rFonts w:ascii="Times New Roman" w:hAnsi="Times New Roman"/>
          <w:sz w:val="24"/>
          <w:szCs w:val="24"/>
          <w:lang w:val="en-US"/>
        </w:rPr>
        <w:t>sion to patrol the national waters</w:t>
      </w:r>
      <w:r w:rsidRPr="00C40EC1">
        <w:rPr>
          <w:rFonts w:ascii="Times New Roman" w:hAnsi="Times New Roman"/>
          <w:sz w:val="24"/>
          <w:szCs w:val="24"/>
          <w:lang w:val="en-US"/>
        </w:rPr>
        <w:t xml:space="preserve"> of the country in question. Again a major policy tool has been the readmission agreements, which proved to be more difficult to sign with the new regimes in the region. Faster than the EU itself, several member countries signed bilateral agreements with MENA countries. Italy signed an `accelerated repatriation` agreement with Tunisia on 5 April 2011. The agreement was built on Italy`s 200 million Euro worth of aid and credit and Tunisia`s help in preventing further ir</w:t>
      </w:r>
      <w:r w:rsidR="00AD3A5E" w:rsidRPr="00C40EC1">
        <w:rPr>
          <w:rFonts w:ascii="Times New Roman" w:hAnsi="Times New Roman"/>
          <w:sz w:val="24"/>
          <w:szCs w:val="24"/>
          <w:lang w:val="en-US"/>
        </w:rPr>
        <w:t>r</w:t>
      </w:r>
      <w:r w:rsidRPr="00C40EC1">
        <w:rPr>
          <w:rFonts w:ascii="Times New Roman" w:hAnsi="Times New Roman"/>
          <w:sz w:val="24"/>
          <w:szCs w:val="24"/>
          <w:lang w:val="en-US"/>
        </w:rPr>
        <w:t xml:space="preserve">egular flows and readmitting returned migrants. A similar agreement was </w:t>
      </w:r>
      <w:r w:rsidR="00AD3A5E" w:rsidRPr="00C40EC1">
        <w:rPr>
          <w:rFonts w:ascii="Times New Roman" w:hAnsi="Times New Roman"/>
          <w:sz w:val="24"/>
          <w:szCs w:val="24"/>
          <w:lang w:val="en-US"/>
        </w:rPr>
        <w:t xml:space="preserve">also </w:t>
      </w:r>
      <w:r w:rsidRPr="00C40EC1">
        <w:rPr>
          <w:rFonts w:ascii="Times New Roman" w:hAnsi="Times New Roman"/>
          <w:sz w:val="24"/>
          <w:szCs w:val="24"/>
          <w:lang w:val="en-US"/>
        </w:rPr>
        <w:t xml:space="preserve">signed between Italy and </w:t>
      </w:r>
      <w:r w:rsidR="00AD3A5E" w:rsidRPr="00C40EC1">
        <w:rPr>
          <w:rFonts w:ascii="Times New Roman" w:hAnsi="Times New Roman"/>
          <w:sz w:val="24"/>
          <w:szCs w:val="24"/>
          <w:lang w:val="en-US"/>
        </w:rPr>
        <w:t xml:space="preserve">the </w:t>
      </w:r>
      <w:r w:rsidRPr="00C40EC1">
        <w:rPr>
          <w:rFonts w:ascii="Times New Roman" w:hAnsi="Times New Roman"/>
          <w:sz w:val="24"/>
          <w:szCs w:val="24"/>
          <w:lang w:val="en-US"/>
        </w:rPr>
        <w:t xml:space="preserve">National Transitional Council of Libya on 17 June 2011. Italy efficiently benefitted from these agreements and returned 13000 migrants between January and July 2011 (Carrera et al 2012, 6). As can be expected these agreements and repatriations received huge criticism from NGOs as it </w:t>
      </w:r>
      <w:r w:rsidRPr="00C40EC1">
        <w:rPr>
          <w:rFonts w:ascii="Times New Roman" w:hAnsi="Times New Roman"/>
          <w:sz w:val="24"/>
          <w:szCs w:val="24"/>
          <w:lang w:val="en-US"/>
        </w:rPr>
        <w:lastRenderedPageBreak/>
        <w:t>was disputable if these repatriations are in line with i</w:t>
      </w:r>
      <w:r w:rsidR="00D11428" w:rsidRPr="00C40EC1">
        <w:rPr>
          <w:rFonts w:ascii="Times New Roman" w:hAnsi="Times New Roman"/>
          <w:sz w:val="24"/>
          <w:szCs w:val="24"/>
          <w:lang w:val="en-US"/>
        </w:rPr>
        <w:t>nternational protection</w:t>
      </w:r>
      <w:r w:rsidRPr="00C40EC1">
        <w:rPr>
          <w:rFonts w:ascii="Times New Roman" w:hAnsi="Times New Roman"/>
          <w:sz w:val="24"/>
          <w:szCs w:val="24"/>
          <w:lang w:val="en-US"/>
        </w:rPr>
        <w:t xml:space="preserve"> norms, especially the </w:t>
      </w:r>
      <w:r w:rsidRPr="00C40EC1">
        <w:rPr>
          <w:rFonts w:ascii="Times New Roman" w:hAnsi="Times New Roman"/>
          <w:i/>
          <w:sz w:val="24"/>
          <w:szCs w:val="24"/>
          <w:lang w:val="en-US"/>
        </w:rPr>
        <w:t xml:space="preserve">non-refoulement </w:t>
      </w:r>
      <w:r w:rsidRPr="00C40EC1">
        <w:rPr>
          <w:rFonts w:ascii="Times New Roman" w:hAnsi="Times New Roman"/>
          <w:sz w:val="24"/>
          <w:szCs w:val="24"/>
          <w:lang w:val="en-US"/>
        </w:rPr>
        <w:t xml:space="preserve"> principle. </w:t>
      </w:r>
    </w:p>
    <w:p w14:paraId="57BA5C99" w14:textId="77777777" w:rsidR="00D75D4F" w:rsidRPr="00C40EC1" w:rsidRDefault="00D75D4F" w:rsidP="00D75D4F">
      <w:pPr>
        <w:spacing w:before="120" w:after="120" w:line="240" w:lineRule="auto"/>
        <w:contextualSpacing/>
        <w:jc w:val="both"/>
        <w:rPr>
          <w:rFonts w:ascii="Times New Roman" w:hAnsi="Times New Roman"/>
          <w:sz w:val="24"/>
          <w:szCs w:val="24"/>
          <w:lang w:val="en-US"/>
        </w:rPr>
      </w:pPr>
    </w:p>
    <w:p w14:paraId="6264957E" w14:textId="157A6A44" w:rsidR="002F059D" w:rsidRPr="00C40EC1" w:rsidRDefault="002F059D" w:rsidP="00D75D4F">
      <w:pPr>
        <w:spacing w:before="120" w:after="120" w:line="240" w:lineRule="auto"/>
        <w:contextualSpacing/>
        <w:jc w:val="both"/>
        <w:rPr>
          <w:rFonts w:ascii="Times New Roman" w:hAnsi="Times New Roman"/>
          <w:color w:val="FF0000"/>
          <w:sz w:val="24"/>
          <w:szCs w:val="24"/>
          <w:lang w:val="en-US"/>
        </w:rPr>
      </w:pPr>
      <w:r w:rsidRPr="00C40EC1">
        <w:rPr>
          <w:rFonts w:ascii="Times New Roman" w:hAnsi="Times New Roman"/>
          <w:sz w:val="24"/>
          <w:szCs w:val="24"/>
          <w:lang w:val="en-US"/>
        </w:rPr>
        <w:t xml:space="preserve">The EU followed suit and its immediate reaction was to seek bilateral agreements </w:t>
      </w:r>
      <w:r w:rsidR="00D11428" w:rsidRPr="00C40EC1">
        <w:rPr>
          <w:rFonts w:ascii="Times New Roman" w:hAnsi="Times New Roman"/>
          <w:sz w:val="24"/>
          <w:szCs w:val="24"/>
          <w:lang w:val="en-US"/>
        </w:rPr>
        <w:t>through</w:t>
      </w:r>
      <w:r w:rsidRPr="00C40EC1">
        <w:rPr>
          <w:rFonts w:ascii="Times New Roman" w:hAnsi="Times New Roman"/>
          <w:sz w:val="24"/>
          <w:szCs w:val="24"/>
          <w:lang w:val="en-US"/>
        </w:rPr>
        <w:t xml:space="preserve"> offer</w:t>
      </w:r>
      <w:r w:rsidR="00D11428" w:rsidRPr="00C40EC1">
        <w:rPr>
          <w:rFonts w:ascii="Times New Roman" w:hAnsi="Times New Roman"/>
          <w:sz w:val="24"/>
          <w:szCs w:val="24"/>
          <w:lang w:val="en-US"/>
        </w:rPr>
        <w:t>ing</w:t>
      </w:r>
      <w:r w:rsidRPr="00C40EC1">
        <w:rPr>
          <w:rFonts w:ascii="Times New Roman" w:hAnsi="Times New Roman"/>
          <w:sz w:val="24"/>
          <w:szCs w:val="24"/>
          <w:lang w:val="en-US"/>
        </w:rPr>
        <w:t xml:space="preserve"> financial aid in return for more ‘vigorous’ border contr</w:t>
      </w:r>
      <w:r w:rsidR="00AD3A5E" w:rsidRPr="00C40EC1">
        <w:rPr>
          <w:rFonts w:ascii="Times New Roman" w:hAnsi="Times New Roman"/>
          <w:sz w:val="24"/>
          <w:szCs w:val="24"/>
          <w:lang w:val="en-US"/>
        </w:rPr>
        <w:t>ol and cooperation</w:t>
      </w:r>
      <w:r w:rsidRPr="00C40EC1">
        <w:rPr>
          <w:rFonts w:ascii="Times New Roman" w:hAnsi="Times New Roman"/>
          <w:sz w:val="24"/>
          <w:szCs w:val="24"/>
          <w:lang w:val="en-US"/>
        </w:rPr>
        <w:t xml:space="preserve">. This can be seen as part of its challenge to stay relevant during the turbulence, but also a continuation of its general policy of externalization. Arab Spring revealed a clear tension </w:t>
      </w:r>
      <w:r w:rsidR="00AD3A5E" w:rsidRPr="00C40EC1">
        <w:rPr>
          <w:rFonts w:ascii="Times New Roman" w:hAnsi="Times New Roman"/>
          <w:sz w:val="24"/>
          <w:szCs w:val="24"/>
          <w:lang w:val="en-US"/>
        </w:rPr>
        <w:t>between</w:t>
      </w:r>
      <w:r w:rsidRPr="00C40EC1">
        <w:rPr>
          <w:rFonts w:ascii="Times New Roman" w:hAnsi="Times New Roman"/>
          <w:sz w:val="24"/>
          <w:szCs w:val="24"/>
          <w:lang w:val="en-US"/>
        </w:rPr>
        <w:t xml:space="preserve"> </w:t>
      </w:r>
      <w:r w:rsidR="00D11428" w:rsidRPr="00C40EC1">
        <w:rPr>
          <w:rFonts w:ascii="Times New Roman" w:hAnsi="Times New Roman"/>
          <w:sz w:val="24"/>
          <w:szCs w:val="24"/>
          <w:lang w:val="en-US"/>
        </w:rPr>
        <w:t>the Union`s policy: keeping `</w:t>
      </w:r>
      <w:r w:rsidRPr="00C40EC1">
        <w:rPr>
          <w:rFonts w:ascii="Times New Roman" w:hAnsi="Times New Roman"/>
          <w:sz w:val="24"/>
          <w:szCs w:val="24"/>
          <w:lang w:val="en-US"/>
        </w:rPr>
        <w:t>home` safe, ie protecting the borders by preventing illegal immigrants arrivi</w:t>
      </w:r>
      <w:r w:rsidR="00523DE4" w:rsidRPr="00C40EC1">
        <w:rPr>
          <w:rFonts w:ascii="Times New Roman" w:hAnsi="Times New Roman"/>
          <w:sz w:val="24"/>
          <w:szCs w:val="24"/>
          <w:lang w:val="en-US"/>
        </w:rPr>
        <w:t>ng the shores of Europe versus</w:t>
      </w:r>
      <w:r w:rsidRPr="00C40EC1">
        <w:rPr>
          <w:rFonts w:ascii="Times New Roman" w:hAnsi="Times New Roman"/>
          <w:sz w:val="24"/>
          <w:szCs w:val="24"/>
          <w:lang w:val="en-US"/>
        </w:rPr>
        <w:t xml:space="preserve"> protecting the potential refugees and democracy promotion in these Arab states. </w:t>
      </w:r>
    </w:p>
    <w:p w14:paraId="5A4A5A7D" w14:textId="77777777" w:rsidR="002F059D" w:rsidRPr="00C40EC1" w:rsidRDefault="002F059D"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 xml:space="preserve">Carrera argues that the EU’s challenge was (and still is in view of Syria) to stay ‘relevant’ when facing a dramatic change in its neighbourhood, by proving that it is ‘doing something’ (Carrera, 2011) and linked to that is the second challenge which is its capacity. Sergio Carrera clarifies what he means by capacity: </w:t>
      </w:r>
    </w:p>
    <w:p w14:paraId="717E5A81" w14:textId="77777777" w:rsidR="002F059D" w:rsidRPr="00C40EC1" w:rsidRDefault="002F059D" w:rsidP="00D75D4F">
      <w:pPr>
        <w:spacing w:before="120" w:after="120" w:line="240" w:lineRule="auto"/>
        <w:ind w:left="567"/>
        <w:contextualSpacing/>
        <w:jc w:val="both"/>
        <w:rPr>
          <w:rFonts w:ascii="Times New Roman" w:hAnsi="Times New Roman"/>
          <w:sz w:val="24"/>
          <w:szCs w:val="24"/>
          <w:lang w:val="en-US"/>
        </w:rPr>
      </w:pPr>
      <w:r w:rsidRPr="00C40EC1">
        <w:rPr>
          <w:rFonts w:ascii="Times New Roman" w:hAnsi="Times New Roman"/>
          <w:sz w:val="24"/>
          <w:szCs w:val="24"/>
          <w:lang w:val="en-US"/>
        </w:rPr>
        <w:t xml:space="preserve">first, to provide common policy responses beyond (in)security-related agendas and in full compliance with the rule of law and fundamental rights standards; and second, to address the implications of the reactions by certain European leaders on the reintroduction of internal border controls and anti-immigration policies. The political climate across Europe is currently not the most favourable one in which to address these dilemmas. Several EU member state governments are retreating into nationalism and populism in their politics of migration (2011: 1). </w:t>
      </w:r>
    </w:p>
    <w:p w14:paraId="237F3A04" w14:textId="77777777" w:rsidR="00D75D4F" w:rsidRPr="00C40EC1" w:rsidRDefault="00D75D4F" w:rsidP="00D75D4F">
      <w:pPr>
        <w:spacing w:before="120" w:after="120" w:line="240" w:lineRule="auto"/>
        <w:ind w:left="567"/>
        <w:contextualSpacing/>
        <w:jc w:val="both"/>
        <w:rPr>
          <w:rFonts w:ascii="Times New Roman" w:hAnsi="Times New Roman"/>
          <w:sz w:val="24"/>
          <w:szCs w:val="24"/>
          <w:lang w:val="en-US"/>
        </w:rPr>
      </w:pPr>
    </w:p>
    <w:p w14:paraId="1762F2B0" w14:textId="55E4A677" w:rsidR="002F059D" w:rsidRPr="00C40EC1" w:rsidRDefault="002F059D"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Therefore staying relevant had two dimensions;</w:t>
      </w:r>
      <w:r w:rsidR="00DC57FF" w:rsidRPr="00C40EC1">
        <w:rPr>
          <w:rFonts w:ascii="Times New Roman" w:hAnsi="Times New Roman"/>
          <w:sz w:val="24"/>
          <w:szCs w:val="24"/>
          <w:lang w:val="en-US"/>
        </w:rPr>
        <w:t xml:space="preserve"> inside the Union and outside regarding</w:t>
      </w:r>
      <w:r w:rsidRPr="00C40EC1">
        <w:rPr>
          <w:rFonts w:ascii="Times New Roman" w:hAnsi="Times New Roman"/>
          <w:sz w:val="24"/>
          <w:szCs w:val="24"/>
          <w:lang w:val="en-US"/>
        </w:rPr>
        <w:t xml:space="preserve"> </w:t>
      </w:r>
      <w:r w:rsidR="00D11428" w:rsidRPr="00C40EC1">
        <w:rPr>
          <w:rFonts w:ascii="Times New Roman" w:hAnsi="Times New Roman"/>
          <w:sz w:val="24"/>
          <w:szCs w:val="24"/>
          <w:lang w:val="en-US"/>
        </w:rPr>
        <w:t>its external relations. The EU`</w:t>
      </w:r>
      <w:r w:rsidRPr="00C40EC1">
        <w:rPr>
          <w:rFonts w:ascii="Times New Roman" w:hAnsi="Times New Roman"/>
          <w:sz w:val="24"/>
          <w:szCs w:val="24"/>
          <w:lang w:val="en-US"/>
        </w:rPr>
        <w:t xml:space="preserve">s response evolved on several fronts; while the newly functioning EEAS and the High Representative worked on supporting democratization through conditional financial aid and signing of partnership agreements, FRONTEX was given the mission to assist southern countries in patrolling the Mediterranean </w:t>
      </w:r>
      <w:r w:rsidR="00D11428" w:rsidRPr="00C40EC1">
        <w:rPr>
          <w:rFonts w:ascii="Times New Roman" w:hAnsi="Times New Roman"/>
          <w:sz w:val="24"/>
          <w:szCs w:val="24"/>
          <w:lang w:val="en-US"/>
        </w:rPr>
        <w:t>S</w:t>
      </w:r>
      <w:r w:rsidRPr="00C40EC1">
        <w:rPr>
          <w:rFonts w:ascii="Times New Roman" w:hAnsi="Times New Roman"/>
          <w:sz w:val="24"/>
          <w:szCs w:val="24"/>
          <w:lang w:val="en-US"/>
        </w:rPr>
        <w:t>ea.</w:t>
      </w:r>
      <w:r w:rsidR="00523DE4" w:rsidRPr="00C40EC1">
        <w:rPr>
          <w:rFonts w:ascii="Times New Roman" w:hAnsi="Times New Roman"/>
          <w:sz w:val="24"/>
          <w:szCs w:val="24"/>
          <w:lang w:val="en-US"/>
        </w:rPr>
        <w:t xml:space="preserve"> </w:t>
      </w:r>
      <w:r w:rsidRPr="00C40EC1">
        <w:rPr>
          <w:rFonts w:ascii="Times New Roman" w:hAnsi="Times New Roman"/>
          <w:sz w:val="24"/>
          <w:szCs w:val="24"/>
          <w:lang w:val="en-US"/>
        </w:rPr>
        <w:t xml:space="preserve">Another effort to stay relevant was to interfere in the </w:t>
      </w:r>
      <w:r w:rsidR="000853B2" w:rsidRPr="00C40EC1">
        <w:rPr>
          <w:rFonts w:ascii="Times New Roman" w:hAnsi="Times New Roman"/>
          <w:sz w:val="24"/>
          <w:szCs w:val="24"/>
          <w:lang w:val="en-US"/>
        </w:rPr>
        <w:t xml:space="preserve">Schengen </w:t>
      </w:r>
      <w:r w:rsidRPr="00C40EC1">
        <w:rPr>
          <w:rFonts w:ascii="Times New Roman" w:hAnsi="Times New Roman"/>
          <w:sz w:val="24"/>
          <w:szCs w:val="24"/>
          <w:lang w:val="en-US"/>
        </w:rPr>
        <w:t xml:space="preserve">row taking place </w:t>
      </w:r>
      <w:r w:rsidR="000853B2" w:rsidRPr="00C40EC1">
        <w:rPr>
          <w:rFonts w:ascii="Times New Roman" w:hAnsi="Times New Roman"/>
          <w:sz w:val="24"/>
          <w:szCs w:val="24"/>
          <w:lang w:val="en-US"/>
        </w:rPr>
        <w:t>between member states.</w:t>
      </w:r>
    </w:p>
    <w:p w14:paraId="1347BB42" w14:textId="77777777" w:rsidR="00D75D4F" w:rsidRPr="00C40EC1" w:rsidRDefault="00D75D4F" w:rsidP="00D75D4F">
      <w:pPr>
        <w:spacing w:before="120" w:after="120" w:line="240" w:lineRule="auto"/>
        <w:jc w:val="both"/>
        <w:rPr>
          <w:rFonts w:ascii="Times New Roman" w:hAnsi="Times New Roman"/>
          <w:b/>
          <w:sz w:val="24"/>
          <w:szCs w:val="24"/>
          <w:lang w:val="en-US"/>
        </w:rPr>
      </w:pPr>
    </w:p>
    <w:p w14:paraId="4A050C19" w14:textId="1BAFB96F" w:rsidR="002F059D" w:rsidRPr="00C40EC1" w:rsidRDefault="002F059D" w:rsidP="00D75D4F">
      <w:pPr>
        <w:spacing w:before="120" w:after="120" w:line="240" w:lineRule="auto"/>
        <w:jc w:val="both"/>
        <w:rPr>
          <w:rFonts w:ascii="Times New Roman" w:hAnsi="Times New Roman"/>
          <w:b/>
          <w:sz w:val="24"/>
          <w:szCs w:val="24"/>
          <w:lang w:val="en-US"/>
        </w:rPr>
      </w:pPr>
      <w:r w:rsidRPr="00C40EC1">
        <w:rPr>
          <w:rFonts w:ascii="Times New Roman" w:hAnsi="Times New Roman"/>
          <w:b/>
          <w:sz w:val="24"/>
          <w:szCs w:val="24"/>
          <w:lang w:val="en-US"/>
        </w:rPr>
        <w:t>FIXING THE SCHENGEN GLITCH?</w:t>
      </w:r>
    </w:p>
    <w:p w14:paraId="2434E668" w14:textId="6CADF24D" w:rsidR="002E2492" w:rsidRPr="00C40EC1" w:rsidRDefault="002F059D"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Achieving a common external border by removing internal borders has been a major goal of the Union. AFSJ has been built mostly around the Schengen regime which has been i</w:t>
      </w:r>
      <w:r w:rsidR="002E2492" w:rsidRPr="00C40EC1">
        <w:rPr>
          <w:rFonts w:ascii="Times New Roman" w:hAnsi="Times New Roman"/>
          <w:sz w:val="24"/>
          <w:szCs w:val="24"/>
          <w:lang w:val="en-US"/>
        </w:rPr>
        <w:t>n practice</w:t>
      </w:r>
      <w:r w:rsidRPr="00C40EC1">
        <w:rPr>
          <w:rFonts w:ascii="Times New Roman" w:hAnsi="Times New Roman"/>
          <w:sz w:val="24"/>
          <w:szCs w:val="24"/>
          <w:lang w:val="en-US"/>
        </w:rPr>
        <w:t xml:space="preserve"> slightly less than two decades. There are </w:t>
      </w:r>
      <w:r w:rsidR="00385059" w:rsidRPr="00C40EC1">
        <w:rPr>
          <w:rFonts w:ascii="Times New Roman" w:hAnsi="Times New Roman"/>
          <w:sz w:val="24"/>
          <w:szCs w:val="24"/>
          <w:lang w:val="en-US"/>
        </w:rPr>
        <w:t>22-member</w:t>
      </w:r>
      <w:r w:rsidRPr="00C40EC1">
        <w:rPr>
          <w:rFonts w:ascii="Times New Roman" w:hAnsi="Times New Roman"/>
          <w:sz w:val="24"/>
          <w:szCs w:val="24"/>
          <w:lang w:val="en-US"/>
        </w:rPr>
        <w:t xml:space="preserve"> countries that are part of the </w:t>
      </w:r>
      <w:r w:rsidR="002E2492" w:rsidRPr="00C40EC1">
        <w:rPr>
          <w:rFonts w:ascii="Times New Roman" w:hAnsi="Times New Roman"/>
          <w:sz w:val="24"/>
          <w:szCs w:val="24"/>
          <w:lang w:val="en-US"/>
        </w:rPr>
        <w:t>Schengen</w:t>
      </w:r>
      <w:r w:rsidRPr="00C40EC1">
        <w:rPr>
          <w:rFonts w:ascii="Times New Roman" w:hAnsi="Times New Roman"/>
          <w:sz w:val="24"/>
          <w:szCs w:val="24"/>
          <w:lang w:val="en-US"/>
        </w:rPr>
        <w:t xml:space="preserve">, plus 4 non-members: Iceland, Norway, Switzerland and Liechtenstein. The main logic behind </w:t>
      </w:r>
      <w:r w:rsidR="002E2492" w:rsidRPr="00C40EC1">
        <w:rPr>
          <w:rFonts w:ascii="Times New Roman" w:hAnsi="Times New Roman"/>
          <w:sz w:val="24"/>
          <w:szCs w:val="24"/>
          <w:lang w:val="en-US"/>
        </w:rPr>
        <w:t xml:space="preserve">the </w:t>
      </w:r>
      <w:r w:rsidRPr="00C40EC1">
        <w:rPr>
          <w:rFonts w:ascii="Times New Roman" w:hAnsi="Times New Roman"/>
          <w:sz w:val="24"/>
          <w:szCs w:val="24"/>
          <w:lang w:val="en-US"/>
        </w:rPr>
        <w:t xml:space="preserve">Schengen </w:t>
      </w:r>
      <w:r w:rsidR="0062066F" w:rsidRPr="00C40EC1">
        <w:rPr>
          <w:rFonts w:ascii="Times New Roman" w:hAnsi="Times New Roman"/>
          <w:sz w:val="24"/>
          <w:szCs w:val="24"/>
          <w:lang w:val="en-US"/>
        </w:rPr>
        <w:t>A</w:t>
      </w:r>
      <w:r w:rsidR="002E2492" w:rsidRPr="00C40EC1">
        <w:rPr>
          <w:rFonts w:ascii="Times New Roman" w:hAnsi="Times New Roman"/>
          <w:sz w:val="24"/>
          <w:szCs w:val="24"/>
          <w:lang w:val="en-US"/>
        </w:rPr>
        <w:t>greement</w:t>
      </w:r>
      <w:r w:rsidR="0062066F" w:rsidRPr="00C40EC1">
        <w:rPr>
          <w:rFonts w:ascii="Times New Roman" w:hAnsi="Times New Roman"/>
          <w:sz w:val="24"/>
          <w:szCs w:val="24"/>
          <w:lang w:val="en-US"/>
        </w:rPr>
        <w:t>s</w:t>
      </w:r>
      <w:r w:rsidR="002E2492" w:rsidRPr="00C40EC1">
        <w:rPr>
          <w:rFonts w:ascii="Times New Roman" w:hAnsi="Times New Roman"/>
          <w:sz w:val="24"/>
          <w:szCs w:val="24"/>
          <w:lang w:val="en-US"/>
        </w:rPr>
        <w:t xml:space="preserve"> </w:t>
      </w:r>
      <w:r w:rsidRPr="00C40EC1">
        <w:rPr>
          <w:rFonts w:ascii="Times New Roman" w:hAnsi="Times New Roman"/>
          <w:sz w:val="24"/>
          <w:szCs w:val="24"/>
          <w:lang w:val="en-US"/>
        </w:rPr>
        <w:t xml:space="preserve">is the idea of solidarity and trusting the ability and capacity of `gate-keeper` countries on the outer borders of the Union. This is guaranteed through legislative harmonization and standardization. For some, this has put extra burden </w:t>
      </w:r>
      <w:r w:rsidR="0062066F" w:rsidRPr="00C40EC1">
        <w:rPr>
          <w:rFonts w:ascii="Times New Roman" w:hAnsi="Times New Roman"/>
          <w:sz w:val="24"/>
          <w:szCs w:val="24"/>
          <w:lang w:val="en-US"/>
        </w:rPr>
        <w:t xml:space="preserve">on the shoulders of </w:t>
      </w:r>
      <w:r w:rsidRPr="00C40EC1">
        <w:rPr>
          <w:rFonts w:ascii="Times New Roman" w:hAnsi="Times New Roman"/>
          <w:sz w:val="24"/>
          <w:szCs w:val="24"/>
          <w:lang w:val="en-US"/>
        </w:rPr>
        <w:t xml:space="preserve">the countries </w:t>
      </w:r>
      <w:r w:rsidR="0062066F" w:rsidRPr="00C40EC1">
        <w:rPr>
          <w:rFonts w:ascii="Times New Roman" w:hAnsi="Times New Roman"/>
          <w:sz w:val="24"/>
          <w:szCs w:val="24"/>
          <w:lang w:val="en-US"/>
        </w:rPr>
        <w:t>guarding the external borders.</w:t>
      </w:r>
      <w:r w:rsidRPr="00C40EC1">
        <w:rPr>
          <w:rFonts w:ascii="Times New Roman" w:hAnsi="Times New Roman"/>
          <w:sz w:val="24"/>
          <w:szCs w:val="24"/>
          <w:lang w:val="en-US"/>
        </w:rPr>
        <w:t xml:space="preserve"> This is what was argued by Italians </w:t>
      </w:r>
      <w:r w:rsidR="00FD0D64" w:rsidRPr="00C40EC1">
        <w:rPr>
          <w:rFonts w:ascii="Times New Roman" w:hAnsi="Times New Roman"/>
          <w:sz w:val="24"/>
          <w:szCs w:val="24"/>
          <w:lang w:val="en-US"/>
        </w:rPr>
        <w:t xml:space="preserve">and Greeks </w:t>
      </w:r>
      <w:r w:rsidRPr="00C40EC1">
        <w:rPr>
          <w:rFonts w:ascii="Times New Roman" w:hAnsi="Times New Roman"/>
          <w:sz w:val="24"/>
          <w:szCs w:val="24"/>
          <w:lang w:val="en-US"/>
        </w:rPr>
        <w:t xml:space="preserve">as well during the Arab Spring. </w:t>
      </w:r>
    </w:p>
    <w:p w14:paraId="41E79464" w14:textId="77777777" w:rsidR="00D75D4F" w:rsidRPr="00C40EC1" w:rsidRDefault="00D75D4F" w:rsidP="00D75D4F">
      <w:pPr>
        <w:spacing w:before="120" w:after="120" w:line="240" w:lineRule="auto"/>
        <w:contextualSpacing/>
        <w:jc w:val="both"/>
        <w:rPr>
          <w:rFonts w:ascii="Times New Roman" w:hAnsi="Times New Roman"/>
          <w:sz w:val="24"/>
          <w:szCs w:val="24"/>
          <w:lang w:val="en-US"/>
        </w:rPr>
      </w:pPr>
    </w:p>
    <w:p w14:paraId="7F6CB6B5" w14:textId="60481611" w:rsidR="0062066F" w:rsidRPr="00C40EC1" w:rsidRDefault="002F059D"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Italy</w:t>
      </w:r>
      <w:r w:rsidR="0062066F" w:rsidRPr="00C40EC1">
        <w:rPr>
          <w:rFonts w:ascii="Times New Roman" w:hAnsi="Times New Roman"/>
          <w:sz w:val="24"/>
          <w:szCs w:val="24"/>
          <w:lang w:val="en-US"/>
        </w:rPr>
        <w:t>, when faced with an increasing number of migrants arriving to its Lampedusa Island,</w:t>
      </w:r>
      <w:r w:rsidRPr="00C40EC1">
        <w:rPr>
          <w:rFonts w:ascii="Times New Roman" w:hAnsi="Times New Roman"/>
          <w:sz w:val="24"/>
          <w:szCs w:val="24"/>
          <w:lang w:val="en-US"/>
        </w:rPr>
        <w:t xml:space="preserve"> started to issue “temporary residence permits for humanitarian protection to undocumented North African immigrants from Tunisia who arrived in Italy before 5 April 2011” (Carrera et al 2011, 1). This temporary residence permits would enable immigrants to travel freely within the Schengen</w:t>
      </w:r>
      <w:r w:rsidR="0062066F" w:rsidRPr="00C40EC1">
        <w:rPr>
          <w:rFonts w:ascii="Times New Roman" w:hAnsi="Times New Roman"/>
          <w:sz w:val="24"/>
          <w:szCs w:val="24"/>
          <w:lang w:val="en-US"/>
        </w:rPr>
        <w:t xml:space="preserve"> </w:t>
      </w:r>
      <w:r w:rsidRPr="00C40EC1">
        <w:rPr>
          <w:rFonts w:ascii="Times New Roman" w:hAnsi="Times New Roman"/>
          <w:sz w:val="24"/>
          <w:szCs w:val="24"/>
          <w:lang w:val="en-US"/>
        </w:rPr>
        <w:t xml:space="preserve">land. </w:t>
      </w:r>
      <w:r w:rsidR="0062066F" w:rsidRPr="00C40EC1">
        <w:rPr>
          <w:rFonts w:ascii="Times New Roman" w:hAnsi="Times New Roman"/>
          <w:sz w:val="24"/>
          <w:szCs w:val="24"/>
          <w:lang w:val="en-US"/>
        </w:rPr>
        <w:t>Yet, Italian move</w:t>
      </w:r>
      <w:r w:rsidRPr="00C40EC1">
        <w:rPr>
          <w:rFonts w:ascii="Times New Roman" w:hAnsi="Times New Roman"/>
          <w:sz w:val="24"/>
          <w:szCs w:val="24"/>
          <w:lang w:val="en-US"/>
        </w:rPr>
        <w:t xml:space="preserve"> has stirred debate and created resentment in the case of France, which has started spot border checks in its border with Italy and denied immigrants </w:t>
      </w:r>
      <w:r w:rsidR="00D536F5" w:rsidRPr="00C40EC1">
        <w:rPr>
          <w:rFonts w:ascii="Times New Roman" w:hAnsi="Times New Roman"/>
          <w:sz w:val="24"/>
          <w:szCs w:val="24"/>
          <w:lang w:val="en-US"/>
        </w:rPr>
        <w:t>entering France with</w:t>
      </w:r>
      <w:r w:rsidRPr="00C40EC1">
        <w:rPr>
          <w:rFonts w:ascii="Times New Roman" w:hAnsi="Times New Roman"/>
          <w:sz w:val="24"/>
          <w:szCs w:val="24"/>
          <w:lang w:val="en-US"/>
        </w:rPr>
        <w:t xml:space="preserve"> this permit. Feeling of solidarity in other parts of the EU not with Italy but with France was being expressed. </w:t>
      </w:r>
      <w:r w:rsidRPr="00C40EC1">
        <w:rPr>
          <w:rFonts w:ascii="Times New Roman" w:hAnsi="Times New Roman"/>
          <w:sz w:val="24"/>
          <w:szCs w:val="24"/>
          <w:lang w:val="en-US"/>
        </w:rPr>
        <w:lastRenderedPageBreak/>
        <w:t>A vivid example came from the Netherlands where the Prime Minister was asking the immigrants that might have</w:t>
      </w:r>
      <w:r w:rsidR="00D536F5" w:rsidRPr="00C40EC1">
        <w:rPr>
          <w:rFonts w:ascii="Times New Roman" w:hAnsi="Times New Roman"/>
          <w:sz w:val="24"/>
          <w:szCs w:val="24"/>
          <w:lang w:val="en-US"/>
        </w:rPr>
        <w:t xml:space="preserve"> benefitted from the Italian d</w:t>
      </w:r>
      <w:r w:rsidRPr="00C40EC1">
        <w:rPr>
          <w:rFonts w:ascii="Times New Roman" w:hAnsi="Times New Roman"/>
          <w:sz w:val="24"/>
          <w:szCs w:val="24"/>
          <w:lang w:val="en-US"/>
        </w:rPr>
        <w:t>e</w:t>
      </w:r>
      <w:r w:rsidR="00D536F5" w:rsidRPr="00C40EC1">
        <w:rPr>
          <w:rFonts w:ascii="Times New Roman" w:hAnsi="Times New Roman"/>
          <w:sz w:val="24"/>
          <w:szCs w:val="24"/>
          <w:lang w:val="en-US"/>
        </w:rPr>
        <w:t>cision</w:t>
      </w:r>
      <w:r w:rsidRPr="00C40EC1">
        <w:rPr>
          <w:rFonts w:ascii="Times New Roman" w:hAnsi="Times New Roman"/>
          <w:sz w:val="24"/>
          <w:szCs w:val="24"/>
          <w:lang w:val="en-US"/>
        </w:rPr>
        <w:t xml:space="preserve"> to </w:t>
      </w:r>
      <w:r w:rsidR="00D536F5" w:rsidRPr="00C40EC1">
        <w:rPr>
          <w:rFonts w:ascii="Times New Roman" w:hAnsi="Times New Roman"/>
          <w:sz w:val="24"/>
          <w:szCs w:val="24"/>
          <w:lang w:val="en-US"/>
        </w:rPr>
        <w:t>l</w:t>
      </w:r>
      <w:r w:rsidRPr="00C40EC1">
        <w:rPr>
          <w:rFonts w:ascii="Times New Roman" w:hAnsi="Times New Roman"/>
          <w:sz w:val="24"/>
          <w:szCs w:val="24"/>
          <w:lang w:val="en-US"/>
        </w:rPr>
        <w:t>eave the cou</w:t>
      </w:r>
      <w:r w:rsidR="00D536F5" w:rsidRPr="00C40EC1">
        <w:rPr>
          <w:rFonts w:ascii="Times New Roman" w:hAnsi="Times New Roman"/>
          <w:sz w:val="24"/>
          <w:szCs w:val="24"/>
          <w:lang w:val="en-US"/>
        </w:rPr>
        <w:t xml:space="preserve">ntry (Carrera et al 2011, 2).  </w:t>
      </w:r>
    </w:p>
    <w:p w14:paraId="6C3489C1" w14:textId="77777777" w:rsidR="00D75D4F" w:rsidRPr="00C40EC1" w:rsidRDefault="00D75D4F" w:rsidP="00D75D4F">
      <w:pPr>
        <w:spacing w:before="120" w:after="120" w:line="240" w:lineRule="auto"/>
        <w:contextualSpacing/>
        <w:jc w:val="both"/>
        <w:rPr>
          <w:rFonts w:ascii="Times New Roman" w:hAnsi="Times New Roman"/>
          <w:sz w:val="24"/>
          <w:szCs w:val="24"/>
          <w:lang w:val="en-US"/>
        </w:rPr>
      </w:pPr>
    </w:p>
    <w:p w14:paraId="4613512C" w14:textId="76BA1B6E" w:rsidR="00D536F5" w:rsidRPr="00C40EC1" w:rsidRDefault="002F059D"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 xml:space="preserve">A common criticism has been the lack of coherence and solidarity in the response of the EU to the Arab Spring. Without doubt a clear case at hand is the row between Italy-France over free travel of immigrants, which is correctly named by Carrera et al (2011) as the `race against solidarity`. The Union adopted the common Schengen Borders Code in 2006 and it has been practiced since then. SBC already had certain safeguard clauses for introducing spot checks that can be utilized in cases where security and/or public order is endangered. However, in the Italian </w:t>
      </w:r>
      <w:r w:rsidR="00D536F5" w:rsidRPr="00C40EC1">
        <w:rPr>
          <w:rFonts w:ascii="Times New Roman" w:hAnsi="Times New Roman"/>
          <w:sz w:val="24"/>
          <w:szCs w:val="24"/>
          <w:lang w:val="en-US"/>
        </w:rPr>
        <w:t xml:space="preserve">case, </w:t>
      </w:r>
      <w:r w:rsidRPr="00C40EC1">
        <w:rPr>
          <w:rFonts w:ascii="Times New Roman" w:hAnsi="Times New Roman"/>
          <w:sz w:val="24"/>
          <w:szCs w:val="24"/>
          <w:lang w:val="en-US"/>
        </w:rPr>
        <w:t>France`s re-introduction of spot checks on its border with Italy can not necessarily be categorized under these headings (Pascouau 2012). Therefore, there are various dimensions to this</w:t>
      </w:r>
      <w:r w:rsidR="0062066F" w:rsidRPr="00C40EC1">
        <w:rPr>
          <w:rFonts w:ascii="Times New Roman" w:hAnsi="Times New Roman"/>
          <w:sz w:val="24"/>
          <w:szCs w:val="24"/>
          <w:lang w:val="en-US"/>
        </w:rPr>
        <w:t xml:space="preserve"> dispute</w:t>
      </w:r>
      <w:r w:rsidRPr="00C40EC1">
        <w:rPr>
          <w:rFonts w:ascii="Times New Roman" w:hAnsi="Times New Roman"/>
          <w:sz w:val="24"/>
          <w:szCs w:val="24"/>
          <w:lang w:val="en-US"/>
        </w:rPr>
        <w:t xml:space="preserve">; legal dimension ie if Italian action and French reaction are legally legitimate and also political dimension that should take into account the principles Schengen System was build up on: solidarity and fair sharing of responsibility (Carrera et al 2011, 2). </w:t>
      </w:r>
    </w:p>
    <w:p w14:paraId="3695B19E" w14:textId="77777777" w:rsidR="00D75D4F" w:rsidRPr="00C40EC1" w:rsidRDefault="00D75D4F" w:rsidP="00D75D4F">
      <w:pPr>
        <w:spacing w:before="120" w:after="120" w:line="240" w:lineRule="auto"/>
        <w:contextualSpacing/>
        <w:jc w:val="both"/>
        <w:rPr>
          <w:rFonts w:ascii="Times New Roman" w:hAnsi="Times New Roman"/>
          <w:sz w:val="24"/>
          <w:szCs w:val="24"/>
          <w:lang w:val="en-US"/>
        </w:rPr>
      </w:pPr>
    </w:p>
    <w:p w14:paraId="50F1D4DF" w14:textId="1473C7B8" w:rsidR="00D536F5" w:rsidRPr="00C40EC1" w:rsidRDefault="002F059D"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 xml:space="preserve">Leaders of both France and Italy adopted a strategy of </w:t>
      </w:r>
      <w:r w:rsidR="0062066F" w:rsidRPr="00C40EC1">
        <w:rPr>
          <w:rFonts w:ascii="Times New Roman" w:hAnsi="Times New Roman"/>
          <w:sz w:val="24"/>
          <w:szCs w:val="24"/>
          <w:lang w:val="en-US"/>
        </w:rPr>
        <w:t xml:space="preserve">escalation by </w:t>
      </w:r>
      <w:r w:rsidRPr="00C40EC1">
        <w:rPr>
          <w:rFonts w:ascii="Times New Roman" w:hAnsi="Times New Roman"/>
          <w:sz w:val="24"/>
          <w:szCs w:val="24"/>
          <w:lang w:val="en-US"/>
        </w:rPr>
        <w:t xml:space="preserve">carrying the issue to </w:t>
      </w:r>
      <w:r w:rsidR="0062066F" w:rsidRPr="00C40EC1">
        <w:rPr>
          <w:rFonts w:ascii="Times New Roman" w:hAnsi="Times New Roman"/>
          <w:sz w:val="24"/>
          <w:szCs w:val="24"/>
          <w:lang w:val="en-US"/>
        </w:rPr>
        <w:t xml:space="preserve">the </w:t>
      </w:r>
      <w:r w:rsidRPr="00C40EC1">
        <w:rPr>
          <w:rFonts w:ascii="Times New Roman" w:hAnsi="Times New Roman"/>
          <w:sz w:val="24"/>
          <w:szCs w:val="24"/>
          <w:lang w:val="en-US"/>
        </w:rPr>
        <w:t>EU level and during a press conference on 26 April 2011 they demanded the interference of the EU for a `strengthened governance of the Schengen area`. They claimed they will submit a written letter soon. President of the Commission, Jose Manuel Barrosso provided a response in three days that agreed with the demands. Then came the response of the Union of adopting a `Schenge</w:t>
      </w:r>
      <w:r w:rsidR="00D536F5" w:rsidRPr="00C40EC1">
        <w:rPr>
          <w:rFonts w:ascii="Times New Roman" w:hAnsi="Times New Roman"/>
          <w:sz w:val="24"/>
          <w:szCs w:val="24"/>
          <w:lang w:val="en-US"/>
        </w:rPr>
        <w:t xml:space="preserve">n Governance` package which is </w:t>
      </w:r>
    </w:p>
    <w:p w14:paraId="085366A9" w14:textId="77B108C6" w:rsidR="00D536F5" w:rsidRDefault="002F059D" w:rsidP="00D75D4F">
      <w:pPr>
        <w:spacing w:before="120" w:after="120" w:line="240" w:lineRule="auto"/>
        <w:ind w:left="567"/>
        <w:contextualSpacing/>
        <w:jc w:val="both"/>
        <w:rPr>
          <w:rFonts w:ascii="Times New Roman" w:hAnsi="Times New Roman"/>
          <w:sz w:val="24"/>
          <w:szCs w:val="24"/>
          <w:lang w:val="en-US"/>
        </w:rPr>
      </w:pPr>
      <w:r w:rsidRPr="00C40EC1">
        <w:rPr>
          <w:rFonts w:ascii="Times New Roman" w:hAnsi="Times New Roman"/>
          <w:sz w:val="24"/>
          <w:szCs w:val="24"/>
          <w:lang w:val="en-US"/>
        </w:rPr>
        <w:t>based on a communication and two legislative proposals. The first proposal concerns enlarging the criteria allowing the reintroduction of internal border controls</w:t>
      </w:r>
      <w:r w:rsidR="0062066F" w:rsidRPr="00C40EC1">
        <w:rPr>
          <w:rFonts w:ascii="Times New Roman" w:hAnsi="Times New Roman"/>
          <w:sz w:val="24"/>
          <w:szCs w:val="24"/>
          <w:lang w:val="en-US"/>
        </w:rPr>
        <w:t>[</w:t>
      </w:r>
      <w:r w:rsidRPr="00C40EC1">
        <w:rPr>
          <w:rFonts w:ascii="Times New Roman" w:hAnsi="Times New Roman"/>
          <w:sz w:val="24"/>
          <w:szCs w:val="24"/>
          <w:lang w:val="en-US"/>
        </w:rPr>
        <w:t>…</w:t>
      </w:r>
      <w:r w:rsidR="0062066F" w:rsidRPr="00C40EC1">
        <w:rPr>
          <w:rFonts w:ascii="Times New Roman" w:hAnsi="Times New Roman"/>
          <w:sz w:val="24"/>
          <w:szCs w:val="24"/>
          <w:lang w:val="en-US"/>
        </w:rPr>
        <w:t>]</w:t>
      </w:r>
      <w:r w:rsidRPr="00C40EC1">
        <w:rPr>
          <w:rFonts w:ascii="Times New Roman" w:hAnsi="Times New Roman"/>
          <w:sz w:val="24"/>
          <w:szCs w:val="24"/>
          <w:lang w:val="en-US"/>
        </w:rPr>
        <w:t>The second aims to change the Schengen evaluation mechanism which ensures the application of Schengen</w:t>
      </w:r>
      <w:r w:rsidR="00D536F5" w:rsidRPr="00C40EC1">
        <w:rPr>
          <w:rFonts w:ascii="Times New Roman" w:hAnsi="Times New Roman"/>
          <w:sz w:val="24"/>
          <w:szCs w:val="24"/>
          <w:lang w:val="en-US"/>
        </w:rPr>
        <w:t xml:space="preserve"> rules by Member States</w:t>
      </w:r>
      <w:r w:rsidRPr="00C40EC1">
        <w:rPr>
          <w:rFonts w:ascii="Times New Roman" w:hAnsi="Times New Roman"/>
          <w:sz w:val="24"/>
          <w:szCs w:val="24"/>
          <w:lang w:val="en-US"/>
        </w:rPr>
        <w:t xml:space="preserve"> (Pascouau 2012,7 ). </w:t>
      </w:r>
    </w:p>
    <w:p w14:paraId="34C3503E" w14:textId="77777777" w:rsidR="00F87D10" w:rsidRPr="00C40EC1" w:rsidRDefault="00F87D10" w:rsidP="00D75D4F">
      <w:pPr>
        <w:spacing w:before="120" w:after="120" w:line="240" w:lineRule="auto"/>
        <w:ind w:left="567"/>
        <w:contextualSpacing/>
        <w:jc w:val="both"/>
        <w:rPr>
          <w:rFonts w:ascii="Times New Roman" w:hAnsi="Times New Roman"/>
          <w:sz w:val="24"/>
          <w:szCs w:val="24"/>
          <w:lang w:val="en-US"/>
        </w:rPr>
      </w:pPr>
    </w:p>
    <w:p w14:paraId="34D5D9AC" w14:textId="5DAA8778" w:rsidR="002F059D" w:rsidRPr="00C40EC1" w:rsidRDefault="002F059D"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 xml:space="preserve">The importance of this incidence comes from the clear pull for different directions by member states and the Commission. While the necessity of adopting extra-ordinary measures during extra-ordinary times is appreciated, the bigger question of who decides if an incidence is an extra-ordinary one was a source of contention. The Commission wanted to become the decision making authority while the Member States resented.  In the end, the legal framework has not been altered dramatically, implementation of exceptional measures still remained closely linked to </w:t>
      </w:r>
      <w:r w:rsidR="0062066F" w:rsidRPr="00C40EC1">
        <w:rPr>
          <w:rFonts w:ascii="Times New Roman" w:hAnsi="Times New Roman"/>
          <w:sz w:val="24"/>
          <w:szCs w:val="24"/>
          <w:lang w:val="en-US"/>
        </w:rPr>
        <w:t xml:space="preserve">a </w:t>
      </w:r>
      <w:r w:rsidRPr="00C40EC1">
        <w:rPr>
          <w:rFonts w:ascii="Times New Roman" w:hAnsi="Times New Roman"/>
          <w:sz w:val="24"/>
          <w:szCs w:val="24"/>
          <w:lang w:val="en-US"/>
        </w:rPr>
        <w:t>threat to public policy and security considerations. However, it should be remembered that this was not a simple case of interpreting procedures differently, but a fundamental test for `political legitimacy of the Schengen border regime within and outside of Europe`</w:t>
      </w:r>
      <w:r w:rsidRPr="00C40EC1">
        <w:rPr>
          <w:rStyle w:val="FootnoteReference"/>
          <w:rFonts w:ascii="Times New Roman" w:hAnsi="Times New Roman"/>
          <w:sz w:val="24"/>
          <w:szCs w:val="24"/>
          <w:lang w:val="en-US"/>
        </w:rPr>
        <w:footnoteReference w:id="8"/>
      </w:r>
      <w:r w:rsidRPr="00C40EC1">
        <w:rPr>
          <w:rFonts w:ascii="Times New Roman" w:hAnsi="Times New Roman"/>
          <w:sz w:val="24"/>
          <w:szCs w:val="24"/>
          <w:lang w:val="en-US"/>
        </w:rPr>
        <w:t>. The discussions raised the issue of punishing failing member states through sanctions and exclusion if necessary, which challenges the whole solidarity discourse beyond the Schengen system. Carrera et al correctly reminds that</w:t>
      </w:r>
    </w:p>
    <w:p w14:paraId="40F77E09" w14:textId="721BE3E0" w:rsidR="001544F8" w:rsidRPr="00C40EC1" w:rsidRDefault="002F059D" w:rsidP="00D75D4F">
      <w:pPr>
        <w:spacing w:before="120" w:after="120" w:line="240" w:lineRule="auto"/>
        <w:ind w:left="567"/>
        <w:contextualSpacing/>
        <w:jc w:val="both"/>
        <w:rPr>
          <w:rFonts w:ascii="Times New Roman" w:hAnsi="Times New Roman"/>
          <w:sz w:val="24"/>
          <w:szCs w:val="24"/>
          <w:lang w:val="en-US"/>
        </w:rPr>
      </w:pPr>
      <w:r w:rsidRPr="00C40EC1">
        <w:rPr>
          <w:rFonts w:ascii="Times New Roman" w:hAnsi="Times New Roman"/>
          <w:sz w:val="24"/>
          <w:szCs w:val="24"/>
          <w:lang w:val="en-US"/>
        </w:rPr>
        <w:t xml:space="preserve">[t]he scope of the case goes beyond an anecdotal example of the temporary reintroduction by an EU member state of internal border controls in the Schengen area. It rather needs to be interpreted as a tangible instance of repressive policy responses emerging in a context of widespread anti-immigration and xenophobic political discourses expressed by certain EU national leaders, which artificially link human mobility (and especially that labelled as `illegal immigration`), with insecurity and criminality[…]It also affects the EU`s foreign relations because of the message being sent from these EU member states about the kind of </w:t>
      </w:r>
      <w:r w:rsidRPr="00C40EC1">
        <w:rPr>
          <w:rFonts w:ascii="Times New Roman" w:hAnsi="Times New Roman"/>
          <w:sz w:val="24"/>
          <w:szCs w:val="24"/>
          <w:lang w:val="en-US"/>
        </w:rPr>
        <w:lastRenderedPageBreak/>
        <w:t>solidarity that the countries and populations in North Africa experiencing democratic uprisings and violence can expect from the EU (Carrera et al 2011, 3).</w:t>
      </w:r>
    </w:p>
    <w:p w14:paraId="2EDA671F" w14:textId="77777777" w:rsidR="003E624E" w:rsidRPr="00C40EC1" w:rsidRDefault="003E624E" w:rsidP="00D75D4F">
      <w:pPr>
        <w:spacing w:before="120" w:after="120" w:line="240" w:lineRule="auto"/>
        <w:ind w:left="567"/>
        <w:contextualSpacing/>
        <w:jc w:val="both"/>
        <w:rPr>
          <w:rFonts w:ascii="Times New Roman" w:hAnsi="Times New Roman"/>
          <w:sz w:val="24"/>
          <w:szCs w:val="24"/>
          <w:lang w:val="en-US"/>
        </w:rPr>
      </w:pPr>
    </w:p>
    <w:p w14:paraId="75C1BC8F" w14:textId="3CDADDDE" w:rsidR="002F059D" w:rsidRPr="00C40EC1" w:rsidRDefault="002F059D" w:rsidP="00D75D4F">
      <w:pPr>
        <w:spacing w:before="120" w:after="120" w:line="240" w:lineRule="auto"/>
        <w:contextualSpacing/>
        <w:jc w:val="both"/>
        <w:rPr>
          <w:rFonts w:ascii="Times New Roman" w:hAnsi="Times New Roman"/>
          <w:b/>
          <w:sz w:val="24"/>
          <w:szCs w:val="24"/>
          <w:lang w:val="en-US"/>
        </w:rPr>
      </w:pPr>
      <w:r w:rsidRPr="00C40EC1">
        <w:rPr>
          <w:rFonts w:ascii="Times New Roman" w:hAnsi="Times New Roman"/>
          <w:b/>
          <w:sz w:val="24"/>
          <w:szCs w:val="24"/>
          <w:lang w:val="en-US"/>
        </w:rPr>
        <w:t>REFUGEES AND THE CREATION OF `BUFFER ZONES`</w:t>
      </w:r>
    </w:p>
    <w:p w14:paraId="2C1CAB50" w14:textId="14DBC134" w:rsidR="00871752" w:rsidRPr="00C40EC1" w:rsidRDefault="00FD0D64"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T</w:t>
      </w:r>
      <w:r w:rsidR="00774F56" w:rsidRPr="00C40EC1">
        <w:rPr>
          <w:rFonts w:ascii="Times New Roman" w:hAnsi="Times New Roman"/>
          <w:sz w:val="24"/>
          <w:szCs w:val="24"/>
          <w:lang w:val="en-US"/>
        </w:rPr>
        <w:t>he last emergency response of the Union was about refugees who have been the most</w:t>
      </w:r>
      <w:r w:rsidRPr="00C40EC1">
        <w:rPr>
          <w:rFonts w:ascii="Times New Roman" w:hAnsi="Times New Roman"/>
          <w:sz w:val="24"/>
          <w:szCs w:val="24"/>
          <w:lang w:val="en-US"/>
        </w:rPr>
        <w:t xml:space="preserve"> vulnerable group</w:t>
      </w:r>
      <w:r w:rsidR="002F059D" w:rsidRPr="00C40EC1">
        <w:rPr>
          <w:rFonts w:ascii="Times New Roman" w:hAnsi="Times New Roman"/>
          <w:sz w:val="24"/>
          <w:szCs w:val="24"/>
          <w:lang w:val="en-US"/>
        </w:rPr>
        <w:t xml:space="preserve"> during the Arab Spring. This is the area the EU`s failure was</w:t>
      </w:r>
      <w:r w:rsidR="00774F56" w:rsidRPr="00C40EC1">
        <w:rPr>
          <w:rFonts w:ascii="Times New Roman" w:hAnsi="Times New Roman"/>
          <w:sz w:val="24"/>
          <w:szCs w:val="24"/>
          <w:lang w:val="en-US"/>
        </w:rPr>
        <w:t xml:space="preserve"> most evident</w:t>
      </w:r>
      <w:r w:rsidR="002F059D" w:rsidRPr="00C40EC1">
        <w:rPr>
          <w:rFonts w:ascii="Times New Roman" w:hAnsi="Times New Roman"/>
          <w:sz w:val="24"/>
          <w:szCs w:val="24"/>
          <w:lang w:val="en-US"/>
        </w:rPr>
        <w:t>. Although European</w:t>
      </w:r>
      <w:r w:rsidR="00774F56" w:rsidRPr="00C40EC1">
        <w:rPr>
          <w:rFonts w:ascii="Times New Roman" w:hAnsi="Times New Roman"/>
          <w:sz w:val="24"/>
          <w:szCs w:val="24"/>
          <w:lang w:val="en-US"/>
        </w:rPr>
        <w:t xml:space="preserve"> leaders expressed support for democratization demands</w:t>
      </w:r>
      <w:r w:rsidR="002F059D" w:rsidRPr="00C40EC1">
        <w:rPr>
          <w:rFonts w:ascii="Times New Roman" w:hAnsi="Times New Roman"/>
          <w:sz w:val="24"/>
          <w:szCs w:val="24"/>
          <w:lang w:val="en-US"/>
        </w:rPr>
        <w:t xml:space="preserve"> in the southern neighbours, the dominant concern quickly </w:t>
      </w:r>
      <w:r w:rsidR="00871752" w:rsidRPr="00C40EC1">
        <w:rPr>
          <w:rFonts w:ascii="Times New Roman" w:hAnsi="Times New Roman"/>
          <w:sz w:val="24"/>
          <w:szCs w:val="24"/>
          <w:lang w:val="en-US"/>
        </w:rPr>
        <w:t>transformed</w:t>
      </w:r>
      <w:r w:rsidR="002F059D" w:rsidRPr="00C40EC1">
        <w:rPr>
          <w:rFonts w:ascii="Times New Roman" w:hAnsi="Times New Roman"/>
          <w:sz w:val="24"/>
          <w:szCs w:val="24"/>
          <w:lang w:val="en-US"/>
        </w:rPr>
        <w:t xml:space="preserve"> to `flooding migrants` and protecting borders. A discourse of anti-immigration, reaching sometimes levels of xenophobia quickly surfaced, which made it difficult to differentiate refugees from migrants and thus lend a hand to genuine asylum seekers. The major method the EU tried to handle the issue of asylum was through increasing the capacity of the countries in the region via </w:t>
      </w:r>
      <w:r w:rsidR="00871752" w:rsidRPr="00C40EC1">
        <w:rPr>
          <w:rFonts w:ascii="Times New Roman" w:hAnsi="Times New Roman"/>
          <w:sz w:val="24"/>
          <w:szCs w:val="24"/>
          <w:lang w:val="en-US"/>
        </w:rPr>
        <w:t xml:space="preserve">controversial </w:t>
      </w:r>
      <w:r w:rsidR="002F059D" w:rsidRPr="00C40EC1">
        <w:rPr>
          <w:rFonts w:ascii="Times New Roman" w:hAnsi="Times New Roman"/>
          <w:sz w:val="24"/>
          <w:szCs w:val="24"/>
          <w:lang w:val="en-US"/>
        </w:rPr>
        <w:t xml:space="preserve">Regional Protection Programmes (RPP). </w:t>
      </w:r>
    </w:p>
    <w:p w14:paraId="27CBC1A8" w14:textId="77777777" w:rsidR="00D75D4F" w:rsidRPr="00C40EC1" w:rsidRDefault="00D75D4F" w:rsidP="00D75D4F">
      <w:pPr>
        <w:spacing w:before="120" w:after="120" w:line="240" w:lineRule="auto"/>
        <w:contextualSpacing/>
        <w:jc w:val="both"/>
        <w:rPr>
          <w:rFonts w:ascii="Times New Roman" w:hAnsi="Times New Roman"/>
          <w:sz w:val="24"/>
          <w:szCs w:val="24"/>
          <w:lang w:val="en-US"/>
        </w:rPr>
      </w:pPr>
    </w:p>
    <w:p w14:paraId="502B05DF" w14:textId="4353D950" w:rsidR="002F059D" w:rsidRPr="00C40EC1" w:rsidRDefault="002F059D"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 xml:space="preserve">In December 2011 a RPP in North Africa was launched by the Commission. UNHCR was a partner in this initiative. The idea behind it is that the UNHCR will determine people in need that qualify for international protection and the EU will facilitate the resettlement of these people in European countries. The </w:t>
      </w:r>
      <w:r w:rsidR="007C7A13" w:rsidRPr="00C40EC1">
        <w:rPr>
          <w:rFonts w:ascii="Times New Roman" w:hAnsi="Times New Roman"/>
          <w:sz w:val="24"/>
          <w:szCs w:val="24"/>
          <w:lang w:val="en-US"/>
        </w:rPr>
        <w:t>Union</w:t>
      </w:r>
      <w:r w:rsidRPr="00C40EC1">
        <w:rPr>
          <w:rFonts w:ascii="Times New Roman" w:hAnsi="Times New Roman"/>
          <w:sz w:val="24"/>
          <w:szCs w:val="24"/>
          <w:lang w:val="en-US"/>
        </w:rPr>
        <w:t xml:space="preserve"> will also provide humanitarian aid to set up camps in the region and meet the needs of refugees. This way </w:t>
      </w:r>
      <w:r w:rsidR="007C7A13" w:rsidRPr="00C40EC1">
        <w:rPr>
          <w:rFonts w:ascii="Times New Roman" w:hAnsi="Times New Roman"/>
          <w:sz w:val="24"/>
          <w:szCs w:val="24"/>
          <w:lang w:val="en-US"/>
        </w:rPr>
        <w:t>it</w:t>
      </w:r>
      <w:r w:rsidRPr="00C40EC1">
        <w:rPr>
          <w:rFonts w:ascii="Times New Roman" w:hAnsi="Times New Roman"/>
          <w:sz w:val="24"/>
          <w:szCs w:val="24"/>
          <w:lang w:val="en-US"/>
        </w:rPr>
        <w:t xml:space="preserve"> manages to contain asylum seekers in the region and deals with the issue far beyond its borders. The idea of RPP was nothing new to the Union</w:t>
      </w:r>
      <w:r w:rsidR="007C7A13" w:rsidRPr="00C40EC1">
        <w:rPr>
          <w:rFonts w:ascii="Times New Roman" w:hAnsi="Times New Roman"/>
          <w:sz w:val="24"/>
          <w:szCs w:val="24"/>
          <w:lang w:val="en-US"/>
        </w:rPr>
        <w:t>.</w:t>
      </w:r>
      <w:r w:rsidRPr="00C40EC1">
        <w:rPr>
          <w:rFonts w:ascii="Times New Roman" w:hAnsi="Times New Roman"/>
          <w:sz w:val="24"/>
          <w:szCs w:val="24"/>
          <w:lang w:val="en-US"/>
        </w:rPr>
        <w:t xml:space="preserve"> </w:t>
      </w:r>
      <w:r w:rsidR="007C7A13" w:rsidRPr="00C40EC1">
        <w:rPr>
          <w:rFonts w:ascii="Times New Roman" w:hAnsi="Times New Roman"/>
          <w:sz w:val="24"/>
          <w:szCs w:val="24"/>
          <w:lang w:val="en-US"/>
        </w:rPr>
        <w:t>A</w:t>
      </w:r>
      <w:r w:rsidRPr="00C40EC1">
        <w:rPr>
          <w:rFonts w:ascii="Times New Roman" w:hAnsi="Times New Roman"/>
          <w:sz w:val="24"/>
          <w:szCs w:val="24"/>
          <w:lang w:val="en-US"/>
        </w:rPr>
        <w:t xml:space="preserve">s </w:t>
      </w:r>
      <w:r w:rsidR="00871752" w:rsidRPr="00C40EC1">
        <w:rPr>
          <w:rFonts w:ascii="Times New Roman" w:hAnsi="Times New Roman"/>
          <w:sz w:val="24"/>
          <w:szCs w:val="24"/>
          <w:lang w:val="en-US"/>
        </w:rPr>
        <w:t xml:space="preserve">early as </w:t>
      </w:r>
      <w:r w:rsidRPr="00C40EC1">
        <w:rPr>
          <w:rFonts w:ascii="Times New Roman" w:hAnsi="Times New Roman"/>
          <w:sz w:val="24"/>
          <w:szCs w:val="24"/>
          <w:lang w:val="en-US"/>
        </w:rPr>
        <w:t xml:space="preserve">in February 2003 UK government proposed the idea of creating regional protection zones and </w:t>
      </w:r>
      <w:r w:rsidR="007C7A13" w:rsidRPr="00C40EC1">
        <w:rPr>
          <w:rFonts w:ascii="Times New Roman" w:hAnsi="Times New Roman"/>
          <w:sz w:val="24"/>
          <w:szCs w:val="24"/>
          <w:lang w:val="en-US"/>
        </w:rPr>
        <w:t>centres</w:t>
      </w:r>
      <w:r w:rsidRPr="00C40EC1">
        <w:rPr>
          <w:rFonts w:ascii="Times New Roman" w:hAnsi="Times New Roman"/>
          <w:sz w:val="24"/>
          <w:szCs w:val="24"/>
          <w:lang w:val="en-US"/>
        </w:rPr>
        <w:t xml:space="preserve"> for processing asylum claims. </w:t>
      </w:r>
      <w:r w:rsidR="007C7A13" w:rsidRPr="00C40EC1">
        <w:rPr>
          <w:rFonts w:ascii="Times New Roman" w:hAnsi="Times New Roman"/>
          <w:sz w:val="24"/>
          <w:szCs w:val="24"/>
          <w:lang w:val="en-US"/>
        </w:rPr>
        <w:t>As the main motive behind this proposal was not necessarily protecting refugees but preventing them arriving to European countries, t</w:t>
      </w:r>
      <w:r w:rsidRPr="00C40EC1">
        <w:rPr>
          <w:rFonts w:ascii="Times New Roman" w:hAnsi="Times New Roman"/>
          <w:sz w:val="24"/>
          <w:szCs w:val="24"/>
          <w:lang w:val="en-US"/>
        </w:rPr>
        <w:t xml:space="preserve">he idea at the time received mixed reactions from member states and severe criticism </w:t>
      </w:r>
      <w:r w:rsidR="007C7A13" w:rsidRPr="00C40EC1">
        <w:rPr>
          <w:rFonts w:ascii="Times New Roman" w:hAnsi="Times New Roman"/>
          <w:sz w:val="24"/>
          <w:szCs w:val="24"/>
          <w:lang w:val="en-US"/>
        </w:rPr>
        <w:t>from</w:t>
      </w:r>
      <w:r w:rsidRPr="00C40EC1">
        <w:rPr>
          <w:rFonts w:ascii="Times New Roman" w:hAnsi="Times New Roman"/>
          <w:sz w:val="24"/>
          <w:szCs w:val="24"/>
          <w:lang w:val="en-US"/>
        </w:rPr>
        <w:t xml:space="preserve"> human rights NGO</w:t>
      </w:r>
      <w:r w:rsidRPr="00C40EC1">
        <w:rPr>
          <w:rStyle w:val="FootnoteReference"/>
          <w:rFonts w:ascii="Times New Roman" w:hAnsi="Times New Roman"/>
          <w:sz w:val="24"/>
          <w:szCs w:val="24"/>
          <w:lang w:val="en-US"/>
        </w:rPr>
        <w:footnoteReference w:id="9"/>
      </w:r>
      <w:r w:rsidRPr="00C40EC1">
        <w:rPr>
          <w:rFonts w:ascii="Times New Roman" w:hAnsi="Times New Roman"/>
          <w:sz w:val="24"/>
          <w:szCs w:val="24"/>
          <w:lang w:val="en-US"/>
        </w:rPr>
        <w:t xml:space="preserve">. It was put on hold </w:t>
      </w:r>
      <w:r w:rsidR="007C7A13" w:rsidRPr="00C40EC1">
        <w:rPr>
          <w:rFonts w:ascii="Times New Roman" w:hAnsi="Times New Roman"/>
          <w:sz w:val="24"/>
          <w:szCs w:val="24"/>
          <w:lang w:val="en-US"/>
        </w:rPr>
        <w:t>for a short period and</w:t>
      </w:r>
      <w:r w:rsidRPr="00C40EC1">
        <w:rPr>
          <w:rFonts w:ascii="Times New Roman" w:hAnsi="Times New Roman"/>
          <w:sz w:val="24"/>
          <w:szCs w:val="24"/>
          <w:lang w:val="en-US"/>
        </w:rPr>
        <w:t xml:space="preserve"> </w:t>
      </w:r>
      <w:r w:rsidR="007C7A13" w:rsidRPr="00C40EC1">
        <w:rPr>
          <w:rFonts w:ascii="Times New Roman" w:hAnsi="Times New Roman"/>
          <w:sz w:val="24"/>
          <w:szCs w:val="24"/>
          <w:lang w:val="en-US"/>
        </w:rPr>
        <w:t xml:space="preserve">made a </w:t>
      </w:r>
      <w:r w:rsidRPr="00C40EC1">
        <w:rPr>
          <w:rFonts w:ascii="Times New Roman" w:hAnsi="Times New Roman"/>
          <w:sz w:val="24"/>
          <w:szCs w:val="24"/>
          <w:lang w:val="en-US"/>
        </w:rPr>
        <w:t>c</w:t>
      </w:r>
      <w:r w:rsidR="007C7A13" w:rsidRPr="00C40EC1">
        <w:rPr>
          <w:rFonts w:ascii="Times New Roman" w:hAnsi="Times New Roman"/>
          <w:sz w:val="24"/>
          <w:szCs w:val="24"/>
          <w:lang w:val="en-US"/>
        </w:rPr>
        <w:t>ome</w:t>
      </w:r>
      <w:r w:rsidRPr="00C40EC1">
        <w:rPr>
          <w:rFonts w:ascii="Times New Roman" w:hAnsi="Times New Roman"/>
          <w:sz w:val="24"/>
          <w:szCs w:val="24"/>
          <w:lang w:val="en-US"/>
        </w:rPr>
        <w:t xml:space="preserve">back </w:t>
      </w:r>
      <w:r w:rsidR="00871752" w:rsidRPr="00C40EC1">
        <w:rPr>
          <w:rFonts w:ascii="Times New Roman" w:hAnsi="Times New Roman"/>
          <w:sz w:val="24"/>
          <w:szCs w:val="24"/>
          <w:lang w:val="en-US"/>
        </w:rPr>
        <w:t xml:space="preserve">in a year </w:t>
      </w:r>
      <w:r w:rsidRPr="00C40EC1">
        <w:rPr>
          <w:rFonts w:ascii="Times New Roman" w:hAnsi="Times New Roman"/>
          <w:sz w:val="24"/>
          <w:szCs w:val="24"/>
          <w:lang w:val="en-US"/>
        </w:rPr>
        <w:t>and was endorsed in November 2004 by the European Council with the Hague Programme. The idea was sugar coated in a way to enable the Union contribute in a more effective international protection and providing durable solution at the earliest stages of tragedies. A Communication in 2005 clarified the content of RPP to be implemented with UNHCR (</w:t>
      </w:r>
      <w:r w:rsidR="007C7A13" w:rsidRPr="00C40EC1">
        <w:rPr>
          <w:rFonts w:ascii="Times New Roman" w:hAnsi="Times New Roman"/>
          <w:sz w:val="24"/>
          <w:szCs w:val="24"/>
          <w:lang w:val="en-US"/>
        </w:rPr>
        <w:t>European Commission 2005</w:t>
      </w:r>
      <w:r w:rsidRPr="00C40EC1">
        <w:rPr>
          <w:rFonts w:ascii="Times New Roman" w:hAnsi="Times New Roman"/>
          <w:sz w:val="24"/>
          <w:szCs w:val="24"/>
          <w:lang w:val="en-US"/>
        </w:rPr>
        <w:t xml:space="preserve">) and followed the common logic of the Union: providing funding and aid in return for cooperation of the host country. The idea behind RPPs was approximating three durable solutions: repatriation, reintegration and resettlement. An EU wide repatriation scheme was also foreseen which </w:t>
      </w:r>
      <w:r w:rsidR="00270BF9" w:rsidRPr="00C40EC1">
        <w:rPr>
          <w:rFonts w:ascii="Times New Roman" w:hAnsi="Times New Roman"/>
          <w:sz w:val="24"/>
          <w:szCs w:val="24"/>
          <w:lang w:val="en-US"/>
        </w:rPr>
        <w:t>could</w:t>
      </w:r>
      <w:r w:rsidRPr="00C40EC1">
        <w:rPr>
          <w:rFonts w:ascii="Times New Roman" w:hAnsi="Times New Roman"/>
          <w:sz w:val="24"/>
          <w:szCs w:val="24"/>
          <w:lang w:val="en-US"/>
        </w:rPr>
        <w:t xml:space="preserve"> not </w:t>
      </w:r>
      <w:r w:rsidR="00270BF9" w:rsidRPr="00C40EC1">
        <w:rPr>
          <w:rFonts w:ascii="Times New Roman" w:hAnsi="Times New Roman"/>
          <w:sz w:val="24"/>
          <w:szCs w:val="24"/>
          <w:lang w:val="en-US"/>
        </w:rPr>
        <w:t xml:space="preserve">be </w:t>
      </w:r>
      <w:r w:rsidRPr="00C40EC1">
        <w:rPr>
          <w:rFonts w:ascii="Times New Roman" w:hAnsi="Times New Roman"/>
          <w:sz w:val="24"/>
          <w:szCs w:val="24"/>
          <w:lang w:val="en-US"/>
        </w:rPr>
        <w:t xml:space="preserve">materialized. </w:t>
      </w:r>
    </w:p>
    <w:p w14:paraId="7AE5F7D2" w14:textId="76DED903" w:rsidR="005D2EAC" w:rsidRPr="005D2EAC" w:rsidRDefault="002F059D" w:rsidP="005D2EAC">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 xml:space="preserve">The Arab Spring </w:t>
      </w:r>
      <w:r w:rsidR="00385059" w:rsidRPr="00C40EC1">
        <w:rPr>
          <w:rFonts w:ascii="Times New Roman" w:hAnsi="Times New Roman"/>
          <w:sz w:val="24"/>
          <w:szCs w:val="24"/>
          <w:lang w:val="en-US"/>
        </w:rPr>
        <w:t>pushed</w:t>
      </w:r>
      <w:r w:rsidRPr="00C40EC1">
        <w:rPr>
          <w:rFonts w:ascii="Times New Roman" w:hAnsi="Times New Roman"/>
          <w:sz w:val="24"/>
          <w:szCs w:val="24"/>
          <w:lang w:val="en-US"/>
        </w:rPr>
        <w:t xml:space="preserve"> particularly two severe cases of refugee flows: as a result of the war in Libya and th</w:t>
      </w:r>
      <w:r w:rsidR="00871752" w:rsidRPr="00C40EC1">
        <w:rPr>
          <w:rFonts w:ascii="Times New Roman" w:hAnsi="Times New Roman"/>
          <w:sz w:val="24"/>
          <w:szCs w:val="24"/>
          <w:lang w:val="en-US"/>
        </w:rPr>
        <w:t xml:space="preserve">e on-going civil war in Syria. </w:t>
      </w:r>
      <w:r w:rsidR="007B3865" w:rsidRPr="00C40EC1">
        <w:rPr>
          <w:rFonts w:ascii="Times New Roman" w:hAnsi="Times New Roman"/>
          <w:sz w:val="24"/>
          <w:szCs w:val="24"/>
          <w:lang w:val="en-US"/>
        </w:rPr>
        <w:t>One</w:t>
      </w:r>
      <w:r w:rsidRPr="00C40EC1">
        <w:rPr>
          <w:rFonts w:ascii="Times New Roman" w:hAnsi="Times New Roman"/>
          <w:sz w:val="24"/>
          <w:szCs w:val="24"/>
          <w:lang w:val="en-US"/>
        </w:rPr>
        <w:t xml:space="preserve"> million people have been estimated to run away from the war in Libya, among which only 25.000 managed to reach Europe. As for Syrian refugees </w:t>
      </w:r>
      <w:r w:rsidR="00871752" w:rsidRPr="00C40EC1">
        <w:rPr>
          <w:rFonts w:ascii="Times New Roman" w:hAnsi="Times New Roman"/>
          <w:sz w:val="24"/>
          <w:szCs w:val="24"/>
          <w:lang w:val="en-US"/>
        </w:rPr>
        <w:t>the number of uprooted people of concern to the UNHCR</w:t>
      </w:r>
      <w:r w:rsidRPr="00C40EC1">
        <w:rPr>
          <w:rFonts w:ascii="Times New Roman" w:hAnsi="Times New Roman"/>
          <w:sz w:val="24"/>
          <w:szCs w:val="24"/>
          <w:lang w:val="en-US"/>
        </w:rPr>
        <w:t xml:space="preserve"> estimated to be around </w:t>
      </w:r>
      <w:r w:rsidR="003E624E" w:rsidRPr="00C40EC1">
        <w:rPr>
          <w:rFonts w:ascii="Times New Roman" w:hAnsi="Times New Roman"/>
          <w:sz w:val="24"/>
          <w:szCs w:val="24"/>
          <w:lang w:val="en-US"/>
        </w:rPr>
        <w:t>5</w:t>
      </w:r>
      <w:r w:rsidRPr="00C40EC1">
        <w:rPr>
          <w:rFonts w:ascii="Times New Roman" w:hAnsi="Times New Roman"/>
          <w:sz w:val="24"/>
          <w:szCs w:val="24"/>
          <w:lang w:val="en-US"/>
        </w:rPr>
        <w:t xml:space="preserve"> million</w:t>
      </w:r>
      <w:r w:rsidRPr="00C40EC1">
        <w:rPr>
          <w:rStyle w:val="FootnoteReference"/>
          <w:rFonts w:ascii="Times New Roman" w:hAnsi="Times New Roman"/>
          <w:sz w:val="24"/>
          <w:szCs w:val="24"/>
          <w:lang w:val="en-US"/>
        </w:rPr>
        <w:footnoteReference w:id="10"/>
      </w:r>
      <w:r w:rsidR="00871752" w:rsidRPr="00C40EC1">
        <w:rPr>
          <w:rFonts w:ascii="Times New Roman" w:hAnsi="Times New Roman"/>
          <w:sz w:val="24"/>
          <w:szCs w:val="24"/>
          <w:lang w:val="en-US"/>
        </w:rPr>
        <w:t xml:space="preserve">. </w:t>
      </w:r>
      <w:r w:rsidR="000E6AFD" w:rsidRPr="00C40EC1">
        <w:rPr>
          <w:rFonts w:ascii="Times New Roman" w:hAnsi="Times New Roman"/>
          <w:sz w:val="24"/>
          <w:szCs w:val="24"/>
          <w:lang w:val="en-US"/>
        </w:rPr>
        <w:t xml:space="preserve">Out of this five million </w:t>
      </w:r>
      <w:r w:rsidR="005F2CE2" w:rsidRPr="00C40EC1">
        <w:rPr>
          <w:rFonts w:ascii="Times New Roman" w:hAnsi="Times New Roman"/>
          <w:sz w:val="24"/>
          <w:szCs w:val="24"/>
          <w:lang w:val="en-US"/>
        </w:rPr>
        <w:t xml:space="preserve">a little over </w:t>
      </w:r>
      <w:r w:rsidR="000E6AFD" w:rsidRPr="00C40EC1">
        <w:rPr>
          <w:rFonts w:ascii="Times New Roman" w:hAnsi="Times New Roman"/>
          <w:sz w:val="24"/>
          <w:szCs w:val="24"/>
          <w:lang w:val="en-US"/>
        </w:rPr>
        <w:t>one million reached European countries.</w:t>
      </w:r>
      <w:r w:rsidRPr="00C40EC1">
        <w:rPr>
          <w:rFonts w:ascii="Times New Roman" w:hAnsi="Times New Roman"/>
          <w:sz w:val="24"/>
          <w:szCs w:val="24"/>
          <w:lang w:val="en-US"/>
        </w:rPr>
        <w:t xml:space="preserve"> </w:t>
      </w:r>
      <w:r w:rsidR="00871752" w:rsidRPr="00C40EC1">
        <w:rPr>
          <w:rFonts w:ascii="Times New Roman" w:hAnsi="Times New Roman"/>
          <w:sz w:val="24"/>
          <w:szCs w:val="24"/>
          <w:lang w:val="en-US"/>
        </w:rPr>
        <w:t>Through the</w:t>
      </w:r>
      <w:r w:rsidRPr="00C40EC1">
        <w:rPr>
          <w:rFonts w:ascii="Times New Roman" w:hAnsi="Times New Roman"/>
          <w:sz w:val="24"/>
          <w:szCs w:val="24"/>
          <w:lang w:val="en-US"/>
        </w:rPr>
        <w:t xml:space="preserve"> RPP in North Africa</w:t>
      </w:r>
      <w:r w:rsidR="007B3865" w:rsidRPr="00C40EC1">
        <w:rPr>
          <w:rFonts w:ascii="Times New Roman" w:hAnsi="Times New Roman"/>
          <w:sz w:val="24"/>
          <w:szCs w:val="24"/>
          <w:lang w:val="en-US"/>
        </w:rPr>
        <w:t>n</w:t>
      </w:r>
      <w:r w:rsidRPr="00C40EC1">
        <w:rPr>
          <w:rFonts w:ascii="Times New Roman" w:hAnsi="Times New Roman"/>
          <w:sz w:val="24"/>
          <w:szCs w:val="24"/>
          <w:lang w:val="en-US"/>
        </w:rPr>
        <w:t xml:space="preserve"> refugees are “successfully” contained in their region, creating enormous strain for host countries.  </w:t>
      </w:r>
      <w:r w:rsidR="007B3865" w:rsidRPr="00C40EC1">
        <w:rPr>
          <w:rFonts w:ascii="Times New Roman" w:hAnsi="Times New Roman"/>
          <w:sz w:val="24"/>
          <w:szCs w:val="24"/>
          <w:lang w:val="en-US"/>
        </w:rPr>
        <w:t>However, a</w:t>
      </w:r>
      <w:r w:rsidRPr="00C40EC1">
        <w:rPr>
          <w:rFonts w:ascii="Times New Roman" w:hAnsi="Times New Roman"/>
          <w:sz w:val="24"/>
          <w:szCs w:val="24"/>
          <w:lang w:val="en-US"/>
        </w:rPr>
        <w:t xml:space="preserve"> major goal of durable solution, resettlement to 3</w:t>
      </w:r>
      <w:r w:rsidRPr="00C40EC1">
        <w:rPr>
          <w:rFonts w:ascii="Times New Roman" w:hAnsi="Times New Roman"/>
          <w:sz w:val="24"/>
          <w:szCs w:val="24"/>
          <w:vertAlign w:val="superscript"/>
          <w:lang w:val="en-US"/>
        </w:rPr>
        <w:t>rd</w:t>
      </w:r>
      <w:r w:rsidRPr="00C40EC1">
        <w:rPr>
          <w:rFonts w:ascii="Times New Roman" w:hAnsi="Times New Roman"/>
          <w:sz w:val="24"/>
          <w:szCs w:val="24"/>
          <w:lang w:val="en-US"/>
        </w:rPr>
        <w:t xml:space="preserve"> countries did not take place. </w:t>
      </w:r>
      <w:r w:rsidR="00EE7C46" w:rsidRPr="00C40EC1">
        <w:rPr>
          <w:rFonts w:ascii="Times New Roman" w:hAnsi="Times New Roman"/>
          <w:sz w:val="24"/>
          <w:szCs w:val="24"/>
          <w:lang w:val="en-US"/>
        </w:rPr>
        <w:t xml:space="preserve">The Commission organized a `pledge conference` in May 2011 to hearten the member states for accepting more refugees without much success. In return for this conference couple of member states volunteered to host 300 refugees </w:t>
      </w:r>
      <w:r w:rsidR="007B3865" w:rsidRPr="00C40EC1">
        <w:rPr>
          <w:rFonts w:ascii="Times New Roman" w:hAnsi="Times New Roman"/>
          <w:sz w:val="24"/>
          <w:szCs w:val="24"/>
          <w:lang w:val="en-US"/>
        </w:rPr>
        <w:t>from</w:t>
      </w:r>
      <w:r w:rsidR="00EE7C46" w:rsidRPr="00C40EC1">
        <w:rPr>
          <w:rFonts w:ascii="Times New Roman" w:hAnsi="Times New Roman"/>
          <w:sz w:val="24"/>
          <w:szCs w:val="24"/>
          <w:lang w:val="en-US"/>
        </w:rPr>
        <w:t xml:space="preserve"> Malta and around 700 refugees from Libya and </w:t>
      </w:r>
      <w:r w:rsidR="00EE7C46" w:rsidRPr="00C40EC1">
        <w:rPr>
          <w:rFonts w:ascii="Times New Roman" w:hAnsi="Times New Roman"/>
          <w:sz w:val="24"/>
          <w:szCs w:val="24"/>
          <w:lang w:val="en-US"/>
        </w:rPr>
        <w:lastRenderedPageBreak/>
        <w:t xml:space="preserve">neighbouring countries. </w:t>
      </w:r>
      <w:r w:rsidR="007B3865" w:rsidRPr="00C40EC1">
        <w:rPr>
          <w:rFonts w:ascii="Times New Roman" w:hAnsi="Times New Roman"/>
          <w:sz w:val="24"/>
          <w:szCs w:val="24"/>
          <w:lang w:val="en-US"/>
        </w:rPr>
        <w:t xml:space="preserve">This was a major source of shame and failure for the Union. The numbers in this case speak for themselves. </w:t>
      </w:r>
      <w:r w:rsidR="00871752" w:rsidRPr="00C40EC1">
        <w:rPr>
          <w:rFonts w:ascii="Times New Roman" w:hAnsi="Times New Roman"/>
          <w:sz w:val="24"/>
          <w:szCs w:val="24"/>
          <w:lang w:val="en-US"/>
        </w:rPr>
        <w:t xml:space="preserve">“In the course of 2010, about 5000 refugees were resettled in the EU as a whole. This compares to the approximately 75.000 refugees resettled in the US the same year. Indeed, EU member states altogether currently accept fewer resettled refugees than Canada alone” (European Commission </w:t>
      </w:r>
      <w:r w:rsidR="007B3865" w:rsidRPr="00C40EC1">
        <w:rPr>
          <w:rFonts w:ascii="Times New Roman" w:hAnsi="Times New Roman"/>
          <w:sz w:val="24"/>
          <w:szCs w:val="24"/>
          <w:lang w:val="en-US"/>
        </w:rPr>
        <w:t>2011c,</w:t>
      </w:r>
      <w:r w:rsidR="00871752" w:rsidRPr="00C40EC1">
        <w:rPr>
          <w:rFonts w:ascii="Times New Roman" w:hAnsi="Times New Roman"/>
          <w:sz w:val="24"/>
          <w:szCs w:val="24"/>
          <w:lang w:val="en-US"/>
        </w:rPr>
        <w:t xml:space="preserve"> 15). </w:t>
      </w:r>
      <w:r w:rsidR="007B3865" w:rsidRPr="00C40EC1">
        <w:rPr>
          <w:rFonts w:ascii="Times New Roman" w:hAnsi="Times New Roman"/>
          <w:sz w:val="24"/>
          <w:szCs w:val="24"/>
          <w:lang w:val="en-US"/>
        </w:rPr>
        <w:t xml:space="preserve">The Commission does not have any power </w:t>
      </w:r>
      <w:r w:rsidR="00C334D7" w:rsidRPr="00C40EC1">
        <w:rPr>
          <w:rFonts w:ascii="Times New Roman" w:hAnsi="Times New Roman"/>
          <w:sz w:val="24"/>
          <w:szCs w:val="24"/>
          <w:lang w:val="en-US"/>
        </w:rPr>
        <w:t>or</w:t>
      </w:r>
      <w:r w:rsidR="007B3865" w:rsidRPr="00C40EC1">
        <w:rPr>
          <w:rFonts w:ascii="Times New Roman" w:hAnsi="Times New Roman"/>
          <w:sz w:val="24"/>
          <w:szCs w:val="24"/>
          <w:lang w:val="en-US"/>
        </w:rPr>
        <w:t xml:space="preserve"> instrument to push member states </w:t>
      </w:r>
      <w:r w:rsidR="000326AB" w:rsidRPr="00C40EC1">
        <w:rPr>
          <w:rFonts w:ascii="Times New Roman" w:hAnsi="Times New Roman"/>
          <w:sz w:val="24"/>
          <w:szCs w:val="24"/>
          <w:lang w:val="en-US"/>
        </w:rPr>
        <w:t>honor</w:t>
      </w:r>
      <w:r w:rsidR="00C334D7" w:rsidRPr="00C40EC1">
        <w:rPr>
          <w:rFonts w:ascii="Times New Roman" w:hAnsi="Times New Roman"/>
          <w:sz w:val="24"/>
          <w:szCs w:val="24"/>
          <w:lang w:val="en-US"/>
        </w:rPr>
        <w:t xml:space="preserve"> their international promises. </w:t>
      </w:r>
      <w:r w:rsidRPr="00C40EC1">
        <w:rPr>
          <w:rFonts w:ascii="Times New Roman" w:hAnsi="Times New Roman"/>
          <w:sz w:val="24"/>
          <w:szCs w:val="24"/>
          <w:lang w:val="en-US"/>
        </w:rPr>
        <w:t xml:space="preserve">Things got only worse after the late arrival of Arab Spring to Syria </w:t>
      </w:r>
      <w:r w:rsidR="000E6AFD" w:rsidRPr="00C40EC1">
        <w:rPr>
          <w:rFonts w:ascii="Times New Roman" w:hAnsi="Times New Roman"/>
          <w:sz w:val="24"/>
          <w:szCs w:val="24"/>
          <w:lang w:val="en-US"/>
        </w:rPr>
        <w:t>leading to a protracted</w:t>
      </w:r>
      <w:r w:rsidRPr="00C40EC1">
        <w:rPr>
          <w:rFonts w:ascii="Times New Roman" w:hAnsi="Times New Roman"/>
          <w:sz w:val="24"/>
          <w:szCs w:val="24"/>
          <w:lang w:val="en-US"/>
        </w:rPr>
        <w:t xml:space="preserve"> civil war. </w:t>
      </w:r>
      <w:r w:rsidR="000E6AFD" w:rsidRPr="00C40EC1">
        <w:rPr>
          <w:rFonts w:ascii="Times New Roman" w:hAnsi="Times New Roman"/>
          <w:sz w:val="24"/>
          <w:szCs w:val="24"/>
          <w:lang w:val="en-US"/>
        </w:rPr>
        <w:t xml:space="preserve"> </w:t>
      </w:r>
    </w:p>
    <w:p w14:paraId="63612A6C" w14:textId="77777777" w:rsidR="005D2EAC" w:rsidRPr="00C40EC1" w:rsidRDefault="005D2EAC" w:rsidP="005D2EAC">
      <w:pPr>
        <w:spacing w:before="120" w:after="120" w:line="240" w:lineRule="auto"/>
        <w:contextualSpacing/>
        <w:jc w:val="both"/>
        <w:rPr>
          <w:rFonts w:ascii="Times New Roman" w:hAnsi="Times New Roman"/>
          <w:b/>
          <w:color w:val="FF0000"/>
          <w:sz w:val="24"/>
          <w:szCs w:val="24"/>
          <w:lang w:val="en-US"/>
        </w:rPr>
      </w:pPr>
    </w:p>
    <w:p w14:paraId="21A56A3F" w14:textId="77777777" w:rsidR="005D2EAC" w:rsidRPr="00F87D10" w:rsidRDefault="005D2EAC" w:rsidP="005D2EAC">
      <w:pPr>
        <w:spacing w:before="120" w:after="120" w:line="240" w:lineRule="auto"/>
        <w:contextualSpacing/>
        <w:jc w:val="both"/>
        <w:rPr>
          <w:rFonts w:ascii="Times New Roman" w:hAnsi="Times New Roman"/>
          <w:b/>
          <w:color w:val="000000" w:themeColor="text1"/>
          <w:sz w:val="24"/>
          <w:szCs w:val="24"/>
          <w:lang w:val="en-US"/>
        </w:rPr>
      </w:pPr>
      <w:r w:rsidRPr="00F87D10">
        <w:rPr>
          <w:rFonts w:ascii="Times New Roman" w:hAnsi="Times New Roman"/>
          <w:b/>
          <w:color w:val="000000" w:themeColor="text1"/>
          <w:sz w:val="24"/>
          <w:szCs w:val="24"/>
          <w:lang w:val="en-US"/>
        </w:rPr>
        <w:t>LONG TERM MEASURES</w:t>
      </w:r>
    </w:p>
    <w:p w14:paraId="61EFF0AD" w14:textId="77777777" w:rsidR="005D2EAC" w:rsidRPr="00F87D10" w:rsidRDefault="005D2EAC" w:rsidP="005D2EAC">
      <w:pPr>
        <w:spacing w:before="120" w:after="120" w:line="240" w:lineRule="auto"/>
        <w:contextualSpacing/>
        <w:jc w:val="both"/>
        <w:rPr>
          <w:rFonts w:ascii="Times New Roman" w:hAnsi="Times New Roman"/>
          <w:b/>
          <w:color w:val="000000" w:themeColor="text1"/>
          <w:sz w:val="24"/>
          <w:szCs w:val="24"/>
          <w:lang w:val="en-US"/>
        </w:rPr>
      </w:pPr>
    </w:p>
    <w:p w14:paraId="61E9B3C6" w14:textId="77777777" w:rsidR="005D2EAC" w:rsidRPr="00F87D10" w:rsidRDefault="005D2EAC" w:rsidP="005D2EAC">
      <w:pPr>
        <w:spacing w:before="120" w:after="120" w:line="240" w:lineRule="auto"/>
        <w:contextualSpacing/>
        <w:jc w:val="both"/>
        <w:rPr>
          <w:rFonts w:ascii="Times New Roman" w:hAnsi="Times New Roman"/>
          <w:color w:val="000000" w:themeColor="text1"/>
          <w:sz w:val="24"/>
          <w:szCs w:val="24"/>
          <w:lang w:val="en-US"/>
        </w:rPr>
      </w:pPr>
      <w:r w:rsidRPr="00F87D10">
        <w:rPr>
          <w:rFonts w:ascii="Times New Roman" w:hAnsi="Times New Roman"/>
          <w:color w:val="000000" w:themeColor="text1"/>
          <w:sz w:val="24"/>
          <w:szCs w:val="24"/>
          <w:lang w:val="en-US"/>
        </w:rPr>
        <w:t>As explained above most of the emergency measures of the Union were geared towards preventing the arrival of migrants either through setting up of RPPs or by providing financial aid to host countries to better protect their borders by implementing capacity development programs. The very first legal document adopted was the Commission Communication envisioning a new `Partnership for Democracy and Shared Prosperity with the Southern Mediterranean` launched in March 201 and it was approved by the European Council on its meeting on 11 March 2011. This initial response of the Commission prepared by the High Representative`s office adopted a broader perspective on the change and expressed its support for democratic transition in the region. `Tackling the challenges of mobility` was just one section among others.  It set forth three pillars on which the partnership for democracy and prosperity should be build:</w:t>
      </w:r>
    </w:p>
    <w:p w14:paraId="5DA2984E" w14:textId="77777777" w:rsidR="005D2EAC" w:rsidRPr="00F87D10" w:rsidRDefault="005D2EAC" w:rsidP="005D2EAC">
      <w:pPr>
        <w:pStyle w:val="ListParagraph"/>
        <w:numPr>
          <w:ilvl w:val="0"/>
          <w:numId w:val="4"/>
        </w:numPr>
        <w:autoSpaceDE w:val="0"/>
        <w:autoSpaceDN w:val="0"/>
        <w:adjustRightInd w:val="0"/>
        <w:spacing w:before="120" w:after="120" w:line="240" w:lineRule="auto"/>
        <w:ind w:left="567" w:firstLine="0"/>
        <w:rPr>
          <w:rFonts w:ascii="Times New Roman" w:eastAsiaTheme="minorHAnsi" w:hAnsi="Times New Roman"/>
          <w:color w:val="000000" w:themeColor="text1"/>
          <w:sz w:val="24"/>
          <w:szCs w:val="24"/>
        </w:rPr>
      </w:pPr>
      <w:r w:rsidRPr="00F87D10">
        <w:rPr>
          <w:rFonts w:ascii="Times New Roman" w:eastAsiaTheme="minorHAnsi" w:hAnsi="Times New Roman"/>
          <w:color w:val="000000" w:themeColor="text1"/>
          <w:sz w:val="24"/>
          <w:szCs w:val="24"/>
        </w:rPr>
        <w:t>democratic transformation and institution-building, with a particular focus on fundamental freedoms, constitutional reforms, reform of the judiciary and the fight against corruption</w:t>
      </w:r>
    </w:p>
    <w:p w14:paraId="41B9DF53" w14:textId="77777777" w:rsidR="005D2EAC" w:rsidRPr="00F87D10" w:rsidRDefault="005D2EAC" w:rsidP="005D2EAC">
      <w:pPr>
        <w:pStyle w:val="ListParagraph"/>
        <w:numPr>
          <w:ilvl w:val="0"/>
          <w:numId w:val="4"/>
        </w:numPr>
        <w:autoSpaceDE w:val="0"/>
        <w:autoSpaceDN w:val="0"/>
        <w:adjustRightInd w:val="0"/>
        <w:spacing w:before="120" w:after="120" w:line="240" w:lineRule="auto"/>
        <w:ind w:left="567" w:firstLine="0"/>
        <w:rPr>
          <w:rFonts w:ascii="Times New Roman" w:eastAsiaTheme="minorHAnsi" w:hAnsi="Times New Roman"/>
          <w:color w:val="000000" w:themeColor="text1"/>
          <w:sz w:val="24"/>
          <w:szCs w:val="24"/>
        </w:rPr>
      </w:pPr>
      <w:r w:rsidRPr="00F87D10">
        <w:rPr>
          <w:rFonts w:ascii="Times New Roman" w:eastAsiaTheme="minorHAnsi" w:hAnsi="Times New Roman"/>
          <w:color w:val="000000" w:themeColor="text1"/>
          <w:sz w:val="24"/>
          <w:szCs w:val="24"/>
        </w:rPr>
        <w:t>a stronger partnership with the people, with specific emphasis on support to civil society and on enhanced opportunities for exchanges and people-to-people contacts with a particular focus on the young</w:t>
      </w:r>
    </w:p>
    <w:p w14:paraId="12B937B7" w14:textId="77777777" w:rsidR="005D2EAC" w:rsidRPr="00F87D10" w:rsidRDefault="005D2EAC" w:rsidP="005D2EAC">
      <w:pPr>
        <w:autoSpaceDE w:val="0"/>
        <w:autoSpaceDN w:val="0"/>
        <w:adjustRightInd w:val="0"/>
        <w:spacing w:before="120" w:after="120" w:line="240" w:lineRule="auto"/>
        <w:ind w:left="567"/>
        <w:contextualSpacing/>
        <w:rPr>
          <w:rFonts w:ascii="Times New Roman" w:eastAsiaTheme="minorHAnsi" w:hAnsi="Times New Roman"/>
          <w:color w:val="000000" w:themeColor="text1"/>
          <w:sz w:val="24"/>
          <w:szCs w:val="24"/>
          <w:lang w:val="en-US"/>
        </w:rPr>
      </w:pPr>
      <w:r w:rsidRPr="00F87D10">
        <w:rPr>
          <w:rFonts w:ascii="Symbol" w:eastAsiaTheme="minorHAnsi" w:hAnsi="Symbol" w:cs="Symbol"/>
          <w:color w:val="000000" w:themeColor="text1"/>
          <w:sz w:val="24"/>
          <w:szCs w:val="24"/>
          <w:lang w:val="en-US"/>
        </w:rPr>
        <w:t></w:t>
      </w:r>
      <w:r w:rsidRPr="00F87D10">
        <w:rPr>
          <w:rFonts w:ascii="Symbol" w:eastAsiaTheme="minorHAnsi" w:hAnsi="Symbol" w:cs="Symbol"/>
          <w:color w:val="000000" w:themeColor="text1"/>
          <w:sz w:val="24"/>
          <w:szCs w:val="24"/>
          <w:lang w:val="en-US"/>
        </w:rPr>
        <w:t></w:t>
      </w:r>
      <w:r w:rsidRPr="00F87D10">
        <w:rPr>
          <w:rFonts w:ascii="Symbol" w:eastAsiaTheme="minorHAnsi" w:hAnsi="Symbol" w:cs="Symbol"/>
          <w:color w:val="000000" w:themeColor="text1"/>
          <w:sz w:val="24"/>
          <w:szCs w:val="24"/>
          <w:lang w:val="en-US"/>
        </w:rPr>
        <w:t></w:t>
      </w:r>
      <w:r w:rsidRPr="00F87D10">
        <w:rPr>
          <w:rFonts w:ascii="Symbol" w:eastAsiaTheme="minorHAnsi" w:hAnsi="Symbol" w:cs="Symbol"/>
          <w:color w:val="000000" w:themeColor="text1"/>
          <w:sz w:val="24"/>
          <w:szCs w:val="24"/>
          <w:lang w:val="en-US"/>
        </w:rPr>
        <w:t></w:t>
      </w:r>
      <w:r w:rsidRPr="00F87D10">
        <w:rPr>
          <w:rFonts w:ascii="Times New Roman" w:eastAsiaTheme="minorHAnsi" w:hAnsi="Times New Roman"/>
          <w:color w:val="000000" w:themeColor="text1"/>
          <w:sz w:val="24"/>
          <w:szCs w:val="24"/>
          <w:lang w:val="en-US"/>
        </w:rPr>
        <w:t>sustainable and inclusive growth and economic development especially support to Small and Medium Enterprises (SMEs), vocational and educational training, improving health and education systems and development of the poorer regions (European Commission 2011a).</w:t>
      </w:r>
      <w:r w:rsidRPr="00F87D10">
        <w:rPr>
          <w:rStyle w:val="FootnoteReference"/>
          <w:rFonts w:ascii="Verdana" w:hAnsi="Verdana"/>
          <w:color w:val="000000" w:themeColor="text1"/>
          <w:sz w:val="18"/>
          <w:szCs w:val="18"/>
          <w:lang w:val="en-US"/>
        </w:rPr>
        <w:t xml:space="preserve"> </w:t>
      </w:r>
    </w:p>
    <w:p w14:paraId="669B22AC" w14:textId="77777777" w:rsidR="005D2EAC" w:rsidRPr="00F87D10" w:rsidRDefault="005D2EAC" w:rsidP="005D2EAC">
      <w:pPr>
        <w:autoSpaceDE w:val="0"/>
        <w:autoSpaceDN w:val="0"/>
        <w:adjustRightInd w:val="0"/>
        <w:spacing w:before="120" w:after="120" w:line="240" w:lineRule="auto"/>
        <w:ind w:left="567"/>
        <w:contextualSpacing/>
        <w:rPr>
          <w:rFonts w:ascii="Times New Roman" w:eastAsiaTheme="minorHAnsi" w:hAnsi="Times New Roman"/>
          <w:color w:val="000000" w:themeColor="text1"/>
          <w:sz w:val="24"/>
          <w:szCs w:val="24"/>
          <w:lang w:val="en-US"/>
        </w:rPr>
      </w:pPr>
    </w:p>
    <w:p w14:paraId="688E0D5A" w14:textId="30375733" w:rsidR="005D2EAC" w:rsidRPr="00F87D10" w:rsidRDefault="005D2EAC" w:rsidP="005D2EAC">
      <w:pPr>
        <w:spacing w:before="120" w:after="120" w:line="240" w:lineRule="auto"/>
        <w:contextualSpacing/>
        <w:jc w:val="both"/>
        <w:rPr>
          <w:rFonts w:ascii="Times New Roman" w:hAnsi="Times New Roman"/>
          <w:color w:val="000000" w:themeColor="text1"/>
          <w:sz w:val="24"/>
          <w:szCs w:val="24"/>
          <w:lang w:val="en-US"/>
        </w:rPr>
      </w:pPr>
      <w:r w:rsidRPr="00F87D10">
        <w:rPr>
          <w:rFonts w:ascii="Times New Roman" w:hAnsi="Times New Roman"/>
          <w:color w:val="000000" w:themeColor="text1"/>
          <w:sz w:val="24"/>
          <w:szCs w:val="24"/>
          <w:lang w:val="en-US"/>
        </w:rPr>
        <w:t xml:space="preserve">The Commission makes it clear that “[t]here is a shared interest in a democratic, stable, prosperous and peaceful Southern Mediterranean” (European Commission 2011a). Indeed, the Commission documents adopt an excited and ambitious language asking for a ‘qualitative step forward in the relations with the EU and its Southern </w:t>
      </w:r>
      <w:r w:rsidR="000326AB" w:rsidRPr="00F87D10">
        <w:rPr>
          <w:rFonts w:ascii="Times New Roman" w:hAnsi="Times New Roman"/>
          <w:color w:val="000000" w:themeColor="text1"/>
          <w:sz w:val="24"/>
          <w:szCs w:val="24"/>
          <w:lang w:val="en-US"/>
        </w:rPr>
        <w:t>neighbors</w:t>
      </w:r>
      <w:bookmarkStart w:id="0" w:name="_GoBack"/>
      <w:bookmarkEnd w:id="0"/>
      <w:r w:rsidRPr="00F87D10">
        <w:rPr>
          <w:rFonts w:ascii="Times New Roman" w:hAnsi="Times New Roman"/>
          <w:color w:val="000000" w:themeColor="text1"/>
          <w:sz w:val="24"/>
          <w:szCs w:val="24"/>
          <w:lang w:val="en-US"/>
        </w:rPr>
        <w:t xml:space="preserve">.” It is quick enough to offer its support on a conditional basis of conducting reforms to be defined through “Partnership for Democracy and Shared Prosperity” initiative built on a differentiated approach. </w:t>
      </w:r>
    </w:p>
    <w:p w14:paraId="2CA332FA" w14:textId="77777777" w:rsidR="005D2EAC" w:rsidRPr="00F87D10" w:rsidRDefault="005D2EAC" w:rsidP="005D2EAC">
      <w:pPr>
        <w:spacing w:before="120" w:after="120" w:line="240" w:lineRule="auto"/>
        <w:contextualSpacing/>
        <w:jc w:val="both"/>
        <w:rPr>
          <w:rFonts w:ascii="Times New Roman" w:hAnsi="Times New Roman"/>
          <w:color w:val="000000" w:themeColor="text1"/>
          <w:sz w:val="24"/>
          <w:szCs w:val="24"/>
          <w:lang w:val="en-US"/>
        </w:rPr>
      </w:pPr>
    </w:p>
    <w:p w14:paraId="0BE76F46" w14:textId="77777777" w:rsidR="005D2EAC" w:rsidRPr="00F87D10" w:rsidRDefault="005D2EAC" w:rsidP="005D2EAC">
      <w:pPr>
        <w:spacing w:before="120" w:after="120" w:line="240" w:lineRule="auto"/>
        <w:contextualSpacing/>
        <w:jc w:val="both"/>
        <w:rPr>
          <w:rFonts w:ascii="Times New Roman" w:hAnsi="Times New Roman"/>
          <w:color w:val="000000" w:themeColor="text1"/>
          <w:sz w:val="24"/>
          <w:szCs w:val="24"/>
          <w:lang w:val="en-US"/>
        </w:rPr>
      </w:pPr>
      <w:r w:rsidRPr="00F87D10">
        <w:rPr>
          <w:rFonts w:ascii="Times New Roman" w:hAnsi="Times New Roman"/>
          <w:color w:val="000000" w:themeColor="text1"/>
          <w:sz w:val="24"/>
          <w:szCs w:val="24"/>
          <w:lang w:val="en-US"/>
        </w:rPr>
        <w:t xml:space="preserve">The document also highlights the importance of ‘people to people’ contact but puts forward as the increased border control capacity as the prerequisite. It states that “[a] key element in [concluding mobility partnerships] is the strengthening of capacity building in the Mediterranean countries on borders/migration/asylum and more effective law enforcement cooperation to improve security throughout the Mediterranean” (European Commission 2011, 6). </w:t>
      </w:r>
    </w:p>
    <w:p w14:paraId="48A48AB9" w14:textId="77777777" w:rsidR="005D2EAC" w:rsidRPr="00F87D10" w:rsidRDefault="005D2EAC" w:rsidP="005D2EAC">
      <w:pPr>
        <w:spacing w:before="120" w:after="120" w:line="240" w:lineRule="auto"/>
        <w:contextualSpacing/>
        <w:jc w:val="both"/>
        <w:rPr>
          <w:rFonts w:ascii="Times New Roman" w:hAnsi="Times New Roman"/>
          <w:i/>
          <w:color w:val="000000" w:themeColor="text1"/>
          <w:sz w:val="24"/>
          <w:szCs w:val="24"/>
          <w:lang w:val="en-US"/>
        </w:rPr>
      </w:pPr>
      <w:r w:rsidRPr="00F87D10">
        <w:rPr>
          <w:rFonts w:ascii="Times New Roman" w:hAnsi="Times New Roman"/>
          <w:color w:val="000000" w:themeColor="text1"/>
          <w:sz w:val="24"/>
          <w:szCs w:val="24"/>
          <w:lang w:val="en-US"/>
        </w:rPr>
        <w:t xml:space="preserve">The long term measures on migration focused mostly on establishing `mutually beneficial` partnerships with the countries of the region in question. The idea of an incentive based approach, or as commonly called `more for more` approach is defined as the preferred method. This is a </w:t>
      </w:r>
      <w:r w:rsidRPr="00F87D10">
        <w:rPr>
          <w:rFonts w:ascii="Times New Roman" w:hAnsi="Times New Roman"/>
          <w:color w:val="000000" w:themeColor="text1"/>
          <w:sz w:val="24"/>
          <w:szCs w:val="24"/>
          <w:lang w:val="en-US"/>
        </w:rPr>
        <w:lastRenderedPageBreak/>
        <w:t>continuation of the Union`s old carrot and stick policy. Here the carrot is financial aid, increased cooperation in economy and trade. The document underlines migration as a key priority and proposes ways to `manage it well`. Again the Union oscillated between adopting a narrow security focused approach of limiting migration and adopting a broader perspective on migration and its reasons. The latter, however, was more elaborate in the Communication presented jointly by the Commission and the High Representative</w:t>
      </w:r>
      <w:r w:rsidRPr="00F87D10">
        <w:rPr>
          <w:rFonts w:ascii="Times New Roman" w:hAnsi="Times New Roman"/>
          <w:i/>
          <w:color w:val="000000" w:themeColor="text1"/>
          <w:sz w:val="24"/>
          <w:szCs w:val="24"/>
          <w:lang w:val="en-US"/>
        </w:rPr>
        <w:t xml:space="preserve">. </w:t>
      </w:r>
    </w:p>
    <w:p w14:paraId="6B6AC12F" w14:textId="77777777" w:rsidR="005D2EAC" w:rsidRPr="00F87D10" w:rsidRDefault="005D2EAC" w:rsidP="005D2EAC">
      <w:pPr>
        <w:spacing w:before="120" w:after="120" w:line="240" w:lineRule="auto"/>
        <w:contextualSpacing/>
        <w:jc w:val="both"/>
        <w:rPr>
          <w:rFonts w:ascii="Times New Roman" w:hAnsi="Times New Roman"/>
          <w:i/>
          <w:color w:val="000000" w:themeColor="text1"/>
          <w:sz w:val="24"/>
          <w:szCs w:val="24"/>
          <w:lang w:val="en-US"/>
        </w:rPr>
      </w:pPr>
    </w:p>
    <w:p w14:paraId="79820A14" w14:textId="77777777" w:rsidR="005D2EAC" w:rsidRPr="00F87D10" w:rsidRDefault="005D2EAC" w:rsidP="005D2EAC">
      <w:pPr>
        <w:spacing w:before="120" w:after="120" w:line="240" w:lineRule="auto"/>
        <w:contextualSpacing/>
        <w:jc w:val="both"/>
        <w:rPr>
          <w:rFonts w:ascii="Times New Roman" w:hAnsi="Times New Roman"/>
          <w:color w:val="000000" w:themeColor="text1"/>
          <w:sz w:val="24"/>
          <w:szCs w:val="24"/>
          <w:lang w:val="en-US"/>
        </w:rPr>
      </w:pPr>
      <w:r w:rsidRPr="00F87D10">
        <w:rPr>
          <w:rFonts w:ascii="Times New Roman" w:hAnsi="Times New Roman"/>
          <w:color w:val="000000" w:themeColor="text1"/>
          <w:sz w:val="24"/>
          <w:szCs w:val="24"/>
          <w:lang w:val="en-US"/>
        </w:rPr>
        <w:t xml:space="preserve">During the European Council meeting on 24 March 2011 the Commission was asked to reflect on plans to `manage migration` by developing capacities (Carrera et al 2012, 9). In return for this call, the Commission prepared the Communication on </w:t>
      </w:r>
      <w:r w:rsidRPr="00F87D10">
        <w:rPr>
          <w:rFonts w:ascii="Times New Roman" w:hAnsi="Times New Roman"/>
          <w:i/>
          <w:color w:val="000000" w:themeColor="text1"/>
          <w:sz w:val="24"/>
          <w:szCs w:val="24"/>
          <w:lang w:val="en-US"/>
        </w:rPr>
        <w:t xml:space="preserve">the Dialogue for Migration, Mobility and Security. </w:t>
      </w:r>
      <w:r w:rsidRPr="00F87D10">
        <w:rPr>
          <w:rFonts w:ascii="Times New Roman" w:hAnsi="Times New Roman"/>
          <w:color w:val="000000" w:themeColor="text1"/>
          <w:sz w:val="24"/>
          <w:szCs w:val="24"/>
          <w:lang w:val="en-US"/>
        </w:rPr>
        <w:t>Carrera et al (2012, 9) highlights the difference in tone, approach and priorities of different Commission documents and claims that it has a lot to do with which DG prepare it. As is the case with `Dialogue` Communication which is prepared by DG Home Affairs the language shifts from a cooperative to a more security oriented one. This might be partly due to the demand the Commission was responding. The Justice and Home Affairs Ministers stated on 24 March 2011 that</w:t>
      </w:r>
    </w:p>
    <w:p w14:paraId="0CC99196" w14:textId="77777777" w:rsidR="005D2EAC" w:rsidRPr="00F87D10" w:rsidRDefault="005D2EAC" w:rsidP="005D2EAC">
      <w:pPr>
        <w:spacing w:before="120" w:after="120" w:line="240" w:lineRule="auto"/>
        <w:ind w:left="567"/>
        <w:contextualSpacing/>
        <w:jc w:val="both"/>
        <w:rPr>
          <w:rFonts w:ascii="Times New Roman" w:hAnsi="Times New Roman"/>
          <w:color w:val="000000" w:themeColor="text1"/>
          <w:sz w:val="24"/>
          <w:szCs w:val="24"/>
          <w:lang w:val="en-US"/>
        </w:rPr>
      </w:pPr>
      <w:r w:rsidRPr="00F87D10">
        <w:rPr>
          <w:rFonts w:ascii="Times New Roman" w:hAnsi="Times New Roman"/>
          <w:color w:val="000000" w:themeColor="text1"/>
          <w:sz w:val="24"/>
          <w:szCs w:val="24"/>
          <w:lang w:val="en-US"/>
        </w:rPr>
        <w:t xml:space="preserve">[t]he dialogue should first instance focus on the identification and promotion of measure which can contribute in a concrete and effective way to the prevention of illegal migration, to the effective management and control of their external borders, to the facilitation of the return and readmission of irregular migrants and to the development of protection in the region or those in need, including through regional protection programmes (European Council 2011a). </w:t>
      </w:r>
    </w:p>
    <w:p w14:paraId="2BE2E5C2" w14:textId="77777777" w:rsidR="005D2EAC" w:rsidRPr="00F87D10" w:rsidRDefault="005D2EAC" w:rsidP="005D2EAC">
      <w:pPr>
        <w:spacing w:before="120" w:after="120" w:line="240" w:lineRule="auto"/>
        <w:contextualSpacing/>
        <w:jc w:val="both"/>
        <w:rPr>
          <w:rFonts w:ascii="Times New Roman" w:hAnsi="Times New Roman"/>
          <w:color w:val="000000" w:themeColor="text1"/>
          <w:sz w:val="24"/>
          <w:szCs w:val="24"/>
          <w:lang w:val="en-US"/>
        </w:rPr>
      </w:pPr>
      <w:r w:rsidRPr="00F87D10">
        <w:rPr>
          <w:rFonts w:ascii="Times New Roman" w:hAnsi="Times New Roman"/>
          <w:color w:val="000000" w:themeColor="text1"/>
          <w:sz w:val="24"/>
          <w:szCs w:val="24"/>
          <w:lang w:val="en-US"/>
        </w:rPr>
        <w:t xml:space="preserve">The Council, thus, defines the priorities for the Union and only at the bottom of hierarch it mentions the possibility of facilitating people-to-people contacts through instruments like mobility partnerships. </w:t>
      </w:r>
    </w:p>
    <w:p w14:paraId="3A951B25" w14:textId="77777777" w:rsidR="005D2EAC" w:rsidRPr="00F87D10" w:rsidRDefault="005D2EAC" w:rsidP="005D2EAC">
      <w:pPr>
        <w:spacing w:before="120" w:after="120" w:line="240" w:lineRule="auto"/>
        <w:contextualSpacing/>
        <w:jc w:val="both"/>
        <w:rPr>
          <w:rFonts w:ascii="Times New Roman" w:hAnsi="Times New Roman"/>
          <w:color w:val="000000" w:themeColor="text1"/>
          <w:sz w:val="24"/>
          <w:szCs w:val="24"/>
          <w:lang w:val="en-US"/>
        </w:rPr>
      </w:pPr>
    </w:p>
    <w:p w14:paraId="053F21DA" w14:textId="2F368044" w:rsidR="005D2EAC" w:rsidRPr="00F87D10" w:rsidRDefault="005D2EAC" w:rsidP="005D2EAC">
      <w:pPr>
        <w:spacing w:before="120" w:after="120" w:line="240" w:lineRule="auto"/>
        <w:contextualSpacing/>
        <w:jc w:val="both"/>
        <w:rPr>
          <w:rFonts w:ascii="Times New Roman" w:hAnsi="Times New Roman"/>
          <w:color w:val="000000" w:themeColor="text1"/>
          <w:sz w:val="24"/>
          <w:szCs w:val="24"/>
          <w:lang w:val="en-US"/>
        </w:rPr>
      </w:pPr>
      <w:r w:rsidRPr="00F87D10">
        <w:rPr>
          <w:rFonts w:ascii="Times New Roman" w:hAnsi="Times New Roman"/>
          <w:color w:val="000000" w:themeColor="text1"/>
          <w:sz w:val="24"/>
          <w:szCs w:val="24"/>
          <w:lang w:val="en-US"/>
        </w:rPr>
        <w:t xml:space="preserve">This idea of partnerships was further clarified with the new version of </w:t>
      </w:r>
      <w:r w:rsidRPr="00F87D10">
        <w:rPr>
          <w:rFonts w:ascii="Times New Roman" w:hAnsi="Times New Roman"/>
          <w:i/>
          <w:color w:val="000000" w:themeColor="text1"/>
          <w:sz w:val="24"/>
          <w:szCs w:val="24"/>
          <w:lang w:val="en-US"/>
        </w:rPr>
        <w:t>Global Approach to Migration and Mobility (GAMM)</w:t>
      </w:r>
      <w:r w:rsidRPr="00F87D10">
        <w:rPr>
          <w:rFonts w:ascii="Times New Roman" w:hAnsi="Times New Roman"/>
          <w:color w:val="000000" w:themeColor="text1"/>
          <w:sz w:val="24"/>
          <w:szCs w:val="24"/>
          <w:lang w:val="en-US"/>
        </w:rPr>
        <w:t xml:space="preserve"> published in November 2011. GAMM tried to bring migration out of its security focus and adopt a comprehensive approach, </w:t>
      </w:r>
      <w:r w:rsidR="007E7933" w:rsidRPr="00F87D10">
        <w:rPr>
          <w:rFonts w:ascii="Times New Roman" w:hAnsi="Times New Roman"/>
          <w:color w:val="000000" w:themeColor="text1"/>
          <w:sz w:val="24"/>
          <w:szCs w:val="24"/>
          <w:lang w:val="en-US"/>
        </w:rPr>
        <w:t>emphasizing</w:t>
      </w:r>
      <w:r w:rsidRPr="00F87D10">
        <w:rPr>
          <w:rFonts w:ascii="Times New Roman" w:hAnsi="Times New Roman"/>
          <w:color w:val="000000" w:themeColor="text1"/>
          <w:sz w:val="24"/>
          <w:szCs w:val="24"/>
          <w:lang w:val="en-US"/>
        </w:rPr>
        <w:t xml:space="preserve"> the generally overlooked dimensions, such as development, legal migration and the rights of migrants (European Commission 2011b). As the major policy instrument Mobility Partnerships are endorsed. </w:t>
      </w:r>
    </w:p>
    <w:p w14:paraId="62025FA4" w14:textId="77777777" w:rsidR="005D2EAC" w:rsidRPr="00F87D10" w:rsidRDefault="005D2EAC" w:rsidP="005D2EAC">
      <w:pPr>
        <w:spacing w:before="120" w:after="120" w:line="240" w:lineRule="auto"/>
        <w:contextualSpacing/>
        <w:jc w:val="both"/>
        <w:rPr>
          <w:rFonts w:ascii="Times New Roman" w:hAnsi="Times New Roman"/>
          <w:color w:val="000000" w:themeColor="text1"/>
          <w:sz w:val="24"/>
          <w:szCs w:val="24"/>
          <w:lang w:val="en-US"/>
        </w:rPr>
      </w:pPr>
    </w:p>
    <w:p w14:paraId="101C004E" w14:textId="1E96C95A" w:rsidR="005D2EAC" w:rsidRPr="00F87D10" w:rsidRDefault="005D2EAC" w:rsidP="005D2EAC">
      <w:pPr>
        <w:spacing w:before="120" w:after="120" w:line="240" w:lineRule="auto"/>
        <w:contextualSpacing/>
        <w:jc w:val="both"/>
        <w:rPr>
          <w:rFonts w:ascii="Times New Roman" w:hAnsi="Times New Roman"/>
          <w:color w:val="000000" w:themeColor="text1"/>
          <w:sz w:val="24"/>
          <w:szCs w:val="24"/>
          <w:lang w:val="en-US"/>
        </w:rPr>
      </w:pPr>
      <w:r w:rsidRPr="00F87D10">
        <w:rPr>
          <w:rFonts w:ascii="Times New Roman" w:hAnsi="Times New Roman"/>
          <w:color w:val="000000" w:themeColor="text1"/>
          <w:sz w:val="24"/>
          <w:szCs w:val="24"/>
          <w:lang w:val="en-US"/>
        </w:rPr>
        <w:t xml:space="preserve">GAMM is prepared with a very conscious language, both promoting Euro-centric benefits but also highlighting the need for protecting the rights of migrants. The remit of GAMM is built on four pillars: legal migration and mobility, irregular migration and trafficking in human beings, international protection and asylum policy and </w:t>
      </w:r>
      <w:r w:rsidR="007E7933" w:rsidRPr="00F87D10">
        <w:rPr>
          <w:rFonts w:ascii="Times New Roman" w:hAnsi="Times New Roman"/>
          <w:color w:val="000000" w:themeColor="text1"/>
          <w:sz w:val="24"/>
          <w:szCs w:val="24"/>
          <w:lang w:val="en-US"/>
        </w:rPr>
        <w:t>maximizing</w:t>
      </w:r>
      <w:r w:rsidRPr="00F87D10">
        <w:rPr>
          <w:rFonts w:ascii="Times New Roman" w:hAnsi="Times New Roman"/>
          <w:color w:val="000000" w:themeColor="text1"/>
          <w:sz w:val="24"/>
          <w:szCs w:val="24"/>
          <w:lang w:val="en-US"/>
        </w:rPr>
        <w:t xml:space="preserve"> the development impact of migration and mobility (European Commission 2011, 6). GAMM also endorses and highlights the importance of RPPs. As already mentioned, the idea behind RPPs is gradual transformation of people in need to other countries. However, in practice we witnessed that it did not work and this resulted in a shameful situation for the EU members in admitting asylum seekers. Norway on its own accepted more refugees than the total of EU-27. Therefore, RPPs function in a way leaving the who</w:t>
      </w:r>
      <w:r w:rsidRPr="00F87D10">
        <w:rPr>
          <w:rFonts w:ascii="Times New Roman" w:hAnsi="Times New Roman"/>
          <w:color w:val="000000" w:themeColor="text1"/>
          <w:sz w:val="24"/>
          <w:szCs w:val="24"/>
          <w:lang w:val="en-US"/>
        </w:rPr>
        <w:t>le burden in the poorer neighbo</w:t>
      </w:r>
      <w:r w:rsidRPr="00F87D10">
        <w:rPr>
          <w:rFonts w:ascii="Times New Roman" w:hAnsi="Times New Roman"/>
          <w:color w:val="000000" w:themeColor="text1"/>
          <w:sz w:val="24"/>
          <w:szCs w:val="24"/>
          <w:lang w:val="en-US"/>
        </w:rPr>
        <w:t xml:space="preserve">rs of conflict zones and help to prevent people crossing to Europe, ie a de facto solution for migration control. </w:t>
      </w:r>
    </w:p>
    <w:p w14:paraId="4CF0FD48" w14:textId="77777777" w:rsidR="005D2EAC" w:rsidRPr="00F87D10" w:rsidRDefault="005D2EAC" w:rsidP="005D2EAC">
      <w:pPr>
        <w:spacing w:before="120" w:after="120" w:line="240" w:lineRule="auto"/>
        <w:contextualSpacing/>
        <w:jc w:val="both"/>
        <w:rPr>
          <w:rFonts w:ascii="Times New Roman" w:hAnsi="Times New Roman"/>
          <w:color w:val="000000" w:themeColor="text1"/>
          <w:sz w:val="24"/>
          <w:szCs w:val="24"/>
          <w:lang w:val="en-US"/>
        </w:rPr>
      </w:pPr>
    </w:p>
    <w:p w14:paraId="1230F2F9" w14:textId="2CAB63A5" w:rsidR="005D2EAC" w:rsidRPr="00F87D10" w:rsidRDefault="005D2EAC" w:rsidP="00D75D4F">
      <w:pPr>
        <w:spacing w:before="120" w:after="120" w:line="240" w:lineRule="auto"/>
        <w:contextualSpacing/>
        <w:jc w:val="both"/>
        <w:rPr>
          <w:rFonts w:ascii="Times New Roman" w:hAnsi="Times New Roman"/>
          <w:color w:val="000000" w:themeColor="text1"/>
          <w:sz w:val="24"/>
          <w:szCs w:val="24"/>
          <w:lang w:val="en-US"/>
        </w:rPr>
      </w:pPr>
      <w:r w:rsidRPr="00F87D10">
        <w:rPr>
          <w:rFonts w:ascii="Times New Roman" w:hAnsi="Times New Roman"/>
          <w:color w:val="000000" w:themeColor="text1"/>
          <w:sz w:val="24"/>
          <w:szCs w:val="24"/>
          <w:lang w:val="en-US"/>
        </w:rPr>
        <w:t xml:space="preserve">GAMM further clarifies the aim of the EU as “…systematically …move[ing] towards strong, close partnerships that build on mutual trust and shared interests, paving the way for further regional </w:t>
      </w:r>
      <w:r w:rsidRPr="00F87D10">
        <w:rPr>
          <w:rFonts w:ascii="Times New Roman" w:hAnsi="Times New Roman"/>
          <w:color w:val="000000" w:themeColor="text1"/>
          <w:sz w:val="24"/>
          <w:szCs w:val="24"/>
          <w:lang w:val="en-US"/>
        </w:rPr>
        <w:lastRenderedPageBreak/>
        <w:t xml:space="preserve">integration” (European Commission 2011, 8). How far the Union approximates this aim is disputable. Carrera et al (2012) correctly underline the non-dialogical nature of the partnership the Union tries to sign with its </w:t>
      </w:r>
      <w:r w:rsidR="007E7933" w:rsidRPr="00F87D10">
        <w:rPr>
          <w:rFonts w:ascii="Times New Roman" w:hAnsi="Times New Roman"/>
          <w:color w:val="000000" w:themeColor="text1"/>
          <w:sz w:val="24"/>
          <w:szCs w:val="24"/>
          <w:lang w:val="en-US"/>
        </w:rPr>
        <w:t>neighbors</w:t>
      </w:r>
      <w:r w:rsidRPr="00F87D10">
        <w:rPr>
          <w:rFonts w:ascii="Times New Roman" w:hAnsi="Times New Roman"/>
          <w:color w:val="000000" w:themeColor="text1"/>
          <w:sz w:val="24"/>
          <w:szCs w:val="24"/>
          <w:lang w:val="en-US"/>
        </w:rPr>
        <w:t xml:space="preserve"> right after the Arab Spring, to which readmission agreements are a crucial precondition. Mobility partnerships were introduced as the panacea for moving away from security emphasis towards adopting a more dialogical and comprehensive approach to mobility the first round of partnerships fall short of this claim. It is possible to trace the heavy emphasis on border control and increasing the capacity of the partner country to be able to access to labor migratory channels (Carrera et al, 2012). Despite a new emphasis on democracy building in the region, the Union`s approach to migration seem not to have changes from its traditional trajectory (Fargues and Fandrcih 2012). The difference of mobility partnerships has been only in discourse by “provid[ing] a more </w:t>
      </w:r>
      <w:r w:rsidR="007E7933" w:rsidRPr="00F87D10">
        <w:rPr>
          <w:rFonts w:ascii="Times New Roman" w:hAnsi="Times New Roman"/>
          <w:color w:val="000000" w:themeColor="text1"/>
          <w:sz w:val="24"/>
          <w:szCs w:val="24"/>
          <w:lang w:val="en-US"/>
        </w:rPr>
        <w:t>favorable</w:t>
      </w:r>
      <w:r w:rsidRPr="00F87D10">
        <w:rPr>
          <w:rFonts w:ascii="Times New Roman" w:hAnsi="Times New Roman"/>
          <w:color w:val="000000" w:themeColor="text1"/>
          <w:sz w:val="24"/>
          <w:szCs w:val="24"/>
          <w:lang w:val="en-US"/>
        </w:rPr>
        <w:t xml:space="preserve"> framework for the EU to pursue its traditional external policy agenda (readmission and countering irregular migration) utilizing the discourse of development, partnership and mobility promoted by the Global Approach, without altering its traditional policy goals” (Carrera et al, 2012: 12).</w:t>
      </w:r>
    </w:p>
    <w:p w14:paraId="45678E7F" w14:textId="77777777" w:rsidR="00854747" w:rsidRPr="00F87D10" w:rsidRDefault="00854747" w:rsidP="00D75D4F">
      <w:pPr>
        <w:spacing w:before="120" w:after="120" w:line="240" w:lineRule="auto"/>
        <w:contextualSpacing/>
        <w:jc w:val="both"/>
        <w:rPr>
          <w:rFonts w:ascii="Times New Roman" w:hAnsi="Times New Roman"/>
          <w:b/>
          <w:color w:val="000000" w:themeColor="text1"/>
          <w:sz w:val="24"/>
          <w:szCs w:val="24"/>
          <w:lang w:val="en-US"/>
        </w:rPr>
      </w:pPr>
    </w:p>
    <w:p w14:paraId="12A24F1E" w14:textId="3FD309BC" w:rsidR="00C72EF8" w:rsidRPr="00F87D10" w:rsidRDefault="002D20CE" w:rsidP="00D75D4F">
      <w:pPr>
        <w:spacing w:before="120" w:after="120" w:line="240" w:lineRule="auto"/>
        <w:contextualSpacing/>
        <w:jc w:val="both"/>
        <w:rPr>
          <w:rFonts w:ascii="Times New Roman" w:hAnsi="Times New Roman"/>
          <w:b/>
          <w:color w:val="000000" w:themeColor="text1"/>
          <w:sz w:val="24"/>
          <w:szCs w:val="24"/>
          <w:lang w:val="en-US"/>
        </w:rPr>
      </w:pPr>
      <w:r w:rsidRPr="00F87D10">
        <w:rPr>
          <w:rFonts w:ascii="Times New Roman" w:hAnsi="Times New Roman"/>
          <w:b/>
          <w:color w:val="000000" w:themeColor="text1"/>
          <w:sz w:val="24"/>
          <w:szCs w:val="24"/>
          <w:lang w:val="en-US"/>
        </w:rPr>
        <w:t xml:space="preserve">THE </w:t>
      </w:r>
      <w:r w:rsidR="004C0E1A" w:rsidRPr="00F87D10">
        <w:rPr>
          <w:rFonts w:ascii="Times New Roman" w:hAnsi="Times New Roman"/>
          <w:b/>
          <w:color w:val="000000" w:themeColor="text1"/>
          <w:sz w:val="24"/>
          <w:szCs w:val="24"/>
          <w:lang w:val="en-US"/>
        </w:rPr>
        <w:t xml:space="preserve">SECOND ROUND: </w:t>
      </w:r>
      <w:r w:rsidR="003D4C57" w:rsidRPr="00F87D10">
        <w:rPr>
          <w:rFonts w:ascii="Times New Roman" w:hAnsi="Times New Roman"/>
          <w:b/>
          <w:color w:val="000000" w:themeColor="text1"/>
          <w:sz w:val="24"/>
          <w:szCs w:val="24"/>
          <w:lang w:val="en-US"/>
        </w:rPr>
        <w:t>EU’S RESPONSE TO INCREASED FLOWS IN 2015</w:t>
      </w:r>
      <w:r w:rsidR="000853B2" w:rsidRPr="00F87D10">
        <w:rPr>
          <w:rFonts w:ascii="Times New Roman" w:hAnsi="Times New Roman"/>
          <w:b/>
          <w:color w:val="000000" w:themeColor="text1"/>
          <w:sz w:val="24"/>
          <w:szCs w:val="24"/>
          <w:lang w:val="en-US"/>
        </w:rPr>
        <w:t xml:space="preserve"> AND ONWARDS</w:t>
      </w:r>
    </w:p>
    <w:p w14:paraId="3FB3CF5B" w14:textId="77777777" w:rsidR="005F2CE2" w:rsidRPr="00F87D10" w:rsidRDefault="005F2CE2" w:rsidP="00D75D4F">
      <w:pPr>
        <w:spacing w:before="120" w:after="120" w:line="240" w:lineRule="auto"/>
        <w:contextualSpacing/>
        <w:jc w:val="both"/>
        <w:rPr>
          <w:rFonts w:ascii="Times New Roman" w:hAnsi="Times New Roman"/>
          <w:b/>
          <w:color w:val="000000" w:themeColor="text1"/>
          <w:sz w:val="24"/>
          <w:szCs w:val="24"/>
          <w:lang w:val="en-US"/>
        </w:rPr>
      </w:pPr>
    </w:p>
    <w:p w14:paraId="6882F7C3" w14:textId="7C31AF15" w:rsidR="00C72EF8" w:rsidRPr="00F87D10" w:rsidRDefault="00805594" w:rsidP="00200F5D">
      <w:pPr>
        <w:spacing w:before="120" w:after="120" w:line="240" w:lineRule="auto"/>
        <w:contextualSpacing/>
        <w:jc w:val="both"/>
        <w:rPr>
          <w:rFonts w:ascii="Times New Roman" w:hAnsi="Times New Roman"/>
          <w:color w:val="000000" w:themeColor="text1"/>
          <w:sz w:val="24"/>
          <w:szCs w:val="24"/>
          <w:lang w:val="en-US"/>
        </w:rPr>
      </w:pPr>
      <w:r w:rsidRPr="00F87D10">
        <w:rPr>
          <w:rFonts w:ascii="Times New Roman" w:hAnsi="Times New Roman"/>
          <w:color w:val="000000" w:themeColor="text1"/>
          <w:sz w:val="24"/>
          <w:szCs w:val="24"/>
          <w:lang w:val="en-US"/>
        </w:rPr>
        <w:t xml:space="preserve">As the EU was working to regulate the migratory flows from the </w:t>
      </w:r>
      <w:r w:rsidR="002505E5" w:rsidRPr="00F87D10">
        <w:rPr>
          <w:rFonts w:ascii="Times New Roman" w:hAnsi="Times New Roman"/>
          <w:color w:val="000000" w:themeColor="text1"/>
          <w:sz w:val="24"/>
          <w:szCs w:val="24"/>
          <w:lang w:val="en-US"/>
        </w:rPr>
        <w:t>south</w:t>
      </w:r>
      <w:r w:rsidRPr="00F87D10">
        <w:rPr>
          <w:rFonts w:ascii="Times New Roman" w:hAnsi="Times New Roman"/>
          <w:color w:val="000000" w:themeColor="text1"/>
          <w:sz w:val="24"/>
          <w:szCs w:val="24"/>
          <w:lang w:val="en-US"/>
        </w:rPr>
        <w:t xml:space="preserve">, </w:t>
      </w:r>
      <w:r w:rsidR="00ED7B91" w:rsidRPr="00F87D10">
        <w:rPr>
          <w:rFonts w:ascii="Times New Roman" w:hAnsi="Times New Roman"/>
          <w:color w:val="000000" w:themeColor="text1"/>
          <w:sz w:val="24"/>
          <w:szCs w:val="24"/>
          <w:lang w:val="en-US"/>
        </w:rPr>
        <w:t>when</w:t>
      </w:r>
      <w:r w:rsidR="002505E5" w:rsidRPr="00F87D10">
        <w:rPr>
          <w:rFonts w:ascii="Times New Roman" w:hAnsi="Times New Roman"/>
          <w:color w:val="000000" w:themeColor="text1"/>
          <w:sz w:val="24"/>
          <w:szCs w:val="24"/>
          <w:lang w:val="en-US"/>
        </w:rPr>
        <w:t xml:space="preserve"> the clashes intensified in Syria migratory pressure moved to the eastern borders. </w:t>
      </w:r>
      <w:r w:rsidR="00200F5D" w:rsidRPr="00F87D10">
        <w:rPr>
          <w:rFonts w:ascii="Times New Roman" w:hAnsi="Times New Roman"/>
          <w:color w:val="000000" w:themeColor="text1"/>
          <w:sz w:val="24"/>
          <w:szCs w:val="24"/>
          <w:lang w:val="en-US"/>
        </w:rPr>
        <w:t>The increasing migratory flows in 2015 and 2016 “</w:t>
      </w:r>
      <w:r w:rsidR="00C72EF8" w:rsidRPr="00F87D10">
        <w:rPr>
          <w:rFonts w:ascii="Times New Roman" w:hAnsi="Times New Roman"/>
          <w:color w:val="000000" w:themeColor="text1"/>
          <w:sz w:val="24"/>
          <w:szCs w:val="24"/>
          <w:lang w:val="en-US"/>
        </w:rPr>
        <w:t>presented the Euro</w:t>
      </w:r>
      <w:r w:rsidR="00AB1D97" w:rsidRPr="00F87D10">
        <w:rPr>
          <w:rFonts w:ascii="Times New Roman" w:hAnsi="Times New Roman"/>
          <w:color w:val="000000" w:themeColor="text1"/>
          <w:sz w:val="24"/>
          <w:szCs w:val="24"/>
          <w:lang w:val="en-US"/>
        </w:rPr>
        <w:t>pean Union with a transn</w:t>
      </w:r>
      <w:r w:rsidR="00C72EF8" w:rsidRPr="00F87D10">
        <w:rPr>
          <w:rFonts w:ascii="Times New Roman" w:hAnsi="Times New Roman"/>
          <w:color w:val="000000" w:themeColor="text1"/>
          <w:sz w:val="24"/>
          <w:szCs w:val="24"/>
          <w:lang w:val="en-US"/>
        </w:rPr>
        <w:t xml:space="preserve">ational (and existential) crisis in a policy area that had not been </w:t>
      </w:r>
      <w:r w:rsidR="00D34DDF" w:rsidRPr="00F87D10">
        <w:rPr>
          <w:rFonts w:ascii="Times New Roman" w:hAnsi="Times New Roman"/>
          <w:color w:val="000000" w:themeColor="text1"/>
          <w:sz w:val="24"/>
          <w:szCs w:val="24"/>
          <w:lang w:val="en-US"/>
        </w:rPr>
        <w:t>constructed</w:t>
      </w:r>
      <w:r w:rsidR="00C72EF8" w:rsidRPr="00F87D10">
        <w:rPr>
          <w:rFonts w:ascii="Times New Roman" w:hAnsi="Times New Roman"/>
          <w:color w:val="000000" w:themeColor="text1"/>
          <w:sz w:val="24"/>
          <w:szCs w:val="24"/>
          <w:lang w:val="en-US"/>
        </w:rPr>
        <w:t xml:space="preserve"> to manage fast paced change. Deep political dissent and complex divisions of power between EU institutions, as well as between Member States</w:t>
      </w:r>
      <w:r w:rsidR="00200F5D" w:rsidRPr="00F87D10">
        <w:rPr>
          <w:rFonts w:ascii="Times New Roman" w:hAnsi="Times New Roman"/>
          <w:color w:val="000000" w:themeColor="text1"/>
          <w:sz w:val="24"/>
          <w:szCs w:val="24"/>
          <w:lang w:val="en-US"/>
        </w:rPr>
        <w:t>”  slowed the Union</w:t>
      </w:r>
      <w:r w:rsidR="00C72EF8" w:rsidRPr="00F87D10">
        <w:rPr>
          <w:rFonts w:ascii="Times New Roman" w:hAnsi="Times New Roman"/>
          <w:color w:val="000000" w:themeColor="text1"/>
          <w:sz w:val="24"/>
          <w:szCs w:val="24"/>
          <w:lang w:val="en-US"/>
        </w:rPr>
        <w:t>,</w:t>
      </w:r>
      <w:r w:rsidR="00200F5D" w:rsidRPr="00F87D10">
        <w:rPr>
          <w:rFonts w:ascii="Times New Roman" w:hAnsi="Times New Roman"/>
          <w:color w:val="000000" w:themeColor="text1"/>
          <w:sz w:val="24"/>
          <w:szCs w:val="24"/>
          <w:lang w:val="en-US"/>
        </w:rPr>
        <w:t xml:space="preserve"> in responding leading to deeper tensions</w:t>
      </w:r>
      <w:r w:rsidR="00C72EF8" w:rsidRPr="00F87D10">
        <w:rPr>
          <w:rFonts w:ascii="Times New Roman" w:hAnsi="Times New Roman"/>
          <w:color w:val="000000" w:themeColor="text1"/>
          <w:sz w:val="24"/>
          <w:szCs w:val="24"/>
          <w:lang w:val="en-US"/>
        </w:rPr>
        <w:t xml:space="preserve"> (</w:t>
      </w:r>
      <w:r w:rsidR="009863FB" w:rsidRPr="00F87D10">
        <w:rPr>
          <w:rFonts w:ascii="Times New Roman" w:hAnsi="Times New Roman"/>
          <w:color w:val="000000" w:themeColor="text1"/>
          <w:sz w:val="24"/>
          <w:szCs w:val="24"/>
          <w:lang w:val="en-US"/>
        </w:rPr>
        <w:t xml:space="preserve">Collet and Le Coz, 2018: 1). </w:t>
      </w:r>
    </w:p>
    <w:p w14:paraId="17A54B2E" w14:textId="77777777" w:rsidR="00985E8E" w:rsidRPr="00F87D10" w:rsidRDefault="00985E8E" w:rsidP="00D75D4F">
      <w:pPr>
        <w:spacing w:before="120" w:after="120" w:line="240" w:lineRule="auto"/>
        <w:contextualSpacing/>
        <w:jc w:val="both"/>
        <w:rPr>
          <w:rFonts w:ascii="Times New Roman" w:hAnsi="Times New Roman"/>
          <w:color w:val="000000" w:themeColor="text1"/>
          <w:sz w:val="24"/>
          <w:szCs w:val="24"/>
          <w:lang w:val="en-US"/>
        </w:rPr>
      </w:pPr>
    </w:p>
    <w:p w14:paraId="78A36330" w14:textId="7BC144B1" w:rsidR="007850CA" w:rsidRPr="00C40EC1" w:rsidRDefault="00AB1D97"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During this period plethora of initiatives have been discussed in various EU summits</w:t>
      </w:r>
      <w:r w:rsidR="007850CA" w:rsidRPr="00C40EC1">
        <w:rPr>
          <w:rFonts w:ascii="Times New Roman" w:hAnsi="Times New Roman"/>
          <w:sz w:val="24"/>
          <w:szCs w:val="24"/>
          <w:lang w:val="en-US"/>
        </w:rPr>
        <w:t>,</w:t>
      </w:r>
      <w:r w:rsidRPr="00C40EC1">
        <w:rPr>
          <w:rFonts w:ascii="Times New Roman" w:hAnsi="Times New Roman"/>
          <w:sz w:val="24"/>
          <w:szCs w:val="24"/>
          <w:lang w:val="en-US"/>
        </w:rPr>
        <w:t xml:space="preserve"> some of which included third countries</w:t>
      </w:r>
      <w:r w:rsidR="00277359" w:rsidRPr="00C40EC1">
        <w:rPr>
          <w:rFonts w:ascii="Times New Roman" w:hAnsi="Times New Roman"/>
          <w:sz w:val="24"/>
          <w:szCs w:val="24"/>
          <w:lang w:val="en-US"/>
        </w:rPr>
        <w:t xml:space="preserve"> such as Turkey which will be discussed further below</w:t>
      </w:r>
      <w:r w:rsidRPr="00C40EC1">
        <w:rPr>
          <w:rFonts w:ascii="Times New Roman" w:hAnsi="Times New Roman"/>
          <w:sz w:val="24"/>
          <w:szCs w:val="24"/>
          <w:lang w:val="en-US"/>
        </w:rPr>
        <w:t xml:space="preserve">. </w:t>
      </w:r>
      <w:r w:rsidR="00200F5D" w:rsidRPr="00C40EC1">
        <w:rPr>
          <w:rFonts w:ascii="Times New Roman" w:hAnsi="Times New Roman"/>
          <w:sz w:val="24"/>
          <w:szCs w:val="24"/>
          <w:lang w:val="en-US"/>
        </w:rPr>
        <w:t>In an effort to mobilize and show solidarity with the frontline states and outside countries an initiative of the Union</w:t>
      </w:r>
      <w:r w:rsidR="00C02A5A" w:rsidRPr="00C40EC1">
        <w:rPr>
          <w:rFonts w:ascii="Times New Roman" w:hAnsi="Times New Roman"/>
          <w:sz w:val="24"/>
          <w:szCs w:val="24"/>
          <w:lang w:val="en-US"/>
        </w:rPr>
        <w:t xml:space="preserve"> has been setting up a temporary relocation system. </w:t>
      </w:r>
      <w:r w:rsidR="00EC3DF9" w:rsidRPr="00C40EC1">
        <w:rPr>
          <w:rFonts w:ascii="Times New Roman" w:hAnsi="Times New Roman"/>
          <w:sz w:val="24"/>
          <w:szCs w:val="24"/>
          <w:lang w:val="en-US"/>
        </w:rPr>
        <w:t xml:space="preserve">According to </w:t>
      </w:r>
      <w:r w:rsidR="00200F5D" w:rsidRPr="00C40EC1">
        <w:rPr>
          <w:rFonts w:ascii="Times New Roman" w:hAnsi="Times New Roman"/>
          <w:sz w:val="24"/>
          <w:szCs w:val="24"/>
          <w:lang w:val="en-US"/>
        </w:rPr>
        <w:t xml:space="preserve">the </w:t>
      </w:r>
      <w:r w:rsidR="00A235C3" w:rsidRPr="00C40EC1">
        <w:rPr>
          <w:rFonts w:ascii="Times New Roman" w:hAnsi="Times New Roman"/>
          <w:sz w:val="24"/>
          <w:szCs w:val="24"/>
          <w:lang w:val="en-US"/>
        </w:rPr>
        <w:t xml:space="preserve"> </w:t>
      </w:r>
      <w:r w:rsidR="00EC3DF9" w:rsidRPr="00C40EC1">
        <w:rPr>
          <w:rFonts w:ascii="Times New Roman" w:hAnsi="Times New Roman"/>
          <w:sz w:val="24"/>
          <w:szCs w:val="24"/>
          <w:lang w:val="en-US"/>
        </w:rPr>
        <w:t>Dublin system, the first country of entry would be responsible for processing the asylum claims, however this new relocation system aims to bring in new criteria to distribute the burden.</w:t>
      </w:r>
      <w:r w:rsidR="00FA5ACB" w:rsidRPr="00C40EC1">
        <w:rPr>
          <w:rFonts w:ascii="Times New Roman" w:hAnsi="Times New Roman"/>
          <w:sz w:val="24"/>
          <w:szCs w:val="24"/>
          <w:lang w:val="en-US"/>
        </w:rPr>
        <w:t xml:space="preserve"> Dublin regime was oft critiqued for leaving the burden on the shoulders of border states, though this initiative Commission was hoping to build a more equitable burden sharing mecha</w:t>
      </w:r>
      <w:r w:rsidR="00361CD4">
        <w:rPr>
          <w:rFonts w:ascii="Times New Roman" w:hAnsi="Times New Roman"/>
          <w:sz w:val="24"/>
          <w:szCs w:val="24"/>
          <w:lang w:val="en-US"/>
        </w:rPr>
        <w:t>n</w:t>
      </w:r>
      <w:r w:rsidR="00FA5ACB" w:rsidRPr="00C40EC1">
        <w:rPr>
          <w:rFonts w:ascii="Times New Roman" w:hAnsi="Times New Roman"/>
          <w:sz w:val="24"/>
          <w:szCs w:val="24"/>
          <w:lang w:val="en-US"/>
        </w:rPr>
        <w:t>ism.</w:t>
      </w:r>
      <w:r w:rsidR="00EC3DF9" w:rsidRPr="00C40EC1">
        <w:rPr>
          <w:rFonts w:ascii="Times New Roman" w:hAnsi="Times New Roman"/>
          <w:sz w:val="24"/>
          <w:szCs w:val="24"/>
          <w:lang w:val="en-US"/>
        </w:rPr>
        <w:t xml:space="preserve"> </w:t>
      </w:r>
    </w:p>
    <w:p w14:paraId="5964AD82" w14:textId="77777777" w:rsidR="007850CA" w:rsidRPr="00C40EC1" w:rsidRDefault="00EC3DF9" w:rsidP="007850CA">
      <w:pPr>
        <w:spacing w:before="120" w:after="120" w:line="240" w:lineRule="auto"/>
        <w:ind w:left="720"/>
        <w:contextualSpacing/>
        <w:jc w:val="both"/>
        <w:rPr>
          <w:rFonts w:ascii="Times New Roman" w:hAnsi="Times New Roman"/>
          <w:sz w:val="24"/>
          <w:szCs w:val="24"/>
          <w:lang w:val="en-US"/>
        </w:rPr>
      </w:pPr>
      <w:r w:rsidRPr="00C40EC1">
        <w:rPr>
          <w:rFonts w:ascii="Times New Roman" w:hAnsi="Times New Roman"/>
          <w:sz w:val="24"/>
          <w:szCs w:val="24"/>
          <w:lang w:val="en-US"/>
        </w:rPr>
        <w:t>On the basis of the Commission’s initiative, the member states adopted a Resolution on relocating from Greece and Italy 40,000 persons in clear need of international protection of 22 July 2015, which was complemented on September 3</w:t>
      </w:r>
      <w:r w:rsidRPr="00C40EC1">
        <w:rPr>
          <w:rFonts w:ascii="Times New Roman" w:hAnsi="Times New Roman"/>
          <w:sz w:val="24"/>
          <w:szCs w:val="24"/>
          <w:vertAlign w:val="superscript"/>
          <w:lang w:val="en-US"/>
        </w:rPr>
        <w:t>rd</w:t>
      </w:r>
      <w:r w:rsidRPr="00C40EC1">
        <w:rPr>
          <w:rFonts w:ascii="Times New Roman" w:hAnsi="Times New Roman"/>
          <w:sz w:val="24"/>
          <w:szCs w:val="24"/>
          <w:lang w:val="en-US"/>
        </w:rPr>
        <w:t xml:space="preserve"> by an additional Council Decision on the temporary relocation of 120,000 asylum seekers from Greece and Italy.</w:t>
      </w:r>
      <w:r w:rsidR="007850CA" w:rsidRPr="00C40EC1">
        <w:rPr>
          <w:rFonts w:ascii="Times New Roman" w:hAnsi="Times New Roman"/>
          <w:sz w:val="24"/>
          <w:szCs w:val="24"/>
          <w:lang w:val="en-US"/>
        </w:rPr>
        <w:t xml:space="preserve"> </w:t>
      </w:r>
      <w:r w:rsidRPr="00C40EC1">
        <w:rPr>
          <w:rFonts w:ascii="Times New Roman" w:hAnsi="Times New Roman"/>
          <w:sz w:val="24"/>
          <w:szCs w:val="24"/>
          <w:lang w:val="en-US"/>
        </w:rPr>
        <w:t xml:space="preserve">EU member states had also committed themselves in July 2015 to resettling over 22,000 </w:t>
      </w:r>
      <w:r w:rsidR="007850CA" w:rsidRPr="00C40EC1">
        <w:rPr>
          <w:rFonts w:ascii="Times New Roman" w:hAnsi="Times New Roman"/>
          <w:sz w:val="24"/>
          <w:szCs w:val="24"/>
          <w:lang w:val="en-US"/>
        </w:rPr>
        <w:t>people from outside Europe</w:t>
      </w:r>
      <w:r w:rsidRPr="00C40EC1">
        <w:rPr>
          <w:rFonts w:ascii="Times New Roman" w:hAnsi="Times New Roman"/>
          <w:sz w:val="24"/>
          <w:szCs w:val="24"/>
          <w:lang w:val="en-US"/>
        </w:rPr>
        <w:t xml:space="preserve"> (Carrera et al, 2015: 5). </w:t>
      </w:r>
    </w:p>
    <w:p w14:paraId="7E52EAA0" w14:textId="77777777" w:rsidR="00FA5ACB" w:rsidRPr="00C40EC1" w:rsidRDefault="00FA5ACB" w:rsidP="007850CA">
      <w:pPr>
        <w:spacing w:before="120" w:after="120" w:line="240" w:lineRule="auto"/>
        <w:contextualSpacing/>
        <w:jc w:val="both"/>
        <w:rPr>
          <w:rFonts w:ascii="Times New Roman" w:hAnsi="Times New Roman"/>
          <w:sz w:val="24"/>
          <w:szCs w:val="24"/>
          <w:lang w:val="en-US"/>
        </w:rPr>
      </w:pPr>
    </w:p>
    <w:p w14:paraId="4F4B7587" w14:textId="77777777" w:rsidR="00FA5ACB" w:rsidRPr="00C40EC1" w:rsidRDefault="00EC3DF9" w:rsidP="00D75D4F">
      <w:pPr>
        <w:spacing w:before="120" w:after="120" w:line="240" w:lineRule="auto"/>
        <w:contextualSpacing/>
        <w:jc w:val="both"/>
        <w:rPr>
          <w:rFonts w:ascii="Times New Roman" w:hAnsi="Times New Roman"/>
          <w:color w:val="000000" w:themeColor="text1"/>
          <w:sz w:val="24"/>
          <w:szCs w:val="24"/>
          <w:lang w:val="en-US"/>
        </w:rPr>
      </w:pPr>
      <w:r w:rsidRPr="00C40EC1">
        <w:rPr>
          <w:rFonts w:ascii="Times New Roman" w:hAnsi="Times New Roman"/>
          <w:sz w:val="24"/>
          <w:szCs w:val="24"/>
          <w:lang w:val="en-US"/>
        </w:rPr>
        <w:t xml:space="preserve">In practice many of these slots were not filled due to the reluctance of member states in resettling refugees. </w:t>
      </w:r>
      <w:r w:rsidR="00755073" w:rsidRPr="00C40EC1">
        <w:rPr>
          <w:rFonts w:ascii="Times New Roman" w:hAnsi="Times New Roman"/>
          <w:color w:val="000000" w:themeColor="text1"/>
          <w:sz w:val="24"/>
          <w:szCs w:val="24"/>
          <w:lang w:val="en-US"/>
        </w:rPr>
        <w:t xml:space="preserve">Increased loss of life on Central Mediterranean route triggered the preparation of a ten point plan drafted by DG Home staff. This evolved to the </w:t>
      </w:r>
      <w:r w:rsidR="00755073" w:rsidRPr="00C40EC1">
        <w:rPr>
          <w:rFonts w:ascii="Times New Roman" w:hAnsi="Times New Roman"/>
          <w:i/>
          <w:color w:val="000000" w:themeColor="text1"/>
          <w:sz w:val="24"/>
          <w:szCs w:val="24"/>
          <w:lang w:val="en-US"/>
        </w:rPr>
        <w:t>European Agenda on Migration</w:t>
      </w:r>
      <w:r w:rsidR="00755073" w:rsidRPr="00C40EC1">
        <w:rPr>
          <w:rFonts w:ascii="Times New Roman" w:hAnsi="Times New Roman"/>
          <w:color w:val="000000" w:themeColor="text1"/>
          <w:sz w:val="24"/>
          <w:szCs w:val="24"/>
          <w:lang w:val="en-US"/>
        </w:rPr>
        <w:t xml:space="preserve"> published in May 2015 as a communication from the Commission. “The key innovation in the agenda document was its proposal to create a set of ‘hotspots’. Vague in its articulation, the broad </w:t>
      </w:r>
      <w:r w:rsidR="00755073" w:rsidRPr="00C40EC1">
        <w:rPr>
          <w:rFonts w:ascii="Times New Roman" w:hAnsi="Times New Roman"/>
          <w:color w:val="000000" w:themeColor="text1"/>
          <w:sz w:val="24"/>
          <w:szCs w:val="24"/>
          <w:lang w:val="en-US"/>
        </w:rPr>
        <w:lastRenderedPageBreak/>
        <w:t xml:space="preserve">goal was to bring EU agencies to work </w:t>
      </w:r>
      <w:r w:rsidR="00FA5ACB" w:rsidRPr="00C40EC1">
        <w:rPr>
          <w:rFonts w:ascii="Times New Roman" w:hAnsi="Times New Roman"/>
          <w:color w:val="000000" w:themeColor="text1"/>
          <w:sz w:val="24"/>
          <w:szCs w:val="24"/>
          <w:lang w:val="en-US"/>
        </w:rPr>
        <w:t>o</w:t>
      </w:r>
      <w:r w:rsidR="00755073" w:rsidRPr="00C40EC1">
        <w:rPr>
          <w:rFonts w:ascii="Times New Roman" w:hAnsi="Times New Roman"/>
          <w:color w:val="000000" w:themeColor="text1"/>
          <w:sz w:val="24"/>
          <w:szCs w:val="24"/>
          <w:lang w:val="en-US"/>
        </w:rPr>
        <w:t xml:space="preserve">n the ground with frontline Member States to identify, register, and fingerprint incoming migrants.” (Collet and Le Coz, 2018: 10). </w:t>
      </w:r>
    </w:p>
    <w:p w14:paraId="220CEDCD" w14:textId="77777777" w:rsidR="00FA5ACB" w:rsidRPr="00C40EC1" w:rsidRDefault="00FA5ACB" w:rsidP="00D75D4F">
      <w:pPr>
        <w:spacing w:before="120" w:after="120" w:line="240" w:lineRule="auto"/>
        <w:contextualSpacing/>
        <w:jc w:val="both"/>
        <w:rPr>
          <w:rFonts w:ascii="Times New Roman" w:hAnsi="Times New Roman"/>
          <w:color w:val="000000" w:themeColor="text1"/>
          <w:sz w:val="24"/>
          <w:szCs w:val="24"/>
          <w:lang w:val="en-US"/>
        </w:rPr>
      </w:pPr>
    </w:p>
    <w:p w14:paraId="08914431" w14:textId="7E61B38F" w:rsidR="00EC3DF9" w:rsidRPr="00C40EC1" w:rsidRDefault="00755073"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color w:val="000000" w:themeColor="text1"/>
          <w:sz w:val="24"/>
          <w:szCs w:val="24"/>
          <w:lang w:val="en-US"/>
        </w:rPr>
        <w:t xml:space="preserve">Up until 2015 migration crisis was seen mostly as a crisis for Italy. During the summer of 2015 migratory flows moved to east from Turkey to Greece. A major response was setting up hotspots in Italy and then in Greece to help these countries process new arrivals and prevent backlogs of applications. These required coordination between EU agencies, national and local governments, civil society organizations and international agencies. </w:t>
      </w:r>
      <w:r w:rsidR="00EC3DF9" w:rsidRPr="00C40EC1">
        <w:rPr>
          <w:rFonts w:ascii="Times New Roman" w:hAnsi="Times New Roman"/>
          <w:color w:val="000000" w:themeColor="text1"/>
          <w:sz w:val="24"/>
          <w:szCs w:val="24"/>
          <w:lang w:val="en-US"/>
        </w:rPr>
        <w:t>Frontex, Europol and EASO staff were stationed in member states and helped with identification fingerprinting and registration of migrants. The Union also adopted a Regulation providing a common list of safe third countries. These included candidate countries</w:t>
      </w:r>
      <w:r w:rsidR="00276388" w:rsidRPr="00C40EC1">
        <w:rPr>
          <w:rFonts w:ascii="Times New Roman" w:hAnsi="Times New Roman"/>
          <w:color w:val="000000" w:themeColor="text1"/>
          <w:sz w:val="24"/>
          <w:szCs w:val="24"/>
          <w:lang w:val="en-US"/>
        </w:rPr>
        <w:t xml:space="preserve"> to whic</w:t>
      </w:r>
      <w:r w:rsidR="00FA5ACB" w:rsidRPr="00C40EC1">
        <w:rPr>
          <w:rFonts w:ascii="Times New Roman" w:hAnsi="Times New Roman"/>
          <w:color w:val="000000" w:themeColor="text1"/>
          <w:sz w:val="24"/>
          <w:szCs w:val="24"/>
          <w:lang w:val="en-US"/>
        </w:rPr>
        <w:t>h migrants could be returned.</w:t>
      </w:r>
      <w:r w:rsidR="00276388" w:rsidRPr="00C40EC1">
        <w:rPr>
          <w:rFonts w:ascii="Times New Roman" w:hAnsi="Times New Roman"/>
          <w:color w:val="000000" w:themeColor="text1"/>
          <w:sz w:val="24"/>
          <w:szCs w:val="24"/>
          <w:lang w:val="en-US"/>
        </w:rPr>
        <w:t xml:space="preserve"> </w:t>
      </w:r>
    </w:p>
    <w:p w14:paraId="44ADCC22" w14:textId="77777777" w:rsidR="00755073" w:rsidRPr="00C40EC1" w:rsidRDefault="00755073" w:rsidP="00D75D4F">
      <w:pPr>
        <w:spacing w:before="120" w:after="120" w:line="240" w:lineRule="auto"/>
        <w:contextualSpacing/>
        <w:jc w:val="both"/>
        <w:rPr>
          <w:rFonts w:ascii="Times New Roman" w:hAnsi="Times New Roman"/>
          <w:color w:val="000000" w:themeColor="text1"/>
          <w:sz w:val="24"/>
          <w:szCs w:val="24"/>
          <w:lang w:val="en-US"/>
        </w:rPr>
      </w:pPr>
    </w:p>
    <w:p w14:paraId="4E4B3F0C" w14:textId="5514DB57" w:rsidR="00F61890" w:rsidRPr="00C40EC1" w:rsidRDefault="00F61890" w:rsidP="00D75D4F">
      <w:pPr>
        <w:spacing w:before="120" w:after="120" w:line="240" w:lineRule="auto"/>
        <w:contextualSpacing/>
        <w:jc w:val="both"/>
        <w:rPr>
          <w:rFonts w:ascii="Times New Roman" w:hAnsi="Times New Roman"/>
          <w:color w:val="000000" w:themeColor="text1"/>
          <w:sz w:val="24"/>
          <w:szCs w:val="24"/>
          <w:lang w:val="en-US"/>
        </w:rPr>
      </w:pPr>
      <w:r w:rsidRPr="00C40EC1">
        <w:rPr>
          <w:rFonts w:ascii="Times New Roman" w:hAnsi="Times New Roman"/>
          <w:color w:val="000000" w:themeColor="text1"/>
          <w:sz w:val="24"/>
          <w:szCs w:val="24"/>
          <w:lang w:val="en-US"/>
        </w:rPr>
        <w:t xml:space="preserve">Another initiative of the Commission have been adopting an EU Action Plan against smuggling (COM(2015) 285, EU Action Plan on Return COM(2015) 453 and a Recommendation on Common Return Handbook. A major emphasis of all these documents have been cooperation with third countries on readmission. </w:t>
      </w:r>
      <w:r w:rsidR="007850CA" w:rsidRPr="00C40EC1">
        <w:rPr>
          <w:rFonts w:ascii="Times New Roman" w:hAnsi="Times New Roman"/>
          <w:color w:val="000000" w:themeColor="text1"/>
          <w:sz w:val="24"/>
          <w:szCs w:val="24"/>
          <w:lang w:val="en-US"/>
        </w:rPr>
        <w:t xml:space="preserve"> </w:t>
      </w:r>
      <w:r w:rsidR="00FA5ACB" w:rsidRPr="00C40EC1">
        <w:rPr>
          <w:rFonts w:ascii="Times New Roman" w:hAnsi="Times New Roman"/>
          <w:color w:val="000000" w:themeColor="text1"/>
          <w:sz w:val="24"/>
          <w:szCs w:val="24"/>
          <w:lang w:val="en-US"/>
        </w:rPr>
        <w:t>Building onto previous operations in the Mediterranean,</w:t>
      </w:r>
      <w:r w:rsidR="007850CA" w:rsidRPr="00C40EC1">
        <w:rPr>
          <w:rFonts w:ascii="Times New Roman" w:hAnsi="Times New Roman"/>
          <w:color w:val="000000" w:themeColor="text1"/>
          <w:sz w:val="24"/>
          <w:szCs w:val="24"/>
          <w:lang w:val="en-US"/>
        </w:rPr>
        <w:t xml:space="preserve"> Operation Sophia to combat people smuggling and prevent loss</w:t>
      </w:r>
      <w:r w:rsidR="00FA5ACB" w:rsidRPr="00C40EC1">
        <w:rPr>
          <w:rFonts w:ascii="Times New Roman" w:hAnsi="Times New Roman"/>
          <w:color w:val="000000" w:themeColor="text1"/>
          <w:sz w:val="24"/>
          <w:szCs w:val="24"/>
          <w:lang w:val="en-US"/>
        </w:rPr>
        <w:t xml:space="preserve"> of lives on the Mediterranean </w:t>
      </w:r>
      <w:r w:rsidR="007850CA" w:rsidRPr="00C40EC1">
        <w:rPr>
          <w:rFonts w:ascii="Times New Roman" w:hAnsi="Times New Roman"/>
          <w:color w:val="000000" w:themeColor="text1"/>
          <w:sz w:val="24"/>
          <w:szCs w:val="24"/>
          <w:lang w:val="en-US"/>
        </w:rPr>
        <w:t>was announced as a result of Council meeting on 18 May 2015. The operation had three phases focusing surveillance and assessing smuggling networks, searching and if necessary diversion of suspicious vehicles and disposal of vessels and</w:t>
      </w:r>
      <w:r w:rsidR="007850CA" w:rsidRPr="00C40EC1">
        <w:rPr>
          <w:rFonts w:ascii="Arial" w:eastAsia="Times New Roman" w:hAnsi="Arial" w:cs="Arial"/>
          <w:color w:val="000000" w:themeColor="text1"/>
          <w:sz w:val="21"/>
          <w:szCs w:val="21"/>
          <w:shd w:val="clear" w:color="auto" w:fill="FFFFFF"/>
          <w:lang w:val="en-US"/>
        </w:rPr>
        <w:t xml:space="preserve"> </w:t>
      </w:r>
      <w:r w:rsidR="007850CA" w:rsidRPr="00C40EC1">
        <w:rPr>
          <w:rFonts w:ascii="Times New Roman" w:hAnsi="Times New Roman"/>
          <w:color w:val="000000" w:themeColor="text1"/>
          <w:sz w:val="24"/>
          <w:szCs w:val="24"/>
          <w:lang w:val="en-US"/>
        </w:rPr>
        <w:t xml:space="preserve">related assets, preferably before use, and to apprehend traffickers and smugglers. The Union had an initial budget of 11 million Euros for the operation, which eventually was extended the following two years. Unfortunately, Operation Sophia could not succeed in preventing human loss on the Mediterranean. “Less than a month into 2018, more than 200 people have already died or gone missing at sea, according to IOM” (PBS, 2018). </w:t>
      </w:r>
    </w:p>
    <w:p w14:paraId="4B28503C" w14:textId="77777777" w:rsidR="007850CA" w:rsidRPr="00C40EC1" w:rsidRDefault="007850CA" w:rsidP="00D75D4F">
      <w:pPr>
        <w:spacing w:before="120" w:after="120" w:line="240" w:lineRule="auto"/>
        <w:jc w:val="both"/>
        <w:rPr>
          <w:rFonts w:ascii="Times New Roman" w:hAnsi="Times New Roman"/>
          <w:color w:val="000000" w:themeColor="text1"/>
          <w:sz w:val="24"/>
          <w:szCs w:val="24"/>
          <w:lang w:val="en-US"/>
        </w:rPr>
      </w:pPr>
    </w:p>
    <w:p w14:paraId="4FA0DC68" w14:textId="651DBBE0" w:rsidR="00276388" w:rsidRPr="00C40EC1" w:rsidRDefault="00F61890" w:rsidP="00D75D4F">
      <w:pPr>
        <w:spacing w:before="120" w:after="120" w:line="240" w:lineRule="auto"/>
        <w:jc w:val="both"/>
        <w:rPr>
          <w:rFonts w:ascii="Times New Roman" w:hAnsi="Times New Roman"/>
          <w:color w:val="000000" w:themeColor="text1"/>
          <w:sz w:val="24"/>
          <w:szCs w:val="24"/>
          <w:lang w:val="en-US"/>
        </w:rPr>
      </w:pPr>
      <w:r w:rsidRPr="00C40EC1">
        <w:rPr>
          <w:rFonts w:ascii="Times New Roman" w:hAnsi="Times New Roman"/>
          <w:color w:val="000000" w:themeColor="text1"/>
          <w:sz w:val="24"/>
          <w:szCs w:val="24"/>
          <w:lang w:val="en-US"/>
        </w:rPr>
        <w:t>Along with shuffling of funds to support strained member state</w:t>
      </w:r>
      <w:r w:rsidR="00FA5ACB" w:rsidRPr="00C40EC1">
        <w:rPr>
          <w:rFonts w:ascii="Times New Roman" w:hAnsi="Times New Roman"/>
          <w:color w:val="000000" w:themeColor="text1"/>
          <w:sz w:val="24"/>
          <w:szCs w:val="24"/>
          <w:lang w:val="en-US"/>
        </w:rPr>
        <w:t>s, the Commission also proposed</w:t>
      </w:r>
      <w:r w:rsidR="007850CA" w:rsidRPr="00C40EC1">
        <w:rPr>
          <w:rFonts w:ascii="Times New Roman" w:hAnsi="Times New Roman"/>
          <w:color w:val="000000" w:themeColor="text1"/>
          <w:sz w:val="24"/>
          <w:szCs w:val="24"/>
          <w:lang w:val="en-US"/>
        </w:rPr>
        <w:t xml:space="preserve"> </w:t>
      </w:r>
      <w:r w:rsidRPr="00C40EC1">
        <w:rPr>
          <w:rFonts w:ascii="Times New Roman" w:hAnsi="Times New Roman"/>
          <w:color w:val="000000" w:themeColor="text1"/>
          <w:sz w:val="24"/>
          <w:szCs w:val="24"/>
          <w:lang w:val="en-US"/>
        </w:rPr>
        <w:t xml:space="preserve">a European border and coast guard (EC, 2015). This foresee strengthening Frontex’s competencies and evolving it to a functioning European border and coast guard mechanism. The agency would have two ultimate goals, standardizing EU border management standards and supporting frontline states operationally (Carrera et al 2015, 11). “The model running the Agency would work on the basis of liaison officers who would be sent or seconded by the Agency to the EU member states’ concerned. They would be fully integrated into the national authorities’ work and information systems, so that the Agency would be informed ‘in real time’” (Carrera et al, 2015: 12). </w:t>
      </w:r>
      <w:r w:rsidR="005F6F72" w:rsidRPr="00C40EC1">
        <w:rPr>
          <w:rFonts w:ascii="Times New Roman" w:hAnsi="Times New Roman"/>
          <w:color w:val="000000" w:themeColor="text1"/>
          <w:sz w:val="24"/>
          <w:szCs w:val="24"/>
          <w:lang w:val="en-US"/>
        </w:rPr>
        <w:t>On 18 December 2015, the </w:t>
      </w:r>
      <w:hyperlink r:id="rId7" w:tooltip="European Council" w:history="1">
        <w:r w:rsidR="005F6F72" w:rsidRPr="00C40EC1">
          <w:rPr>
            <w:rFonts w:ascii="Times New Roman" w:hAnsi="Times New Roman"/>
            <w:color w:val="000000" w:themeColor="text1"/>
            <w:sz w:val="24"/>
            <w:szCs w:val="24"/>
            <w:lang w:val="en-US"/>
          </w:rPr>
          <w:t>European Council</w:t>
        </w:r>
      </w:hyperlink>
      <w:r w:rsidR="005F6F72" w:rsidRPr="00C40EC1">
        <w:rPr>
          <w:rFonts w:ascii="Times New Roman" w:hAnsi="Times New Roman"/>
          <w:color w:val="000000" w:themeColor="text1"/>
          <w:sz w:val="24"/>
          <w:szCs w:val="24"/>
          <w:lang w:val="en-US"/>
        </w:rPr>
        <w:t> supported the proposal and after a vote by the </w:t>
      </w:r>
      <w:hyperlink r:id="rId8" w:tooltip="European Parliament" w:history="1">
        <w:r w:rsidR="005F6F72" w:rsidRPr="00C40EC1">
          <w:rPr>
            <w:rFonts w:ascii="Times New Roman" w:hAnsi="Times New Roman"/>
            <w:color w:val="000000" w:themeColor="text1"/>
            <w:sz w:val="24"/>
            <w:szCs w:val="24"/>
            <w:lang w:val="en-US"/>
          </w:rPr>
          <w:t>European Parliament</w:t>
        </w:r>
      </w:hyperlink>
      <w:r w:rsidR="005F6F72" w:rsidRPr="00C40EC1">
        <w:rPr>
          <w:rFonts w:ascii="Times New Roman" w:hAnsi="Times New Roman"/>
          <w:color w:val="000000" w:themeColor="text1"/>
          <w:sz w:val="24"/>
          <w:szCs w:val="24"/>
          <w:lang w:val="en-US"/>
        </w:rPr>
        <w:t>, the European Border and Coast Guard was officially launched on 6 October 2016 at the Bulgarian external border with Turkey.</w:t>
      </w:r>
    </w:p>
    <w:p w14:paraId="5254363F" w14:textId="2CB6BE00" w:rsidR="005F6F72" w:rsidRPr="00C40EC1" w:rsidRDefault="00276388" w:rsidP="00877B8E">
      <w:pPr>
        <w:pStyle w:val="NormalWeb"/>
        <w:spacing w:before="0" w:beforeAutospacing="0"/>
        <w:jc w:val="both"/>
      </w:pPr>
      <w:r w:rsidRPr="00C40EC1">
        <w:t xml:space="preserve">During October 2015 a series of </w:t>
      </w:r>
      <w:r w:rsidR="0033099F" w:rsidRPr="00C40EC1">
        <w:t>high-level</w:t>
      </w:r>
      <w:r w:rsidRPr="00C40EC1">
        <w:t xml:space="preserve"> meetings were convened that led to adoption of collective action plan and a 17 poin</w:t>
      </w:r>
      <w:r w:rsidR="007850CA" w:rsidRPr="00C40EC1">
        <w:t>t plan for operational measures for the Western Balkans migration route.</w:t>
      </w:r>
      <w:r w:rsidRPr="00C40EC1">
        <w:t xml:space="preserve"> </w:t>
      </w:r>
      <w:r w:rsidR="007850CA" w:rsidRPr="00C40EC1">
        <w:t xml:space="preserve">The action plan covered topics </w:t>
      </w:r>
      <w:r w:rsidR="00877B8E" w:rsidRPr="00C40EC1">
        <w:t xml:space="preserve">like </w:t>
      </w:r>
      <w:r w:rsidR="007850CA" w:rsidRPr="00C40EC1">
        <w:t>permanent exchange of information, limiting secondary movements of migrants, supporting refugees and providing shelter</w:t>
      </w:r>
      <w:r w:rsidR="00877B8E" w:rsidRPr="00C40EC1">
        <w:t>, tackling smuggling and increase efforts to manage borders</w:t>
      </w:r>
      <w:r w:rsidR="00877B8E" w:rsidRPr="00C40EC1">
        <w:rPr>
          <w:rFonts w:ascii="Verdana" w:hAnsi="Verdana"/>
          <w:color w:val="333333"/>
          <w:sz w:val="19"/>
          <w:szCs w:val="19"/>
        </w:rPr>
        <w:t xml:space="preserve">. </w:t>
      </w:r>
      <w:r w:rsidR="00877B8E" w:rsidRPr="00C40EC1">
        <w:t xml:space="preserve">The last item suggested finalizing and implementing an EU-Turkey Action Plan. </w:t>
      </w:r>
      <w:r w:rsidR="005F6F72" w:rsidRPr="00C40EC1">
        <w:t xml:space="preserve">One of the most controversial moves of the Union has been signing the EU-Turkey deal, which was celebrated by the EU agencies as the panacea to all migration problems, whereas criticized by almost all humanitarian agencies for disregarding EU’s obligations emanating from international </w:t>
      </w:r>
      <w:r w:rsidR="00FD630D" w:rsidRPr="00C40EC1">
        <w:t xml:space="preserve">and European </w:t>
      </w:r>
      <w:r w:rsidR="005F6F72" w:rsidRPr="00C40EC1">
        <w:t>law.</w:t>
      </w:r>
    </w:p>
    <w:p w14:paraId="3F3138CB" w14:textId="56D6CFB2" w:rsidR="00D05BE1" w:rsidRPr="00C40EC1" w:rsidRDefault="00D05BE1" w:rsidP="00D75D4F">
      <w:pPr>
        <w:spacing w:before="120" w:after="120" w:line="240" w:lineRule="auto"/>
        <w:contextualSpacing/>
        <w:jc w:val="both"/>
        <w:rPr>
          <w:rFonts w:ascii="Times New Roman" w:hAnsi="Times New Roman"/>
          <w:b/>
          <w:sz w:val="24"/>
          <w:szCs w:val="24"/>
          <w:lang w:val="en-US"/>
        </w:rPr>
      </w:pPr>
      <w:r w:rsidRPr="00C40EC1">
        <w:rPr>
          <w:rFonts w:ascii="Times New Roman" w:hAnsi="Times New Roman"/>
          <w:b/>
          <w:sz w:val="24"/>
          <w:szCs w:val="24"/>
          <w:lang w:val="en-US"/>
        </w:rPr>
        <w:lastRenderedPageBreak/>
        <w:t xml:space="preserve">EU TURKEY </w:t>
      </w:r>
      <w:r w:rsidR="001600BC" w:rsidRPr="00C40EC1">
        <w:rPr>
          <w:rFonts w:ascii="Times New Roman" w:hAnsi="Times New Roman"/>
          <w:b/>
          <w:sz w:val="24"/>
          <w:szCs w:val="24"/>
          <w:lang w:val="en-US"/>
        </w:rPr>
        <w:t xml:space="preserve">MIGRATION </w:t>
      </w:r>
      <w:r w:rsidRPr="00C40EC1">
        <w:rPr>
          <w:rFonts w:ascii="Times New Roman" w:hAnsi="Times New Roman"/>
          <w:b/>
          <w:sz w:val="24"/>
          <w:szCs w:val="24"/>
          <w:lang w:val="en-US"/>
        </w:rPr>
        <w:t>DEAL</w:t>
      </w:r>
    </w:p>
    <w:p w14:paraId="18309282" w14:textId="31DB63C8" w:rsidR="001600BC" w:rsidRPr="00C40EC1" w:rsidRDefault="003C5576"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Members of the European Council and representative</w:t>
      </w:r>
      <w:r w:rsidR="001600BC" w:rsidRPr="00C40EC1">
        <w:rPr>
          <w:rFonts w:ascii="Times New Roman" w:hAnsi="Times New Roman"/>
          <w:sz w:val="24"/>
          <w:szCs w:val="24"/>
          <w:lang w:val="en-US"/>
        </w:rPr>
        <w:t>s</w:t>
      </w:r>
      <w:r w:rsidR="006E526F" w:rsidRPr="00C40EC1">
        <w:rPr>
          <w:rFonts w:ascii="Times New Roman" w:hAnsi="Times New Roman"/>
          <w:sz w:val="24"/>
          <w:szCs w:val="24"/>
          <w:lang w:val="en-US"/>
        </w:rPr>
        <w:t xml:space="preserve"> from Turkey</w:t>
      </w:r>
      <w:r w:rsidRPr="00C40EC1">
        <w:rPr>
          <w:rFonts w:ascii="Times New Roman" w:hAnsi="Times New Roman"/>
          <w:sz w:val="24"/>
          <w:szCs w:val="24"/>
          <w:lang w:val="en-US"/>
        </w:rPr>
        <w:t xml:space="preserve"> met three times from November 2015 to March 2016 in the heights of </w:t>
      </w:r>
      <w:r w:rsidR="00060FC6">
        <w:rPr>
          <w:rFonts w:ascii="Times New Roman" w:hAnsi="Times New Roman"/>
          <w:sz w:val="24"/>
          <w:szCs w:val="24"/>
          <w:lang w:val="en-US"/>
        </w:rPr>
        <w:t xml:space="preserve">the </w:t>
      </w:r>
      <w:r w:rsidRPr="00C40EC1">
        <w:rPr>
          <w:rFonts w:ascii="Times New Roman" w:hAnsi="Times New Roman"/>
          <w:sz w:val="24"/>
          <w:szCs w:val="24"/>
          <w:lang w:val="en-US"/>
        </w:rPr>
        <w:t xml:space="preserve">migrant crisis. </w:t>
      </w:r>
      <w:r w:rsidR="00591D0F" w:rsidRPr="00C40EC1">
        <w:rPr>
          <w:rFonts w:ascii="Times New Roman" w:hAnsi="Times New Roman"/>
          <w:sz w:val="24"/>
          <w:szCs w:val="24"/>
          <w:lang w:val="en-US"/>
        </w:rPr>
        <w:t>This was a period of disorder and terrorism in Turkey, w</w:t>
      </w:r>
      <w:r w:rsidR="006E526F" w:rsidRPr="00C40EC1">
        <w:rPr>
          <w:rFonts w:ascii="Times New Roman" w:hAnsi="Times New Roman"/>
          <w:sz w:val="24"/>
          <w:szCs w:val="24"/>
          <w:lang w:val="en-US"/>
        </w:rPr>
        <w:t>h</w:t>
      </w:r>
      <w:r w:rsidR="00591D0F" w:rsidRPr="00C40EC1">
        <w:rPr>
          <w:rFonts w:ascii="Times New Roman" w:hAnsi="Times New Roman"/>
          <w:sz w:val="24"/>
          <w:szCs w:val="24"/>
          <w:lang w:val="en-US"/>
        </w:rPr>
        <w:t xml:space="preserve">ere bombs exploding in Istanbul and Ankara </w:t>
      </w:r>
      <w:r w:rsidR="006E526F" w:rsidRPr="00C40EC1">
        <w:rPr>
          <w:rFonts w:ascii="Times New Roman" w:hAnsi="Times New Roman"/>
          <w:sz w:val="24"/>
          <w:szCs w:val="24"/>
          <w:lang w:val="en-US"/>
        </w:rPr>
        <w:t xml:space="preserve">were </w:t>
      </w:r>
      <w:r w:rsidR="00591D0F" w:rsidRPr="00C40EC1">
        <w:rPr>
          <w:rFonts w:ascii="Times New Roman" w:hAnsi="Times New Roman"/>
          <w:sz w:val="24"/>
          <w:szCs w:val="24"/>
          <w:lang w:val="en-US"/>
        </w:rPr>
        <w:t>raising concerns about the porous nature of Turkish borders</w:t>
      </w:r>
      <w:r w:rsidR="006E526F" w:rsidRPr="00C40EC1">
        <w:rPr>
          <w:rFonts w:ascii="Times New Roman" w:hAnsi="Times New Roman"/>
          <w:sz w:val="24"/>
          <w:szCs w:val="24"/>
          <w:lang w:val="en-US"/>
        </w:rPr>
        <w:t xml:space="preserve"> and the integrity of the state</w:t>
      </w:r>
      <w:r w:rsidR="00591D0F" w:rsidRPr="00C40EC1">
        <w:rPr>
          <w:rFonts w:ascii="Times New Roman" w:hAnsi="Times New Roman"/>
          <w:sz w:val="24"/>
          <w:szCs w:val="24"/>
          <w:lang w:val="en-US"/>
        </w:rPr>
        <w:t>. On November 29, 2015 both parties agreed on a joint action plan</w:t>
      </w:r>
      <w:r w:rsidR="001600BC" w:rsidRPr="00C40EC1">
        <w:rPr>
          <w:rFonts w:ascii="Times New Roman" w:hAnsi="Times New Roman"/>
          <w:sz w:val="24"/>
          <w:szCs w:val="24"/>
          <w:lang w:val="en-US"/>
        </w:rPr>
        <w:t xml:space="preserve"> that was announced by the Commission on 15 October 2015</w:t>
      </w:r>
      <w:r w:rsidR="00591D0F" w:rsidRPr="00C40EC1">
        <w:rPr>
          <w:rFonts w:ascii="Times New Roman" w:hAnsi="Times New Roman"/>
          <w:sz w:val="24"/>
          <w:szCs w:val="24"/>
          <w:lang w:val="en-US"/>
        </w:rPr>
        <w:t>.</w:t>
      </w:r>
      <w:r w:rsidR="001600BC" w:rsidRPr="00C40EC1">
        <w:rPr>
          <w:rFonts w:ascii="Times New Roman" w:hAnsi="Times New Roman"/>
          <w:sz w:val="24"/>
          <w:szCs w:val="24"/>
          <w:lang w:val="en-US"/>
        </w:rPr>
        <w:t xml:space="preserve"> </w:t>
      </w:r>
    </w:p>
    <w:p w14:paraId="0798A089" w14:textId="0179122F" w:rsidR="001600BC" w:rsidRPr="00C40EC1" w:rsidRDefault="001600BC"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The joint</w:t>
      </w:r>
      <w:r w:rsidR="00920043" w:rsidRPr="00C40EC1">
        <w:rPr>
          <w:rFonts w:ascii="Times New Roman" w:hAnsi="Times New Roman"/>
          <w:sz w:val="24"/>
          <w:szCs w:val="24"/>
          <w:lang w:val="en-US"/>
        </w:rPr>
        <w:t xml:space="preserve"> action plan claimed to address the crisis in three ways: </w:t>
      </w:r>
      <w:r w:rsidR="006E526F" w:rsidRPr="00C40EC1">
        <w:rPr>
          <w:rFonts w:ascii="Times New Roman" w:hAnsi="Times New Roman"/>
          <w:sz w:val="24"/>
          <w:szCs w:val="24"/>
          <w:lang w:val="en-US"/>
        </w:rPr>
        <w:t xml:space="preserve"> </w:t>
      </w:r>
      <w:r w:rsidR="00920043" w:rsidRPr="00C40EC1">
        <w:rPr>
          <w:rFonts w:ascii="Times New Roman" w:hAnsi="Times New Roman"/>
          <w:sz w:val="24"/>
          <w:szCs w:val="24"/>
          <w:lang w:val="en-US"/>
        </w:rPr>
        <w:t xml:space="preserve"> </w:t>
      </w:r>
      <w:r w:rsidR="006E526F" w:rsidRPr="00C40EC1">
        <w:rPr>
          <w:rFonts w:ascii="Times New Roman" w:hAnsi="Times New Roman"/>
          <w:sz w:val="24"/>
          <w:szCs w:val="24"/>
          <w:lang w:val="en-US"/>
        </w:rPr>
        <w:t>tackling</w:t>
      </w:r>
      <w:r w:rsidR="00920043" w:rsidRPr="00C40EC1">
        <w:rPr>
          <w:rFonts w:ascii="Times New Roman" w:hAnsi="Times New Roman"/>
          <w:sz w:val="24"/>
          <w:szCs w:val="24"/>
          <w:lang w:val="en-US"/>
        </w:rPr>
        <w:t xml:space="preserve"> the root causes leading to</w:t>
      </w:r>
      <w:r w:rsidR="006E526F" w:rsidRPr="00C40EC1">
        <w:rPr>
          <w:rFonts w:ascii="Times New Roman" w:hAnsi="Times New Roman"/>
          <w:sz w:val="24"/>
          <w:szCs w:val="24"/>
          <w:lang w:val="en-US"/>
        </w:rPr>
        <w:t xml:space="preserve"> the massive influx of Syrians,</w:t>
      </w:r>
      <w:r w:rsidR="00920043" w:rsidRPr="00C40EC1">
        <w:rPr>
          <w:rFonts w:ascii="Times New Roman" w:hAnsi="Times New Roman"/>
          <w:sz w:val="24"/>
          <w:szCs w:val="24"/>
          <w:lang w:val="en-US"/>
        </w:rPr>
        <w:t xml:space="preserve"> </w:t>
      </w:r>
      <w:r w:rsidR="006E526F" w:rsidRPr="00C40EC1">
        <w:rPr>
          <w:rFonts w:ascii="Times New Roman" w:hAnsi="Times New Roman"/>
          <w:sz w:val="24"/>
          <w:szCs w:val="24"/>
          <w:lang w:val="en-US"/>
        </w:rPr>
        <w:t>assisting</w:t>
      </w:r>
      <w:r w:rsidR="00920043" w:rsidRPr="00C40EC1">
        <w:rPr>
          <w:rFonts w:ascii="Times New Roman" w:hAnsi="Times New Roman"/>
          <w:sz w:val="24"/>
          <w:szCs w:val="24"/>
          <w:lang w:val="en-US"/>
        </w:rPr>
        <w:t xml:space="preserve"> Syrians under temporary protection and their host communities in Turkey</w:t>
      </w:r>
      <w:r w:rsidR="006E526F" w:rsidRPr="00C40EC1">
        <w:rPr>
          <w:rFonts w:ascii="Times New Roman" w:hAnsi="Times New Roman"/>
          <w:sz w:val="24"/>
          <w:szCs w:val="24"/>
          <w:lang w:val="en-US"/>
        </w:rPr>
        <w:t xml:space="preserve"> and enhancing </w:t>
      </w:r>
      <w:r w:rsidR="00920043" w:rsidRPr="00C40EC1">
        <w:rPr>
          <w:rFonts w:ascii="Times New Roman" w:hAnsi="Times New Roman"/>
          <w:sz w:val="24"/>
          <w:szCs w:val="24"/>
          <w:lang w:val="en-US"/>
        </w:rPr>
        <w:t xml:space="preserve">cooperation to prevent irregular migration flows to the EU (Commission, 2015). The plan had a reference to burden sharing on the side of the Union and Visa </w:t>
      </w:r>
      <w:r w:rsidR="000E3C19" w:rsidRPr="00C40EC1">
        <w:rPr>
          <w:rFonts w:ascii="Times New Roman" w:hAnsi="Times New Roman"/>
          <w:sz w:val="24"/>
          <w:szCs w:val="24"/>
          <w:lang w:val="en-US"/>
        </w:rPr>
        <w:t>Liberalization</w:t>
      </w:r>
      <w:r w:rsidR="00920043" w:rsidRPr="00C40EC1">
        <w:rPr>
          <w:rFonts w:ascii="Times New Roman" w:hAnsi="Times New Roman"/>
          <w:sz w:val="24"/>
          <w:szCs w:val="24"/>
          <w:lang w:val="en-US"/>
        </w:rPr>
        <w:t xml:space="preserve"> Dialogue for Turkish citizens to be executed simul</w:t>
      </w:r>
      <w:r w:rsidR="006E526F" w:rsidRPr="00C40EC1">
        <w:rPr>
          <w:rFonts w:ascii="Times New Roman" w:hAnsi="Times New Roman"/>
          <w:sz w:val="24"/>
          <w:szCs w:val="24"/>
          <w:lang w:val="en-US"/>
        </w:rPr>
        <w:t xml:space="preserve">taneously. </w:t>
      </w:r>
      <w:r w:rsidR="00E4116B">
        <w:rPr>
          <w:rFonts w:ascii="Times New Roman" w:hAnsi="Times New Roman"/>
          <w:sz w:val="24"/>
          <w:szCs w:val="24"/>
          <w:lang w:val="en-US"/>
        </w:rPr>
        <w:t>It</w:t>
      </w:r>
      <w:r w:rsidR="006E526F" w:rsidRPr="00C40EC1">
        <w:rPr>
          <w:rFonts w:ascii="Times New Roman" w:hAnsi="Times New Roman"/>
          <w:sz w:val="24"/>
          <w:szCs w:val="24"/>
          <w:lang w:val="en-US"/>
        </w:rPr>
        <w:t xml:space="preserve"> also foresaw</w:t>
      </w:r>
      <w:r w:rsidR="00920043" w:rsidRPr="00C40EC1">
        <w:rPr>
          <w:rFonts w:ascii="Times New Roman" w:hAnsi="Times New Roman"/>
          <w:sz w:val="24"/>
          <w:szCs w:val="24"/>
          <w:lang w:val="en-US"/>
        </w:rPr>
        <w:t xml:space="preserve"> establishing an EU-Turkey high level working group on migration to follow through the implementation. </w:t>
      </w:r>
    </w:p>
    <w:p w14:paraId="3A2EE7E4" w14:textId="77777777" w:rsidR="00920043" w:rsidRPr="00C40EC1" w:rsidRDefault="00920043" w:rsidP="00D75D4F">
      <w:pPr>
        <w:spacing w:before="120" w:after="120" w:line="240" w:lineRule="auto"/>
        <w:contextualSpacing/>
        <w:jc w:val="both"/>
        <w:rPr>
          <w:rFonts w:ascii="Times New Roman" w:hAnsi="Times New Roman"/>
          <w:sz w:val="24"/>
          <w:szCs w:val="24"/>
          <w:lang w:val="en-US"/>
        </w:rPr>
      </w:pPr>
    </w:p>
    <w:p w14:paraId="1CCCD4D5" w14:textId="1C923B3E" w:rsidR="00920043" w:rsidRDefault="00920043"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Through the plan the EU committed</w:t>
      </w:r>
      <w:r w:rsidR="008E6CC6">
        <w:rPr>
          <w:rFonts w:ascii="Times New Roman" w:hAnsi="Times New Roman"/>
          <w:sz w:val="24"/>
          <w:szCs w:val="24"/>
          <w:lang w:val="en-US"/>
        </w:rPr>
        <w:t xml:space="preserve"> 3 Billion </w:t>
      </w:r>
      <w:r w:rsidRPr="00C40EC1">
        <w:rPr>
          <w:rFonts w:ascii="Times New Roman" w:hAnsi="Times New Roman"/>
          <w:sz w:val="24"/>
          <w:szCs w:val="24"/>
          <w:lang w:val="en-US"/>
        </w:rPr>
        <w:t>to support Syrians in Turkey. The money would be available through the EU Trust Fund for the Syrian crisis to enable flexibility and speed for releasing the funds</w:t>
      </w:r>
      <w:r w:rsidR="008E6CC6">
        <w:rPr>
          <w:rFonts w:ascii="Times New Roman" w:hAnsi="Times New Roman"/>
          <w:sz w:val="24"/>
          <w:szCs w:val="24"/>
          <w:lang w:val="en-US"/>
        </w:rPr>
        <w:t xml:space="preserve">, which Turkey </w:t>
      </w:r>
      <w:r w:rsidR="00E54CFA">
        <w:rPr>
          <w:rFonts w:ascii="Times New Roman" w:hAnsi="Times New Roman"/>
          <w:sz w:val="24"/>
          <w:szCs w:val="24"/>
          <w:lang w:val="en-US"/>
        </w:rPr>
        <w:t>negotiated</w:t>
      </w:r>
      <w:r w:rsidR="008E6CC6">
        <w:rPr>
          <w:rFonts w:ascii="Times New Roman" w:hAnsi="Times New Roman"/>
          <w:sz w:val="24"/>
          <w:szCs w:val="24"/>
          <w:lang w:val="en-US"/>
        </w:rPr>
        <w:t xml:space="preserve"> for</w:t>
      </w:r>
      <w:r w:rsidRPr="00C40EC1">
        <w:rPr>
          <w:rFonts w:ascii="Times New Roman" w:hAnsi="Times New Roman"/>
          <w:sz w:val="24"/>
          <w:szCs w:val="24"/>
          <w:lang w:val="en-US"/>
        </w:rPr>
        <w:t>. The EU also committed itself in working with Turkish authorities in ide</w:t>
      </w:r>
      <w:r w:rsidR="00E54CFA">
        <w:rPr>
          <w:rFonts w:ascii="Times New Roman" w:hAnsi="Times New Roman"/>
          <w:sz w:val="24"/>
          <w:szCs w:val="24"/>
          <w:lang w:val="en-US"/>
        </w:rPr>
        <w:t>ntifying the priority areas. It</w:t>
      </w:r>
      <w:r w:rsidRPr="00C40EC1">
        <w:rPr>
          <w:rFonts w:ascii="Times New Roman" w:hAnsi="Times New Roman"/>
          <w:sz w:val="24"/>
          <w:szCs w:val="24"/>
          <w:lang w:val="en-US"/>
        </w:rPr>
        <w:t xml:space="preserve"> proposed a comprehensive joint needs assessment to </w:t>
      </w:r>
      <w:r w:rsidR="00060FC6">
        <w:rPr>
          <w:rFonts w:ascii="Times New Roman" w:hAnsi="Times New Roman"/>
          <w:sz w:val="24"/>
          <w:szCs w:val="24"/>
          <w:lang w:val="en-US"/>
        </w:rPr>
        <w:t xml:space="preserve">design the actions to be taken as well as </w:t>
      </w:r>
      <w:r w:rsidR="00DF45F1" w:rsidRPr="00C40EC1">
        <w:rPr>
          <w:rFonts w:ascii="Times New Roman" w:hAnsi="Times New Roman"/>
          <w:sz w:val="24"/>
          <w:szCs w:val="24"/>
          <w:lang w:val="en-US"/>
        </w:rPr>
        <w:t>deploying a FRONTEX liaison to Turkey, support</w:t>
      </w:r>
      <w:r w:rsidR="00060FC6">
        <w:rPr>
          <w:rFonts w:ascii="Times New Roman" w:hAnsi="Times New Roman"/>
          <w:sz w:val="24"/>
          <w:szCs w:val="24"/>
          <w:lang w:val="en-US"/>
        </w:rPr>
        <w:t>ing</w:t>
      </w:r>
      <w:r w:rsidR="00DF45F1" w:rsidRPr="00C40EC1">
        <w:rPr>
          <w:rFonts w:ascii="Times New Roman" w:hAnsi="Times New Roman"/>
          <w:sz w:val="24"/>
          <w:szCs w:val="24"/>
          <w:lang w:val="en-US"/>
        </w:rPr>
        <w:t xml:space="preserve"> </w:t>
      </w:r>
      <w:r w:rsidR="006E526F" w:rsidRPr="00C40EC1">
        <w:rPr>
          <w:rFonts w:ascii="Times New Roman" w:hAnsi="Times New Roman"/>
          <w:sz w:val="24"/>
          <w:szCs w:val="24"/>
          <w:lang w:val="en-US"/>
        </w:rPr>
        <w:t>cooperating</w:t>
      </w:r>
      <w:r w:rsidR="00DF45F1" w:rsidRPr="00C40EC1">
        <w:rPr>
          <w:rFonts w:ascii="Times New Roman" w:hAnsi="Times New Roman"/>
          <w:sz w:val="24"/>
          <w:szCs w:val="24"/>
          <w:lang w:val="en-US"/>
        </w:rPr>
        <w:t xml:space="preserve"> between Turkey and member states in organizing joint return operations and supporting the country’s capacity to combat migrant smuggling by reinforcing Turkish Coast Guard’s surveillance capacity. Turkey also expressed its intention to set up cooperation with Bulgaria and Greece to prevent irregular migration across land borders, accelerate procedures to readmit irregular migrants, align Turkish visa policy with the Union, continue fighting to dismantle criminal smuggling networks by increasing operational cooperation with EU agencies, intensify excha</w:t>
      </w:r>
      <w:r w:rsidR="00E54CFA">
        <w:rPr>
          <w:rFonts w:ascii="Times New Roman" w:hAnsi="Times New Roman"/>
          <w:sz w:val="24"/>
          <w:szCs w:val="24"/>
          <w:lang w:val="en-US"/>
        </w:rPr>
        <w:t>nge of information with FRONTEX</w:t>
      </w:r>
      <w:r w:rsidR="00DF45F1" w:rsidRPr="00C40EC1">
        <w:rPr>
          <w:rFonts w:ascii="Times New Roman" w:hAnsi="Times New Roman"/>
          <w:sz w:val="24"/>
          <w:szCs w:val="24"/>
          <w:lang w:val="en-US"/>
        </w:rPr>
        <w:t xml:space="preserve"> and member states and to deploy a liaison officer to Europol. </w:t>
      </w:r>
    </w:p>
    <w:p w14:paraId="488FCB38" w14:textId="2F910813" w:rsidR="00060FC6" w:rsidRPr="00060FC6" w:rsidRDefault="00060FC6" w:rsidP="00060FC6">
      <w:pPr>
        <w:pStyle w:val="NormalWeb"/>
        <w:spacing w:before="120" w:beforeAutospacing="0" w:after="120" w:afterAutospacing="0"/>
        <w:ind w:left="720"/>
        <w:jc w:val="both"/>
        <w:rPr>
          <w:color w:val="000000" w:themeColor="text1"/>
        </w:rPr>
      </w:pPr>
      <w:r w:rsidRPr="00C40EC1">
        <w:rPr>
          <w:color w:val="000000" w:themeColor="text1"/>
        </w:rPr>
        <w:t xml:space="preserve">For [European] leaders the objective was clear: to find a way to prevent unchecked arrivals into the European Union. The fact that a group of 28 states with increasing divergent interests was able to find consensus speaks to the level of concern that leaders have for their own domestic political futures in a context of rising populism. However, the deal has also unveiled a paradox for European Union that has spent several decades preaching its own high asylum standards to neighboring countries. To achieve its self-imposed goal- a significant reduction in arrivals and an increase in returns to Turkey- policymakers will have to drastically cut legal corners, potentially violating EU law on issues such as detention and the right to appeal (Collett, 2016). </w:t>
      </w:r>
    </w:p>
    <w:p w14:paraId="5B77F13C" w14:textId="77777777" w:rsidR="00DF45F1" w:rsidRPr="00C40EC1" w:rsidRDefault="00DF45F1" w:rsidP="00D75D4F">
      <w:pPr>
        <w:spacing w:before="120" w:after="120" w:line="240" w:lineRule="auto"/>
        <w:contextualSpacing/>
        <w:jc w:val="both"/>
        <w:rPr>
          <w:rFonts w:ascii="Times New Roman" w:hAnsi="Times New Roman"/>
          <w:sz w:val="24"/>
          <w:szCs w:val="24"/>
          <w:lang w:val="en-US"/>
        </w:rPr>
      </w:pPr>
    </w:p>
    <w:p w14:paraId="3544B851" w14:textId="3B5B023D" w:rsidR="001F2581" w:rsidRDefault="00DF45F1" w:rsidP="00D75D4F">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 xml:space="preserve">On March 18, 2016 both parties </w:t>
      </w:r>
      <w:r w:rsidR="006C4BD4">
        <w:rPr>
          <w:rFonts w:ascii="Times New Roman" w:hAnsi="Times New Roman"/>
          <w:sz w:val="24"/>
          <w:szCs w:val="24"/>
          <w:lang w:val="en-US"/>
        </w:rPr>
        <w:t>take stock of developments related to action plan and celebrated</w:t>
      </w:r>
      <w:r w:rsidRPr="00C40EC1">
        <w:rPr>
          <w:rFonts w:ascii="Times New Roman" w:hAnsi="Times New Roman"/>
          <w:sz w:val="24"/>
          <w:szCs w:val="24"/>
          <w:lang w:val="en-US"/>
        </w:rPr>
        <w:t xml:space="preserve"> </w:t>
      </w:r>
      <w:r w:rsidR="006C4BD4">
        <w:rPr>
          <w:rFonts w:ascii="Times New Roman" w:hAnsi="Times New Roman"/>
          <w:sz w:val="24"/>
          <w:szCs w:val="24"/>
          <w:lang w:val="en-US"/>
        </w:rPr>
        <w:t>developments like</w:t>
      </w:r>
      <w:r w:rsidRPr="00C40EC1">
        <w:rPr>
          <w:rFonts w:ascii="Times New Roman" w:hAnsi="Times New Roman"/>
          <w:sz w:val="24"/>
          <w:szCs w:val="24"/>
          <w:lang w:val="en-US"/>
        </w:rPr>
        <w:t xml:space="preserve"> Turkey opening its </w:t>
      </w:r>
      <w:r w:rsidR="006E526F" w:rsidRPr="00C40EC1">
        <w:rPr>
          <w:rFonts w:ascii="Times New Roman" w:hAnsi="Times New Roman"/>
          <w:sz w:val="24"/>
          <w:szCs w:val="24"/>
          <w:lang w:val="en-US"/>
        </w:rPr>
        <w:t>labor</w:t>
      </w:r>
      <w:r w:rsidRPr="00C40EC1">
        <w:rPr>
          <w:rFonts w:ascii="Times New Roman" w:hAnsi="Times New Roman"/>
          <w:sz w:val="24"/>
          <w:szCs w:val="24"/>
          <w:lang w:val="en-US"/>
        </w:rPr>
        <w:t xml:space="preserve"> </w:t>
      </w:r>
      <w:r w:rsidR="00333895" w:rsidRPr="00C40EC1">
        <w:rPr>
          <w:rFonts w:ascii="Times New Roman" w:hAnsi="Times New Roman"/>
          <w:sz w:val="24"/>
          <w:szCs w:val="24"/>
          <w:lang w:val="en-US"/>
        </w:rPr>
        <w:t>market</w:t>
      </w:r>
      <w:r w:rsidRPr="00C40EC1">
        <w:rPr>
          <w:rFonts w:ascii="Times New Roman" w:hAnsi="Times New Roman"/>
          <w:sz w:val="24"/>
          <w:szCs w:val="24"/>
          <w:lang w:val="en-US"/>
        </w:rPr>
        <w:t xml:space="preserve"> to Syrians, introducing new visa requirements for Syrians and other nationalities, increasing security efforts on its borders and coasts, EU starting the disbursement of 3 billion Euros for projects and starting conversations on visa </w:t>
      </w:r>
      <w:r w:rsidR="00185100" w:rsidRPr="00C40EC1">
        <w:rPr>
          <w:rFonts w:ascii="Times New Roman" w:hAnsi="Times New Roman"/>
          <w:sz w:val="24"/>
          <w:szCs w:val="24"/>
          <w:lang w:val="en-US"/>
        </w:rPr>
        <w:t>liberalization</w:t>
      </w:r>
      <w:r w:rsidRPr="00C40EC1">
        <w:rPr>
          <w:rFonts w:ascii="Times New Roman" w:hAnsi="Times New Roman"/>
          <w:sz w:val="24"/>
          <w:szCs w:val="24"/>
          <w:lang w:val="en-US"/>
        </w:rPr>
        <w:t xml:space="preserve"> and revitalizing accession talks</w:t>
      </w:r>
      <w:r w:rsidR="006C4BD4">
        <w:rPr>
          <w:rFonts w:ascii="Times New Roman" w:hAnsi="Times New Roman"/>
          <w:sz w:val="24"/>
          <w:szCs w:val="24"/>
          <w:lang w:val="en-US"/>
        </w:rPr>
        <w:t>. They then</w:t>
      </w:r>
      <w:r w:rsidR="001F2581" w:rsidRPr="00C40EC1">
        <w:rPr>
          <w:rFonts w:ascii="Times New Roman" w:hAnsi="Times New Roman"/>
          <w:sz w:val="24"/>
          <w:szCs w:val="24"/>
          <w:lang w:val="en-US"/>
        </w:rPr>
        <w:t xml:space="preserve"> agreed on further measures to be adopted. The </w:t>
      </w:r>
      <w:r w:rsidR="00FD1E24">
        <w:rPr>
          <w:rFonts w:ascii="Times New Roman" w:hAnsi="Times New Roman"/>
          <w:sz w:val="24"/>
          <w:szCs w:val="24"/>
          <w:lang w:val="en-US"/>
        </w:rPr>
        <w:t xml:space="preserve">agreement in March 2016 brought new layers </w:t>
      </w:r>
      <w:r w:rsidR="006C4BD4">
        <w:rPr>
          <w:rFonts w:ascii="Times New Roman" w:hAnsi="Times New Roman"/>
          <w:sz w:val="24"/>
          <w:szCs w:val="24"/>
          <w:lang w:val="en-US"/>
        </w:rPr>
        <w:t>to the</w:t>
      </w:r>
      <w:r w:rsidR="00FD1E24">
        <w:rPr>
          <w:rFonts w:ascii="Times New Roman" w:hAnsi="Times New Roman"/>
          <w:sz w:val="24"/>
          <w:szCs w:val="24"/>
          <w:lang w:val="en-US"/>
        </w:rPr>
        <w:t xml:space="preserve"> action plan. One of the most controversial of them was returning all-new irregular migrants</w:t>
      </w:r>
      <w:r w:rsidR="006C4BD4">
        <w:rPr>
          <w:rFonts w:ascii="Times New Roman" w:hAnsi="Times New Roman"/>
          <w:sz w:val="24"/>
          <w:szCs w:val="24"/>
          <w:lang w:val="en-US"/>
        </w:rPr>
        <w:t xml:space="preserve"> arriving to Greek islands</w:t>
      </w:r>
      <w:r w:rsidR="00FD1E24">
        <w:rPr>
          <w:rFonts w:ascii="Times New Roman" w:hAnsi="Times New Roman"/>
          <w:sz w:val="24"/>
          <w:szCs w:val="24"/>
          <w:lang w:val="en-US"/>
        </w:rPr>
        <w:t xml:space="preserve"> back to Turkey after March 20</w:t>
      </w:r>
      <w:r w:rsidR="00FD1E24" w:rsidRPr="00FD1E24">
        <w:rPr>
          <w:rFonts w:ascii="Times New Roman" w:hAnsi="Times New Roman"/>
          <w:sz w:val="24"/>
          <w:szCs w:val="24"/>
          <w:vertAlign w:val="superscript"/>
          <w:lang w:val="en-US"/>
        </w:rPr>
        <w:t>th</w:t>
      </w:r>
      <w:r w:rsidR="00FD1E24">
        <w:rPr>
          <w:rFonts w:ascii="Times New Roman" w:hAnsi="Times New Roman"/>
          <w:sz w:val="24"/>
          <w:szCs w:val="24"/>
          <w:lang w:val="en-US"/>
        </w:rPr>
        <w:t xml:space="preserve">. This was defined as a ‘temporary and extraordinary measure’ that needed to be taken to end </w:t>
      </w:r>
      <w:r w:rsidR="00FD1E24">
        <w:rPr>
          <w:rFonts w:ascii="Times New Roman" w:hAnsi="Times New Roman"/>
          <w:sz w:val="24"/>
          <w:szCs w:val="24"/>
          <w:lang w:val="en-US"/>
        </w:rPr>
        <w:lastRenderedPageBreak/>
        <w:t>human suffering and restore public order. The idea of ‘blanket returns’ led to a lot of backlash from humanitarian circles. Even the UN criticized the plan of sending migrants to Turkey in exchange of financial and political rewards</w:t>
      </w:r>
      <w:r w:rsidR="006C4BD4">
        <w:rPr>
          <w:rFonts w:ascii="Times New Roman" w:hAnsi="Times New Roman"/>
          <w:sz w:val="24"/>
          <w:szCs w:val="24"/>
          <w:lang w:val="en-US"/>
        </w:rPr>
        <w:t xml:space="preserve"> (The Guardian, 2016)</w:t>
      </w:r>
      <w:r w:rsidR="00FD1E24">
        <w:rPr>
          <w:rFonts w:ascii="Times New Roman" w:hAnsi="Times New Roman"/>
          <w:sz w:val="24"/>
          <w:szCs w:val="24"/>
          <w:lang w:val="en-US"/>
        </w:rPr>
        <w:t xml:space="preserve">. </w:t>
      </w:r>
      <w:r w:rsidR="003E4381">
        <w:rPr>
          <w:rFonts w:ascii="Times New Roman" w:hAnsi="Times New Roman"/>
          <w:sz w:val="24"/>
          <w:szCs w:val="24"/>
          <w:lang w:val="en-US"/>
        </w:rPr>
        <w:t>However, the Commission argued</w:t>
      </w:r>
    </w:p>
    <w:p w14:paraId="0162BD4E" w14:textId="77777777" w:rsidR="00FD1E24" w:rsidRPr="00C40EC1" w:rsidRDefault="00FD1E24" w:rsidP="00D75D4F">
      <w:pPr>
        <w:spacing w:before="120" w:after="120" w:line="240" w:lineRule="auto"/>
        <w:contextualSpacing/>
        <w:jc w:val="both"/>
        <w:rPr>
          <w:rFonts w:ascii="Times New Roman" w:hAnsi="Times New Roman"/>
          <w:sz w:val="24"/>
          <w:szCs w:val="24"/>
          <w:lang w:val="en-US"/>
        </w:rPr>
      </w:pPr>
    </w:p>
    <w:p w14:paraId="0427368F" w14:textId="68DFC03C" w:rsidR="001F2581" w:rsidRPr="00C40EC1" w:rsidRDefault="00361CD4" w:rsidP="001F2581">
      <w:pPr>
        <w:spacing w:before="120" w:after="120" w:line="240" w:lineRule="auto"/>
        <w:ind w:left="720"/>
        <w:contextualSpacing/>
        <w:jc w:val="both"/>
        <w:rPr>
          <w:rFonts w:ascii="Times New Roman" w:hAnsi="Times New Roman"/>
          <w:sz w:val="24"/>
          <w:szCs w:val="24"/>
          <w:lang w:val="en-US"/>
        </w:rPr>
      </w:pPr>
      <w:r>
        <w:rPr>
          <w:rFonts w:ascii="Times New Roman" w:hAnsi="Times New Roman"/>
          <w:sz w:val="24"/>
          <w:szCs w:val="24"/>
          <w:lang w:val="en-US"/>
        </w:rPr>
        <w:t>[m]</w:t>
      </w:r>
      <w:r w:rsidR="001F2581" w:rsidRPr="00C40EC1">
        <w:rPr>
          <w:rFonts w:ascii="Times New Roman" w:hAnsi="Times New Roman"/>
          <w:sz w:val="24"/>
          <w:szCs w:val="24"/>
          <w:lang w:val="en-US"/>
        </w:rPr>
        <w:t>igrants arriving in the Greek islands will be duly registered and any application for asylum will be processed individually by the Greek authorities in accordance with the Asylum Procedures Directive, in cooperation with UNHCR. Migrants not applying for asylum or whose application has been found unfounded or inadmissible in accordance with the said directive will be returned to Turkey (EC 2016)</w:t>
      </w:r>
      <w:r w:rsidR="003E4381">
        <w:rPr>
          <w:rFonts w:ascii="Times New Roman" w:hAnsi="Times New Roman"/>
          <w:sz w:val="24"/>
          <w:szCs w:val="24"/>
          <w:lang w:val="en-US"/>
        </w:rPr>
        <w:t>.</w:t>
      </w:r>
    </w:p>
    <w:p w14:paraId="5EC1C34F" w14:textId="77777777" w:rsidR="001F2581" w:rsidRPr="00C40EC1" w:rsidRDefault="001F2581" w:rsidP="001F2581">
      <w:pPr>
        <w:spacing w:before="120" w:after="120" w:line="240" w:lineRule="auto"/>
        <w:contextualSpacing/>
        <w:jc w:val="both"/>
        <w:rPr>
          <w:rFonts w:ascii="Times New Roman" w:hAnsi="Times New Roman"/>
          <w:sz w:val="24"/>
          <w:szCs w:val="24"/>
          <w:lang w:val="en-US"/>
        </w:rPr>
      </w:pPr>
    </w:p>
    <w:p w14:paraId="7DFAF9DE" w14:textId="0B6CE17D" w:rsidR="00361CD4" w:rsidRPr="00BA0644" w:rsidRDefault="00361CD4" w:rsidP="00333895">
      <w:pPr>
        <w:pStyle w:val="NormalWeb"/>
        <w:spacing w:before="120" w:beforeAutospacing="0" w:after="120" w:afterAutospacing="0"/>
        <w:jc w:val="both"/>
        <w:rPr>
          <w:color w:val="4F81BD" w:themeColor="accent1"/>
        </w:rPr>
      </w:pPr>
      <w:r w:rsidRPr="00BA0644">
        <w:t>Existing EU law enables return under two cases, the migrant either does not apply or even if they apply they do not qualify for asylum. In this case they would be considered irregular migrants and can be returned to Turkey or any other country if there is an existing readmission agreement. Implementing the readmission agreement with Turkey, hence was crucial for the EU action plan to be materialized. Turkish bureaucracy for years defended signing the readmission agreement with the EU only with full membership. Internal political turmoil and excessive political pressure on bureaucracy led to Turkey signing the readmission agreement without really getting anything substantive in return. The second case where migrants can be returned is when people apply for asylum but are determined to passed through what is considered a third safe country meaning a country they cou</w:t>
      </w:r>
      <w:r w:rsidR="00851743" w:rsidRPr="00BA0644">
        <w:t>ld have applied for protection and receive protection. The discussion relating to Turkey was centered around if the country can actually be designated as safe</w:t>
      </w:r>
      <w:r w:rsidRPr="00BA0644">
        <w:t xml:space="preserve"> (Collett, 2016).</w:t>
      </w:r>
      <w:r w:rsidRPr="00C40EC1">
        <w:t xml:space="preserve"> </w:t>
      </w:r>
      <w:r w:rsidR="00851743">
        <w:t>Again, a country going through the turbulence of a failed coup attempt leading to the purge of hundreds of thousands of people was quite rightly questioned by humanitarian circles if it could be classified as a 3</w:t>
      </w:r>
      <w:r w:rsidR="00851743" w:rsidRPr="00851743">
        <w:rPr>
          <w:vertAlign w:val="superscript"/>
        </w:rPr>
        <w:t>rd</w:t>
      </w:r>
      <w:r w:rsidR="00851743">
        <w:t xml:space="preserve"> safe country. </w:t>
      </w:r>
    </w:p>
    <w:p w14:paraId="4522A6CC" w14:textId="45EA1145" w:rsidR="003E4381" w:rsidRPr="00C40EC1" w:rsidRDefault="001F2581" w:rsidP="00333895">
      <w:pPr>
        <w:pStyle w:val="NormalWeb"/>
        <w:spacing w:before="120" w:beforeAutospacing="0" w:after="120" w:afterAutospacing="0"/>
        <w:jc w:val="both"/>
      </w:pPr>
      <w:r w:rsidRPr="00C40EC1">
        <w:t xml:space="preserve">The second action item of the statement </w:t>
      </w:r>
      <w:r w:rsidR="00BA0644">
        <w:t xml:space="preserve">of March 2016 </w:t>
      </w:r>
      <w:r w:rsidRPr="00C40EC1">
        <w:t>was about a</w:t>
      </w:r>
      <w:r w:rsidR="00837370">
        <w:t xml:space="preserve">dmitting one Syrian refugee </w:t>
      </w:r>
      <w:r w:rsidR="00BA0644">
        <w:t xml:space="preserve">from Turkey </w:t>
      </w:r>
      <w:r w:rsidR="00837370">
        <w:t xml:space="preserve">in exchange </w:t>
      </w:r>
      <w:r w:rsidRPr="00C40EC1">
        <w:t xml:space="preserve">for returning an irregular migrant </w:t>
      </w:r>
      <w:r w:rsidR="00BA0644">
        <w:t xml:space="preserve">from Greece back </w:t>
      </w:r>
      <w:r w:rsidRPr="00C40EC1">
        <w:t xml:space="preserve">to Turkey. The purpose of this clause was not </w:t>
      </w:r>
      <w:r w:rsidR="006E526F" w:rsidRPr="00C40EC1">
        <w:t>self-evident</w:t>
      </w:r>
      <w:r w:rsidRPr="00C40EC1">
        <w:t xml:space="preserve"> to many humanitarian agencies</w:t>
      </w:r>
      <w:r w:rsidR="00BA0C0B">
        <w:t xml:space="preserve">, though the Union claimed </w:t>
      </w:r>
      <w:r w:rsidRPr="00C40EC1">
        <w:t xml:space="preserve">this would activate resettlement mechanisms </w:t>
      </w:r>
      <w:r w:rsidR="003E4381">
        <w:t>to</w:t>
      </w:r>
      <w:r w:rsidR="00913502" w:rsidRPr="00C40EC1">
        <w:t xml:space="preserve"> which member states committed.</w:t>
      </w:r>
      <w:r w:rsidR="003E4381">
        <w:t xml:space="preserve"> However, those would be people who did not try to cross the border to EU illegally and the total number could not be more than 72.000. After being returned to Turkey migrants are being fingerprinted, registered and go through medical checks. Then they are </w:t>
      </w:r>
      <w:r w:rsidR="00BA0644">
        <w:t>sent</w:t>
      </w:r>
      <w:r w:rsidR="003E4381">
        <w:t xml:space="preserve"> to ‘reception and removal centers’ founded with EU money in Ankara, Erzurum, Izmir, Gaziantep, Kayseri, Van and Kirklareli, which then they would be deported to their home countries. UNHCR </w:t>
      </w:r>
      <w:r w:rsidR="00BA0644">
        <w:t xml:space="preserve">stated that </w:t>
      </w:r>
      <w:r w:rsidR="003E4381">
        <w:t xml:space="preserve">it was not a party to the EU-Turkey deal and it would not be involved in returns or detention. </w:t>
      </w:r>
      <w:r w:rsidR="00BA0644">
        <w:t xml:space="preserve">Similarly </w:t>
      </w:r>
      <w:r w:rsidR="003C5006">
        <w:t xml:space="preserve">four </w:t>
      </w:r>
      <w:r w:rsidR="00BA0644">
        <w:t xml:space="preserve">other </w:t>
      </w:r>
      <w:r w:rsidR="003C5006">
        <w:t>aid agencies (IRC, Medicine</w:t>
      </w:r>
      <w:r w:rsidR="003E4381">
        <w:t xml:space="preserve"> San Frontier, Norwegian Refugee Council and Save the Children) said they would not help implementing the deal as blanket returns are </w:t>
      </w:r>
      <w:r w:rsidR="003C5006">
        <w:t>against</w:t>
      </w:r>
      <w:r w:rsidR="003E4381">
        <w:t xml:space="preserve"> the existing international law. </w:t>
      </w:r>
    </w:p>
    <w:p w14:paraId="2941D1E8" w14:textId="20F884C7" w:rsidR="00333895" w:rsidRPr="00BA0644" w:rsidRDefault="00412E67" w:rsidP="002749E9">
      <w:pPr>
        <w:pStyle w:val="NormalWeb"/>
        <w:spacing w:before="0" w:beforeAutospacing="0" w:after="0" w:afterAutospacing="0"/>
        <w:jc w:val="both"/>
      </w:pPr>
      <w:r>
        <w:t xml:space="preserve">In return for Turkey curbing the migrant flow and admitting </w:t>
      </w:r>
      <w:r w:rsidR="00BA0644">
        <w:t xml:space="preserve">irregular </w:t>
      </w:r>
      <w:r>
        <w:t>migrants back, the</w:t>
      </w:r>
      <w:r w:rsidR="00913502" w:rsidRPr="00C40EC1">
        <w:t xml:space="preserve"> Union </w:t>
      </w:r>
      <w:r>
        <w:t>offered</w:t>
      </w:r>
      <w:r w:rsidR="003E4381">
        <w:t xml:space="preserve"> to have </w:t>
      </w:r>
      <w:r w:rsidR="00913502" w:rsidRPr="00C40EC1">
        <w:t>visa liberalization for Turkish citizens</w:t>
      </w:r>
      <w:r>
        <w:t xml:space="preserve"> by June 2016. Although migratory flows were curbed according to EU publications</w:t>
      </w:r>
      <w:r w:rsidR="00BA0644">
        <w:t xml:space="preserve"> almost %90</w:t>
      </w:r>
      <w:r>
        <w:t>, the promise of visa liberalization has not been realized a</w:t>
      </w:r>
      <w:r w:rsidR="003E4381">
        <w:t>fter four years</w:t>
      </w:r>
      <w:r w:rsidR="00913502" w:rsidRPr="00C40EC1">
        <w:t xml:space="preserve">. </w:t>
      </w:r>
      <w:r w:rsidR="00913502" w:rsidRPr="00BA0644">
        <w:t xml:space="preserve">Ankara </w:t>
      </w:r>
      <w:r w:rsidR="00BA0644" w:rsidRPr="00BA0644">
        <w:t xml:space="preserve">was asked to fulfill 72 benchmarks to achieve visa liberalization and she has fulfilled 65 of them. </w:t>
      </w:r>
      <w:r w:rsidR="00913502" w:rsidRPr="00BA0644">
        <w:t>Yet, two out of seven rem</w:t>
      </w:r>
      <w:r w:rsidR="00BA0644" w:rsidRPr="00BA0644">
        <w:t xml:space="preserve">aining criteria continue to be </w:t>
      </w:r>
      <w:r w:rsidR="00913502" w:rsidRPr="00BA0644">
        <w:t>hurdles that Turkey needs to tackle.</w:t>
      </w:r>
      <w:r w:rsidR="00333895" w:rsidRPr="00BA0644">
        <w:t xml:space="preserve"> </w:t>
      </w:r>
      <w:r w:rsidR="00BA0644" w:rsidRPr="00BA0644">
        <w:t>The first</w:t>
      </w:r>
      <w:r w:rsidR="00333895" w:rsidRPr="00BA0644">
        <w:t xml:space="preserve"> is the EU’s demand from Turkey to modify its anti-terror law. </w:t>
      </w:r>
      <w:r w:rsidR="00BA0644" w:rsidRPr="00BA0644">
        <w:t xml:space="preserve">This became quite a sensitive issue after a failed coup attempt as well as PKK </w:t>
      </w:r>
      <w:r w:rsidR="00BA0644" w:rsidRPr="00BA0644">
        <w:lastRenderedPageBreak/>
        <w:t>bombings across the country.  The other issues are related to achieving a</w:t>
      </w:r>
      <w:r w:rsidR="00333895" w:rsidRPr="00BA0644">
        <w:t xml:space="preserve"> deal with the European Police Service (Europol), and regulations on the protection </w:t>
      </w:r>
      <w:r w:rsidR="00BA0644" w:rsidRPr="00BA0644">
        <w:t xml:space="preserve">of personal data with priority. </w:t>
      </w:r>
    </w:p>
    <w:p w14:paraId="18F6674F" w14:textId="77777777" w:rsidR="002749E9" w:rsidRDefault="002749E9" w:rsidP="002749E9">
      <w:pPr>
        <w:pStyle w:val="NormalWeb"/>
        <w:spacing w:before="0" w:beforeAutospacing="0" w:after="0" w:afterAutospacing="0"/>
        <w:jc w:val="both"/>
      </w:pPr>
    </w:p>
    <w:p w14:paraId="75CF3B47" w14:textId="6E25727B" w:rsidR="0036605F" w:rsidRDefault="0036605F" w:rsidP="002749E9">
      <w:pPr>
        <w:pStyle w:val="NormalWeb"/>
        <w:spacing w:before="0" w:beforeAutospacing="0" w:after="0" w:afterAutospacing="0"/>
        <w:jc w:val="both"/>
      </w:pPr>
      <w:r>
        <w:t>Despite the sharp decrease in the numbers of migrants reaching Europe after a year, the agreement continued to receive important criticism. For instance, according to Amnesty International</w:t>
      </w:r>
    </w:p>
    <w:p w14:paraId="7BC3934A" w14:textId="77777777" w:rsidR="002749E9" w:rsidRDefault="002749E9" w:rsidP="002749E9">
      <w:pPr>
        <w:pStyle w:val="NormalWeb"/>
        <w:spacing w:before="0" w:beforeAutospacing="0" w:after="0" w:afterAutospacing="0"/>
        <w:jc w:val="both"/>
      </w:pPr>
    </w:p>
    <w:p w14:paraId="716538D5" w14:textId="27609E24" w:rsidR="0036605F" w:rsidRPr="00C40EC1" w:rsidRDefault="0036605F" w:rsidP="002749E9">
      <w:pPr>
        <w:spacing w:after="0" w:line="240" w:lineRule="auto"/>
        <w:ind w:left="720"/>
        <w:jc w:val="both"/>
        <w:rPr>
          <w:rFonts w:ascii="Times New Roman" w:hAnsi="Times New Roman"/>
          <w:sz w:val="24"/>
          <w:szCs w:val="24"/>
          <w:lang w:val="en-US"/>
        </w:rPr>
      </w:pPr>
      <w:r w:rsidRPr="00C40EC1">
        <w:rPr>
          <w:rFonts w:ascii="Times New Roman" w:hAnsi="Times New Roman"/>
          <w:sz w:val="24"/>
          <w:szCs w:val="24"/>
          <w:lang w:val="en-US"/>
        </w:rPr>
        <w:t>Over the last year European leaders have sought to portray the EU-Turkey deal as a success, with some even touting it as a model to be replicated elsewhere. To these leaders, the only thing that matters is that the number of irregular arrivals to Europe has fallen significantly, even in the short term.</w:t>
      </w:r>
      <w:r>
        <w:rPr>
          <w:rFonts w:ascii="Times New Roman" w:hAnsi="Times New Roman"/>
          <w:sz w:val="24"/>
          <w:szCs w:val="24"/>
          <w:lang w:val="en-US"/>
        </w:rPr>
        <w:t xml:space="preserve"> </w:t>
      </w:r>
      <w:r w:rsidRPr="00C40EC1">
        <w:rPr>
          <w:rFonts w:ascii="Times New Roman" w:hAnsi="Times New Roman"/>
          <w:sz w:val="24"/>
          <w:szCs w:val="24"/>
          <w:lang w:val="en-US"/>
        </w:rPr>
        <w:t>Other parts of the deal – for instance the promise of a meaningful, safe and legal way out of Turkey – largely remain unfulfilled. As of 27 February 2017, the number of Syrian refugees transferred from Turkey to EU member states was 3,565 – a number made even more negligible when contrasted against the 2.8 mill</w:t>
      </w:r>
      <w:r>
        <w:rPr>
          <w:rFonts w:ascii="Times New Roman" w:hAnsi="Times New Roman"/>
          <w:sz w:val="24"/>
          <w:szCs w:val="24"/>
          <w:lang w:val="en-US"/>
        </w:rPr>
        <w:t>ion Syrians currently in Turkey</w:t>
      </w:r>
      <w:r w:rsidRPr="00C40EC1">
        <w:rPr>
          <w:rFonts w:ascii="Times New Roman" w:hAnsi="Times New Roman"/>
          <w:sz w:val="24"/>
          <w:szCs w:val="24"/>
          <w:lang w:val="en-US"/>
        </w:rPr>
        <w:t xml:space="preserve"> (Amnesty International, 2017)</w:t>
      </w:r>
      <w:r>
        <w:rPr>
          <w:rFonts w:ascii="Times New Roman" w:hAnsi="Times New Roman"/>
          <w:sz w:val="24"/>
          <w:szCs w:val="24"/>
          <w:lang w:val="en-US"/>
        </w:rPr>
        <w:t>.</w:t>
      </w:r>
    </w:p>
    <w:p w14:paraId="649B4624" w14:textId="460AFF1C" w:rsidR="00FD630D" w:rsidRPr="005D2EAC" w:rsidRDefault="004C2FED" w:rsidP="00FD630D">
      <w:pPr>
        <w:spacing w:before="120" w:after="120" w:line="240" w:lineRule="auto"/>
        <w:contextualSpacing/>
        <w:jc w:val="both"/>
        <w:rPr>
          <w:rFonts w:ascii="Times New Roman" w:hAnsi="Times New Roman"/>
          <w:color w:val="FF0000"/>
          <w:sz w:val="24"/>
          <w:szCs w:val="24"/>
          <w:lang w:val="en-US"/>
        </w:rPr>
      </w:pPr>
      <w:r>
        <w:rPr>
          <w:rFonts w:ascii="Times New Roman" w:hAnsi="Times New Roman"/>
          <w:color w:val="FF0000"/>
          <w:sz w:val="24"/>
          <w:szCs w:val="24"/>
          <w:lang w:val="en-US"/>
        </w:rPr>
        <w:t xml:space="preserve"> </w:t>
      </w:r>
    </w:p>
    <w:p w14:paraId="33DEC3B2" w14:textId="77777777" w:rsidR="00FD630D" w:rsidRPr="00C40EC1" w:rsidRDefault="00FD630D" w:rsidP="00FD630D">
      <w:pPr>
        <w:spacing w:before="120" w:after="120" w:line="240" w:lineRule="auto"/>
        <w:contextualSpacing/>
        <w:jc w:val="both"/>
        <w:rPr>
          <w:rFonts w:ascii="Times New Roman" w:hAnsi="Times New Roman"/>
          <w:b/>
          <w:sz w:val="24"/>
          <w:szCs w:val="24"/>
          <w:lang w:val="en-US"/>
        </w:rPr>
      </w:pPr>
      <w:r w:rsidRPr="00C40EC1">
        <w:rPr>
          <w:rFonts w:ascii="Times New Roman" w:hAnsi="Times New Roman"/>
          <w:b/>
          <w:sz w:val="24"/>
          <w:szCs w:val="24"/>
          <w:lang w:val="en-US"/>
        </w:rPr>
        <w:t>CONCLUSION</w:t>
      </w:r>
    </w:p>
    <w:p w14:paraId="04065DBB" w14:textId="0E8E9D7D" w:rsidR="00FD630D" w:rsidRPr="00C40EC1" w:rsidRDefault="00FD630D" w:rsidP="00FD630D">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 xml:space="preserve">This article examined the EU`s response to the Arab Spring particularly on the issue of migration and border control. The EU has been going through important institutional transformation since the signing of the Lisbon Treaty and was caught by surprise with the uprisings in the south similar to any other member of international society. However, Arab Spring proved to be an important test case for the EU as it challenged its capacity to act together, sustain the main principles of solidarity among the member states when faced with emergency situations and upholding its humanitarian values it claims to defend. Unfortunately, the </w:t>
      </w:r>
      <w:r w:rsidR="0081571F" w:rsidRPr="00C40EC1">
        <w:rPr>
          <w:rFonts w:ascii="Times New Roman" w:hAnsi="Times New Roman"/>
          <w:sz w:val="24"/>
          <w:szCs w:val="24"/>
          <w:lang w:val="en-US"/>
        </w:rPr>
        <w:t>short-term</w:t>
      </w:r>
      <w:r w:rsidRPr="00C40EC1">
        <w:rPr>
          <w:rFonts w:ascii="Times New Roman" w:hAnsi="Times New Roman"/>
          <w:sz w:val="24"/>
          <w:szCs w:val="24"/>
          <w:lang w:val="en-US"/>
        </w:rPr>
        <w:t xml:space="preserve"> emergency measures of the Union were very much driven by the narrow Euro-centric security thinking. A home security mentality was at work. Four major areas examined in the article, FRONTEX operations and increased surveillance on borders, building capacity to `fight` irregular migration, fixing problems of the Schengen System and the situation of refugees, all attest to that. The situation particularly regarding asylum seekers reveals the incompetence of the Union in convincing member states to act in line with the liberal values of the Union. Despite the rhetoric of `biblical exodus`, the total number of migrants arriving in the EU in 2011 remained pretty much the same compared to previous years. Most of the displacement remained within the region of turbulence, leaving the burden on the shoulders of countries going through revolutions. </w:t>
      </w:r>
      <w:r w:rsidR="0081571F">
        <w:rPr>
          <w:rFonts w:ascii="Times New Roman" w:hAnsi="Times New Roman"/>
          <w:sz w:val="24"/>
          <w:szCs w:val="24"/>
          <w:lang w:val="en-US"/>
        </w:rPr>
        <w:t>When there were increased migratory pressure in 2015 the Union faced even increased challenges including ability to act together and even legitimacy. Many of the Western Balkan countries started to erect walls between members and potential members. The Union in an effort to stay relevant and retain its legitimacy in the eyes of European citizens convened rounds of meetings, published various documents and finally reverted back to short term planning and signing a migratory de</w:t>
      </w:r>
      <w:r w:rsidR="00E54CFA">
        <w:rPr>
          <w:rFonts w:ascii="Times New Roman" w:hAnsi="Times New Roman"/>
          <w:sz w:val="24"/>
          <w:szCs w:val="24"/>
          <w:lang w:val="en-US"/>
        </w:rPr>
        <w:t>al with Turkey, whose legality was in dispute, to curb the flow.</w:t>
      </w:r>
      <w:r w:rsidR="0081571F">
        <w:rPr>
          <w:rFonts w:ascii="Times New Roman" w:hAnsi="Times New Roman"/>
          <w:sz w:val="24"/>
          <w:szCs w:val="24"/>
          <w:lang w:val="en-US"/>
        </w:rPr>
        <w:t xml:space="preserve"> </w:t>
      </w:r>
      <w:r w:rsidRPr="00C40EC1">
        <w:rPr>
          <w:rFonts w:ascii="Times New Roman" w:hAnsi="Times New Roman"/>
          <w:sz w:val="24"/>
          <w:szCs w:val="24"/>
          <w:lang w:val="en-US"/>
        </w:rPr>
        <w:t xml:space="preserve"> </w:t>
      </w:r>
    </w:p>
    <w:p w14:paraId="3F2BB4D4" w14:textId="77777777" w:rsidR="0031695C" w:rsidRPr="00C40EC1" w:rsidRDefault="0031695C" w:rsidP="00FD630D">
      <w:pPr>
        <w:spacing w:before="120" w:after="120" w:line="240" w:lineRule="auto"/>
        <w:contextualSpacing/>
        <w:jc w:val="both"/>
        <w:rPr>
          <w:rFonts w:ascii="Times New Roman" w:hAnsi="Times New Roman"/>
          <w:sz w:val="24"/>
          <w:szCs w:val="24"/>
          <w:lang w:val="en-US"/>
        </w:rPr>
      </w:pPr>
    </w:p>
    <w:p w14:paraId="03468F27" w14:textId="4E8331F7" w:rsidR="00FD630D" w:rsidRPr="00C40EC1" w:rsidRDefault="00FD630D" w:rsidP="00FD630D">
      <w:pPr>
        <w:spacing w:before="120" w:after="120" w:line="240" w:lineRule="auto"/>
        <w:contextualSpacing/>
        <w:jc w:val="both"/>
        <w:rPr>
          <w:rFonts w:ascii="Times New Roman" w:hAnsi="Times New Roman"/>
          <w:sz w:val="24"/>
          <w:szCs w:val="24"/>
          <w:lang w:val="en-US"/>
        </w:rPr>
      </w:pPr>
      <w:r w:rsidRPr="00C40EC1">
        <w:rPr>
          <w:rFonts w:ascii="Times New Roman" w:hAnsi="Times New Roman"/>
          <w:sz w:val="24"/>
          <w:szCs w:val="24"/>
          <w:lang w:val="en-US"/>
        </w:rPr>
        <w:t>The Union oscillated between adopting a broader democracy promotion perspective and narrow European security emphasizing border control. GAMM has been a vital initiative, yet, there is a gap between discourse and practice. One explanation could be from an institutional habitat perspective which stresses the fact that the major actor in the external dimension of migration and asylum issues, despite the existence of High Commissioner and EEAS, is still DG Home Affairs that have a different ‘mentality’ compared to diplomats. DG Home Affairs` priorities are based more</w:t>
      </w:r>
      <w:r w:rsidRPr="00C40EC1">
        <w:rPr>
          <w:rFonts w:ascii="Times New Roman" w:hAnsi="Times New Roman"/>
          <w:color w:val="FF0000"/>
          <w:sz w:val="24"/>
          <w:szCs w:val="24"/>
          <w:lang w:val="en-US"/>
        </w:rPr>
        <w:t xml:space="preserve"> </w:t>
      </w:r>
      <w:r w:rsidRPr="00C40EC1">
        <w:rPr>
          <w:rFonts w:ascii="Times New Roman" w:hAnsi="Times New Roman"/>
          <w:sz w:val="24"/>
          <w:szCs w:val="24"/>
          <w:lang w:val="en-US"/>
        </w:rPr>
        <w:t xml:space="preserve">on security calculations rather than a more open dialogue or an integrated approach for </w:t>
      </w:r>
      <w:r w:rsidRPr="00C40EC1">
        <w:rPr>
          <w:rFonts w:ascii="Times New Roman" w:hAnsi="Times New Roman"/>
          <w:sz w:val="24"/>
          <w:szCs w:val="24"/>
          <w:lang w:val="en-US"/>
        </w:rPr>
        <w:lastRenderedPageBreak/>
        <w:t>migration. This claim is even more valid for the home affairs officials of member states whose main priority is reinforcing external borders. Institutional competition within the DGs of the Commission as well as newly formed EEAS is evident. As a result</w:t>
      </w:r>
      <w:r w:rsidR="0036605F">
        <w:rPr>
          <w:rFonts w:ascii="Times New Roman" w:hAnsi="Times New Roman"/>
          <w:sz w:val="24"/>
          <w:szCs w:val="24"/>
          <w:lang w:val="en-US"/>
        </w:rPr>
        <w:t>,</w:t>
      </w:r>
      <w:r w:rsidRPr="00C40EC1">
        <w:rPr>
          <w:rFonts w:ascii="Times New Roman" w:hAnsi="Times New Roman"/>
          <w:sz w:val="24"/>
          <w:szCs w:val="24"/>
          <w:lang w:val="en-US"/>
        </w:rPr>
        <w:t xml:space="preserve"> mobility is still very much framed as insecurity and dialogue is more like a monologue where EU dictates its own preferences to the region. Conflicting aims of different policies of the EU became more evident with the Arab Spring. Euro-med policies has been def</w:t>
      </w:r>
      <w:r w:rsidR="0036605F">
        <w:rPr>
          <w:rFonts w:ascii="Times New Roman" w:hAnsi="Times New Roman"/>
          <w:sz w:val="24"/>
          <w:szCs w:val="24"/>
          <w:lang w:val="en-US"/>
        </w:rPr>
        <w:t>ending to improve democracy and when there was such a process</w:t>
      </w:r>
      <w:r w:rsidRPr="00C40EC1">
        <w:rPr>
          <w:rFonts w:ascii="Times New Roman" w:hAnsi="Times New Roman"/>
          <w:sz w:val="24"/>
          <w:szCs w:val="24"/>
          <w:lang w:val="en-US"/>
        </w:rPr>
        <w:t xml:space="preserve"> </w:t>
      </w:r>
      <w:r w:rsidR="0036605F">
        <w:rPr>
          <w:rFonts w:ascii="Times New Roman" w:hAnsi="Times New Roman"/>
          <w:sz w:val="24"/>
          <w:szCs w:val="24"/>
          <w:lang w:val="en-US"/>
        </w:rPr>
        <w:t>t</w:t>
      </w:r>
      <w:r w:rsidRPr="00C40EC1">
        <w:rPr>
          <w:rFonts w:ascii="Times New Roman" w:hAnsi="Times New Roman"/>
          <w:sz w:val="24"/>
          <w:szCs w:val="24"/>
          <w:lang w:val="en-US"/>
        </w:rPr>
        <w:t xml:space="preserve">he EU’s major preoccupation </w:t>
      </w:r>
      <w:r w:rsidR="0036605F">
        <w:rPr>
          <w:rFonts w:ascii="Times New Roman" w:hAnsi="Times New Roman"/>
          <w:sz w:val="24"/>
          <w:szCs w:val="24"/>
          <w:lang w:val="en-US"/>
        </w:rPr>
        <w:t>wa</w:t>
      </w:r>
      <w:r w:rsidRPr="00C40EC1">
        <w:rPr>
          <w:rFonts w:ascii="Times New Roman" w:hAnsi="Times New Roman"/>
          <w:sz w:val="24"/>
          <w:szCs w:val="24"/>
          <w:lang w:val="en-US"/>
        </w:rPr>
        <w:t>s limiting physical interaction with the region, suppressing mobility in the Mediterranean, trying to reach agreement with new governments or people in power to limit migration. This kind of approach reveals EU as a self-interested ‘ordinary’ power not a normative one and limits its ability to diffuse change.</w:t>
      </w:r>
      <w:r w:rsidR="005D2EAC">
        <w:rPr>
          <w:rFonts w:ascii="Times New Roman" w:hAnsi="Times New Roman"/>
          <w:sz w:val="24"/>
          <w:szCs w:val="24"/>
          <w:lang w:val="en-US"/>
        </w:rPr>
        <w:t xml:space="preserve"> The EU-Turkey deal also embodied the symbolic shift in the EU’s international protection policies, where it adopts a territorial notion of asylum and works to erect physical barriers for accessing the EU territory. </w:t>
      </w:r>
    </w:p>
    <w:p w14:paraId="1A20B417" w14:textId="77777777" w:rsidR="005D2EAC" w:rsidRDefault="005D2EAC" w:rsidP="00FD630D">
      <w:pPr>
        <w:spacing w:before="120" w:after="120" w:line="240" w:lineRule="auto"/>
        <w:contextualSpacing/>
        <w:jc w:val="both"/>
        <w:rPr>
          <w:rFonts w:ascii="Times New Roman" w:hAnsi="Times New Roman"/>
          <w:sz w:val="24"/>
          <w:szCs w:val="24"/>
          <w:lang w:val="en-US"/>
        </w:rPr>
      </w:pPr>
    </w:p>
    <w:p w14:paraId="73A98449" w14:textId="77777777" w:rsidR="005D2EAC" w:rsidRDefault="005D2EAC" w:rsidP="00FD630D">
      <w:pPr>
        <w:spacing w:before="120" w:after="120" w:line="240" w:lineRule="auto"/>
        <w:contextualSpacing/>
        <w:jc w:val="both"/>
        <w:rPr>
          <w:rFonts w:ascii="Times New Roman" w:hAnsi="Times New Roman"/>
          <w:sz w:val="24"/>
          <w:szCs w:val="24"/>
          <w:lang w:val="en-US"/>
        </w:rPr>
      </w:pPr>
    </w:p>
    <w:p w14:paraId="60E8BCE7" w14:textId="77777777" w:rsidR="00FD630D" w:rsidRPr="00C40EC1" w:rsidRDefault="00FD630D" w:rsidP="00FD630D">
      <w:pPr>
        <w:spacing w:before="120" w:after="120" w:line="240" w:lineRule="auto"/>
        <w:contextualSpacing/>
        <w:jc w:val="both"/>
        <w:rPr>
          <w:rFonts w:ascii="Times New Roman" w:hAnsi="Times New Roman"/>
          <w:b/>
          <w:sz w:val="24"/>
          <w:szCs w:val="24"/>
          <w:lang w:val="en-US"/>
        </w:rPr>
      </w:pPr>
      <w:r w:rsidRPr="00C40EC1">
        <w:rPr>
          <w:rFonts w:ascii="Times New Roman" w:hAnsi="Times New Roman"/>
          <w:b/>
          <w:sz w:val="24"/>
          <w:szCs w:val="24"/>
          <w:lang w:val="en-US"/>
        </w:rPr>
        <w:t>REFERENCES</w:t>
      </w:r>
    </w:p>
    <w:p w14:paraId="5BA3E613" w14:textId="77777777" w:rsidR="00FD630D" w:rsidRPr="00C40EC1" w:rsidRDefault="00FD630D" w:rsidP="00FD630D">
      <w:pPr>
        <w:spacing w:before="120" w:after="120" w:line="240" w:lineRule="auto"/>
        <w:contextualSpacing/>
        <w:rPr>
          <w:lang w:val="en-US"/>
        </w:rPr>
      </w:pPr>
    </w:p>
    <w:p w14:paraId="39BE3FEB" w14:textId="77777777" w:rsidR="00FD630D" w:rsidRPr="00C40EC1" w:rsidRDefault="00FD630D" w:rsidP="00FD630D">
      <w:pPr>
        <w:tabs>
          <w:tab w:val="left" w:pos="567"/>
          <w:tab w:val="left" w:pos="1276"/>
          <w:tab w:val="left" w:pos="1418"/>
        </w:tabs>
        <w:spacing w:before="120" w:after="120" w:line="240" w:lineRule="auto"/>
        <w:ind w:left="-360"/>
        <w:contextualSpacing/>
        <w:rPr>
          <w:rFonts w:ascii="Times New Roman" w:hAnsi="Times New Roman"/>
          <w:sz w:val="24"/>
          <w:szCs w:val="24"/>
          <w:lang w:val="en-US"/>
        </w:rPr>
      </w:pPr>
      <w:r w:rsidRPr="00C40EC1">
        <w:rPr>
          <w:rFonts w:ascii="Times New Roman" w:hAnsi="Times New Roman"/>
          <w:sz w:val="24"/>
          <w:szCs w:val="24"/>
          <w:lang w:val="en-US"/>
        </w:rPr>
        <w:t xml:space="preserve">Amnesty International (2017), ‘The EU-Turkey deal: Europe’s year of shame’, </w:t>
      </w:r>
      <w:hyperlink r:id="rId9" w:history="1">
        <w:r w:rsidRPr="00C40EC1">
          <w:rPr>
            <w:rStyle w:val="Hyperlink"/>
            <w:rFonts w:ascii="Times New Roman" w:hAnsi="Times New Roman"/>
            <w:sz w:val="24"/>
            <w:szCs w:val="24"/>
            <w:lang w:val="en-US"/>
          </w:rPr>
          <w:t>https://www.amnesty.org/en/latest/news/2017/03/the-eu-turkey-deal-europes-year-of-shame/</w:t>
        </w:r>
      </w:hyperlink>
    </w:p>
    <w:p w14:paraId="52A6EC1E" w14:textId="77777777" w:rsidR="00FD630D" w:rsidRPr="00C40EC1" w:rsidRDefault="00FD630D" w:rsidP="00FD630D">
      <w:pPr>
        <w:tabs>
          <w:tab w:val="left" w:pos="567"/>
          <w:tab w:val="left" w:pos="1276"/>
          <w:tab w:val="left" w:pos="1418"/>
        </w:tabs>
        <w:spacing w:before="120" w:after="120" w:line="240" w:lineRule="auto"/>
        <w:ind w:left="-360"/>
        <w:contextualSpacing/>
        <w:rPr>
          <w:rFonts w:ascii="Times New Roman" w:hAnsi="Times New Roman"/>
          <w:sz w:val="24"/>
          <w:szCs w:val="24"/>
          <w:lang w:val="en-US"/>
        </w:rPr>
      </w:pPr>
      <w:r w:rsidRPr="00C40EC1">
        <w:rPr>
          <w:rFonts w:ascii="Times New Roman" w:hAnsi="Times New Roman"/>
          <w:sz w:val="24"/>
          <w:szCs w:val="24"/>
          <w:lang w:val="en-US"/>
        </w:rPr>
        <w:br/>
        <w:t xml:space="preserve">Behr, Timo (2012), ‘The European Unions Mediterranean Policies after the Arab Spring: Can the Leopard Change its Spots?’, </w:t>
      </w:r>
      <w:r w:rsidRPr="00C40EC1">
        <w:rPr>
          <w:rFonts w:ascii="Times New Roman" w:hAnsi="Times New Roman"/>
          <w:i/>
          <w:sz w:val="24"/>
          <w:szCs w:val="24"/>
          <w:lang w:val="en-US"/>
        </w:rPr>
        <w:t>Amsterdam Law Forum</w:t>
      </w:r>
      <w:r w:rsidRPr="00C40EC1">
        <w:rPr>
          <w:rFonts w:ascii="Times New Roman" w:hAnsi="Times New Roman"/>
          <w:sz w:val="24"/>
          <w:szCs w:val="24"/>
          <w:lang w:val="en-US"/>
        </w:rPr>
        <w:t>, Spring Issue, Vol 4(2): 76-88.</w:t>
      </w:r>
    </w:p>
    <w:p w14:paraId="68BD1B41"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39CB7D15"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Bertozzini, Stefano (2008). ‘Schengen: Achievements and Challenges in Managing an Area Encompassing 3.6 million km2’, </w:t>
      </w:r>
      <w:r w:rsidRPr="00C40EC1">
        <w:rPr>
          <w:rFonts w:ascii="Times New Roman" w:hAnsi="Times New Roman"/>
          <w:i/>
          <w:sz w:val="24"/>
          <w:szCs w:val="24"/>
          <w:lang w:val="en-US"/>
        </w:rPr>
        <w:t xml:space="preserve">CEPS Working Document, </w:t>
      </w:r>
      <w:r w:rsidRPr="00C40EC1">
        <w:rPr>
          <w:rFonts w:ascii="Times New Roman" w:hAnsi="Times New Roman"/>
          <w:sz w:val="24"/>
          <w:szCs w:val="24"/>
          <w:lang w:val="en-US"/>
        </w:rPr>
        <w:t>No.284.</w:t>
      </w:r>
    </w:p>
    <w:p w14:paraId="4E8A5AC1"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2CC88CEF"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Bigo, Didier (2000) “When Two Become One: Internal and External Securitizations in Europe‟ in Michael Williams and Morten Keltshrup (eds.), </w:t>
      </w:r>
      <w:r w:rsidRPr="00C40EC1">
        <w:rPr>
          <w:rFonts w:ascii="Times New Roman" w:hAnsi="Times New Roman"/>
          <w:i/>
          <w:sz w:val="24"/>
          <w:szCs w:val="24"/>
          <w:lang w:val="en-US"/>
        </w:rPr>
        <w:t>International Relations Theory and European Integration,</w:t>
      </w:r>
      <w:r w:rsidRPr="00C40EC1">
        <w:rPr>
          <w:rFonts w:ascii="Times New Roman" w:hAnsi="Times New Roman"/>
          <w:sz w:val="24"/>
          <w:szCs w:val="24"/>
          <w:lang w:val="en-US"/>
        </w:rPr>
        <w:t xml:space="preserve"> London: Routledge. </w:t>
      </w:r>
    </w:p>
    <w:p w14:paraId="24D3791A"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bCs/>
          <w:sz w:val="24"/>
          <w:szCs w:val="24"/>
          <w:lang w:val="en-US"/>
        </w:rPr>
      </w:pPr>
    </w:p>
    <w:p w14:paraId="5FD9B0D6"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bCs/>
          <w:sz w:val="24"/>
          <w:szCs w:val="24"/>
          <w:lang w:val="en-US"/>
        </w:rPr>
        <w:t xml:space="preserve">Bigo, Didier (2001), "Internal and External Security(ies): The Mobius Ribbon" in </w:t>
      </w:r>
      <w:r w:rsidRPr="00C40EC1">
        <w:rPr>
          <w:rFonts w:ascii="Times New Roman" w:hAnsi="Times New Roman"/>
          <w:i/>
          <w:sz w:val="24"/>
          <w:szCs w:val="24"/>
          <w:lang w:val="en-US"/>
        </w:rPr>
        <w:t>Identities, Borders and Orders</w:t>
      </w:r>
      <w:r w:rsidRPr="00C40EC1">
        <w:rPr>
          <w:rFonts w:ascii="Times New Roman" w:hAnsi="Times New Roman"/>
          <w:bCs/>
          <w:sz w:val="24"/>
          <w:szCs w:val="24"/>
          <w:lang w:val="en-US"/>
        </w:rPr>
        <w:t xml:space="preserve">, Mathias Albert, David Jacobson and Yosef Lapid (eds), Minneapolis: Minnesota University Press. </w:t>
      </w:r>
    </w:p>
    <w:p w14:paraId="3D61EC24"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70ACF838"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Bigo, Didier (2002) “Security and Immigration: Toward a Critique of the Governmentality of Unease”, </w:t>
      </w:r>
      <w:r w:rsidRPr="00C40EC1">
        <w:rPr>
          <w:rFonts w:ascii="Times New Roman" w:hAnsi="Times New Roman"/>
          <w:i/>
          <w:sz w:val="24"/>
          <w:szCs w:val="24"/>
          <w:lang w:val="en-US"/>
        </w:rPr>
        <w:t>Alternatives</w:t>
      </w:r>
      <w:r w:rsidRPr="00C40EC1">
        <w:rPr>
          <w:rFonts w:ascii="Times New Roman" w:hAnsi="Times New Roman"/>
          <w:sz w:val="24"/>
          <w:szCs w:val="24"/>
          <w:lang w:val="en-US"/>
        </w:rPr>
        <w:t>, 27 (Special Issue).</w:t>
      </w:r>
    </w:p>
    <w:p w14:paraId="36BB5FB3"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4D532A79"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Bigo, Didier (2004) “Criminalization of Migrants: The Side Effect of the Will to Control the Frontiers and the Sovereign Illusion”, in Barbara Bogusz et al</w:t>
      </w:r>
      <w:r w:rsidRPr="00C40EC1">
        <w:rPr>
          <w:rFonts w:ascii="Times New Roman" w:hAnsi="Times New Roman"/>
          <w:i/>
          <w:sz w:val="24"/>
          <w:szCs w:val="24"/>
          <w:lang w:val="en-US"/>
        </w:rPr>
        <w:t>, Irregular Migration and Human Rights: Theoretical, European and International Perspectives</w:t>
      </w:r>
      <w:r w:rsidRPr="00C40EC1">
        <w:rPr>
          <w:rFonts w:ascii="Times New Roman" w:hAnsi="Times New Roman"/>
          <w:sz w:val="24"/>
          <w:szCs w:val="24"/>
          <w:lang w:val="en-US"/>
        </w:rPr>
        <w:t xml:space="preserve">, Leiden: Martinus Nijhoff Publishers. </w:t>
      </w:r>
    </w:p>
    <w:p w14:paraId="0A9132A3"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7F50400C"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Bigo, Didier (2005) “Liberty, Whose Liberty? The Hague Programme and the Conception of Freedom” available at </w:t>
      </w:r>
      <w:hyperlink r:id="rId10" w:history="1">
        <w:r w:rsidRPr="00C40EC1">
          <w:rPr>
            <w:rFonts w:ascii="Times New Roman" w:hAnsi="Times New Roman"/>
            <w:sz w:val="24"/>
            <w:szCs w:val="24"/>
            <w:lang w:val="en-US"/>
          </w:rPr>
          <w:t>http://www.libertysecurity.org/article339.html</w:t>
        </w:r>
      </w:hyperlink>
      <w:r w:rsidRPr="00C40EC1">
        <w:rPr>
          <w:rFonts w:ascii="Times New Roman" w:hAnsi="Times New Roman"/>
          <w:sz w:val="24"/>
          <w:szCs w:val="24"/>
          <w:lang w:val="en-US"/>
        </w:rPr>
        <w:t xml:space="preserve"> </w:t>
      </w:r>
    </w:p>
    <w:p w14:paraId="44B60C56"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17042260"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Bigo, Didier (2006) “Protection: Security, Territory and Population” in Jef Huysmans et al (eds), </w:t>
      </w:r>
      <w:r w:rsidRPr="00C40EC1">
        <w:rPr>
          <w:rFonts w:ascii="Times New Roman" w:hAnsi="Times New Roman"/>
          <w:i/>
          <w:sz w:val="24"/>
          <w:szCs w:val="24"/>
          <w:lang w:val="en-US"/>
        </w:rPr>
        <w:t>The Politics of Protection; Sites of Insecurity and Political Agency</w:t>
      </w:r>
      <w:r w:rsidRPr="00C40EC1">
        <w:rPr>
          <w:rFonts w:ascii="Times New Roman" w:hAnsi="Times New Roman"/>
          <w:sz w:val="24"/>
          <w:szCs w:val="24"/>
          <w:lang w:val="en-US"/>
        </w:rPr>
        <w:t xml:space="preserve">, London: Routledge. </w:t>
      </w:r>
    </w:p>
    <w:p w14:paraId="14A77C44"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785709CD"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lastRenderedPageBreak/>
        <w:t xml:space="preserve">Bigo, Didier (2008) “Globalized (In)security: the Field and the Banopticon” in Didier Bigo and Anastasia Tsoukala (eds.), </w:t>
      </w:r>
      <w:r w:rsidRPr="00C40EC1">
        <w:rPr>
          <w:rFonts w:ascii="Times New Roman" w:hAnsi="Times New Roman"/>
          <w:i/>
          <w:sz w:val="24"/>
          <w:szCs w:val="24"/>
          <w:lang w:val="en-US"/>
        </w:rPr>
        <w:t>Terror, Insecurity and Liberty: Illeberal Practices of Liberal Regimes after 9/11</w:t>
      </w:r>
      <w:r w:rsidRPr="00C40EC1">
        <w:rPr>
          <w:rFonts w:ascii="Times New Roman" w:hAnsi="Times New Roman"/>
          <w:sz w:val="24"/>
          <w:szCs w:val="24"/>
          <w:lang w:val="en-US"/>
        </w:rPr>
        <w:t xml:space="preserve">, New York: Routledge. </w:t>
      </w:r>
    </w:p>
    <w:p w14:paraId="3E1FFA27"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6BCC8D98"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Bigo, Didier and Elspeth Guild (2005, eds.), </w:t>
      </w:r>
      <w:r w:rsidRPr="00C40EC1">
        <w:rPr>
          <w:rFonts w:ascii="Times New Roman" w:hAnsi="Times New Roman"/>
          <w:i/>
          <w:sz w:val="24"/>
          <w:szCs w:val="24"/>
          <w:lang w:val="en-US"/>
        </w:rPr>
        <w:t>Controlling Frontiers: Free Movement into and Within Europe</w:t>
      </w:r>
      <w:r w:rsidRPr="00C40EC1">
        <w:rPr>
          <w:rFonts w:ascii="Times New Roman" w:hAnsi="Times New Roman"/>
          <w:sz w:val="24"/>
          <w:szCs w:val="24"/>
          <w:lang w:val="en-US"/>
        </w:rPr>
        <w:t xml:space="preserve">, Hants: Ashgate </w:t>
      </w:r>
    </w:p>
    <w:p w14:paraId="216101D9"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21909E9A"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Bigo, Didier and Julien Jeandesboz (2009) “Border Security, Technology and the Stockholm Programme”, </w:t>
      </w:r>
      <w:r w:rsidRPr="00C40EC1">
        <w:rPr>
          <w:rFonts w:ascii="Times New Roman" w:hAnsi="Times New Roman"/>
          <w:i/>
          <w:sz w:val="24"/>
          <w:szCs w:val="24"/>
          <w:lang w:val="en-US"/>
        </w:rPr>
        <w:t>Center for European Policy Studies, Brussels: CEPS</w:t>
      </w:r>
      <w:r w:rsidRPr="00C40EC1">
        <w:rPr>
          <w:rFonts w:ascii="Times New Roman" w:hAnsi="Times New Roman"/>
          <w:sz w:val="24"/>
          <w:szCs w:val="24"/>
          <w:lang w:val="en-US"/>
        </w:rPr>
        <w:t xml:space="preserve">. </w:t>
      </w:r>
    </w:p>
    <w:p w14:paraId="44213956"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49A16558"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Bigo, Didier et al. (2010), </w:t>
      </w:r>
      <w:r w:rsidRPr="00C40EC1">
        <w:rPr>
          <w:rFonts w:ascii="Times New Roman" w:hAnsi="Times New Roman"/>
          <w:i/>
          <w:sz w:val="24"/>
          <w:szCs w:val="24"/>
          <w:lang w:val="en-US"/>
        </w:rPr>
        <w:t>Europe‟s 21st Century Challenges: Delivering Liberty</w:t>
      </w:r>
      <w:r w:rsidRPr="00C40EC1">
        <w:rPr>
          <w:rFonts w:ascii="Times New Roman" w:hAnsi="Times New Roman"/>
          <w:sz w:val="24"/>
          <w:szCs w:val="24"/>
          <w:lang w:val="en-US"/>
        </w:rPr>
        <w:t xml:space="preserve">, Surrey: Ashgate. </w:t>
      </w:r>
    </w:p>
    <w:p w14:paraId="4FB9B749"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22B94EF4"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Bigo, Didier, and Anastassia Tsoukala (2008) </w:t>
      </w:r>
      <w:r w:rsidRPr="00C40EC1">
        <w:rPr>
          <w:rFonts w:ascii="Times New Roman" w:hAnsi="Times New Roman"/>
          <w:i/>
          <w:sz w:val="24"/>
          <w:szCs w:val="24"/>
          <w:lang w:val="en-US"/>
        </w:rPr>
        <w:t>Terror, Insecurity and Liberty. Illeberal Practices of Liberal Regimes after 9/11. Liberty and Security</w:t>
      </w:r>
      <w:r w:rsidRPr="00C40EC1">
        <w:rPr>
          <w:rFonts w:ascii="Times New Roman" w:hAnsi="Times New Roman"/>
          <w:sz w:val="24"/>
          <w:szCs w:val="24"/>
          <w:lang w:val="en-US"/>
        </w:rPr>
        <w:t>, New York: Routledge.</w:t>
      </w:r>
    </w:p>
    <w:p w14:paraId="3A169B8A"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1059E01E"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Carrera, Sergio (2011), ‘The EU’s Dialogue on Migration, Mobility and Security with the Southern Mediterranean under Scrutiny: Filling the Gaps in the Global Approach to Migration”, </w:t>
      </w:r>
      <w:r w:rsidRPr="00C40EC1">
        <w:rPr>
          <w:rFonts w:ascii="Times New Roman" w:hAnsi="Times New Roman"/>
          <w:i/>
          <w:sz w:val="24"/>
          <w:szCs w:val="24"/>
          <w:lang w:val="en-US"/>
        </w:rPr>
        <w:t>CEPS Paper in Liberty and Security in Europe</w:t>
      </w:r>
      <w:r w:rsidRPr="00C40EC1">
        <w:rPr>
          <w:rFonts w:ascii="Times New Roman" w:hAnsi="Times New Roman"/>
          <w:sz w:val="24"/>
          <w:szCs w:val="24"/>
          <w:lang w:val="en-US"/>
        </w:rPr>
        <w:t xml:space="preserve">, June 2011. </w:t>
      </w:r>
    </w:p>
    <w:p w14:paraId="62F79059"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4E69A20A"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Carrera, Sergio et al (2012), `EU Migration Policy in the Wake of the Arab Spring: What Prospects for EU-Southern Mediterranean Relations?`, </w:t>
      </w:r>
      <w:r w:rsidRPr="00C40EC1">
        <w:rPr>
          <w:rFonts w:ascii="Times New Roman" w:hAnsi="Times New Roman"/>
          <w:i/>
          <w:sz w:val="24"/>
          <w:szCs w:val="24"/>
          <w:lang w:val="en-US"/>
        </w:rPr>
        <w:t xml:space="preserve">MEDPRO Technical Report, </w:t>
      </w:r>
      <w:r w:rsidRPr="00C40EC1">
        <w:rPr>
          <w:rFonts w:ascii="Times New Roman" w:hAnsi="Times New Roman"/>
          <w:sz w:val="24"/>
          <w:szCs w:val="24"/>
          <w:lang w:val="en-US"/>
        </w:rPr>
        <w:t xml:space="preserve">15 August 2012, available at </w:t>
      </w:r>
      <w:hyperlink r:id="rId11" w:history="1">
        <w:r w:rsidRPr="00C40EC1">
          <w:rPr>
            <w:rStyle w:val="Hyperlink"/>
            <w:rFonts w:ascii="Times New Roman" w:hAnsi="Times New Roman"/>
            <w:sz w:val="24"/>
            <w:szCs w:val="24"/>
            <w:lang w:val="en-US"/>
          </w:rPr>
          <w:t>www.medpro-foresight.eu</w:t>
        </w:r>
      </w:hyperlink>
      <w:r w:rsidRPr="00C40EC1">
        <w:rPr>
          <w:rFonts w:ascii="Times New Roman" w:hAnsi="Times New Roman"/>
          <w:sz w:val="24"/>
          <w:szCs w:val="24"/>
          <w:lang w:val="en-US"/>
        </w:rPr>
        <w:t xml:space="preserve"> </w:t>
      </w:r>
    </w:p>
    <w:p w14:paraId="457A2F33"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7B71A1FF"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Carrera, Sergio et al (2015), ‘The EU’s Response to the Refugee Crisis: Taking Stock and Setting Policy Priorities’, </w:t>
      </w:r>
      <w:r w:rsidRPr="00C40EC1">
        <w:rPr>
          <w:rFonts w:ascii="Times New Roman" w:hAnsi="Times New Roman"/>
          <w:i/>
          <w:sz w:val="24"/>
          <w:szCs w:val="24"/>
          <w:lang w:val="en-US"/>
        </w:rPr>
        <w:t xml:space="preserve">CEPS, </w:t>
      </w:r>
      <w:r w:rsidRPr="00C40EC1">
        <w:rPr>
          <w:rFonts w:ascii="Times New Roman" w:hAnsi="Times New Roman"/>
          <w:sz w:val="24"/>
          <w:szCs w:val="24"/>
          <w:lang w:val="en-US"/>
        </w:rPr>
        <w:t xml:space="preserve">16 December 2016. </w:t>
      </w:r>
    </w:p>
    <w:p w14:paraId="5160B81C"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0683E969"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Collett, Elizabeth (2016), ‘The Paradox of the EU-Turkey Refugee Deal” , </w:t>
      </w:r>
      <w:r w:rsidRPr="00C40EC1">
        <w:rPr>
          <w:rFonts w:ascii="Times New Roman" w:hAnsi="Times New Roman"/>
          <w:i/>
          <w:sz w:val="24"/>
          <w:szCs w:val="24"/>
          <w:lang w:val="en-US"/>
        </w:rPr>
        <w:t xml:space="preserve">Migration Policy Institute, </w:t>
      </w:r>
      <w:r w:rsidRPr="00C40EC1">
        <w:rPr>
          <w:rFonts w:ascii="Times New Roman" w:hAnsi="Times New Roman"/>
          <w:sz w:val="24"/>
          <w:szCs w:val="24"/>
          <w:lang w:val="en-US"/>
        </w:rPr>
        <w:t xml:space="preserve">March 2016.  </w:t>
      </w:r>
    </w:p>
    <w:p w14:paraId="0D9E0F74"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03C3925C"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Malmstrom, Celia, </w:t>
      </w:r>
      <w:r w:rsidRPr="00C40EC1">
        <w:rPr>
          <w:rFonts w:ascii="Times New Roman" w:hAnsi="Times New Roman"/>
          <w:i/>
          <w:sz w:val="24"/>
          <w:szCs w:val="24"/>
          <w:lang w:val="en-US"/>
        </w:rPr>
        <w:t>Statement announcing the launch of the Frontex operation `Hermes` in Italy as of 20 February 2011</w:t>
      </w:r>
      <w:r w:rsidRPr="00C40EC1">
        <w:rPr>
          <w:rFonts w:ascii="Times New Roman" w:hAnsi="Times New Roman"/>
          <w:sz w:val="24"/>
          <w:szCs w:val="24"/>
          <w:lang w:val="en-US"/>
        </w:rPr>
        <w:t>, MEMO/11/98, Brussels, 20 February 2011.</w:t>
      </w:r>
    </w:p>
    <w:p w14:paraId="00D29643"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29DB3CB7"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Den Hertog, Leonhard (2012), ‘Two Boats in the Mediterranean and their Unfortunate Encounters with Europe’s Policies Towards People in the Move’, </w:t>
      </w:r>
      <w:r w:rsidRPr="00C40EC1">
        <w:rPr>
          <w:rFonts w:ascii="Times New Roman" w:hAnsi="Times New Roman"/>
          <w:i/>
          <w:sz w:val="24"/>
          <w:szCs w:val="24"/>
          <w:lang w:val="en-US"/>
        </w:rPr>
        <w:t xml:space="preserve">CEPS Papers in Liberty and Security in Europe, </w:t>
      </w:r>
      <w:r w:rsidRPr="00C40EC1">
        <w:rPr>
          <w:rFonts w:ascii="Times New Roman" w:hAnsi="Times New Roman"/>
          <w:sz w:val="24"/>
          <w:szCs w:val="24"/>
          <w:lang w:val="en-US"/>
        </w:rPr>
        <w:t>No.48/July 2012</w:t>
      </w:r>
    </w:p>
    <w:p w14:paraId="5AB5110C"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6F5BD329"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u w:val="single"/>
          <w:lang w:val="en-US"/>
        </w:rPr>
      </w:pPr>
      <w:r w:rsidRPr="00C40EC1">
        <w:rPr>
          <w:rFonts w:ascii="Times New Roman" w:hAnsi="Times New Roman"/>
          <w:sz w:val="24"/>
          <w:szCs w:val="24"/>
          <w:lang w:val="en-US"/>
        </w:rPr>
        <w:t xml:space="preserve">EU Press Release, ‘The EU’s Response to the ‘Arab Spring’’, 16 December 2011, available at </w:t>
      </w:r>
      <w:hyperlink r:id="rId12" w:history="1">
        <w:r w:rsidRPr="00C40EC1">
          <w:rPr>
            <w:rFonts w:ascii="Times New Roman" w:hAnsi="Times New Roman"/>
            <w:sz w:val="24"/>
            <w:szCs w:val="24"/>
            <w:u w:val="single"/>
            <w:lang w:val="en-US"/>
          </w:rPr>
          <w:t>http://europea.edu/rapid/press-release_MEMO-11-918_en.htm</w:t>
        </w:r>
      </w:hyperlink>
    </w:p>
    <w:p w14:paraId="30C0AD4D"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6AC541E8"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European Commission (2011a), </w:t>
      </w:r>
      <w:r w:rsidRPr="00C40EC1">
        <w:rPr>
          <w:rFonts w:ascii="Times New Roman" w:hAnsi="Times New Roman"/>
          <w:i/>
          <w:sz w:val="24"/>
          <w:szCs w:val="24"/>
          <w:lang w:val="en-US"/>
        </w:rPr>
        <w:t xml:space="preserve">A Partnership for Democracy and Shared Prosperity with the Southern Mediterranean, </w:t>
      </w:r>
      <w:r w:rsidRPr="00C40EC1">
        <w:rPr>
          <w:rFonts w:ascii="Times New Roman" w:hAnsi="Times New Roman"/>
          <w:sz w:val="24"/>
          <w:szCs w:val="24"/>
          <w:lang w:val="en-US"/>
        </w:rPr>
        <w:t>COM (2011) 200 Final</w:t>
      </w:r>
      <w:r w:rsidRPr="00C40EC1">
        <w:rPr>
          <w:rFonts w:ascii="Times New Roman" w:hAnsi="Times New Roman"/>
          <w:i/>
          <w:sz w:val="24"/>
          <w:szCs w:val="24"/>
          <w:lang w:val="en-US"/>
        </w:rPr>
        <w:t xml:space="preserve">, </w:t>
      </w:r>
      <w:r w:rsidRPr="00C40EC1">
        <w:rPr>
          <w:rFonts w:ascii="Times New Roman" w:hAnsi="Times New Roman"/>
          <w:sz w:val="24"/>
          <w:szCs w:val="24"/>
          <w:lang w:val="en-US"/>
        </w:rPr>
        <w:t>8 March 2011</w:t>
      </w:r>
    </w:p>
    <w:p w14:paraId="2C7E4071"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027AFCE8"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European Commission (2011b), </w:t>
      </w:r>
      <w:r w:rsidRPr="00C40EC1">
        <w:rPr>
          <w:rFonts w:ascii="Times New Roman" w:hAnsi="Times New Roman"/>
          <w:i/>
          <w:sz w:val="24"/>
          <w:szCs w:val="24"/>
          <w:lang w:val="en-US"/>
        </w:rPr>
        <w:t>The Global Approach to Migration and Mobility</w:t>
      </w:r>
      <w:r w:rsidRPr="00C40EC1">
        <w:rPr>
          <w:rFonts w:ascii="Times New Roman" w:hAnsi="Times New Roman"/>
          <w:sz w:val="24"/>
          <w:szCs w:val="24"/>
          <w:lang w:val="en-US"/>
        </w:rPr>
        <w:t xml:space="preserve">, COM(2011) 743 Final, 18 November 2011. </w:t>
      </w:r>
    </w:p>
    <w:p w14:paraId="4344F931"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4818AD63"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European Commission (2011c), </w:t>
      </w:r>
      <w:r w:rsidRPr="00C40EC1">
        <w:rPr>
          <w:rFonts w:ascii="Times New Roman" w:hAnsi="Times New Roman"/>
          <w:i/>
          <w:sz w:val="24"/>
          <w:szCs w:val="24"/>
          <w:lang w:val="en-US"/>
        </w:rPr>
        <w:t xml:space="preserve"> Communication on Migration, </w:t>
      </w:r>
      <w:r w:rsidRPr="00C40EC1">
        <w:rPr>
          <w:rFonts w:ascii="Times New Roman" w:hAnsi="Times New Roman"/>
          <w:sz w:val="24"/>
          <w:szCs w:val="24"/>
          <w:lang w:val="en-US"/>
        </w:rPr>
        <w:t xml:space="preserve">COM(2011) 248 final, 4 May 2011. </w:t>
      </w:r>
    </w:p>
    <w:p w14:paraId="75C07E9C"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74C62A18"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European Commission (2011d), </w:t>
      </w:r>
      <w:r w:rsidRPr="00C40EC1">
        <w:rPr>
          <w:rFonts w:ascii="Times New Roman" w:hAnsi="Times New Roman"/>
          <w:i/>
          <w:sz w:val="24"/>
          <w:szCs w:val="24"/>
          <w:lang w:val="en-US"/>
        </w:rPr>
        <w:t>A Dialogue for migration, mobility and security with the Southern Mediterranean Countries</w:t>
      </w:r>
      <w:r w:rsidRPr="00C40EC1">
        <w:rPr>
          <w:rFonts w:ascii="Times New Roman" w:hAnsi="Times New Roman"/>
          <w:sz w:val="24"/>
          <w:szCs w:val="24"/>
          <w:lang w:val="en-US"/>
        </w:rPr>
        <w:t>, COM (2011) 292 Final, 24 May 2011</w:t>
      </w:r>
    </w:p>
    <w:p w14:paraId="7149CBA2"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3715FBDD"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European Commission (2011d), </w:t>
      </w:r>
      <w:r w:rsidRPr="00C40EC1">
        <w:rPr>
          <w:rFonts w:ascii="Times New Roman" w:hAnsi="Times New Roman"/>
          <w:i/>
          <w:sz w:val="24"/>
          <w:szCs w:val="24"/>
          <w:lang w:val="en-US"/>
        </w:rPr>
        <w:t xml:space="preserve">A New Response to a Changing Neighbourhood, </w:t>
      </w:r>
      <w:r w:rsidRPr="00C40EC1">
        <w:rPr>
          <w:rFonts w:ascii="Times New Roman" w:hAnsi="Times New Roman"/>
          <w:sz w:val="24"/>
          <w:szCs w:val="24"/>
          <w:lang w:val="en-US"/>
        </w:rPr>
        <w:t xml:space="preserve">COM (303) Final, 25 May 2011. </w:t>
      </w:r>
    </w:p>
    <w:p w14:paraId="616C2A6B"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0DA4429C"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European Commission (2005a), </w:t>
      </w:r>
      <w:r w:rsidRPr="00C40EC1">
        <w:rPr>
          <w:rFonts w:ascii="Times New Roman" w:hAnsi="Times New Roman"/>
          <w:i/>
          <w:sz w:val="24"/>
          <w:szCs w:val="24"/>
          <w:lang w:val="en-US"/>
        </w:rPr>
        <w:t xml:space="preserve">A Strategy on the External Dimension of the Area of Freedom, Security and Justice, </w:t>
      </w:r>
      <w:r w:rsidRPr="00C40EC1">
        <w:rPr>
          <w:rFonts w:ascii="Times New Roman" w:hAnsi="Times New Roman"/>
          <w:sz w:val="24"/>
          <w:szCs w:val="24"/>
          <w:lang w:val="en-US"/>
        </w:rPr>
        <w:t xml:space="preserve">COM (2005) 491 Final, 12 October 2005. </w:t>
      </w:r>
    </w:p>
    <w:p w14:paraId="719C182F"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0C58C826"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European Commission (2005b</w:t>
      </w:r>
      <w:r w:rsidRPr="00C40EC1">
        <w:rPr>
          <w:rFonts w:ascii="Times New Roman" w:hAnsi="Times New Roman"/>
          <w:i/>
          <w:sz w:val="24"/>
          <w:szCs w:val="24"/>
          <w:lang w:val="en-US"/>
        </w:rPr>
        <w:t xml:space="preserve">), </w:t>
      </w:r>
      <w:bookmarkStart w:id="1" w:name="content"/>
      <w:r w:rsidRPr="00C40EC1">
        <w:rPr>
          <w:rFonts w:ascii="Times New Roman" w:hAnsi="Times New Roman"/>
          <w:i/>
          <w:sz w:val="24"/>
          <w:szCs w:val="24"/>
          <w:lang w:val="en-US"/>
        </w:rPr>
        <w:t xml:space="preserve">Communication from the Commission to the Council and the European Parliament on regional protection programmes, </w:t>
      </w:r>
      <w:bookmarkEnd w:id="1"/>
      <w:r w:rsidRPr="00C40EC1">
        <w:rPr>
          <w:rFonts w:ascii="Times New Roman" w:hAnsi="Times New Roman"/>
          <w:sz w:val="24"/>
          <w:szCs w:val="24"/>
          <w:lang w:val="en-US"/>
        </w:rPr>
        <w:t>COM(2005) 388 final, 1 September 2005.</w:t>
      </w:r>
    </w:p>
    <w:p w14:paraId="4503240F"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248B2D84"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European Commission (2013), </w:t>
      </w:r>
      <w:r w:rsidRPr="00C40EC1">
        <w:rPr>
          <w:rFonts w:ascii="Times New Roman" w:hAnsi="Times New Roman"/>
          <w:i/>
          <w:sz w:val="24"/>
          <w:szCs w:val="24"/>
          <w:lang w:val="en-US"/>
        </w:rPr>
        <w:t xml:space="preserve">on the Work of Task Force Mediterranean, </w:t>
      </w:r>
      <w:r w:rsidRPr="00C40EC1">
        <w:rPr>
          <w:rFonts w:ascii="Times New Roman" w:hAnsi="Times New Roman"/>
          <w:sz w:val="24"/>
          <w:szCs w:val="24"/>
          <w:lang w:val="en-US"/>
        </w:rPr>
        <w:t xml:space="preserve">COM (2013) 869. </w:t>
      </w:r>
    </w:p>
    <w:p w14:paraId="0A5DE12C"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4E93FBA6"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Freyburg, Tina (2012), ‘The Janus Face of EU Migration Governance: Impairing Democratic Governance at Home- Improving Abroad?’, </w:t>
      </w:r>
      <w:r w:rsidRPr="00C40EC1">
        <w:rPr>
          <w:rFonts w:ascii="Times New Roman" w:hAnsi="Times New Roman"/>
          <w:i/>
          <w:sz w:val="24"/>
          <w:szCs w:val="24"/>
          <w:lang w:val="en-US"/>
        </w:rPr>
        <w:t xml:space="preserve">European Foreign Affairs Review, </w:t>
      </w:r>
      <w:r w:rsidRPr="00C40EC1">
        <w:rPr>
          <w:rFonts w:ascii="Times New Roman" w:hAnsi="Times New Roman"/>
          <w:sz w:val="24"/>
          <w:szCs w:val="24"/>
          <w:lang w:val="en-US"/>
        </w:rPr>
        <w:t xml:space="preserve">17, Special issue: 125-142. </w:t>
      </w:r>
    </w:p>
    <w:p w14:paraId="1E29DEA8"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474F9438"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Gammeltoft-Hansen, Thomas (2006), “Filtering Out the Risky Migrant, Migration Control, Risk Theory and the EU”, </w:t>
      </w:r>
      <w:r w:rsidRPr="00C40EC1">
        <w:rPr>
          <w:rFonts w:ascii="Times New Roman" w:hAnsi="Times New Roman"/>
          <w:i/>
          <w:sz w:val="24"/>
          <w:szCs w:val="24"/>
          <w:lang w:val="en-US"/>
        </w:rPr>
        <w:t xml:space="preserve">AMID Working Paper Series 52/2006, </w:t>
      </w:r>
      <w:r w:rsidRPr="00C40EC1">
        <w:rPr>
          <w:rFonts w:ascii="Times New Roman" w:hAnsi="Times New Roman"/>
          <w:sz w:val="24"/>
          <w:szCs w:val="24"/>
          <w:lang w:val="en-US"/>
        </w:rPr>
        <w:t xml:space="preserve">available at </w:t>
      </w:r>
      <w:hyperlink r:id="rId13" w:history="1">
        <w:r w:rsidRPr="00C40EC1">
          <w:rPr>
            <w:rStyle w:val="Hyperlink"/>
            <w:rFonts w:ascii="Times New Roman" w:hAnsi="Times New Roman"/>
            <w:sz w:val="24"/>
            <w:szCs w:val="24"/>
            <w:lang w:val="en-US"/>
          </w:rPr>
          <w:t>http://www.amid.dk/pub/papers/AMID_52-2006_Thomas_Gammeltoft-Hansen.pdf</w:t>
        </w:r>
      </w:hyperlink>
      <w:r w:rsidRPr="00C40EC1">
        <w:rPr>
          <w:rFonts w:ascii="Times New Roman" w:hAnsi="Times New Roman"/>
          <w:sz w:val="24"/>
          <w:szCs w:val="24"/>
          <w:lang w:val="en-US"/>
        </w:rPr>
        <w:t xml:space="preserve"> </w:t>
      </w:r>
    </w:p>
    <w:p w14:paraId="7C1D4728" w14:textId="77777777" w:rsidR="006C4BD4" w:rsidRDefault="006C4BD4"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0787FA5C" w14:textId="77777777" w:rsidR="00A4746B" w:rsidRDefault="00FD630D" w:rsidP="00A4746B">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Kucukkeles, Muge (2013), ‘AB’nin Ortadogu Politkasi ve Arap Baharina Bakisi’, </w:t>
      </w:r>
      <w:r w:rsidRPr="00C40EC1">
        <w:rPr>
          <w:rFonts w:ascii="Times New Roman" w:hAnsi="Times New Roman"/>
          <w:i/>
          <w:sz w:val="24"/>
          <w:szCs w:val="24"/>
          <w:lang w:val="en-US"/>
        </w:rPr>
        <w:t>SETA Analiz</w:t>
      </w:r>
      <w:r w:rsidRPr="00C40EC1">
        <w:rPr>
          <w:rFonts w:ascii="Times New Roman" w:hAnsi="Times New Roman"/>
          <w:sz w:val="24"/>
          <w:szCs w:val="24"/>
          <w:lang w:val="en-US"/>
        </w:rPr>
        <w:t xml:space="preserve">, January 2013. </w:t>
      </w:r>
    </w:p>
    <w:p w14:paraId="376E8980" w14:textId="77777777" w:rsidR="00A4746B" w:rsidRDefault="00A4746B" w:rsidP="00A4746B">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0A3FB5CE" w14:textId="069C5B7D" w:rsidR="006C4BD4" w:rsidRPr="00361CD4" w:rsidRDefault="00A4746B" w:rsidP="00A4746B">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hyperlink r:id="rId14" w:history="1">
        <w:r w:rsidRPr="00CB61E3">
          <w:rPr>
            <w:rStyle w:val="Hyperlink"/>
            <w:sz w:val="24"/>
            <w:szCs w:val="24"/>
          </w:rPr>
          <w:t>The Guardian</w:t>
        </w:r>
        <w:r w:rsidRPr="00CB61E3">
          <w:rPr>
            <w:rStyle w:val="Hyperlink"/>
            <w:sz w:val="24"/>
            <w:szCs w:val="24"/>
          </w:rPr>
          <w:t>,</w:t>
        </w:r>
        <w:r w:rsidRPr="00CB61E3">
          <w:rPr>
            <w:rStyle w:val="Hyperlink"/>
            <w:sz w:val="24"/>
            <w:szCs w:val="24"/>
          </w:rPr>
          <w:t xml:space="preserve"> ‘EU-Turkey deal could see Syrian refugees back in war zones, says UN</w:t>
        </w:r>
        <w:r w:rsidRPr="00CB61E3">
          <w:rPr>
            <w:rStyle w:val="Hyperlink"/>
            <w:sz w:val="24"/>
            <w:szCs w:val="24"/>
          </w:rPr>
          <w:t xml:space="preserve">’, 8 March 2016, </w:t>
        </w:r>
        <w:r w:rsidRPr="00CB61E3">
          <w:rPr>
            <w:rStyle w:val="Hyperlink"/>
            <w:sz w:val="24"/>
            <w:szCs w:val="24"/>
            <w:lang w:val="en-US"/>
          </w:rPr>
          <w:t>https://www.theguardian.com/world/2016/mar/08/un-refugee-agency-criticises-quick-fix-eu-turkey-deal</w:t>
        </w:r>
      </w:hyperlink>
      <w:r w:rsidR="006C4BD4">
        <w:rPr>
          <w:rFonts w:ascii="Times New Roman" w:hAnsi="Times New Roman"/>
          <w:sz w:val="24"/>
          <w:szCs w:val="24"/>
          <w:lang w:val="en-US"/>
        </w:rPr>
        <w:t xml:space="preserve"> </w:t>
      </w:r>
    </w:p>
    <w:p w14:paraId="42E6D4F0"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2C83C13F"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Lavenex, Sandra (2007), “The External Face of Europeanization: Third Countries and International Organizations”, in Andreas Ette and Thomas Faist (eds.), </w:t>
      </w:r>
      <w:r w:rsidRPr="00C40EC1">
        <w:rPr>
          <w:rFonts w:ascii="Times New Roman" w:hAnsi="Times New Roman"/>
          <w:i/>
          <w:sz w:val="24"/>
          <w:szCs w:val="24"/>
          <w:lang w:val="en-US"/>
        </w:rPr>
        <w:t>The Europeanization of National Policies and Politics of Immigration</w:t>
      </w:r>
      <w:r w:rsidRPr="00C40EC1">
        <w:rPr>
          <w:rFonts w:ascii="Times New Roman" w:hAnsi="Times New Roman"/>
          <w:sz w:val="24"/>
          <w:szCs w:val="24"/>
          <w:lang w:val="en-US"/>
        </w:rPr>
        <w:t>, London: Macmillan.</w:t>
      </w:r>
    </w:p>
    <w:p w14:paraId="5599615B"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7838C73B"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Martin, M. (2012) `The Arab Spring and the death toll in the Mediterranean; the true face of Fortress Europe, </w:t>
      </w:r>
      <w:r w:rsidRPr="00C40EC1">
        <w:rPr>
          <w:rFonts w:ascii="Times New Roman" w:hAnsi="Times New Roman"/>
          <w:i/>
          <w:sz w:val="24"/>
          <w:szCs w:val="24"/>
          <w:lang w:val="en-US"/>
        </w:rPr>
        <w:t xml:space="preserve">Statewatch Analysis, </w:t>
      </w:r>
      <w:r w:rsidRPr="00C40EC1">
        <w:rPr>
          <w:rFonts w:ascii="Times New Roman" w:hAnsi="Times New Roman"/>
          <w:sz w:val="24"/>
          <w:szCs w:val="24"/>
          <w:lang w:val="en-US"/>
        </w:rPr>
        <w:t xml:space="preserve">available at </w:t>
      </w:r>
      <w:hyperlink r:id="rId15" w:history="1">
        <w:r w:rsidRPr="00C40EC1">
          <w:rPr>
            <w:rStyle w:val="Hyperlink"/>
            <w:rFonts w:ascii="Times New Roman" w:hAnsi="Times New Roman"/>
            <w:sz w:val="24"/>
            <w:szCs w:val="24"/>
            <w:lang w:val="en-US"/>
          </w:rPr>
          <w:t>http://www.statewatch.org/analyses/no-167-arab-spring-med.pdf</w:t>
        </w:r>
      </w:hyperlink>
      <w:r w:rsidRPr="00C40EC1">
        <w:rPr>
          <w:rFonts w:ascii="Times New Roman" w:hAnsi="Times New Roman"/>
          <w:sz w:val="24"/>
          <w:szCs w:val="24"/>
          <w:lang w:val="en-US"/>
        </w:rPr>
        <w:t xml:space="preserve"> </w:t>
      </w:r>
    </w:p>
    <w:p w14:paraId="35402735"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792CF0FF"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Monar, Jorg (2010), ‘The EU’s Externalization of Internal Security Objectives: Perspectives after Lisbon and Stockholm’, </w:t>
      </w:r>
      <w:r w:rsidRPr="00C40EC1">
        <w:rPr>
          <w:rFonts w:ascii="Times New Roman" w:hAnsi="Times New Roman"/>
          <w:i/>
          <w:sz w:val="24"/>
          <w:szCs w:val="24"/>
          <w:lang w:val="en-US"/>
        </w:rPr>
        <w:t>International Spectator: Italian Journal of International Affairs</w:t>
      </w:r>
      <w:r w:rsidRPr="00C40EC1">
        <w:rPr>
          <w:rFonts w:ascii="Times New Roman" w:hAnsi="Times New Roman"/>
          <w:sz w:val="24"/>
          <w:szCs w:val="24"/>
          <w:lang w:val="en-US"/>
        </w:rPr>
        <w:t xml:space="preserve">, 14 (2): 23-39. </w:t>
      </w:r>
    </w:p>
    <w:p w14:paraId="4C26512F"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75055D4D"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Nas, Cigdem and Yonca Ozer (2012), </w:t>
      </w:r>
      <w:r w:rsidRPr="00C40EC1">
        <w:rPr>
          <w:rFonts w:ascii="Times New Roman" w:hAnsi="Times New Roman"/>
          <w:i/>
          <w:sz w:val="24"/>
          <w:szCs w:val="24"/>
          <w:lang w:val="en-US"/>
        </w:rPr>
        <w:t>Turkey and the European Union: Processes of Europeanization</w:t>
      </w:r>
      <w:r w:rsidRPr="00C40EC1">
        <w:rPr>
          <w:rFonts w:ascii="Times New Roman" w:hAnsi="Times New Roman"/>
          <w:sz w:val="24"/>
          <w:szCs w:val="24"/>
          <w:lang w:val="en-US"/>
        </w:rPr>
        <w:t xml:space="preserve">, Surrey: Ashgate. </w:t>
      </w:r>
    </w:p>
    <w:p w14:paraId="69D93C05"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4DE07F21"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lastRenderedPageBreak/>
        <w:t xml:space="preserve">Sergio Carrera and Elspeth Guild (2012), `Does the Stockholm Programme Matter? The Struggles over ownership of AFSJ Multiannual Programming`, </w:t>
      </w:r>
      <w:r w:rsidRPr="00C40EC1">
        <w:rPr>
          <w:rFonts w:ascii="Times New Roman" w:hAnsi="Times New Roman"/>
          <w:i/>
          <w:sz w:val="24"/>
          <w:szCs w:val="24"/>
          <w:lang w:val="en-US"/>
        </w:rPr>
        <w:t>CEPS Paper in Liberty and Security,</w:t>
      </w:r>
      <w:r w:rsidRPr="00C40EC1">
        <w:rPr>
          <w:rFonts w:ascii="Times New Roman" w:hAnsi="Times New Roman"/>
          <w:sz w:val="24"/>
          <w:szCs w:val="24"/>
          <w:lang w:val="en-US"/>
        </w:rPr>
        <w:t xml:space="preserve">  No: 51. </w:t>
      </w:r>
    </w:p>
    <w:p w14:paraId="387A03BC"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3BEE089B"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Scheel, Stephan and Phillipp Ratfisch (2013), ‘Refugee Protection Meets Migration Management: UNHCR as a Global Police of Populations’, </w:t>
      </w:r>
      <w:r w:rsidRPr="00C40EC1">
        <w:rPr>
          <w:rFonts w:ascii="Times New Roman" w:hAnsi="Times New Roman"/>
          <w:i/>
          <w:sz w:val="24"/>
          <w:szCs w:val="24"/>
          <w:lang w:val="en-US"/>
        </w:rPr>
        <w:t xml:space="preserve">Journal of Ethnic and Migration Studies. </w:t>
      </w:r>
    </w:p>
    <w:p w14:paraId="35CCFCD3"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140BEE51"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Trauner, Florian and Helena Carrapico (2012), ‘The External Dimension of EU Justice and Home Affairs after Lisbon Treaty: Analysing the Dynamics of Expansion and Diversification’, </w:t>
      </w:r>
      <w:r w:rsidRPr="00C40EC1">
        <w:rPr>
          <w:rFonts w:ascii="Times New Roman" w:hAnsi="Times New Roman"/>
          <w:i/>
          <w:sz w:val="24"/>
          <w:szCs w:val="24"/>
          <w:lang w:val="en-US"/>
        </w:rPr>
        <w:t xml:space="preserve">European Foreign Affairs Review, </w:t>
      </w:r>
      <w:r w:rsidRPr="00C40EC1">
        <w:rPr>
          <w:rFonts w:ascii="Times New Roman" w:hAnsi="Times New Roman"/>
          <w:sz w:val="24"/>
          <w:szCs w:val="24"/>
          <w:lang w:val="en-US"/>
        </w:rPr>
        <w:t xml:space="preserve">17, Special Issue: 1-12. </w:t>
      </w:r>
    </w:p>
    <w:p w14:paraId="28C24DBA"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412CAA2B"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UNHCR, </w:t>
      </w:r>
      <w:r w:rsidRPr="00C40EC1">
        <w:rPr>
          <w:rFonts w:ascii="Times New Roman" w:hAnsi="Times New Roman"/>
          <w:i/>
          <w:sz w:val="24"/>
          <w:szCs w:val="24"/>
          <w:lang w:val="en-US"/>
        </w:rPr>
        <w:t xml:space="preserve">More than 1500 drown or go missing trying to cross the Mediterranean in 2011, </w:t>
      </w:r>
      <w:r w:rsidRPr="00C40EC1">
        <w:rPr>
          <w:rFonts w:ascii="Times New Roman" w:hAnsi="Times New Roman"/>
          <w:sz w:val="24"/>
          <w:szCs w:val="24"/>
          <w:lang w:val="en-US"/>
        </w:rPr>
        <w:t xml:space="preserve"> 31 January 2012</w:t>
      </w:r>
    </w:p>
    <w:p w14:paraId="6989060A"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48B9A658" w14:textId="4D6AF1A3"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Walters, William (2010), `Imagined Migration World: The European Union`s Anti-Illegal Immigration Discourse`, in Martin Geiger (ed.), </w:t>
      </w:r>
      <w:r w:rsidRPr="00C40EC1">
        <w:rPr>
          <w:rFonts w:ascii="Times New Roman" w:hAnsi="Times New Roman"/>
          <w:i/>
          <w:sz w:val="24"/>
          <w:szCs w:val="24"/>
          <w:lang w:val="en-US"/>
        </w:rPr>
        <w:t>The Politics of Intern</w:t>
      </w:r>
      <w:r w:rsidR="007E7933">
        <w:rPr>
          <w:rFonts w:ascii="Times New Roman" w:hAnsi="Times New Roman"/>
          <w:i/>
          <w:sz w:val="24"/>
          <w:szCs w:val="24"/>
          <w:lang w:val="en-US"/>
        </w:rPr>
        <w:t>ational Migration</w:t>
      </w:r>
      <w:r w:rsidRPr="00C40EC1">
        <w:rPr>
          <w:rFonts w:ascii="Times New Roman" w:hAnsi="Times New Roman"/>
          <w:i/>
          <w:sz w:val="24"/>
          <w:szCs w:val="24"/>
          <w:lang w:val="en-US"/>
        </w:rPr>
        <w:t xml:space="preserve"> Management</w:t>
      </w:r>
      <w:r w:rsidRPr="00C40EC1">
        <w:rPr>
          <w:rFonts w:ascii="Times New Roman" w:hAnsi="Times New Roman"/>
          <w:sz w:val="24"/>
          <w:szCs w:val="24"/>
          <w:lang w:val="en-US"/>
        </w:rPr>
        <w:t xml:space="preserve">, New York: Palgrave and Macmillan. </w:t>
      </w:r>
    </w:p>
    <w:p w14:paraId="152F4959"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521DAAD5"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Whitman C. Richard and Ana E. Juncos (2012), ‘Arab Spring, the Eurozone Crisis and the Neighbourhood: A Region in Flux’, </w:t>
      </w:r>
      <w:r w:rsidRPr="00C40EC1">
        <w:rPr>
          <w:rFonts w:ascii="Times New Roman" w:hAnsi="Times New Roman"/>
          <w:i/>
          <w:sz w:val="24"/>
          <w:szCs w:val="24"/>
          <w:lang w:val="en-US"/>
        </w:rPr>
        <w:t xml:space="preserve">JCMS, </w:t>
      </w:r>
      <w:r w:rsidRPr="00C40EC1">
        <w:rPr>
          <w:rFonts w:ascii="Times New Roman" w:hAnsi="Times New Roman"/>
          <w:sz w:val="24"/>
          <w:szCs w:val="24"/>
          <w:lang w:val="en-US"/>
        </w:rPr>
        <w:t xml:space="preserve">Volume 50 Annual Review: 147-161. </w:t>
      </w:r>
    </w:p>
    <w:p w14:paraId="572F7C81"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p>
    <w:p w14:paraId="53C83382" w14:textId="77777777" w:rsidR="00FD630D" w:rsidRPr="00C40EC1" w:rsidRDefault="00FD630D" w:rsidP="00FD630D">
      <w:pPr>
        <w:tabs>
          <w:tab w:val="left" w:pos="567"/>
          <w:tab w:val="left" w:pos="1276"/>
          <w:tab w:val="left" w:pos="1418"/>
        </w:tabs>
        <w:spacing w:before="120" w:after="120" w:line="240" w:lineRule="auto"/>
        <w:ind w:left="-360"/>
        <w:contextualSpacing/>
        <w:jc w:val="both"/>
        <w:rPr>
          <w:rFonts w:ascii="Times New Roman" w:hAnsi="Times New Roman"/>
          <w:sz w:val="24"/>
          <w:szCs w:val="24"/>
          <w:lang w:val="en-US"/>
        </w:rPr>
      </w:pPr>
      <w:r w:rsidRPr="00C40EC1">
        <w:rPr>
          <w:rFonts w:ascii="Times New Roman" w:hAnsi="Times New Roman"/>
          <w:sz w:val="24"/>
          <w:szCs w:val="24"/>
          <w:lang w:val="en-US"/>
        </w:rPr>
        <w:t xml:space="preserve">Wolff Sarah and Gregory Mouner (2012), ‘A Kaleidoscopic View on the External Dimension of Justice and Home Affairs’, </w:t>
      </w:r>
      <w:r w:rsidRPr="00C40EC1">
        <w:rPr>
          <w:rFonts w:ascii="Times New Roman" w:hAnsi="Times New Roman"/>
          <w:i/>
          <w:sz w:val="24"/>
          <w:szCs w:val="24"/>
          <w:lang w:val="en-US"/>
        </w:rPr>
        <w:t xml:space="preserve">European Foreign Affairs Review, </w:t>
      </w:r>
      <w:r w:rsidRPr="00C40EC1">
        <w:rPr>
          <w:rFonts w:ascii="Times New Roman" w:hAnsi="Times New Roman"/>
          <w:sz w:val="24"/>
          <w:szCs w:val="24"/>
          <w:lang w:val="en-US"/>
        </w:rPr>
        <w:t xml:space="preserve">17, Special Issue: 143-162. </w:t>
      </w:r>
    </w:p>
    <w:p w14:paraId="426CE97A" w14:textId="77777777" w:rsidR="00FD630D" w:rsidRPr="00C40EC1" w:rsidRDefault="00FD630D" w:rsidP="00FD630D">
      <w:pPr>
        <w:pStyle w:val="ListParagraph"/>
        <w:tabs>
          <w:tab w:val="left" w:pos="3549"/>
        </w:tabs>
        <w:spacing w:before="120" w:after="120" w:line="240" w:lineRule="auto"/>
        <w:ind w:left="0"/>
        <w:jc w:val="both"/>
        <w:rPr>
          <w:rFonts w:ascii="Times New Roman" w:hAnsi="Times New Roman"/>
          <w:sz w:val="24"/>
          <w:szCs w:val="24"/>
        </w:rPr>
      </w:pPr>
      <w:r w:rsidRPr="00C40EC1">
        <w:rPr>
          <w:rFonts w:ascii="Times New Roman" w:hAnsi="Times New Roman"/>
          <w:sz w:val="24"/>
          <w:szCs w:val="24"/>
        </w:rPr>
        <w:tab/>
      </w:r>
    </w:p>
    <w:p w14:paraId="0A91C7BC" w14:textId="77777777" w:rsidR="00FD630D" w:rsidRPr="00C40EC1" w:rsidRDefault="00FD630D" w:rsidP="00FD630D">
      <w:pPr>
        <w:spacing w:before="120" w:after="120" w:line="240" w:lineRule="auto"/>
        <w:contextualSpacing/>
        <w:jc w:val="both"/>
        <w:rPr>
          <w:rFonts w:ascii="Times New Roman" w:hAnsi="Times New Roman"/>
          <w:sz w:val="24"/>
          <w:szCs w:val="24"/>
          <w:lang w:val="en-US"/>
        </w:rPr>
      </w:pPr>
    </w:p>
    <w:p w14:paraId="79CD01CA" w14:textId="77777777" w:rsidR="00ED36AB" w:rsidRPr="00C40EC1" w:rsidRDefault="00ED36AB" w:rsidP="00D75D4F">
      <w:pPr>
        <w:spacing w:before="120" w:after="120" w:line="240" w:lineRule="auto"/>
        <w:contextualSpacing/>
        <w:jc w:val="both"/>
        <w:rPr>
          <w:rFonts w:ascii="Times New Roman" w:hAnsi="Times New Roman"/>
          <w:color w:val="FF0000"/>
          <w:sz w:val="24"/>
          <w:szCs w:val="24"/>
          <w:lang w:val="en-US"/>
        </w:rPr>
      </w:pPr>
    </w:p>
    <w:p w14:paraId="48CA9A7E" w14:textId="77777777" w:rsidR="00ED36AB" w:rsidRPr="00C40EC1" w:rsidRDefault="00ED36AB" w:rsidP="00D75D4F">
      <w:pPr>
        <w:spacing w:before="120" w:after="120" w:line="240" w:lineRule="auto"/>
        <w:contextualSpacing/>
        <w:jc w:val="both"/>
        <w:rPr>
          <w:rFonts w:ascii="Times New Roman" w:hAnsi="Times New Roman"/>
          <w:color w:val="FF0000"/>
          <w:sz w:val="24"/>
          <w:szCs w:val="24"/>
          <w:lang w:val="en-US"/>
        </w:rPr>
      </w:pPr>
    </w:p>
    <w:p w14:paraId="1F95B435" w14:textId="77777777" w:rsidR="00ED36AB" w:rsidRPr="00C40EC1" w:rsidRDefault="00ED36AB" w:rsidP="00D75D4F">
      <w:pPr>
        <w:spacing w:before="120" w:after="120" w:line="240" w:lineRule="auto"/>
        <w:contextualSpacing/>
        <w:jc w:val="both"/>
        <w:rPr>
          <w:rFonts w:ascii="Times New Roman" w:hAnsi="Times New Roman"/>
          <w:color w:val="FF0000"/>
          <w:sz w:val="24"/>
          <w:szCs w:val="24"/>
          <w:lang w:val="en-US"/>
        </w:rPr>
      </w:pPr>
    </w:p>
    <w:p w14:paraId="4D2F2653" w14:textId="77777777" w:rsidR="00ED36AB" w:rsidRPr="00C40EC1" w:rsidRDefault="00ED36AB" w:rsidP="00D75D4F">
      <w:pPr>
        <w:spacing w:before="120" w:after="120" w:line="240" w:lineRule="auto"/>
        <w:contextualSpacing/>
        <w:jc w:val="both"/>
        <w:rPr>
          <w:rFonts w:ascii="Times New Roman" w:hAnsi="Times New Roman"/>
          <w:color w:val="FF0000"/>
          <w:sz w:val="24"/>
          <w:szCs w:val="24"/>
          <w:lang w:val="en-US"/>
        </w:rPr>
      </w:pPr>
    </w:p>
    <w:p w14:paraId="145BF767" w14:textId="77777777" w:rsidR="00B443F7" w:rsidRPr="00C40EC1" w:rsidRDefault="00B443F7" w:rsidP="00D75D4F">
      <w:pPr>
        <w:spacing w:before="120" w:after="120" w:line="240" w:lineRule="auto"/>
        <w:contextualSpacing/>
        <w:jc w:val="both"/>
        <w:rPr>
          <w:rFonts w:ascii="Times New Roman" w:hAnsi="Times New Roman"/>
          <w:color w:val="FF0000"/>
          <w:sz w:val="24"/>
          <w:szCs w:val="24"/>
          <w:lang w:val="en-US"/>
        </w:rPr>
      </w:pPr>
    </w:p>
    <w:p w14:paraId="272ED461" w14:textId="77777777" w:rsidR="00B443F7" w:rsidRPr="00C40EC1" w:rsidRDefault="00B443F7" w:rsidP="00D75D4F">
      <w:pPr>
        <w:spacing w:before="120" w:after="120" w:line="240" w:lineRule="auto"/>
        <w:contextualSpacing/>
        <w:jc w:val="both"/>
        <w:rPr>
          <w:rFonts w:ascii="Times New Roman" w:hAnsi="Times New Roman"/>
          <w:color w:val="FF0000"/>
          <w:sz w:val="24"/>
          <w:szCs w:val="24"/>
          <w:lang w:val="en-US"/>
        </w:rPr>
      </w:pPr>
    </w:p>
    <w:p w14:paraId="4A965C4A" w14:textId="77777777" w:rsidR="00B443F7" w:rsidRPr="00C40EC1" w:rsidRDefault="00B443F7" w:rsidP="00D75D4F">
      <w:pPr>
        <w:spacing w:before="120" w:after="120" w:line="240" w:lineRule="auto"/>
        <w:contextualSpacing/>
        <w:jc w:val="both"/>
        <w:rPr>
          <w:rFonts w:ascii="Times New Roman" w:hAnsi="Times New Roman"/>
          <w:color w:val="FF0000"/>
          <w:sz w:val="24"/>
          <w:szCs w:val="24"/>
          <w:lang w:val="en-US"/>
        </w:rPr>
      </w:pPr>
    </w:p>
    <w:p w14:paraId="055F4E90" w14:textId="77777777" w:rsidR="00B443F7" w:rsidRPr="00C40EC1" w:rsidRDefault="00B443F7" w:rsidP="00D75D4F">
      <w:pPr>
        <w:spacing w:before="120" w:after="120" w:line="240" w:lineRule="auto"/>
        <w:contextualSpacing/>
        <w:jc w:val="both"/>
        <w:rPr>
          <w:rFonts w:ascii="Times New Roman" w:hAnsi="Times New Roman"/>
          <w:color w:val="FF0000"/>
          <w:sz w:val="24"/>
          <w:szCs w:val="24"/>
          <w:lang w:val="en-US"/>
        </w:rPr>
      </w:pPr>
    </w:p>
    <w:p w14:paraId="3455AF53" w14:textId="77777777" w:rsidR="00B443F7" w:rsidRPr="00C40EC1" w:rsidRDefault="00B443F7" w:rsidP="00D75D4F">
      <w:pPr>
        <w:spacing w:before="120" w:after="120" w:line="240" w:lineRule="auto"/>
        <w:contextualSpacing/>
        <w:jc w:val="both"/>
        <w:rPr>
          <w:rFonts w:ascii="Times New Roman" w:hAnsi="Times New Roman"/>
          <w:color w:val="FF0000"/>
          <w:sz w:val="24"/>
          <w:szCs w:val="24"/>
          <w:lang w:val="en-US"/>
        </w:rPr>
      </w:pPr>
    </w:p>
    <w:p w14:paraId="5633C1CB" w14:textId="77777777" w:rsidR="00B443F7" w:rsidRPr="00C40EC1" w:rsidRDefault="00B443F7" w:rsidP="00D75D4F">
      <w:pPr>
        <w:spacing w:before="120" w:after="120" w:line="240" w:lineRule="auto"/>
        <w:contextualSpacing/>
        <w:jc w:val="both"/>
        <w:rPr>
          <w:rFonts w:ascii="Times New Roman" w:hAnsi="Times New Roman"/>
          <w:color w:val="FF0000"/>
          <w:sz w:val="24"/>
          <w:szCs w:val="24"/>
          <w:lang w:val="en-US"/>
        </w:rPr>
      </w:pPr>
    </w:p>
    <w:p w14:paraId="1A9E5CE5" w14:textId="77777777" w:rsidR="00B443F7" w:rsidRPr="00C40EC1" w:rsidRDefault="00B443F7" w:rsidP="00D75D4F">
      <w:pPr>
        <w:spacing w:before="120" w:after="120" w:line="240" w:lineRule="auto"/>
        <w:contextualSpacing/>
        <w:jc w:val="both"/>
        <w:rPr>
          <w:rFonts w:ascii="Times New Roman" w:hAnsi="Times New Roman"/>
          <w:color w:val="FF0000"/>
          <w:sz w:val="24"/>
          <w:szCs w:val="24"/>
          <w:lang w:val="en-US"/>
        </w:rPr>
      </w:pPr>
    </w:p>
    <w:p w14:paraId="485E6FFE" w14:textId="77777777" w:rsidR="00B443F7" w:rsidRPr="00C40EC1" w:rsidRDefault="00B443F7" w:rsidP="00D75D4F">
      <w:pPr>
        <w:spacing w:before="120" w:after="120" w:line="240" w:lineRule="auto"/>
        <w:contextualSpacing/>
        <w:jc w:val="both"/>
        <w:rPr>
          <w:rFonts w:ascii="Times New Roman" w:hAnsi="Times New Roman"/>
          <w:color w:val="FF0000"/>
          <w:sz w:val="24"/>
          <w:szCs w:val="24"/>
          <w:lang w:val="en-US"/>
        </w:rPr>
      </w:pPr>
    </w:p>
    <w:p w14:paraId="69FB42F4" w14:textId="77777777" w:rsidR="00B443F7" w:rsidRPr="00C40EC1" w:rsidRDefault="00B443F7" w:rsidP="00D75D4F">
      <w:pPr>
        <w:spacing w:before="120" w:after="120" w:line="240" w:lineRule="auto"/>
        <w:contextualSpacing/>
        <w:jc w:val="both"/>
        <w:rPr>
          <w:rFonts w:ascii="Times New Roman" w:hAnsi="Times New Roman"/>
          <w:color w:val="FF0000"/>
          <w:sz w:val="24"/>
          <w:szCs w:val="24"/>
          <w:lang w:val="en-US"/>
        </w:rPr>
      </w:pPr>
    </w:p>
    <w:p w14:paraId="6744891E" w14:textId="77777777" w:rsidR="00B443F7" w:rsidRPr="00C40EC1" w:rsidRDefault="00B443F7" w:rsidP="00D75D4F">
      <w:pPr>
        <w:spacing w:before="120" w:after="120" w:line="240" w:lineRule="auto"/>
        <w:contextualSpacing/>
        <w:jc w:val="both"/>
        <w:rPr>
          <w:rFonts w:ascii="Times New Roman" w:hAnsi="Times New Roman"/>
          <w:color w:val="FF0000"/>
          <w:sz w:val="24"/>
          <w:szCs w:val="24"/>
          <w:lang w:val="en-US"/>
        </w:rPr>
      </w:pPr>
    </w:p>
    <w:p w14:paraId="4B4D351D" w14:textId="77777777" w:rsidR="00B443F7" w:rsidRPr="00C40EC1" w:rsidRDefault="00B443F7" w:rsidP="00D75D4F">
      <w:pPr>
        <w:spacing w:before="120" w:after="120" w:line="240" w:lineRule="auto"/>
        <w:contextualSpacing/>
        <w:jc w:val="both"/>
        <w:rPr>
          <w:rFonts w:ascii="Times New Roman" w:hAnsi="Times New Roman"/>
          <w:color w:val="FF0000"/>
          <w:sz w:val="24"/>
          <w:szCs w:val="24"/>
          <w:lang w:val="en-US"/>
        </w:rPr>
      </w:pPr>
    </w:p>
    <w:p w14:paraId="6BFB84FB" w14:textId="77777777" w:rsidR="00B443F7" w:rsidRPr="00C40EC1" w:rsidRDefault="00B443F7" w:rsidP="00D75D4F">
      <w:pPr>
        <w:spacing w:before="120" w:after="120" w:line="240" w:lineRule="auto"/>
        <w:contextualSpacing/>
        <w:jc w:val="both"/>
        <w:rPr>
          <w:rFonts w:ascii="Times New Roman" w:hAnsi="Times New Roman"/>
          <w:color w:val="FF0000"/>
          <w:sz w:val="24"/>
          <w:szCs w:val="24"/>
          <w:lang w:val="en-US"/>
        </w:rPr>
      </w:pPr>
    </w:p>
    <w:p w14:paraId="2B297D28" w14:textId="77777777" w:rsidR="00B443F7" w:rsidRPr="00C40EC1" w:rsidRDefault="00B443F7" w:rsidP="00D75D4F">
      <w:pPr>
        <w:spacing w:before="120" w:after="120" w:line="240" w:lineRule="auto"/>
        <w:contextualSpacing/>
        <w:jc w:val="both"/>
        <w:rPr>
          <w:rFonts w:ascii="Times New Roman" w:hAnsi="Times New Roman"/>
          <w:color w:val="FF0000"/>
          <w:sz w:val="24"/>
          <w:szCs w:val="24"/>
          <w:lang w:val="en-US"/>
        </w:rPr>
      </w:pPr>
    </w:p>
    <w:p w14:paraId="71B337A0" w14:textId="77777777" w:rsidR="00B443F7" w:rsidRPr="00C40EC1" w:rsidRDefault="00B443F7" w:rsidP="00D75D4F">
      <w:pPr>
        <w:spacing w:before="120" w:after="120" w:line="240" w:lineRule="auto"/>
        <w:contextualSpacing/>
        <w:jc w:val="both"/>
        <w:rPr>
          <w:rFonts w:ascii="Times New Roman" w:hAnsi="Times New Roman"/>
          <w:color w:val="FF0000"/>
          <w:sz w:val="24"/>
          <w:szCs w:val="24"/>
          <w:lang w:val="en-US"/>
        </w:rPr>
      </w:pPr>
    </w:p>
    <w:sectPr w:rsidR="00B443F7" w:rsidRPr="00C40EC1">
      <w:footerReference w:type="even"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28CE4" w14:textId="77777777" w:rsidR="008A2B18" w:rsidRDefault="008A2B18" w:rsidP="00217030">
      <w:pPr>
        <w:spacing w:after="0" w:line="240" w:lineRule="auto"/>
      </w:pPr>
      <w:r>
        <w:separator/>
      </w:r>
    </w:p>
  </w:endnote>
  <w:endnote w:type="continuationSeparator" w:id="0">
    <w:p w14:paraId="184A46E0" w14:textId="77777777" w:rsidR="008A2B18" w:rsidRDefault="008A2B18" w:rsidP="0021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69501107"/>
      <w:docPartObj>
        <w:docPartGallery w:val="Page Numbers (Bottom of Page)"/>
        <w:docPartUnique/>
      </w:docPartObj>
    </w:sdtPr>
    <w:sdtContent>
      <w:p w14:paraId="4BC7CBF0" w14:textId="33253057" w:rsidR="000326AB" w:rsidRDefault="000326AB" w:rsidP="00CB61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964452" w14:textId="77777777" w:rsidR="000326AB" w:rsidRDefault="000326AB" w:rsidP="000326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68792640"/>
      <w:docPartObj>
        <w:docPartGallery w:val="Page Numbers (Bottom of Page)"/>
        <w:docPartUnique/>
      </w:docPartObj>
    </w:sdtPr>
    <w:sdtContent>
      <w:p w14:paraId="47D15320" w14:textId="429721CC" w:rsidR="000326AB" w:rsidRDefault="000326AB" w:rsidP="00CB61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14:paraId="7E15843F" w14:textId="4AEEED57" w:rsidR="00594069" w:rsidRDefault="00594069" w:rsidP="000326AB">
    <w:pPr>
      <w:pStyle w:val="Footer"/>
      <w:ind w:right="360"/>
      <w:jc w:val="right"/>
    </w:pPr>
  </w:p>
  <w:p w14:paraId="4C2E64AA" w14:textId="77777777" w:rsidR="00594069" w:rsidRDefault="00594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1AAFF" w14:textId="77777777" w:rsidR="008A2B18" w:rsidRDefault="008A2B18" w:rsidP="00217030">
      <w:pPr>
        <w:spacing w:after="0" w:line="240" w:lineRule="auto"/>
      </w:pPr>
      <w:r>
        <w:separator/>
      </w:r>
    </w:p>
  </w:footnote>
  <w:footnote w:type="continuationSeparator" w:id="0">
    <w:p w14:paraId="5AFD4632" w14:textId="77777777" w:rsidR="008A2B18" w:rsidRDefault="008A2B18" w:rsidP="00217030">
      <w:pPr>
        <w:spacing w:after="0" w:line="240" w:lineRule="auto"/>
      </w:pPr>
      <w:r>
        <w:continuationSeparator/>
      </w:r>
    </w:p>
  </w:footnote>
  <w:footnote w:id="1">
    <w:p w14:paraId="10828C01" w14:textId="648C166F" w:rsidR="00594069" w:rsidRDefault="00594069">
      <w:pPr>
        <w:pStyle w:val="FootnoteText"/>
      </w:pPr>
      <w:r>
        <w:rPr>
          <w:rStyle w:val="FootnoteReference"/>
        </w:rPr>
        <w:footnoteRef/>
      </w:r>
      <w:r>
        <w:t xml:space="preserve"> Email: </w:t>
      </w:r>
      <w:hyperlink r:id="rId1" w:history="1">
        <w:r w:rsidRPr="00572B9B">
          <w:rPr>
            <w:rStyle w:val="Hyperlink"/>
          </w:rPr>
          <w:t>benam@bc.edu</w:t>
        </w:r>
      </w:hyperlink>
      <w:r>
        <w:t xml:space="preserve"> </w:t>
      </w:r>
    </w:p>
  </w:footnote>
  <w:footnote w:id="2">
    <w:p w14:paraId="08E03A86" w14:textId="77777777" w:rsidR="00594069" w:rsidRPr="00764845" w:rsidRDefault="00594069" w:rsidP="00805594">
      <w:pPr>
        <w:pStyle w:val="FootnoteText"/>
        <w:rPr>
          <w:rFonts w:ascii="Times New Roman" w:hAnsi="Times New Roman"/>
        </w:rPr>
      </w:pPr>
      <w:r>
        <w:rPr>
          <w:rStyle w:val="FootnoteReference"/>
        </w:rPr>
        <w:footnoteRef/>
      </w:r>
      <w:r>
        <w:t xml:space="preserve"> </w:t>
      </w:r>
      <w:r w:rsidRPr="00764845">
        <w:rPr>
          <w:rFonts w:ascii="Times New Roman" w:hAnsi="Times New Roman"/>
        </w:rPr>
        <w:t>http://europa.eu/rapid/press-release_SPEECH-11-101_en.htm</w:t>
      </w:r>
    </w:p>
  </w:footnote>
  <w:footnote w:id="3">
    <w:p w14:paraId="5BE61DCF" w14:textId="42111C2A" w:rsidR="00594069" w:rsidRPr="006D4ADE" w:rsidRDefault="00594069" w:rsidP="002F059D">
      <w:pPr>
        <w:pStyle w:val="FootnoteText"/>
        <w:rPr>
          <w:rFonts w:ascii="Times New Roman" w:hAnsi="Times New Roman"/>
        </w:rPr>
      </w:pPr>
      <w:r>
        <w:rPr>
          <w:rStyle w:val="FootnoteReference"/>
        </w:rPr>
        <w:footnoteRef/>
      </w:r>
      <w:r>
        <w:t xml:space="preserve"> </w:t>
      </w:r>
      <w:r w:rsidRPr="006D4ADE">
        <w:rPr>
          <w:rFonts w:ascii="Times New Roman" w:hAnsi="Times New Roman"/>
        </w:rPr>
        <w:t>Such as the statement of Italian Foreign Minister, Franco Frattini warning of a ‘biblical exodus’, see Nick Squires, `Libya: Italy Fears 300</w:t>
      </w:r>
      <w:r>
        <w:rPr>
          <w:rFonts w:ascii="Times New Roman" w:hAnsi="Times New Roman"/>
        </w:rPr>
        <w:t>,</w:t>
      </w:r>
      <w:r w:rsidRPr="006D4ADE">
        <w:rPr>
          <w:rFonts w:ascii="Times New Roman" w:hAnsi="Times New Roman"/>
        </w:rPr>
        <w:t xml:space="preserve">000 Refugees`, </w:t>
      </w:r>
      <w:r w:rsidRPr="00F97EA6">
        <w:rPr>
          <w:rFonts w:ascii="Times New Roman" w:hAnsi="Times New Roman"/>
          <w:i/>
        </w:rPr>
        <w:t>The Telegraph</w:t>
      </w:r>
      <w:r w:rsidRPr="006D4ADE">
        <w:rPr>
          <w:rFonts w:ascii="Times New Roman" w:hAnsi="Times New Roman"/>
        </w:rPr>
        <w:t>, 23 February 2011.</w:t>
      </w:r>
    </w:p>
  </w:footnote>
  <w:footnote w:id="4">
    <w:p w14:paraId="2D19A331" w14:textId="77777777" w:rsidR="00594069" w:rsidRPr="0005787B" w:rsidRDefault="00594069" w:rsidP="002F059D">
      <w:pPr>
        <w:pStyle w:val="FootnoteText"/>
        <w:rPr>
          <w:lang w:val="en-US"/>
        </w:rPr>
      </w:pPr>
      <w:r w:rsidRPr="006D4ADE">
        <w:rPr>
          <w:rFonts w:ascii="Times New Roman" w:hAnsi="Times New Roman"/>
        </w:rPr>
        <w:footnoteRef/>
      </w:r>
      <w:r w:rsidRPr="006D4ADE">
        <w:rPr>
          <w:rFonts w:ascii="Times New Roman" w:hAnsi="Times New Roman"/>
        </w:rPr>
        <w:t xml:space="preserve"> EU Press Release, ‘The EU’s Response to the ‘Arab Spring’’, 16 December 2011, available at</w:t>
      </w:r>
      <w:r>
        <w:rPr>
          <w:lang w:val="en-US"/>
        </w:rPr>
        <w:t xml:space="preserve"> </w:t>
      </w:r>
      <w:hyperlink r:id="rId2" w:history="1">
        <w:r w:rsidRPr="006E5BF8">
          <w:rPr>
            <w:rStyle w:val="Hyperlink"/>
            <w:lang w:val="en-US"/>
          </w:rPr>
          <w:t>http://europea.edu/rapid/press-release_MEMO-11-918_en.htm</w:t>
        </w:r>
      </w:hyperlink>
      <w:r>
        <w:rPr>
          <w:lang w:val="en-US"/>
        </w:rPr>
        <w:t xml:space="preserve"> </w:t>
      </w:r>
    </w:p>
  </w:footnote>
  <w:footnote w:id="5">
    <w:p w14:paraId="4B965A07" w14:textId="77777777" w:rsidR="00594069" w:rsidRDefault="00594069" w:rsidP="002F059D">
      <w:pPr>
        <w:pStyle w:val="FootnoteText"/>
      </w:pPr>
      <w:r>
        <w:rPr>
          <w:rStyle w:val="FootnoteReference"/>
        </w:rPr>
        <w:footnoteRef/>
      </w:r>
      <w:r>
        <w:t xml:space="preserve"> </w:t>
      </w:r>
      <w:hyperlink r:id="rId3" w:history="1">
        <w:r w:rsidRPr="00D937A6">
          <w:rPr>
            <w:rStyle w:val="Hyperlink"/>
          </w:rPr>
          <w:t>http://www.frontex.europa.eu/news/update-to-joint-operation-hermes-2011-PJk64d</w:t>
        </w:r>
      </w:hyperlink>
      <w:r>
        <w:t xml:space="preserve"> </w:t>
      </w:r>
    </w:p>
  </w:footnote>
  <w:footnote w:id="6">
    <w:p w14:paraId="6208A677" w14:textId="62631168" w:rsidR="00594069" w:rsidRPr="00D03022" w:rsidRDefault="00594069" w:rsidP="002F059D">
      <w:pPr>
        <w:pStyle w:val="FootnoteText"/>
        <w:rPr>
          <w:rFonts w:ascii="Times New Roman" w:hAnsi="Times New Roman"/>
        </w:rPr>
      </w:pPr>
      <w:r>
        <w:rPr>
          <w:rStyle w:val="FootnoteReference"/>
        </w:rPr>
        <w:footnoteRef/>
      </w:r>
      <w:r>
        <w:t xml:space="preserve"> </w:t>
      </w:r>
      <w:r w:rsidRPr="00D03022">
        <w:rPr>
          <w:rFonts w:ascii="Times New Roman" w:hAnsi="Times New Roman"/>
        </w:rPr>
        <w:t xml:space="preserve">EU Commissioner Malmstrom, Statement </w:t>
      </w:r>
      <w:r>
        <w:rPr>
          <w:rFonts w:ascii="Times New Roman" w:hAnsi="Times New Roman"/>
        </w:rPr>
        <w:t>announcing the launch of FRONTEX</w:t>
      </w:r>
      <w:r w:rsidRPr="00D03022">
        <w:rPr>
          <w:rFonts w:ascii="Times New Roman" w:hAnsi="Times New Roman"/>
        </w:rPr>
        <w:t xml:space="preserve"> operation ‘HERMES’ in Italy as of 20 February 2011, MEMO/1/98, Brussels, 20 February 2011.</w:t>
      </w:r>
    </w:p>
  </w:footnote>
  <w:footnote w:id="7">
    <w:p w14:paraId="00E720F7" w14:textId="682524EB" w:rsidR="00594069" w:rsidRPr="00925F90" w:rsidRDefault="00594069" w:rsidP="007E79BE">
      <w:pPr>
        <w:pStyle w:val="FootnoteText"/>
        <w:rPr>
          <w:lang w:val="en-US"/>
        </w:rPr>
      </w:pPr>
      <w:r w:rsidRPr="00D03022">
        <w:rPr>
          <w:rFonts w:ascii="Times New Roman" w:hAnsi="Times New Roman"/>
        </w:rPr>
        <w:footnoteRef/>
      </w:r>
      <w:r w:rsidRPr="00D03022">
        <w:rPr>
          <w:rFonts w:ascii="Times New Roman" w:hAnsi="Times New Roman"/>
        </w:rPr>
        <w:t xml:space="preserve"> See for instance Karl Kopp,  </w:t>
      </w:r>
      <w:r w:rsidRPr="00D03022">
        <w:rPr>
          <w:rFonts w:ascii="Times New Roman" w:hAnsi="Times New Roman"/>
          <w:i/>
        </w:rPr>
        <w:t>Europe’s borders</w:t>
      </w:r>
      <w:r w:rsidRPr="00D03022">
        <w:rPr>
          <w:rFonts w:ascii="Times New Roman" w:hAnsi="Times New Roman"/>
        </w:rPr>
        <w:t>, 4 December 2012, available at</w:t>
      </w:r>
      <w:r>
        <w:rPr>
          <w:lang w:val="en-US"/>
        </w:rPr>
        <w:t xml:space="preserve"> </w:t>
      </w:r>
      <w:hyperlink r:id="rId4" w:history="1">
        <w:r w:rsidRPr="00D937A6">
          <w:rPr>
            <w:rStyle w:val="Hyperlink"/>
            <w:lang w:val="en-US"/>
          </w:rPr>
          <w:t>http://www.dandc.eu/en/article/human-rights-problems-eu-border-agency-frontex</w:t>
        </w:r>
      </w:hyperlink>
      <w:r>
        <w:rPr>
          <w:lang w:val="en-US"/>
        </w:rPr>
        <w:t xml:space="preserve"> </w:t>
      </w:r>
    </w:p>
  </w:footnote>
  <w:footnote w:id="8">
    <w:p w14:paraId="3DE84F44" w14:textId="77777777" w:rsidR="00594069" w:rsidRPr="00871752" w:rsidRDefault="00594069" w:rsidP="002F059D">
      <w:pPr>
        <w:pStyle w:val="FootnoteText"/>
        <w:rPr>
          <w:rFonts w:ascii="Times New Roman" w:hAnsi="Times New Roman"/>
        </w:rPr>
      </w:pPr>
      <w:r>
        <w:rPr>
          <w:rStyle w:val="FootnoteReference"/>
        </w:rPr>
        <w:footnoteRef/>
      </w:r>
      <w:r>
        <w:t xml:space="preserve"> </w:t>
      </w:r>
      <w:r w:rsidRPr="00871752">
        <w:rPr>
          <w:rFonts w:ascii="Times New Roman" w:hAnsi="Times New Roman"/>
        </w:rPr>
        <w:t xml:space="preserve">To read more about the legal discussions see Carrera et al 2011 and Pascouau 2012. </w:t>
      </w:r>
    </w:p>
  </w:footnote>
  <w:footnote w:id="9">
    <w:p w14:paraId="1435ABA3" w14:textId="77777777" w:rsidR="00594069" w:rsidRDefault="00594069" w:rsidP="002F059D">
      <w:pPr>
        <w:pStyle w:val="FootnoteText"/>
      </w:pPr>
      <w:r>
        <w:rPr>
          <w:rStyle w:val="FootnoteReference"/>
        </w:rPr>
        <w:footnoteRef/>
      </w:r>
      <w:r>
        <w:t xml:space="preserve"> </w:t>
      </w:r>
      <w:r w:rsidRPr="00C870C6">
        <w:rPr>
          <w:rFonts w:ascii="Times New Roman" w:hAnsi="Times New Roman"/>
        </w:rPr>
        <w:t>For the criticism of Amnesty International see</w:t>
      </w:r>
      <w:r>
        <w:t xml:space="preserve"> </w:t>
      </w:r>
      <w:hyperlink r:id="rId5" w:history="1">
        <w:r w:rsidRPr="00D937A6">
          <w:rPr>
            <w:rStyle w:val="Hyperlink"/>
          </w:rPr>
          <w:t>http://repository.forcedmigration.org/show_metadata.jsp?pid=fmo%3A5361</w:t>
        </w:r>
      </w:hyperlink>
      <w:r>
        <w:t xml:space="preserve"> </w:t>
      </w:r>
    </w:p>
  </w:footnote>
  <w:footnote w:id="10">
    <w:p w14:paraId="6A06598A" w14:textId="55A76A35" w:rsidR="00594069" w:rsidRDefault="00594069" w:rsidP="002F059D">
      <w:pPr>
        <w:pStyle w:val="FootnoteText"/>
      </w:pPr>
      <w:r>
        <w:rPr>
          <w:rStyle w:val="FootnoteReference"/>
        </w:rPr>
        <w:footnoteRef/>
      </w:r>
      <w:r>
        <w:t xml:space="preserve"> </w:t>
      </w:r>
      <w:r w:rsidRPr="00C870C6">
        <w:rPr>
          <w:rFonts w:ascii="Times New Roman" w:hAnsi="Times New Roman"/>
        </w:rPr>
        <w:t>To see the latest numbers of Syrian refugees see</w:t>
      </w:r>
      <w:r>
        <w:t xml:space="preserve"> </w:t>
      </w:r>
      <w:hyperlink r:id="rId6" w:history="1">
        <w:r w:rsidRPr="00CB61E3">
          <w:rPr>
            <w:rStyle w:val="Hyperlink"/>
          </w:rPr>
          <w:t>http://data.unhcr.org/syr</w:t>
        </w:r>
        <w:r w:rsidRPr="00CB61E3">
          <w:rPr>
            <w:rStyle w:val="Hyperlink"/>
          </w:rPr>
          <w:t>i</w:t>
        </w:r>
        <w:r w:rsidRPr="00CB61E3">
          <w:rPr>
            <w:rStyle w:val="Hyperlink"/>
          </w:rPr>
          <w:t>anrefugees/regional.php</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0F0"/>
    <w:multiLevelType w:val="hybridMultilevel"/>
    <w:tmpl w:val="F746D7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744E1E"/>
    <w:multiLevelType w:val="multilevel"/>
    <w:tmpl w:val="3C4218C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31753"/>
    <w:multiLevelType w:val="hybridMultilevel"/>
    <w:tmpl w:val="D952C5F8"/>
    <w:lvl w:ilvl="0" w:tplc="0130E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83C30"/>
    <w:multiLevelType w:val="hybridMultilevel"/>
    <w:tmpl w:val="698453D6"/>
    <w:lvl w:ilvl="0" w:tplc="0DC21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D0D6D"/>
    <w:multiLevelType w:val="hybridMultilevel"/>
    <w:tmpl w:val="89E2110A"/>
    <w:lvl w:ilvl="0" w:tplc="EC2C09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47A2F"/>
    <w:multiLevelType w:val="multilevel"/>
    <w:tmpl w:val="479A6CC8"/>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C6F91"/>
    <w:multiLevelType w:val="multilevel"/>
    <w:tmpl w:val="C074D48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856640"/>
    <w:multiLevelType w:val="multilevel"/>
    <w:tmpl w:val="EFF8AD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603643"/>
    <w:multiLevelType w:val="hybridMultilevel"/>
    <w:tmpl w:val="3A427100"/>
    <w:lvl w:ilvl="0" w:tplc="24AAD836">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96C72ED"/>
    <w:multiLevelType w:val="multilevel"/>
    <w:tmpl w:val="845408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F348F9"/>
    <w:multiLevelType w:val="hybridMultilevel"/>
    <w:tmpl w:val="54B0653E"/>
    <w:lvl w:ilvl="0" w:tplc="4F06EF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E4436D"/>
    <w:multiLevelType w:val="multilevel"/>
    <w:tmpl w:val="BEA418A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6739BD"/>
    <w:multiLevelType w:val="hybridMultilevel"/>
    <w:tmpl w:val="01E03752"/>
    <w:lvl w:ilvl="0" w:tplc="339C53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F4C7823"/>
    <w:multiLevelType w:val="multilevel"/>
    <w:tmpl w:val="74E4E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C34A55"/>
    <w:multiLevelType w:val="multilevel"/>
    <w:tmpl w:val="D5525A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AC47CA"/>
    <w:multiLevelType w:val="hybridMultilevel"/>
    <w:tmpl w:val="891EBCFA"/>
    <w:lvl w:ilvl="0" w:tplc="F7681226">
      <w:start w:val="1"/>
      <w:numFmt w:val="decimal"/>
      <w:lvlText w:val="%1-"/>
      <w:lvlJc w:val="left"/>
      <w:pPr>
        <w:ind w:left="2581" w:hanging="88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15"/>
  </w:num>
  <w:num w:numId="2">
    <w:abstractNumId w:val="0"/>
  </w:num>
  <w:num w:numId="3">
    <w:abstractNumId w:val="12"/>
  </w:num>
  <w:num w:numId="4">
    <w:abstractNumId w:val="2"/>
  </w:num>
  <w:num w:numId="5">
    <w:abstractNumId w:val="10"/>
  </w:num>
  <w:num w:numId="6">
    <w:abstractNumId w:val="4"/>
  </w:num>
  <w:num w:numId="7">
    <w:abstractNumId w:val="8"/>
  </w:num>
  <w:num w:numId="8">
    <w:abstractNumId w:val="3"/>
  </w:num>
  <w:num w:numId="9">
    <w:abstractNumId w:val="13"/>
  </w:num>
  <w:num w:numId="10">
    <w:abstractNumId w:val="7"/>
  </w:num>
  <w:num w:numId="11">
    <w:abstractNumId w:val="14"/>
  </w:num>
  <w:num w:numId="12">
    <w:abstractNumId w:val="9"/>
  </w:num>
  <w:num w:numId="13">
    <w:abstractNumId w:val="5"/>
  </w:num>
  <w:num w:numId="14">
    <w:abstractNumId w:val="11"/>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CB"/>
    <w:rsid w:val="000028DF"/>
    <w:rsid w:val="000042F8"/>
    <w:rsid w:val="00017DF9"/>
    <w:rsid w:val="00022BE8"/>
    <w:rsid w:val="000326AB"/>
    <w:rsid w:val="00035F17"/>
    <w:rsid w:val="00042062"/>
    <w:rsid w:val="00047277"/>
    <w:rsid w:val="00051A32"/>
    <w:rsid w:val="000548CA"/>
    <w:rsid w:val="00056FAA"/>
    <w:rsid w:val="0005787B"/>
    <w:rsid w:val="00060FC6"/>
    <w:rsid w:val="000659D1"/>
    <w:rsid w:val="00074E3B"/>
    <w:rsid w:val="00082945"/>
    <w:rsid w:val="00082D2A"/>
    <w:rsid w:val="00083DB1"/>
    <w:rsid w:val="00083DC9"/>
    <w:rsid w:val="000843EF"/>
    <w:rsid w:val="000853B2"/>
    <w:rsid w:val="00087812"/>
    <w:rsid w:val="0009223C"/>
    <w:rsid w:val="00092ACC"/>
    <w:rsid w:val="000972B2"/>
    <w:rsid w:val="000A4CBF"/>
    <w:rsid w:val="000B0F2E"/>
    <w:rsid w:val="000B1722"/>
    <w:rsid w:val="000B2F39"/>
    <w:rsid w:val="000B39A3"/>
    <w:rsid w:val="000C0348"/>
    <w:rsid w:val="000C53BE"/>
    <w:rsid w:val="000D0AE3"/>
    <w:rsid w:val="000D10FF"/>
    <w:rsid w:val="000E3C19"/>
    <w:rsid w:val="000E3C93"/>
    <w:rsid w:val="000E6AFD"/>
    <w:rsid w:val="000E74AC"/>
    <w:rsid w:val="000F3B82"/>
    <w:rsid w:val="000F5742"/>
    <w:rsid w:val="000F5D59"/>
    <w:rsid w:val="000F6ADC"/>
    <w:rsid w:val="00100105"/>
    <w:rsid w:val="00115BE4"/>
    <w:rsid w:val="00116062"/>
    <w:rsid w:val="00116F0C"/>
    <w:rsid w:val="00121DC9"/>
    <w:rsid w:val="00127389"/>
    <w:rsid w:val="001278C5"/>
    <w:rsid w:val="00130465"/>
    <w:rsid w:val="00132EF9"/>
    <w:rsid w:val="00133C3B"/>
    <w:rsid w:val="00150FF6"/>
    <w:rsid w:val="00153FC4"/>
    <w:rsid w:val="001544F8"/>
    <w:rsid w:val="00154E6D"/>
    <w:rsid w:val="00155B88"/>
    <w:rsid w:val="001600BC"/>
    <w:rsid w:val="001651E7"/>
    <w:rsid w:val="00165910"/>
    <w:rsid w:val="00167C97"/>
    <w:rsid w:val="00167CB9"/>
    <w:rsid w:val="001741C5"/>
    <w:rsid w:val="00181824"/>
    <w:rsid w:val="00182A60"/>
    <w:rsid w:val="00185100"/>
    <w:rsid w:val="001856A7"/>
    <w:rsid w:val="00192282"/>
    <w:rsid w:val="00193322"/>
    <w:rsid w:val="00195F54"/>
    <w:rsid w:val="00197B3A"/>
    <w:rsid w:val="001A3E73"/>
    <w:rsid w:val="001C4A1A"/>
    <w:rsid w:val="001D3C46"/>
    <w:rsid w:val="001E0A60"/>
    <w:rsid w:val="001E1CB0"/>
    <w:rsid w:val="001E2D4D"/>
    <w:rsid w:val="001E4F63"/>
    <w:rsid w:val="001E61C4"/>
    <w:rsid w:val="001F2581"/>
    <w:rsid w:val="001F4C72"/>
    <w:rsid w:val="001F77BC"/>
    <w:rsid w:val="001F7E5F"/>
    <w:rsid w:val="00200F5D"/>
    <w:rsid w:val="002014CD"/>
    <w:rsid w:val="002027AC"/>
    <w:rsid w:val="002034C3"/>
    <w:rsid w:val="00206318"/>
    <w:rsid w:val="0020675E"/>
    <w:rsid w:val="00207199"/>
    <w:rsid w:val="00210218"/>
    <w:rsid w:val="0021072C"/>
    <w:rsid w:val="00211E03"/>
    <w:rsid w:val="002162D0"/>
    <w:rsid w:val="00217030"/>
    <w:rsid w:val="00242966"/>
    <w:rsid w:val="002505E5"/>
    <w:rsid w:val="002573FE"/>
    <w:rsid w:val="002578E6"/>
    <w:rsid w:val="002617FF"/>
    <w:rsid w:val="00264776"/>
    <w:rsid w:val="002647BB"/>
    <w:rsid w:val="00266623"/>
    <w:rsid w:val="00270BF9"/>
    <w:rsid w:val="00272E45"/>
    <w:rsid w:val="002749E9"/>
    <w:rsid w:val="00276388"/>
    <w:rsid w:val="00277359"/>
    <w:rsid w:val="00277FC6"/>
    <w:rsid w:val="002803A1"/>
    <w:rsid w:val="00291FE9"/>
    <w:rsid w:val="00295F64"/>
    <w:rsid w:val="002A4657"/>
    <w:rsid w:val="002A67D8"/>
    <w:rsid w:val="002A7FE8"/>
    <w:rsid w:val="002B1087"/>
    <w:rsid w:val="002B25F8"/>
    <w:rsid w:val="002B2C44"/>
    <w:rsid w:val="002B5362"/>
    <w:rsid w:val="002B5500"/>
    <w:rsid w:val="002B6F64"/>
    <w:rsid w:val="002B77C5"/>
    <w:rsid w:val="002B7B73"/>
    <w:rsid w:val="002C2158"/>
    <w:rsid w:val="002C21F1"/>
    <w:rsid w:val="002C3B4D"/>
    <w:rsid w:val="002C3C2C"/>
    <w:rsid w:val="002C614E"/>
    <w:rsid w:val="002D20CE"/>
    <w:rsid w:val="002D252F"/>
    <w:rsid w:val="002D2B0B"/>
    <w:rsid w:val="002E0B72"/>
    <w:rsid w:val="002E1647"/>
    <w:rsid w:val="002E2492"/>
    <w:rsid w:val="002E512A"/>
    <w:rsid w:val="002E5F06"/>
    <w:rsid w:val="002E6E79"/>
    <w:rsid w:val="002F042C"/>
    <w:rsid w:val="002F059D"/>
    <w:rsid w:val="002F56B3"/>
    <w:rsid w:val="00300503"/>
    <w:rsid w:val="00306603"/>
    <w:rsid w:val="0030662F"/>
    <w:rsid w:val="003128F7"/>
    <w:rsid w:val="0031695C"/>
    <w:rsid w:val="00320CF9"/>
    <w:rsid w:val="00322ADB"/>
    <w:rsid w:val="003243A5"/>
    <w:rsid w:val="0033099F"/>
    <w:rsid w:val="00333895"/>
    <w:rsid w:val="00333D07"/>
    <w:rsid w:val="00334FB4"/>
    <w:rsid w:val="0034042B"/>
    <w:rsid w:val="00342AD3"/>
    <w:rsid w:val="003474A7"/>
    <w:rsid w:val="0035067E"/>
    <w:rsid w:val="00351F01"/>
    <w:rsid w:val="00356E42"/>
    <w:rsid w:val="00361CD4"/>
    <w:rsid w:val="00362381"/>
    <w:rsid w:val="00364D65"/>
    <w:rsid w:val="0036605F"/>
    <w:rsid w:val="0036673D"/>
    <w:rsid w:val="00372CBC"/>
    <w:rsid w:val="003743B1"/>
    <w:rsid w:val="00375CFD"/>
    <w:rsid w:val="00376C1B"/>
    <w:rsid w:val="00385059"/>
    <w:rsid w:val="00390485"/>
    <w:rsid w:val="003924B5"/>
    <w:rsid w:val="00395A57"/>
    <w:rsid w:val="003A7500"/>
    <w:rsid w:val="003A781D"/>
    <w:rsid w:val="003A7CDD"/>
    <w:rsid w:val="003B0513"/>
    <w:rsid w:val="003C5006"/>
    <w:rsid w:val="003C5576"/>
    <w:rsid w:val="003C7DF1"/>
    <w:rsid w:val="003D11D9"/>
    <w:rsid w:val="003D2302"/>
    <w:rsid w:val="003D4C57"/>
    <w:rsid w:val="003D6B42"/>
    <w:rsid w:val="003D721F"/>
    <w:rsid w:val="003E4381"/>
    <w:rsid w:val="003E5EBF"/>
    <w:rsid w:val="003E624E"/>
    <w:rsid w:val="003E7F29"/>
    <w:rsid w:val="003F03D3"/>
    <w:rsid w:val="003F20FA"/>
    <w:rsid w:val="003F35CB"/>
    <w:rsid w:val="003F71FD"/>
    <w:rsid w:val="004016CD"/>
    <w:rsid w:val="00407258"/>
    <w:rsid w:val="00410200"/>
    <w:rsid w:val="00412E67"/>
    <w:rsid w:val="0041528C"/>
    <w:rsid w:val="004212A7"/>
    <w:rsid w:val="00421662"/>
    <w:rsid w:val="00421EF6"/>
    <w:rsid w:val="00422F00"/>
    <w:rsid w:val="00426F27"/>
    <w:rsid w:val="00427C5D"/>
    <w:rsid w:val="004321DA"/>
    <w:rsid w:val="00442066"/>
    <w:rsid w:val="00442A0E"/>
    <w:rsid w:val="00444268"/>
    <w:rsid w:val="00446175"/>
    <w:rsid w:val="004465BA"/>
    <w:rsid w:val="004472FC"/>
    <w:rsid w:val="00472451"/>
    <w:rsid w:val="0047369C"/>
    <w:rsid w:val="00475F5D"/>
    <w:rsid w:val="004801D3"/>
    <w:rsid w:val="00487AD8"/>
    <w:rsid w:val="00490799"/>
    <w:rsid w:val="00495226"/>
    <w:rsid w:val="004B46A4"/>
    <w:rsid w:val="004B6C1A"/>
    <w:rsid w:val="004B79D7"/>
    <w:rsid w:val="004C0E1A"/>
    <w:rsid w:val="004C26B1"/>
    <w:rsid w:val="004C2FED"/>
    <w:rsid w:val="004C6513"/>
    <w:rsid w:val="004C65EA"/>
    <w:rsid w:val="004D3591"/>
    <w:rsid w:val="004D402B"/>
    <w:rsid w:val="004E04A6"/>
    <w:rsid w:val="004E141E"/>
    <w:rsid w:val="004E28A3"/>
    <w:rsid w:val="004E2B5C"/>
    <w:rsid w:val="004E62D7"/>
    <w:rsid w:val="004F14FB"/>
    <w:rsid w:val="004F2B69"/>
    <w:rsid w:val="004F3B5F"/>
    <w:rsid w:val="00500FAE"/>
    <w:rsid w:val="005028F7"/>
    <w:rsid w:val="005153AA"/>
    <w:rsid w:val="00515978"/>
    <w:rsid w:val="00522505"/>
    <w:rsid w:val="00523D7C"/>
    <w:rsid w:val="00523DE4"/>
    <w:rsid w:val="0053254F"/>
    <w:rsid w:val="005418B0"/>
    <w:rsid w:val="0055132A"/>
    <w:rsid w:val="00552A12"/>
    <w:rsid w:val="00552E08"/>
    <w:rsid w:val="00552E5F"/>
    <w:rsid w:val="0055401B"/>
    <w:rsid w:val="00554B77"/>
    <w:rsid w:val="005658B8"/>
    <w:rsid w:val="00566948"/>
    <w:rsid w:val="00575127"/>
    <w:rsid w:val="0057670A"/>
    <w:rsid w:val="005811E4"/>
    <w:rsid w:val="00587BB4"/>
    <w:rsid w:val="00591D0F"/>
    <w:rsid w:val="00593732"/>
    <w:rsid w:val="00594069"/>
    <w:rsid w:val="00595ECF"/>
    <w:rsid w:val="005A62E3"/>
    <w:rsid w:val="005A657A"/>
    <w:rsid w:val="005B0A2D"/>
    <w:rsid w:val="005B430A"/>
    <w:rsid w:val="005D0B03"/>
    <w:rsid w:val="005D29E7"/>
    <w:rsid w:val="005D2EAC"/>
    <w:rsid w:val="005F152F"/>
    <w:rsid w:val="005F2CE2"/>
    <w:rsid w:val="005F6F72"/>
    <w:rsid w:val="005F73F6"/>
    <w:rsid w:val="00607267"/>
    <w:rsid w:val="00610903"/>
    <w:rsid w:val="0061336B"/>
    <w:rsid w:val="00614993"/>
    <w:rsid w:val="0061507C"/>
    <w:rsid w:val="00615AE6"/>
    <w:rsid w:val="0062038C"/>
    <w:rsid w:val="0062066F"/>
    <w:rsid w:val="00624B13"/>
    <w:rsid w:val="0063246A"/>
    <w:rsid w:val="00634BFB"/>
    <w:rsid w:val="00643A29"/>
    <w:rsid w:val="00643E80"/>
    <w:rsid w:val="006467B6"/>
    <w:rsid w:val="00655439"/>
    <w:rsid w:val="006571DA"/>
    <w:rsid w:val="00661CB1"/>
    <w:rsid w:val="00662F73"/>
    <w:rsid w:val="00663E31"/>
    <w:rsid w:val="00665551"/>
    <w:rsid w:val="00675C4B"/>
    <w:rsid w:val="00675F11"/>
    <w:rsid w:val="00685E2B"/>
    <w:rsid w:val="00686D4C"/>
    <w:rsid w:val="00691749"/>
    <w:rsid w:val="006954B8"/>
    <w:rsid w:val="006A0769"/>
    <w:rsid w:val="006C0122"/>
    <w:rsid w:val="006C103E"/>
    <w:rsid w:val="006C4313"/>
    <w:rsid w:val="006C4BD4"/>
    <w:rsid w:val="006C55CC"/>
    <w:rsid w:val="006D06AA"/>
    <w:rsid w:val="006E195C"/>
    <w:rsid w:val="006E48A1"/>
    <w:rsid w:val="006E526F"/>
    <w:rsid w:val="006E6B2D"/>
    <w:rsid w:val="006F00BA"/>
    <w:rsid w:val="006F05F0"/>
    <w:rsid w:val="006F3317"/>
    <w:rsid w:val="00701392"/>
    <w:rsid w:val="00704098"/>
    <w:rsid w:val="0072304B"/>
    <w:rsid w:val="007244CE"/>
    <w:rsid w:val="007324BE"/>
    <w:rsid w:val="00733954"/>
    <w:rsid w:val="00736DDA"/>
    <w:rsid w:val="00740067"/>
    <w:rsid w:val="00742298"/>
    <w:rsid w:val="00742996"/>
    <w:rsid w:val="0075092C"/>
    <w:rsid w:val="0075198D"/>
    <w:rsid w:val="00753CB4"/>
    <w:rsid w:val="00754439"/>
    <w:rsid w:val="007544C3"/>
    <w:rsid w:val="00755073"/>
    <w:rsid w:val="007558DC"/>
    <w:rsid w:val="00755E30"/>
    <w:rsid w:val="007631A4"/>
    <w:rsid w:val="00764845"/>
    <w:rsid w:val="00765001"/>
    <w:rsid w:val="007655E5"/>
    <w:rsid w:val="0077148D"/>
    <w:rsid w:val="00771BA5"/>
    <w:rsid w:val="007723D8"/>
    <w:rsid w:val="007731EC"/>
    <w:rsid w:val="00774F56"/>
    <w:rsid w:val="00776C5B"/>
    <w:rsid w:val="00780151"/>
    <w:rsid w:val="00781B84"/>
    <w:rsid w:val="007850CA"/>
    <w:rsid w:val="00787606"/>
    <w:rsid w:val="007908CB"/>
    <w:rsid w:val="007A0BA0"/>
    <w:rsid w:val="007A207B"/>
    <w:rsid w:val="007A532A"/>
    <w:rsid w:val="007B3865"/>
    <w:rsid w:val="007B5AAA"/>
    <w:rsid w:val="007C7A13"/>
    <w:rsid w:val="007D0FE5"/>
    <w:rsid w:val="007D75F3"/>
    <w:rsid w:val="007E4354"/>
    <w:rsid w:val="007E7933"/>
    <w:rsid w:val="007E79BE"/>
    <w:rsid w:val="007F743E"/>
    <w:rsid w:val="00803B54"/>
    <w:rsid w:val="00805594"/>
    <w:rsid w:val="00805749"/>
    <w:rsid w:val="0080704B"/>
    <w:rsid w:val="008113C2"/>
    <w:rsid w:val="00814B9A"/>
    <w:rsid w:val="0081571F"/>
    <w:rsid w:val="00823FFF"/>
    <w:rsid w:val="0082428F"/>
    <w:rsid w:val="00830CB3"/>
    <w:rsid w:val="00837370"/>
    <w:rsid w:val="0084142F"/>
    <w:rsid w:val="00843C1A"/>
    <w:rsid w:val="008443AD"/>
    <w:rsid w:val="00851743"/>
    <w:rsid w:val="00854747"/>
    <w:rsid w:val="0085725C"/>
    <w:rsid w:val="00860405"/>
    <w:rsid w:val="00865512"/>
    <w:rsid w:val="00871752"/>
    <w:rsid w:val="008736B3"/>
    <w:rsid w:val="00874F4D"/>
    <w:rsid w:val="00877B8E"/>
    <w:rsid w:val="008823EE"/>
    <w:rsid w:val="00882F81"/>
    <w:rsid w:val="00890FE2"/>
    <w:rsid w:val="008916EE"/>
    <w:rsid w:val="008922A6"/>
    <w:rsid w:val="008931E1"/>
    <w:rsid w:val="00897A4B"/>
    <w:rsid w:val="008A0FB3"/>
    <w:rsid w:val="008A2B18"/>
    <w:rsid w:val="008A42A1"/>
    <w:rsid w:val="008A7FC2"/>
    <w:rsid w:val="008B2F76"/>
    <w:rsid w:val="008B4F62"/>
    <w:rsid w:val="008B6272"/>
    <w:rsid w:val="008B7109"/>
    <w:rsid w:val="008D0FBC"/>
    <w:rsid w:val="008D38E8"/>
    <w:rsid w:val="008D5583"/>
    <w:rsid w:val="008D6E13"/>
    <w:rsid w:val="008D7D5B"/>
    <w:rsid w:val="008E6CC6"/>
    <w:rsid w:val="008F42B6"/>
    <w:rsid w:val="008F6E06"/>
    <w:rsid w:val="009115C0"/>
    <w:rsid w:val="00913502"/>
    <w:rsid w:val="0091366E"/>
    <w:rsid w:val="00917E0D"/>
    <w:rsid w:val="00920043"/>
    <w:rsid w:val="00925F90"/>
    <w:rsid w:val="009260E2"/>
    <w:rsid w:val="009315C8"/>
    <w:rsid w:val="00932F51"/>
    <w:rsid w:val="00940955"/>
    <w:rsid w:val="00941CAE"/>
    <w:rsid w:val="00944E18"/>
    <w:rsid w:val="009457AA"/>
    <w:rsid w:val="00952C52"/>
    <w:rsid w:val="00955748"/>
    <w:rsid w:val="009563FC"/>
    <w:rsid w:val="0096156D"/>
    <w:rsid w:val="00965A31"/>
    <w:rsid w:val="0097328B"/>
    <w:rsid w:val="00974D28"/>
    <w:rsid w:val="009772D8"/>
    <w:rsid w:val="00977D86"/>
    <w:rsid w:val="00982A32"/>
    <w:rsid w:val="009836CC"/>
    <w:rsid w:val="0098509E"/>
    <w:rsid w:val="0098572F"/>
    <w:rsid w:val="00985E8E"/>
    <w:rsid w:val="009863FB"/>
    <w:rsid w:val="009876D2"/>
    <w:rsid w:val="00987CA1"/>
    <w:rsid w:val="009923E1"/>
    <w:rsid w:val="009A2746"/>
    <w:rsid w:val="009B0497"/>
    <w:rsid w:val="009C39BA"/>
    <w:rsid w:val="009D1BA4"/>
    <w:rsid w:val="009D413E"/>
    <w:rsid w:val="009D5375"/>
    <w:rsid w:val="009E06AD"/>
    <w:rsid w:val="009E245C"/>
    <w:rsid w:val="009F0B97"/>
    <w:rsid w:val="009F126C"/>
    <w:rsid w:val="009F2BBD"/>
    <w:rsid w:val="00A04353"/>
    <w:rsid w:val="00A04F75"/>
    <w:rsid w:val="00A13176"/>
    <w:rsid w:val="00A235C3"/>
    <w:rsid w:val="00A25043"/>
    <w:rsid w:val="00A26E62"/>
    <w:rsid w:val="00A31B6A"/>
    <w:rsid w:val="00A34306"/>
    <w:rsid w:val="00A37662"/>
    <w:rsid w:val="00A41DD2"/>
    <w:rsid w:val="00A42236"/>
    <w:rsid w:val="00A4746B"/>
    <w:rsid w:val="00A50419"/>
    <w:rsid w:val="00A555EB"/>
    <w:rsid w:val="00A55B58"/>
    <w:rsid w:val="00A60620"/>
    <w:rsid w:val="00A6187E"/>
    <w:rsid w:val="00A675F6"/>
    <w:rsid w:val="00A67C8E"/>
    <w:rsid w:val="00A705C2"/>
    <w:rsid w:val="00A733E6"/>
    <w:rsid w:val="00A73A98"/>
    <w:rsid w:val="00A7478B"/>
    <w:rsid w:val="00A754B7"/>
    <w:rsid w:val="00A77363"/>
    <w:rsid w:val="00A83DFB"/>
    <w:rsid w:val="00A8554F"/>
    <w:rsid w:val="00A922CB"/>
    <w:rsid w:val="00A963D8"/>
    <w:rsid w:val="00AA28EC"/>
    <w:rsid w:val="00AA705A"/>
    <w:rsid w:val="00AB1D97"/>
    <w:rsid w:val="00AB713C"/>
    <w:rsid w:val="00AC2AD8"/>
    <w:rsid w:val="00AC6D1B"/>
    <w:rsid w:val="00AD3A5E"/>
    <w:rsid w:val="00AD612A"/>
    <w:rsid w:val="00AE33C6"/>
    <w:rsid w:val="00AE382A"/>
    <w:rsid w:val="00AE5D04"/>
    <w:rsid w:val="00AE7EE4"/>
    <w:rsid w:val="00AF0B0D"/>
    <w:rsid w:val="00AF0B7F"/>
    <w:rsid w:val="00AF1D0C"/>
    <w:rsid w:val="00AF4284"/>
    <w:rsid w:val="00AF5798"/>
    <w:rsid w:val="00AF5CA6"/>
    <w:rsid w:val="00B03234"/>
    <w:rsid w:val="00B05085"/>
    <w:rsid w:val="00B06A17"/>
    <w:rsid w:val="00B15690"/>
    <w:rsid w:val="00B15A68"/>
    <w:rsid w:val="00B15BE4"/>
    <w:rsid w:val="00B16372"/>
    <w:rsid w:val="00B169DF"/>
    <w:rsid w:val="00B200A1"/>
    <w:rsid w:val="00B21A2A"/>
    <w:rsid w:val="00B24BAA"/>
    <w:rsid w:val="00B25FBC"/>
    <w:rsid w:val="00B27665"/>
    <w:rsid w:val="00B30813"/>
    <w:rsid w:val="00B32667"/>
    <w:rsid w:val="00B3377D"/>
    <w:rsid w:val="00B33BDA"/>
    <w:rsid w:val="00B443F7"/>
    <w:rsid w:val="00B51CCD"/>
    <w:rsid w:val="00B5731D"/>
    <w:rsid w:val="00B60245"/>
    <w:rsid w:val="00B61483"/>
    <w:rsid w:val="00B627CE"/>
    <w:rsid w:val="00B67519"/>
    <w:rsid w:val="00B7121B"/>
    <w:rsid w:val="00B72B31"/>
    <w:rsid w:val="00B754E3"/>
    <w:rsid w:val="00B76278"/>
    <w:rsid w:val="00B93024"/>
    <w:rsid w:val="00B94D5B"/>
    <w:rsid w:val="00BA0644"/>
    <w:rsid w:val="00BA0C0B"/>
    <w:rsid w:val="00BB2EA9"/>
    <w:rsid w:val="00BC0293"/>
    <w:rsid w:val="00BC7716"/>
    <w:rsid w:val="00BE1768"/>
    <w:rsid w:val="00BE3ADA"/>
    <w:rsid w:val="00BE7043"/>
    <w:rsid w:val="00BF4BC3"/>
    <w:rsid w:val="00BF798A"/>
    <w:rsid w:val="00C02A5A"/>
    <w:rsid w:val="00C05E1B"/>
    <w:rsid w:val="00C06A3A"/>
    <w:rsid w:val="00C10684"/>
    <w:rsid w:val="00C11446"/>
    <w:rsid w:val="00C12C5A"/>
    <w:rsid w:val="00C14105"/>
    <w:rsid w:val="00C158C2"/>
    <w:rsid w:val="00C25ABA"/>
    <w:rsid w:val="00C260F6"/>
    <w:rsid w:val="00C334D7"/>
    <w:rsid w:val="00C40DDC"/>
    <w:rsid w:val="00C40EC1"/>
    <w:rsid w:val="00C42B0F"/>
    <w:rsid w:val="00C5262F"/>
    <w:rsid w:val="00C5411D"/>
    <w:rsid w:val="00C5680E"/>
    <w:rsid w:val="00C61BD8"/>
    <w:rsid w:val="00C630E6"/>
    <w:rsid w:val="00C676BB"/>
    <w:rsid w:val="00C70B2B"/>
    <w:rsid w:val="00C72EF8"/>
    <w:rsid w:val="00C73599"/>
    <w:rsid w:val="00C84602"/>
    <w:rsid w:val="00C870C6"/>
    <w:rsid w:val="00C932A3"/>
    <w:rsid w:val="00C959FA"/>
    <w:rsid w:val="00C976A1"/>
    <w:rsid w:val="00CA4AFC"/>
    <w:rsid w:val="00CA4CA5"/>
    <w:rsid w:val="00CB127B"/>
    <w:rsid w:val="00CD29E1"/>
    <w:rsid w:val="00CD4434"/>
    <w:rsid w:val="00CD464E"/>
    <w:rsid w:val="00CD5CC9"/>
    <w:rsid w:val="00CE6145"/>
    <w:rsid w:val="00CE67D9"/>
    <w:rsid w:val="00CF703E"/>
    <w:rsid w:val="00CF7130"/>
    <w:rsid w:val="00CF7519"/>
    <w:rsid w:val="00D01406"/>
    <w:rsid w:val="00D03022"/>
    <w:rsid w:val="00D05BE1"/>
    <w:rsid w:val="00D07507"/>
    <w:rsid w:val="00D1061B"/>
    <w:rsid w:val="00D11428"/>
    <w:rsid w:val="00D1618A"/>
    <w:rsid w:val="00D2107C"/>
    <w:rsid w:val="00D31353"/>
    <w:rsid w:val="00D330A2"/>
    <w:rsid w:val="00D34DDF"/>
    <w:rsid w:val="00D41CDD"/>
    <w:rsid w:val="00D43154"/>
    <w:rsid w:val="00D45931"/>
    <w:rsid w:val="00D45ACE"/>
    <w:rsid w:val="00D512BD"/>
    <w:rsid w:val="00D514BB"/>
    <w:rsid w:val="00D51A74"/>
    <w:rsid w:val="00D525A2"/>
    <w:rsid w:val="00D536F5"/>
    <w:rsid w:val="00D54A07"/>
    <w:rsid w:val="00D556FB"/>
    <w:rsid w:val="00D56BEF"/>
    <w:rsid w:val="00D614D2"/>
    <w:rsid w:val="00D61E04"/>
    <w:rsid w:val="00D7540D"/>
    <w:rsid w:val="00D75D4F"/>
    <w:rsid w:val="00D866EF"/>
    <w:rsid w:val="00D93D1A"/>
    <w:rsid w:val="00DA1A20"/>
    <w:rsid w:val="00DA39E7"/>
    <w:rsid w:val="00DA79E3"/>
    <w:rsid w:val="00DB16C6"/>
    <w:rsid w:val="00DC2A92"/>
    <w:rsid w:val="00DC551D"/>
    <w:rsid w:val="00DC57FF"/>
    <w:rsid w:val="00DC71FA"/>
    <w:rsid w:val="00DD3ABE"/>
    <w:rsid w:val="00DD4966"/>
    <w:rsid w:val="00DD4B26"/>
    <w:rsid w:val="00DD4C11"/>
    <w:rsid w:val="00DD6920"/>
    <w:rsid w:val="00DE3658"/>
    <w:rsid w:val="00DE4CE4"/>
    <w:rsid w:val="00DF3255"/>
    <w:rsid w:val="00DF45F1"/>
    <w:rsid w:val="00E0647C"/>
    <w:rsid w:val="00E1063D"/>
    <w:rsid w:val="00E12E86"/>
    <w:rsid w:val="00E13131"/>
    <w:rsid w:val="00E17B7D"/>
    <w:rsid w:val="00E22347"/>
    <w:rsid w:val="00E238B9"/>
    <w:rsid w:val="00E341C7"/>
    <w:rsid w:val="00E35F62"/>
    <w:rsid w:val="00E4116B"/>
    <w:rsid w:val="00E411C2"/>
    <w:rsid w:val="00E41513"/>
    <w:rsid w:val="00E4239A"/>
    <w:rsid w:val="00E46C6D"/>
    <w:rsid w:val="00E47573"/>
    <w:rsid w:val="00E47C2C"/>
    <w:rsid w:val="00E52293"/>
    <w:rsid w:val="00E54CFA"/>
    <w:rsid w:val="00E679FB"/>
    <w:rsid w:val="00E7489D"/>
    <w:rsid w:val="00E84F60"/>
    <w:rsid w:val="00E853C3"/>
    <w:rsid w:val="00E92372"/>
    <w:rsid w:val="00E941B9"/>
    <w:rsid w:val="00E97649"/>
    <w:rsid w:val="00E97C42"/>
    <w:rsid w:val="00E97E90"/>
    <w:rsid w:val="00EA75CD"/>
    <w:rsid w:val="00EB0C28"/>
    <w:rsid w:val="00EC090D"/>
    <w:rsid w:val="00EC3DF9"/>
    <w:rsid w:val="00EC58A0"/>
    <w:rsid w:val="00ED36AB"/>
    <w:rsid w:val="00ED6B2F"/>
    <w:rsid w:val="00ED7B91"/>
    <w:rsid w:val="00EE7C46"/>
    <w:rsid w:val="00EF1FA2"/>
    <w:rsid w:val="00F004CE"/>
    <w:rsid w:val="00F14D81"/>
    <w:rsid w:val="00F22B6B"/>
    <w:rsid w:val="00F2663E"/>
    <w:rsid w:val="00F30677"/>
    <w:rsid w:val="00F4217C"/>
    <w:rsid w:val="00F46B8F"/>
    <w:rsid w:val="00F61890"/>
    <w:rsid w:val="00F73269"/>
    <w:rsid w:val="00F7399F"/>
    <w:rsid w:val="00F7765F"/>
    <w:rsid w:val="00F805F5"/>
    <w:rsid w:val="00F81DAA"/>
    <w:rsid w:val="00F87395"/>
    <w:rsid w:val="00F87D10"/>
    <w:rsid w:val="00F87D52"/>
    <w:rsid w:val="00F91341"/>
    <w:rsid w:val="00F91BB0"/>
    <w:rsid w:val="00F933A6"/>
    <w:rsid w:val="00F9390E"/>
    <w:rsid w:val="00FA5ACB"/>
    <w:rsid w:val="00FA71E5"/>
    <w:rsid w:val="00FA72B0"/>
    <w:rsid w:val="00FC0582"/>
    <w:rsid w:val="00FC1D7D"/>
    <w:rsid w:val="00FC20A7"/>
    <w:rsid w:val="00FC4219"/>
    <w:rsid w:val="00FD0D64"/>
    <w:rsid w:val="00FD1E24"/>
    <w:rsid w:val="00FD5F68"/>
    <w:rsid w:val="00FD6111"/>
    <w:rsid w:val="00FD630D"/>
    <w:rsid w:val="00FE056F"/>
    <w:rsid w:val="00FE2674"/>
    <w:rsid w:val="00FE39CC"/>
    <w:rsid w:val="00FE6F73"/>
    <w:rsid w:val="00FF3168"/>
    <w:rsid w:val="00FF5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A377B"/>
  <w15:docId w15:val="{93A27C08-BC63-A844-BBA1-D14C0C48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2CB"/>
    <w:rPr>
      <w:rFonts w:ascii="Calibri" w:eastAsia="Calibri" w:hAnsi="Calibri" w:cs="Times New Roman"/>
      <w:lang w:val="en-GB"/>
    </w:rPr>
  </w:style>
  <w:style w:type="paragraph" w:styleId="Heading1">
    <w:name w:val="heading 1"/>
    <w:basedOn w:val="Normal"/>
    <w:link w:val="Heading1Char"/>
    <w:uiPriority w:val="9"/>
    <w:qFormat/>
    <w:rsid w:val="006C4BD4"/>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2CB"/>
    <w:rPr>
      <w:color w:val="0000FF"/>
      <w:u w:val="single"/>
    </w:rPr>
  </w:style>
  <w:style w:type="paragraph" w:styleId="ListParagraph">
    <w:name w:val="List Paragraph"/>
    <w:basedOn w:val="Normal"/>
    <w:uiPriority w:val="34"/>
    <w:qFormat/>
    <w:rsid w:val="00A922CB"/>
    <w:pPr>
      <w:ind w:left="720"/>
      <w:contextualSpacing/>
    </w:pPr>
    <w:rPr>
      <w:lang w:val="en-US"/>
    </w:rPr>
  </w:style>
  <w:style w:type="paragraph" w:styleId="Header">
    <w:name w:val="header"/>
    <w:basedOn w:val="Normal"/>
    <w:link w:val="HeaderChar"/>
    <w:uiPriority w:val="99"/>
    <w:unhideWhenUsed/>
    <w:rsid w:val="002170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7030"/>
    <w:rPr>
      <w:rFonts w:ascii="Calibri" w:eastAsia="Calibri" w:hAnsi="Calibri" w:cs="Times New Roman"/>
      <w:lang w:val="en-GB"/>
    </w:rPr>
  </w:style>
  <w:style w:type="paragraph" w:styleId="Footer">
    <w:name w:val="footer"/>
    <w:basedOn w:val="Normal"/>
    <w:link w:val="FooterChar"/>
    <w:uiPriority w:val="99"/>
    <w:unhideWhenUsed/>
    <w:rsid w:val="002170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7030"/>
    <w:rPr>
      <w:rFonts w:ascii="Calibri" w:eastAsia="Calibri" w:hAnsi="Calibri" w:cs="Times New Roman"/>
      <w:lang w:val="en-GB"/>
    </w:rPr>
  </w:style>
  <w:style w:type="paragraph" w:styleId="FootnoteText">
    <w:name w:val="footnote text"/>
    <w:basedOn w:val="Normal"/>
    <w:link w:val="FootnoteTextChar"/>
    <w:uiPriority w:val="99"/>
    <w:unhideWhenUsed/>
    <w:rsid w:val="003F35CB"/>
    <w:pPr>
      <w:spacing w:after="0" w:line="240" w:lineRule="auto"/>
    </w:pPr>
    <w:rPr>
      <w:sz w:val="24"/>
      <w:szCs w:val="24"/>
    </w:rPr>
  </w:style>
  <w:style w:type="character" w:customStyle="1" w:styleId="FootnoteTextChar">
    <w:name w:val="Footnote Text Char"/>
    <w:basedOn w:val="DefaultParagraphFont"/>
    <w:link w:val="FootnoteText"/>
    <w:uiPriority w:val="99"/>
    <w:rsid w:val="003F35CB"/>
    <w:rPr>
      <w:rFonts w:ascii="Calibri" w:eastAsia="Calibri" w:hAnsi="Calibri" w:cs="Times New Roman"/>
      <w:sz w:val="24"/>
      <w:szCs w:val="24"/>
      <w:lang w:val="en-GB"/>
    </w:rPr>
  </w:style>
  <w:style w:type="character" w:styleId="FootnoteReference">
    <w:name w:val="footnote reference"/>
    <w:basedOn w:val="DefaultParagraphFont"/>
    <w:uiPriority w:val="99"/>
    <w:unhideWhenUsed/>
    <w:rsid w:val="003F35CB"/>
    <w:rPr>
      <w:vertAlign w:val="superscript"/>
    </w:rPr>
  </w:style>
  <w:style w:type="table" w:styleId="TableGrid">
    <w:name w:val="Table Grid"/>
    <w:basedOn w:val="TableNormal"/>
    <w:uiPriority w:val="59"/>
    <w:rsid w:val="00675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5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72F"/>
    <w:rPr>
      <w:rFonts w:ascii="Tahoma" w:eastAsia="Calibri" w:hAnsi="Tahoma" w:cs="Tahoma"/>
      <w:sz w:val="16"/>
      <w:szCs w:val="16"/>
      <w:lang w:val="en-GB"/>
    </w:rPr>
  </w:style>
  <w:style w:type="character" w:styleId="Strong">
    <w:name w:val="Strong"/>
    <w:basedOn w:val="DefaultParagraphFont"/>
    <w:uiPriority w:val="22"/>
    <w:qFormat/>
    <w:rsid w:val="00264776"/>
    <w:rPr>
      <w:b/>
      <w:bCs/>
    </w:rPr>
  </w:style>
  <w:style w:type="paragraph" w:customStyle="1" w:styleId="Default">
    <w:name w:val="Default"/>
    <w:rsid w:val="003F20F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5262F"/>
    <w:pPr>
      <w:spacing w:before="100" w:beforeAutospacing="1" w:after="100" w:afterAutospacing="1" w:line="240" w:lineRule="auto"/>
    </w:pPr>
    <w:rPr>
      <w:rFonts w:ascii="Times New Roman" w:eastAsia="Times New Roman" w:hAnsi="Times New Roman"/>
      <w:sz w:val="24"/>
      <w:szCs w:val="24"/>
      <w:lang w:val="en-US"/>
    </w:rPr>
  </w:style>
  <w:style w:type="character" w:styleId="UnresolvedMention">
    <w:name w:val="Unresolved Mention"/>
    <w:basedOn w:val="DefaultParagraphFont"/>
    <w:uiPriority w:val="99"/>
    <w:semiHidden/>
    <w:unhideWhenUsed/>
    <w:rsid w:val="00755E30"/>
    <w:rPr>
      <w:color w:val="605E5C"/>
      <w:shd w:val="clear" w:color="auto" w:fill="E1DFDD"/>
    </w:rPr>
  </w:style>
  <w:style w:type="character" w:customStyle="1" w:styleId="apple-converted-space">
    <w:name w:val="apple-converted-space"/>
    <w:basedOn w:val="DefaultParagraphFont"/>
    <w:rsid w:val="000D10FF"/>
  </w:style>
  <w:style w:type="character" w:styleId="FollowedHyperlink">
    <w:name w:val="FollowedHyperlink"/>
    <w:basedOn w:val="DefaultParagraphFont"/>
    <w:uiPriority w:val="99"/>
    <w:semiHidden/>
    <w:unhideWhenUsed/>
    <w:rsid w:val="007850CA"/>
    <w:rPr>
      <w:color w:val="800080" w:themeColor="followedHyperlink"/>
      <w:u w:val="single"/>
    </w:rPr>
  </w:style>
  <w:style w:type="character" w:customStyle="1" w:styleId="Heading1Char">
    <w:name w:val="Heading 1 Char"/>
    <w:basedOn w:val="DefaultParagraphFont"/>
    <w:link w:val="Heading1"/>
    <w:uiPriority w:val="9"/>
    <w:rsid w:val="006C4BD4"/>
    <w:rPr>
      <w:rFonts w:ascii="Times New Roman" w:eastAsia="Times New Roman" w:hAnsi="Times New Roman" w:cs="Times New Roman"/>
      <w:b/>
      <w:bCs/>
      <w:kern w:val="36"/>
      <w:sz w:val="48"/>
      <w:szCs w:val="48"/>
    </w:rPr>
  </w:style>
  <w:style w:type="character" w:styleId="PageNumber">
    <w:name w:val="page number"/>
    <w:basedOn w:val="DefaultParagraphFont"/>
    <w:uiPriority w:val="99"/>
    <w:semiHidden/>
    <w:unhideWhenUsed/>
    <w:rsid w:val="00032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61327">
      <w:bodyDiv w:val="1"/>
      <w:marLeft w:val="0"/>
      <w:marRight w:val="0"/>
      <w:marTop w:val="0"/>
      <w:marBottom w:val="0"/>
      <w:divBdr>
        <w:top w:val="none" w:sz="0" w:space="0" w:color="auto"/>
        <w:left w:val="none" w:sz="0" w:space="0" w:color="auto"/>
        <w:bottom w:val="none" w:sz="0" w:space="0" w:color="auto"/>
        <w:right w:val="none" w:sz="0" w:space="0" w:color="auto"/>
      </w:divBdr>
    </w:div>
    <w:div w:id="570390755">
      <w:bodyDiv w:val="1"/>
      <w:marLeft w:val="0"/>
      <w:marRight w:val="0"/>
      <w:marTop w:val="0"/>
      <w:marBottom w:val="0"/>
      <w:divBdr>
        <w:top w:val="none" w:sz="0" w:space="0" w:color="auto"/>
        <w:left w:val="none" w:sz="0" w:space="0" w:color="auto"/>
        <w:bottom w:val="none" w:sz="0" w:space="0" w:color="auto"/>
        <w:right w:val="none" w:sz="0" w:space="0" w:color="auto"/>
      </w:divBdr>
      <w:divsChild>
        <w:div w:id="1786146187">
          <w:marLeft w:val="0"/>
          <w:marRight w:val="0"/>
          <w:marTop w:val="0"/>
          <w:marBottom w:val="0"/>
          <w:divBdr>
            <w:top w:val="none" w:sz="0" w:space="0" w:color="auto"/>
            <w:left w:val="none" w:sz="0" w:space="0" w:color="auto"/>
            <w:bottom w:val="none" w:sz="0" w:space="0" w:color="auto"/>
            <w:right w:val="none" w:sz="0" w:space="0" w:color="auto"/>
          </w:divBdr>
          <w:divsChild>
            <w:div w:id="15069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5789">
      <w:bodyDiv w:val="1"/>
      <w:marLeft w:val="0"/>
      <w:marRight w:val="0"/>
      <w:marTop w:val="0"/>
      <w:marBottom w:val="0"/>
      <w:divBdr>
        <w:top w:val="none" w:sz="0" w:space="0" w:color="auto"/>
        <w:left w:val="none" w:sz="0" w:space="0" w:color="auto"/>
        <w:bottom w:val="none" w:sz="0" w:space="0" w:color="auto"/>
        <w:right w:val="none" w:sz="0" w:space="0" w:color="auto"/>
      </w:divBdr>
    </w:div>
    <w:div w:id="630672972">
      <w:bodyDiv w:val="1"/>
      <w:marLeft w:val="0"/>
      <w:marRight w:val="0"/>
      <w:marTop w:val="0"/>
      <w:marBottom w:val="0"/>
      <w:divBdr>
        <w:top w:val="none" w:sz="0" w:space="0" w:color="auto"/>
        <w:left w:val="none" w:sz="0" w:space="0" w:color="auto"/>
        <w:bottom w:val="none" w:sz="0" w:space="0" w:color="auto"/>
        <w:right w:val="none" w:sz="0" w:space="0" w:color="auto"/>
      </w:divBdr>
    </w:div>
    <w:div w:id="993216010">
      <w:bodyDiv w:val="1"/>
      <w:marLeft w:val="0"/>
      <w:marRight w:val="0"/>
      <w:marTop w:val="0"/>
      <w:marBottom w:val="0"/>
      <w:divBdr>
        <w:top w:val="none" w:sz="0" w:space="0" w:color="auto"/>
        <w:left w:val="none" w:sz="0" w:space="0" w:color="auto"/>
        <w:bottom w:val="none" w:sz="0" w:space="0" w:color="auto"/>
        <w:right w:val="none" w:sz="0" w:space="0" w:color="auto"/>
      </w:divBdr>
    </w:div>
    <w:div w:id="1056472280">
      <w:bodyDiv w:val="1"/>
      <w:marLeft w:val="0"/>
      <w:marRight w:val="0"/>
      <w:marTop w:val="0"/>
      <w:marBottom w:val="0"/>
      <w:divBdr>
        <w:top w:val="none" w:sz="0" w:space="0" w:color="auto"/>
        <w:left w:val="none" w:sz="0" w:space="0" w:color="auto"/>
        <w:bottom w:val="none" w:sz="0" w:space="0" w:color="auto"/>
        <w:right w:val="none" w:sz="0" w:space="0" w:color="auto"/>
      </w:divBdr>
    </w:div>
    <w:div w:id="1068114040">
      <w:bodyDiv w:val="1"/>
      <w:marLeft w:val="0"/>
      <w:marRight w:val="0"/>
      <w:marTop w:val="0"/>
      <w:marBottom w:val="0"/>
      <w:divBdr>
        <w:top w:val="none" w:sz="0" w:space="0" w:color="auto"/>
        <w:left w:val="none" w:sz="0" w:space="0" w:color="auto"/>
        <w:bottom w:val="none" w:sz="0" w:space="0" w:color="auto"/>
        <w:right w:val="none" w:sz="0" w:space="0" w:color="auto"/>
      </w:divBdr>
    </w:div>
    <w:div w:id="1136021394">
      <w:bodyDiv w:val="1"/>
      <w:marLeft w:val="0"/>
      <w:marRight w:val="0"/>
      <w:marTop w:val="0"/>
      <w:marBottom w:val="0"/>
      <w:divBdr>
        <w:top w:val="none" w:sz="0" w:space="0" w:color="auto"/>
        <w:left w:val="none" w:sz="0" w:space="0" w:color="auto"/>
        <w:bottom w:val="none" w:sz="0" w:space="0" w:color="auto"/>
        <w:right w:val="none" w:sz="0" w:space="0" w:color="auto"/>
      </w:divBdr>
    </w:div>
    <w:div w:id="1204638407">
      <w:bodyDiv w:val="1"/>
      <w:marLeft w:val="0"/>
      <w:marRight w:val="0"/>
      <w:marTop w:val="0"/>
      <w:marBottom w:val="0"/>
      <w:divBdr>
        <w:top w:val="none" w:sz="0" w:space="0" w:color="auto"/>
        <w:left w:val="none" w:sz="0" w:space="0" w:color="auto"/>
        <w:bottom w:val="none" w:sz="0" w:space="0" w:color="auto"/>
        <w:right w:val="none" w:sz="0" w:space="0" w:color="auto"/>
      </w:divBdr>
    </w:div>
    <w:div w:id="1737122934">
      <w:bodyDiv w:val="1"/>
      <w:marLeft w:val="0"/>
      <w:marRight w:val="0"/>
      <w:marTop w:val="0"/>
      <w:marBottom w:val="0"/>
      <w:divBdr>
        <w:top w:val="none" w:sz="0" w:space="0" w:color="auto"/>
        <w:left w:val="none" w:sz="0" w:space="0" w:color="auto"/>
        <w:bottom w:val="none" w:sz="0" w:space="0" w:color="auto"/>
        <w:right w:val="none" w:sz="0" w:space="0" w:color="auto"/>
      </w:divBdr>
    </w:div>
    <w:div w:id="1836452527">
      <w:bodyDiv w:val="1"/>
      <w:marLeft w:val="0"/>
      <w:marRight w:val="0"/>
      <w:marTop w:val="0"/>
      <w:marBottom w:val="0"/>
      <w:divBdr>
        <w:top w:val="none" w:sz="0" w:space="0" w:color="auto"/>
        <w:left w:val="none" w:sz="0" w:space="0" w:color="auto"/>
        <w:bottom w:val="none" w:sz="0" w:space="0" w:color="auto"/>
        <w:right w:val="none" w:sz="0" w:space="0" w:color="auto"/>
      </w:divBdr>
    </w:div>
    <w:div w:id="197074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uropean_Parliament" TargetMode="External"/><Relationship Id="rId13" Type="http://schemas.openxmlformats.org/officeDocument/2006/relationships/hyperlink" Target="http://www.amid.dk/pub/papers/AMID_52-2006_Thomas_Gammeltoft-Hanse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European_Council" TargetMode="External"/><Relationship Id="rId12" Type="http://schemas.openxmlformats.org/officeDocument/2006/relationships/hyperlink" Target="http://europea.edu/rapid/press-release_MEMO-11-918_en.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pro-foresight.eu" TargetMode="External"/><Relationship Id="rId5" Type="http://schemas.openxmlformats.org/officeDocument/2006/relationships/footnotes" Target="footnotes.xml"/><Relationship Id="rId15" Type="http://schemas.openxmlformats.org/officeDocument/2006/relationships/hyperlink" Target="http://www.statewatch.org/analyses/no-167-arab-spring-med.pdf" TargetMode="External"/><Relationship Id="rId10" Type="http://schemas.openxmlformats.org/officeDocument/2006/relationships/hyperlink" Target="http://www.libertysecurity.org/article339.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mnesty.org/en/latest/news/2017/03/the-eu-turkey-deal-europes-year-of-shame/" TargetMode="External"/><Relationship Id="rId14" Type="http://schemas.openxmlformats.org/officeDocument/2006/relationships/hyperlink" Target="The%20Guardian,%20'EU-Turkey%20deal%20could%20see%20Syrian%20refugees%20back%20in%20war%20zones,%20says%20UN',%208%20March%202016,%20https://www.theguardian.com/world/2016/mar/08/un-refugee-agency-criticises-quick-fix-eu-turkey-de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rontex.europa.eu/news/update-to-joint-operation-hermes-2011-PJk64d" TargetMode="External"/><Relationship Id="rId2" Type="http://schemas.openxmlformats.org/officeDocument/2006/relationships/hyperlink" Target="http://europea.edu/rapid/press-release_MEMO-11-918_en.htm" TargetMode="External"/><Relationship Id="rId1" Type="http://schemas.openxmlformats.org/officeDocument/2006/relationships/hyperlink" Target="mailto:benam@bc.edu" TargetMode="External"/><Relationship Id="rId6" Type="http://schemas.openxmlformats.org/officeDocument/2006/relationships/hyperlink" Target="http://data.unhcr.org/syrianrefugees/regional.php" TargetMode="External"/><Relationship Id="rId5" Type="http://schemas.openxmlformats.org/officeDocument/2006/relationships/hyperlink" Target="http://repository.forcedmigration.org/show_metadata.jsp?pid=fmo%3A5361" TargetMode="External"/><Relationship Id="rId4" Type="http://schemas.openxmlformats.org/officeDocument/2006/relationships/hyperlink" Target="http://www.dandc.eu/en/article/human-rights-problems-eu-border-agency-front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637</TotalTime>
  <Pages>21</Pages>
  <Words>10688</Words>
  <Characters>60928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kambez</dc:creator>
  <cp:lastModifiedBy>Benam, Cigdem</cp:lastModifiedBy>
  <cp:revision>50</cp:revision>
  <cp:lastPrinted>2019-05-05T19:51:00Z</cp:lastPrinted>
  <dcterms:created xsi:type="dcterms:W3CDTF">2019-05-05T16:35:00Z</dcterms:created>
  <dcterms:modified xsi:type="dcterms:W3CDTF">2019-05-09T02:52:00Z</dcterms:modified>
</cp:coreProperties>
</file>