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1A852" w14:textId="4F601581" w:rsidR="00CC28E4" w:rsidRPr="003523C5" w:rsidRDefault="00CC28E4" w:rsidP="00CA7B81">
      <w:pPr>
        <w:contextualSpacing/>
        <w:jc w:val="center"/>
        <w:rPr>
          <w:b/>
          <w:lang w:val="en-US"/>
        </w:rPr>
      </w:pPr>
      <w:bookmarkStart w:id="0" w:name="OLE_LINK1"/>
      <w:bookmarkStart w:id="1" w:name="OLE_LINK2"/>
      <w:r w:rsidRPr="003523C5">
        <w:rPr>
          <w:b/>
          <w:lang w:val="en-US"/>
        </w:rPr>
        <w:t>The Trap of Confederalism</w:t>
      </w:r>
      <w:r w:rsidR="00C47937" w:rsidRPr="003523C5">
        <w:rPr>
          <w:b/>
          <w:lang w:val="en-US"/>
        </w:rPr>
        <w:t>:</w:t>
      </w:r>
    </w:p>
    <w:p w14:paraId="0BEF0EB8" w14:textId="39AE3EC5" w:rsidR="00CC28E4" w:rsidRPr="003523C5" w:rsidRDefault="00CC28E4" w:rsidP="00CA7B81">
      <w:pPr>
        <w:contextualSpacing/>
        <w:jc w:val="center"/>
        <w:rPr>
          <w:b/>
          <w:lang w:val="en-US"/>
        </w:rPr>
      </w:pPr>
      <w:r w:rsidRPr="003523C5">
        <w:rPr>
          <w:b/>
          <w:lang w:val="en-US"/>
        </w:rPr>
        <w:t xml:space="preserve">Managing </w:t>
      </w:r>
      <w:r w:rsidR="00C47937" w:rsidRPr="003523C5">
        <w:rPr>
          <w:b/>
          <w:lang w:val="en-US"/>
        </w:rPr>
        <w:t>D</w:t>
      </w:r>
      <w:r w:rsidRPr="003523C5">
        <w:rPr>
          <w:b/>
          <w:lang w:val="en-US"/>
        </w:rPr>
        <w:t xml:space="preserve">evelopmental </w:t>
      </w:r>
      <w:r w:rsidR="00C47937" w:rsidRPr="003523C5">
        <w:rPr>
          <w:b/>
          <w:lang w:val="en-US"/>
        </w:rPr>
        <w:t>G</w:t>
      </w:r>
      <w:r w:rsidRPr="003523C5">
        <w:rPr>
          <w:b/>
          <w:lang w:val="en-US"/>
        </w:rPr>
        <w:t xml:space="preserve">aps, </w:t>
      </w:r>
      <w:r w:rsidR="00C47937" w:rsidRPr="003523C5">
        <w:rPr>
          <w:b/>
          <w:lang w:val="en-US"/>
        </w:rPr>
        <w:t>W</w:t>
      </w:r>
      <w:r w:rsidRPr="003523C5">
        <w:rPr>
          <w:b/>
          <w:lang w:val="en-US"/>
        </w:rPr>
        <w:t xml:space="preserve">idening </w:t>
      </w:r>
      <w:r w:rsidR="00C47937" w:rsidRPr="003523C5">
        <w:rPr>
          <w:b/>
          <w:lang w:val="en-US"/>
        </w:rPr>
        <w:t>D</w:t>
      </w:r>
      <w:r w:rsidRPr="003523C5">
        <w:rPr>
          <w:b/>
          <w:lang w:val="en-US"/>
        </w:rPr>
        <w:t>ivides</w:t>
      </w:r>
    </w:p>
    <w:p w14:paraId="24F0013E" w14:textId="77777777" w:rsidR="0073345D" w:rsidRDefault="0073345D" w:rsidP="0073345D">
      <w:pPr>
        <w:contextualSpacing/>
        <w:rPr>
          <w:rFonts w:eastAsia="Calibri"/>
          <w:lang w:val="en-US"/>
        </w:rPr>
      </w:pPr>
    </w:p>
    <w:p w14:paraId="1F2CF536" w14:textId="77777777" w:rsidR="0073345D" w:rsidRDefault="0073345D" w:rsidP="0073345D">
      <w:pPr>
        <w:contextualSpacing/>
        <w:rPr>
          <w:rFonts w:eastAsia="Calibri"/>
          <w:lang w:val="en-US"/>
        </w:rPr>
      </w:pPr>
    </w:p>
    <w:p w14:paraId="368FBDF1" w14:textId="6A036455" w:rsidR="0073345D" w:rsidRPr="003523C5" w:rsidRDefault="0073345D" w:rsidP="0073345D">
      <w:pPr>
        <w:contextualSpacing/>
        <w:rPr>
          <w:rFonts w:eastAsia="Calibri"/>
          <w:lang w:val="en-US"/>
        </w:rPr>
      </w:pPr>
      <w:r w:rsidRPr="003523C5">
        <w:rPr>
          <w:rFonts w:eastAsia="Calibri"/>
          <w:lang w:val="en-US"/>
        </w:rPr>
        <w:t xml:space="preserve">László </w:t>
      </w:r>
      <w:proofErr w:type="spellStart"/>
      <w:r w:rsidRPr="003523C5">
        <w:rPr>
          <w:rFonts w:eastAsia="Calibri"/>
          <w:lang w:val="en-US"/>
        </w:rPr>
        <w:t>Bruszt</w:t>
      </w:r>
      <w:proofErr w:type="spellEnd"/>
      <w:r w:rsidRPr="003523C5">
        <w:rPr>
          <w:rFonts w:eastAsia="Calibri"/>
          <w:lang w:val="en-US"/>
        </w:rPr>
        <w:t>, Professor of Sociology, Department of Political Science, Central European University, and CEU Democracy Institute, Budapest</w:t>
      </w:r>
      <w:r>
        <w:rPr>
          <w:rFonts w:eastAsia="Calibri"/>
          <w:lang w:val="en-US"/>
        </w:rPr>
        <w:t xml:space="preserve"> (email: </w:t>
      </w:r>
      <w:hyperlink r:id="rId8" w:history="1">
        <w:r w:rsidRPr="00071A05">
          <w:rPr>
            <w:rStyle w:val="Hyperlink"/>
            <w:rFonts w:eastAsia="Calibri"/>
            <w:lang w:val="en-US"/>
          </w:rPr>
          <w:t>BrusztL@ceu.edu</w:t>
        </w:r>
      </w:hyperlink>
      <w:r>
        <w:rPr>
          <w:rFonts w:eastAsia="Calibri"/>
          <w:lang w:val="en-US"/>
        </w:rPr>
        <w:t>)</w:t>
      </w:r>
    </w:p>
    <w:p w14:paraId="43769467" w14:textId="77777777" w:rsidR="0073345D" w:rsidRPr="003523C5" w:rsidRDefault="0073345D" w:rsidP="0073345D">
      <w:pPr>
        <w:contextualSpacing/>
        <w:rPr>
          <w:rFonts w:eastAsia="Calibri"/>
          <w:b/>
          <w:bCs/>
          <w:lang w:val="en-US"/>
        </w:rPr>
      </w:pPr>
    </w:p>
    <w:p w14:paraId="372802B1" w14:textId="77777777" w:rsidR="0073345D" w:rsidRDefault="0073345D" w:rsidP="0073345D">
      <w:pPr>
        <w:contextualSpacing/>
        <w:rPr>
          <w:rFonts w:eastAsia="Calibri"/>
          <w:lang w:val="en-US"/>
        </w:rPr>
      </w:pPr>
    </w:p>
    <w:p w14:paraId="14FC20E3" w14:textId="77777777" w:rsidR="0073345D" w:rsidRPr="003523C5" w:rsidRDefault="0073345D" w:rsidP="0073345D">
      <w:pPr>
        <w:contextualSpacing/>
        <w:rPr>
          <w:rFonts w:eastAsia="Calibri"/>
          <w:lang w:val="en-US"/>
        </w:rPr>
      </w:pPr>
      <w:proofErr w:type="spellStart"/>
      <w:r w:rsidRPr="003523C5">
        <w:rPr>
          <w:rFonts w:eastAsia="Calibri"/>
          <w:lang w:val="en-US"/>
        </w:rPr>
        <w:t>Gergő</w:t>
      </w:r>
      <w:proofErr w:type="spellEnd"/>
      <w:r w:rsidRPr="003523C5">
        <w:rPr>
          <w:rFonts w:eastAsia="Calibri"/>
          <w:lang w:val="en-US"/>
        </w:rPr>
        <w:t xml:space="preserve"> </w:t>
      </w:r>
      <w:proofErr w:type="spellStart"/>
      <w:r w:rsidRPr="003523C5">
        <w:rPr>
          <w:rFonts w:eastAsia="Calibri"/>
          <w:lang w:val="en-US"/>
        </w:rPr>
        <w:t>Medve-Bálint</w:t>
      </w:r>
      <w:proofErr w:type="spellEnd"/>
      <w:r w:rsidRPr="003523C5">
        <w:rPr>
          <w:rFonts w:eastAsia="Calibri"/>
          <w:lang w:val="en-US"/>
        </w:rPr>
        <w:t>, Senior Research Fellow, Centre for Social Sciences, and Associate Professor, Corvinus University of Budapest</w:t>
      </w:r>
      <w:r>
        <w:rPr>
          <w:rFonts w:eastAsia="Calibri"/>
          <w:lang w:val="en-US"/>
        </w:rPr>
        <w:t xml:space="preserve"> (email: </w:t>
      </w:r>
      <w:hyperlink r:id="rId9" w:history="1">
        <w:r w:rsidRPr="00071A05">
          <w:rPr>
            <w:rStyle w:val="Hyperlink"/>
            <w:rFonts w:eastAsia="Calibri"/>
            <w:lang w:val="en-US"/>
          </w:rPr>
          <w:t>Medve-Balint.Gergo@tk.hu</w:t>
        </w:r>
      </w:hyperlink>
      <w:r>
        <w:rPr>
          <w:rFonts w:eastAsia="Calibri"/>
          <w:lang w:val="en-US"/>
        </w:rPr>
        <w:t>)</w:t>
      </w:r>
    </w:p>
    <w:p w14:paraId="27865D1D" w14:textId="77777777" w:rsidR="0073345D" w:rsidRPr="003523C5" w:rsidRDefault="0073345D" w:rsidP="0073345D">
      <w:pPr>
        <w:contextualSpacing/>
        <w:rPr>
          <w:rFonts w:eastAsia="Calibri"/>
          <w:lang w:val="en-US"/>
        </w:rPr>
      </w:pPr>
    </w:p>
    <w:p w14:paraId="68AEE14C" w14:textId="77777777" w:rsidR="0073345D" w:rsidRDefault="0073345D" w:rsidP="0073345D">
      <w:pPr>
        <w:contextualSpacing/>
        <w:rPr>
          <w:rFonts w:eastAsia="Calibri"/>
          <w:lang w:val="en-US"/>
        </w:rPr>
      </w:pPr>
    </w:p>
    <w:p w14:paraId="1806108E" w14:textId="77777777" w:rsidR="0073345D" w:rsidRDefault="0073345D" w:rsidP="0073345D">
      <w:pPr>
        <w:contextualSpacing/>
        <w:rPr>
          <w:rFonts w:eastAsia="Calibri"/>
          <w:lang w:val="en-US"/>
        </w:rPr>
      </w:pPr>
      <w:proofErr w:type="spellStart"/>
      <w:r w:rsidRPr="003523C5">
        <w:rPr>
          <w:rFonts w:eastAsia="Calibri"/>
          <w:lang w:val="en-US"/>
        </w:rPr>
        <w:t>Dóra</w:t>
      </w:r>
      <w:proofErr w:type="spellEnd"/>
      <w:r w:rsidRPr="003523C5">
        <w:rPr>
          <w:rFonts w:eastAsia="Calibri"/>
          <w:lang w:val="en-US"/>
        </w:rPr>
        <w:t xml:space="preserve"> </w:t>
      </w:r>
      <w:proofErr w:type="spellStart"/>
      <w:r w:rsidRPr="003523C5">
        <w:rPr>
          <w:rFonts w:eastAsia="Calibri"/>
          <w:lang w:val="en-US"/>
        </w:rPr>
        <w:t>Piroska</w:t>
      </w:r>
      <w:proofErr w:type="spellEnd"/>
      <w:r w:rsidRPr="003523C5">
        <w:rPr>
          <w:rFonts w:eastAsia="Calibri"/>
          <w:lang w:val="en-US"/>
        </w:rPr>
        <w:t>, Assistant Professor, Department of International Relations, Central European University, and Associate Professor, Corvinus University of Budapest</w:t>
      </w:r>
      <w:r>
        <w:rPr>
          <w:rFonts w:eastAsia="Calibri"/>
          <w:lang w:val="en-US"/>
        </w:rPr>
        <w:t xml:space="preserve"> (</w:t>
      </w:r>
      <w:hyperlink r:id="rId10" w:history="1">
        <w:r w:rsidRPr="00071A05">
          <w:rPr>
            <w:rStyle w:val="Hyperlink"/>
            <w:rFonts w:eastAsia="Calibri"/>
            <w:lang w:val="en-US"/>
          </w:rPr>
          <w:t>PiroskaD@ceu.edu</w:t>
        </w:r>
      </w:hyperlink>
      <w:r>
        <w:rPr>
          <w:rFonts w:eastAsia="Calibri"/>
          <w:lang w:val="en-US"/>
        </w:rPr>
        <w:t>)</w:t>
      </w:r>
    </w:p>
    <w:p w14:paraId="3BB5D94C" w14:textId="77777777" w:rsidR="0073345D" w:rsidRPr="003523C5" w:rsidRDefault="0073345D" w:rsidP="0073345D">
      <w:pPr>
        <w:contextualSpacing/>
        <w:rPr>
          <w:rFonts w:eastAsia="Calibri"/>
          <w:lang w:val="en-US"/>
        </w:rPr>
      </w:pPr>
    </w:p>
    <w:p w14:paraId="4A5E1DEA" w14:textId="77777777" w:rsidR="0073345D" w:rsidRPr="003523C5" w:rsidRDefault="0073345D" w:rsidP="0073345D">
      <w:pPr>
        <w:pStyle w:val="ListParagraph"/>
        <w:ind w:left="0"/>
        <w:rPr>
          <w:b/>
        </w:rPr>
      </w:pPr>
    </w:p>
    <w:p w14:paraId="234DDA29" w14:textId="77777777" w:rsidR="0073345D" w:rsidRDefault="0073345D" w:rsidP="0073345D">
      <w:pPr>
        <w:pStyle w:val="ListParagraph"/>
        <w:ind w:left="0"/>
        <w:rPr>
          <w:i/>
        </w:rPr>
      </w:pPr>
    </w:p>
    <w:p w14:paraId="18323971" w14:textId="7588FC8E" w:rsidR="0073345D" w:rsidRPr="007268D7" w:rsidRDefault="0073345D" w:rsidP="0073345D">
      <w:pPr>
        <w:pStyle w:val="ListParagraph"/>
        <w:ind w:left="0"/>
      </w:pPr>
      <w:r>
        <w:rPr>
          <w:i/>
        </w:rPr>
        <w:t>Keywords</w:t>
      </w:r>
      <w:r>
        <w:t>: European Union, comparative federalism, core-periphery gap, market correcting</w:t>
      </w:r>
    </w:p>
    <w:p w14:paraId="1A1D2B35" w14:textId="77777777" w:rsidR="00AB6520" w:rsidRPr="003523C5" w:rsidRDefault="00AB6520" w:rsidP="00EC5F9D">
      <w:pPr>
        <w:pStyle w:val="ListParagraph"/>
        <w:ind w:left="0"/>
        <w:rPr>
          <w:b/>
        </w:rPr>
      </w:pPr>
    </w:p>
    <w:p w14:paraId="08BAA7E8" w14:textId="77777777" w:rsidR="0073345D" w:rsidRDefault="0073345D" w:rsidP="00CA7B81">
      <w:pPr>
        <w:pStyle w:val="ListParagraph"/>
        <w:ind w:left="0"/>
        <w:rPr>
          <w:i/>
        </w:rPr>
      </w:pPr>
    </w:p>
    <w:p w14:paraId="2B17F580" w14:textId="3DA46F2D" w:rsidR="00587184" w:rsidRPr="0073345D" w:rsidRDefault="0073345D" w:rsidP="00CA7B81">
      <w:pPr>
        <w:pStyle w:val="ListParagraph"/>
        <w:ind w:left="0"/>
      </w:pPr>
      <w:r>
        <w:rPr>
          <w:i/>
        </w:rPr>
        <w:t>Word count</w:t>
      </w:r>
      <w:r>
        <w:t>: 13,</w:t>
      </w:r>
      <w:r w:rsidR="0007086C">
        <w:t>794</w:t>
      </w:r>
    </w:p>
    <w:p w14:paraId="1ED652AE" w14:textId="77777777" w:rsidR="0073345D" w:rsidRPr="003523C5" w:rsidRDefault="0073345D" w:rsidP="00CA7B81">
      <w:pPr>
        <w:pStyle w:val="ListParagraph"/>
        <w:ind w:left="0"/>
      </w:pPr>
    </w:p>
    <w:p w14:paraId="108F76EC" w14:textId="77777777" w:rsidR="0073345D" w:rsidRDefault="0073345D" w:rsidP="00CA7B81">
      <w:pPr>
        <w:pStyle w:val="ListParagraph"/>
        <w:ind w:left="0"/>
        <w:rPr>
          <w:i/>
        </w:rPr>
      </w:pPr>
    </w:p>
    <w:p w14:paraId="513209A3" w14:textId="0F60D31B" w:rsidR="00587184" w:rsidRPr="003523C5" w:rsidRDefault="00587184" w:rsidP="00CA7B81">
      <w:pPr>
        <w:pStyle w:val="ListParagraph"/>
        <w:ind w:left="0"/>
        <w:rPr>
          <w:i/>
        </w:rPr>
      </w:pPr>
      <w:r w:rsidRPr="003523C5">
        <w:rPr>
          <w:i/>
        </w:rPr>
        <w:t>Abstract</w:t>
      </w:r>
    </w:p>
    <w:p w14:paraId="1BDC8285" w14:textId="7587E275" w:rsidR="00F54D86" w:rsidRPr="003523C5" w:rsidRDefault="00F54D86" w:rsidP="00CA7B81">
      <w:pPr>
        <w:contextualSpacing/>
        <w:rPr>
          <w:lang w:val="en-US"/>
        </w:rPr>
      </w:pPr>
    </w:p>
    <w:p w14:paraId="13893FC1" w14:textId="5D8909FA" w:rsidR="00E10500" w:rsidRPr="003523C5" w:rsidRDefault="00AC4E46" w:rsidP="00CA7B81">
      <w:pPr>
        <w:contextualSpacing/>
        <w:rPr>
          <w:lang w:val="en-US"/>
        </w:rPr>
      </w:pPr>
      <w:r w:rsidRPr="003523C5">
        <w:rPr>
          <w:color w:val="000000"/>
          <w:lang w:val="en-US"/>
        </w:rPr>
        <w:t>Europe</w:t>
      </w:r>
      <w:r w:rsidR="00C47937" w:rsidRPr="003523C5">
        <w:rPr>
          <w:color w:val="000000"/>
          <w:lang w:val="en-US"/>
        </w:rPr>
        <w:t>’</w:t>
      </w:r>
      <w:r w:rsidRPr="003523C5">
        <w:rPr>
          <w:color w:val="000000"/>
          <w:lang w:val="en-US"/>
        </w:rPr>
        <w:t xml:space="preserve">s </w:t>
      </w:r>
      <w:r w:rsidR="00F54D86" w:rsidRPr="003523C5">
        <w:rPr>
          <w:color w:val="000000"/>
          <w:lang w:val="en-US"/>
        </w:rPr>
        <w:t>economic integration has had uneven distributional effects between</w:t>
      </w:r>
      <w:r w:rsidR="00C47937" w:rsidRPr="003523C5">
        <w:rPr>
          <w:color w:val="000000"/>
          <w:lang w:val="en-US"/>
        </w:rPr>
        <w:t xml:space="preserve"> its</w:t>
      </w:r>
      <w:r w:rsidR="00F54D86" w:rsidRPr="003523C5">
        <w:rPr>
          <w:color w:val="000000"/>
          <w:lang w:val="en-US"/>
        </w:rPr>
        <w:t> </w:t>
      </w:r>
      <w:r w:rsidR="00F54D86" w:rsidRPr="003523C5">
        <w:rPr>
          <w:i/>
          <w:iCs/>
          <w:color w:val="000000"/>
          <w:lang w:val="en-US"/>
        </w:rPr>
        <w:t>core </w:t>
      </w:r>
      <w:r w:rsidR="00F54D86" w:rsidRPr="003523C5">
        <w:rPr>
          <w:color w:val="000000"/>
          <w:lang w:val="en-US"/>
        </w:rPr>
        <w:t>(Western and Northern Europe) and </w:t>
      </w:r>
      <w:r w:rsidR="00F54D86" w:rsidRPr="003523C5">
        <w:rPr>
          <w:i/>
          <w:iCs/>
          <w:color w:val="000000"/>
          <w:lang w:val="en-US"/>
        </w:rPr>
        <w:t>periphery </w:t>
      </w:r>
      <w:r w:rsidR="00F54D86" w:rsidRPr="003523C5">
        <w:rPr>
          <w:color w:val="000000"/>
          <w:lang w:val="en-US"/>
        </w:rPr>
        <w:t>(Eastern and Southern Europe). Several market</w:t>
      </w:r>
      <w:r w:rsidR="00173AA9" w:rsidRPr="003523C5">
        <w:rPr>
          <w:color w:val="000000"/>
          <w:lang w:val="en-US"/>
        </w:rPr>
        <w:t xml:space="preserve"> </w:t>
      </w:r>
      <w:r w:rsidR="00F54D86" w:rsidRPr="003523C5">
        <w:rPr>
          <w:color w:val="000000"/>
          <w:lang w:val="en-US"/>
        </w:rPr>
        <w:t>correcti</w:t>
      </w:r>
      <w:r w:rsidR="00173AA9" w:rsidRPr="003523C5">
        <w:rPr>
          <w:color w:val="000000"/>
          <w:lang w:val="en-US"/>
        </w:rPr>
        <w:t>on</w:t>
      </w:r>
      <w:r w:rsidR="00F54D86" w:rsidRPr="003523C5">
        <w:rPr>
          <w:color w:val="000000"/>
          <w:lang w:val="en-US"/>
        </w:rPr>
        <w:t xml:space="preserve"> instruments </w:t>
      </w:r>
      <w:r w:rsidR="00EA7AEA" w:rsidRPr="003523C5">
        <w:rPr>
          <w:color w:val="000000"/>
          <w:lang w:val="en-US"/>
        </w:rPr>
        <w:t xml:space="preserve">and </w:t>
      </w:r>
      <w:r w:rsidR="006A45D2">
        <w:rPr>
          <w:color w:val="000000"/>
          <w:lang w:val="en-US"/>
        </w:rPr>
        <w:t xml:space="preserve">policies to </w:t>
      </w:r>
      <w:r w:rsidR="00F54D86" w:rsidRPr="003523C5">
        <w:rPr>
          <w:color w:val="000000"/>
          <w:lang w:val="en-US"/>
        </w:rPr>
        <w:t>further common developmental goals</w:t>
      </w:r>
      <w:r w:rsidR="00CB360F">
        <w:rPr>
          <w:color w:val="000000"/>
          <w:lang w:val="en-US"/>
        </w:rPr>
        <w:t>—</w:t>
      </w:r>
      <w:r w:rsidR="00F54D86" w:rsidRPr="003523C5">
        <w:rPr>
          <w:color w:val="000000"/>
          <w:lang w:val="en-US"/>
        </w:rPr>
        <w:t xml:space="preserve">including </w:t>
      </w:r>
      <w:r w:rsidR="003D7D9D" w:rsidRPr="003523C5">
        <w:rPr>
          <w:color w:val="000000"/>
          <w:lang w:val="en-US"/>
        </w:rPr>
        <w:t>the C</w:t>
      </w:r>
      <w:r w:rsidR="00F54D86" w:rsidRPr="003523C5">
        <w:rPr>
          <w:color w:val="000000"/>
          <w:lang w:val="en-US"/>
        </w:rPr>
        <w:t xml:space="preserve">ohesion </w:t>
      </w:r>
      <w:r w:rsidR="003D7D9D" w:rsidRPr="003523C5">
        <w:rPr>
          <w:color w:val="000000"/>
          <w:lang w:val="en-US"/>
        </w:rPr>
        <w:t>P</w:t>
      </w:r>
      <w:r w:rsidR="00F54D86" w:rsidRPr="003523C5">
        <w:rPr>
          <w:color w:val="000000"/>
          <w:lang w:val="en-US"/>
        </w:rPr>
        <w:t xml:space="preserve">olicy, state aid measures, </w:t>
      </w:r>
      <w:r w:rsidR="00C47937" w:rsidRPr="003523C5">
        <w:rPr>
          <w:color w:val="000000"/>
          <w:lang w:val="en-US"/>
        </w:rPr>
        <w:t xml:space="preserve">and </w:t>
      </w:r>
      <w:r w:rsidR="00F54D86" w:rsidRPr="003523C5">
        <w:rPr>
          <w:color w:val="000000"/>
          <w:lang w:val="en-US"/>
        </w:rPr>
        <w:t xml:space="preserve">investments </w:t>
      </w:r>
      <w:r w:rsidR="00C47937" w:rsidRPr="003523C5">
        <w:rPr>
          <w:color w:val="000000"/>
          <w:lang w:val="en-US"/>
        </w:rPr>
        <w:t xml:space="preserve">by </w:t>
      </w:r>
      <w:r w:rsidR="00F54D86" w:rsidRPr="003523C5">
        <w:rPr>
          <w:color w:val="000000"/>
          <w:lang w:val="en-US"/>
        </w:rPr>
        <w:t>the European Investment Bank</w:t>
      </w:r>
      <w:r w:rsidR="003D7D9D" w:rsidRPr="003523C5">
        <w:rPr>
          <w:color w:val="000000"/>
          <w:lang w:val="en-US"/>
        </w:rPr>
        <w:t xml:space="preserve"> (EIB)</w:t>
      </w:r>
      <w:r w:rsidR="00F54D86" w:rsidRPr="003523C5">
        <w:rPr>
          <w:color w:val="000000"/>
          <w:lang w:val="en-US"/>
        </w:rPr>
        <w:t xml:space="preserve"> and the </w:t>
      </w:r>
      <w:r w:rsidR="003D7D9D" w:rsidRPr="003523C5">
        <w:rPr>
          <w:color w:val="000000"/>
          <w:lang w:val="en-US"/>
        </w:rPr>
        <w:t>European Fund for Strategic Investments (</w:t>
      </w:r>
      <w:r w:rsidR="00F54D86" w:rsidRPr="003523C5">
        <w:rPr>
          <w:color w:val="000000"/>
          <w:lang w:val="en-US"/>
        </w:rPr>
        <w:t>EFSI</w:t>
      </w:r>
      <w:r w:rsidR="003D7D9D" w:rsidRPr="003523C5">
        <w:rPr>
          <w:color w:val="000000"/>
          <w:lang w:val="en-US"/>
        </w:rPr>
        <w:t>)</w:t>
      </w:r>
      <w:r w:rsidR="00CB360F">
        <w:rPr>
          <w:color w:val="000000"/>
          <w:lang w:val="en-US"/>
        </w:rPr>
        <w:t>—</w:t>
      </w:r>
      <w:r w:rsidR="00CB360F" w:rsidRPr="003523C5">
        <w:rPr>
          <w:color w:val="000000"/>
          <w:lang w:val="en-US"/>
        </w:rPr>
        <w:t>have been introduced by the EU in order to mitigate such divergence</w:t>
      </w:r>
      <w:r w:rsidR="00F54D86" w:rsidRPr="003523C5">
        <w:rPr>
          <w:color w:val="000000"/>
          <w:lang w:val="en-US"/>
        </w:rPr>
        <w:t xml:space="preserve">. </w:t>
      </w:r>
      <w:r w:rsidR="00867673" w:rsidRPr="003523C5">
        <w:rPr>
          <w:color w:val="000000"/>
          <w:lang w:val="en-US"/>
        </w:rPr>
        <w:t>We assess t</w:t>
      </w:r>
      <w:r w:rsidR="00F54D86" w:rsidRPr="003523C5">
        <w:rPr>
          <w:color w:val="000000"/>
          <w:lang w:val="en-US"/>
        </w:rPr>
        <w:t xml:space="preserve">he distributive effects of </w:t>
      </w:r>
      <w:r w:rsidR="00867673" w:rsidRPr="003523C5">
        <w:rPr>
          <w:color w:val="000000"/>
          <w:lang w:val="en-US"/>
        </w:rPr>
        <w:t xml:space="preserve">those </w:t>
      </w:r>
      <w:r w:rsidR="00F54D86" w:rsidRPr="003523C5">
        <w:rPr>
          <w:color w:val="000000"/>
          <w:lang w:val="en-US"/>
        </w:rPr>
        <w:t xml:space="preserve">actions </w:t>
      </w:r>
      <w:r w:rsidR="00867673" w:rsidRPr="003523C5">
        <w:rPr>
          <w:color w:val="000000"/>
          <w:lang w:val="en-US"/>
        </w:rPr>
        <w:t xml:space="preserve">and </w:t>
      </w:r>
      <w:r w:rsidR="00F54D86" w:rsidRPr="003523C5">
        <w:rPr>
          <w:color w:val="000000"/>
          <w:lang w:val="en-US"/>
        </w:rPr>
        <w:t xml:space="preserve">find that </w:t>
      </w:r>
      <w:r w:rsidR="00EA7AEA" w:rsidRPr="003523C5">
        <w:rPr>
          <w:color w:val="000000"/>
          <w:lang w:val="en-US"/>
        </w:rPr>
        <w:t xml:space="preserve">these </w:t>
      </w:r>
      <w:r w:rsidR="00F54D86" w:rsidRPr="003523C5">
        <w:rPr>
          <w:color w:val="000000"/>
          <w:lang w:val="en-US"/>
        </w:rPr>
        <w:t xml:space="preserve">policies have </w:t>
      </w:r>
      <w:r w:rsidR="00EA7AEA" w:rsidRPr="003523C5">
        <w:rPr>
          <w:color w:val="000000"/>
          <w:lang w:val="en-US"/>
        </w:rPr>
        <w:t xml:space="preserve">not decreased </w:t>
      </w:r>
      <w:r w:rsidR="00867673" w:rsidRPr="003523C5">
        <w:rPr>
          <w:color w:val="000000"/>
          <w:lang w:val="en-US"/>
        </w:rPr>
        <w:t xml:space="preserve">developmental </w:t>
      </w:r>
      <w:r w:rsidR="00F54D86" w:rsidRPr="003523C5">
        <w:rPr>
          <w:color w:val="000000"/>
          <w:lang w:val="en-US"/>
        </w:rPr>
        <w:t xml:space="preserve">gaps among member </w:t>
      </w:r>
      <w:r w:rsidR="00571E3E" w:rsidRPr="003523C5">
        <w:rPr>
          <w:color w:val="000000"/>
          <w:lang w:val="en-US"/>
        </w:rPr>
        <w:t>states</w:t>
      </w:r>
      <w:r w:rsidR="002B3AB0" w:rsidRPr="003523C5">
        <w:rPr>
          <w:color w:val="000000"/>
          <w:lang w:val="en-US"/>
        </w:rPr>
        <w:t>. I</w:t>
      </w:r>
      <w:r w:rsidR="005A5281" w:rsidRPr="003523C5">
        <w:rPr>
          <w:color w:val="000000"/>
          <w:lang w:val="en-US"/>
        </w:rPr>
        <w:t xml:space="preserve">nstead of serving </w:t>
      </w:r>
      <w:r w:rsidR="00F54D86" w:rsidRPr="003523C5">
        <w:rPr>
          <w:color w:val="000000"/>
          <w:lang w:val="en-US"/>
        </w:rPr>
        <w:t>longer</w:t>
      </w:r>
      <w:r w:rsidR="00C47937" w:rsidRPr="003523C5">
        <w:rPr>
          <w:color w:val="000000"/>
          <w:lang w:val="en-US"/>
        </w:rPr>
        <w:t>-</w:t>
      </w:r>
      <w:r w:rsidR="00F54D86" w:rsidRPr="003523C5">
        <w:rPr>
          <w:color w:val="000000"/>
          <w:lang w:val="en-US"/>
        </w:rPr>
        <w:t>term common European interests</w:t>
      </w:r>
      <w:r w:rsidR="00867673" w:rsidRPr="003523C5">
        <w:rPr>
          <w:color w:val="000000"/>
          <w:lang w:val="en-US"/>
        </w:rPr>
        <w:t>,</w:t>
      </w:r>
      <w:r w:rsidR="005A5281" w:rsidRPr="003523C5">
        <w:rPr>
          <w:color w:val="000000"/>
          <w:lang w:val="en-US"/>
        </w:rPr>
        <w:t xml:space="preserve"> they are potential factors of widening divides in Europe</w:t>
      </w:r>
      <w:r w:rsidR="00F54D86" w:rsidRPr="003523C5">
        <w:rPr>
          <w:color w:val="000000"/>
          <w:lang w:val="en-US"/>
        </w:rPr>
        <w:t xml:space="preserve">. </w:t>
      </w:r>
      <w:r w:rsidR="005A5281" w:rsidRPr="003523C5">
        <w:rPr>
          <w:color w:val="000000"/>
          <w:lang w:val="en-US"/>
        </w:rPr>
        <w:t xml:space="preserve">Mainstream integration theories </w:t>
      </w:r>
      <w:r w:rsidR="003924F2" w:rsidRPr="003523C5">
        <w:rPr>
          <w:color w:val="000000"/>
          <w:lang w:val="en-US"/>
        </w:rPr>
        <w:t xml:space="preserve">explain such outcomes with </w:t>
      </w:r>
      <w:r w:rsidR="00C47937" w:rsidRPr="003523C5">
        <w:rPr>
          <w:color w:val="000000"/>
          <w:lang w:val="en-US"/>
        </w:rPr>
        <w:t xml:space="preserve">a </w:t>
      </w:r>
      <w:r w:rsidR="00867673" w:rsidRPr="003523C5">
        <w:rPr>
          <w:color w:val="000000"/>
          <w:lang w:val="en-US"/>
        </w:rPr>
        <w:t>built-</w:t>
      </w:r>
      <w:r w:rsidR="003924F2" w:rsidRPr="003523C5">
        <w:rPr>
          <w:color w:val="000000"/>
          <w:lang w:val="en-US"/>
        </w:rPr>
        <w:t xml:space="preserve">in bias </w:t>
      </w:r>
      <w:r w:rsidR="00C47937" w:rsidRPr="003523C5">
        <w:rPr>
          <w:color w:val="000000"/>
          <w:lang w:val="en-US"/>
        </w:rPr>
        <w:t xml:space="preserve">toward </w:t>
      </w:r>
      <w:r w:rsidR="003924F2" w:rsidRPr="003523C5">
        <w:rPr>
          <w:color w:val="000000"/>
          <w:lang w:val="en-US"/>
        </w:rPr>
        <w:t>EU institutions</w:t>
      </w:r>
      <w:r w:rsidR="00C47937" w:rsidRPr="003523C5">
        <w:rPr>
          <w:color w:val="000000"/>
          <w:lang w:val="en-US"/>
        </w:rPr>
        <w:t>,</w:t>
      </w:r>
      <w:r w:rsidR="003924F2" w:rsidRPr="003523C5">
        <w:rPr>
          <w:color w:val="000000"/>
          <w:lang w:val="en-US"/>
        </w:rPr>
        <w:t xml:space="preserve"> </w:t>
      </w:r>
      <w:r w:rsidR="00C47937" w:rsidRPr="003523C5">
        <w:rPr>
          <w:color w:val="000000"/>
          <w:lang w:val="en-US"/>
        </w:rPr>
        <w:t xml:space="preserve">which in turn </w:t>
      </w:r>
      <w:r w:rsidR="00345261" w:rsidRPr="003523C5">
        <w:rPr>
          <w:color w:val="000000"/>
          <w:lang w:val="en-US"/>
        </w:rPr>
        <w:t xml:space="preserve">provide opportunities </w:t>
      </w:r>
      <w:r w:rsidR="00C47937" w:rsidRPr="003523C5">
        <w:rPr>
          <w:color w:val="000000"/>
          <w:lang w:val="en-US"/>
        </w:rPr>
        <w:t xml:space="preserve">for </w:t>
      </w:r>
      <w:r w:rsidR="003924F2" w:rsidRPr="003523C5">
        <w:rPr>
          <w:color w:val="000000"/>
          <w:lang w:val="en-US"/>
        </w:rPr>
        <w:t xml:space="preserve">core countries </w:t>
      </w:r>
      <w:r w:rsidR="00345261" w:rsidRPr="003523C5">
        <w:rPr>
          <w:color w:val="000000"/>
          <w:lang w:val="en-US"/>
        </w:rPr>
        <w:t xml:space="preserve">to </w:t>
      </w:r>
      <w:r w:rsidR="00C47937" w:rsidRPr="003523C5">
        <w:rPr>
          <w:color w:val="000000"/>
          <w:lang w:val="en-US"/>
        </w:rPr>
        <w:t xml:space="preserve">generate </w:t>
      </w:r>
      <w:r w:rsidR="00345261" w:rsidRPr="003523C5">
        <w:rPr>
          <w:color w:val="000000"/>
          <w:lang w:val="en-US"/>
        </w:rPr>
        <w:t>a</w:t>
      </w:r>
      <w:r w:rsidR="00C47937" w:rsidRPr="003523C5">
        <w:rPr>
          <w:color w:val="000000"/>
          <w:lang w:val="en-US"/>
        </w:rPr>
        <w:t>n economic</w:t>
      </w:r>
      <w:r w:rsidR="00345261" w:rsidRPr="003523C5">
        <w:rPr>
          <w:color w:val="000000"/>
          <w:lang w:val="en-US"/>
        </w:rPr>
        <w:t xml:space="preserve"> playing field tilted towards</w:t>
      </w:r>
      <w:r w:rsidR="00CB360F">
        <w:rPr>
          <w:color w:val="000000"/>
          <w:lang w:val="en-US"/>
        </w:rPr>
        <w:t xml:space="preserve"> their</w:t>
      </w:r>
      <w:r w:rsidR="00C47937" w:rsidRPr="003523C5">
        <w:rPr>
          <w:color w:val="000000"/>
          <w:lang w:val="en-US"/>
        </w:rPr>
        <w:t xml:space="preserve"> </w:t>
      </w:r>
      <w:r w:rsidR="00345261" w:rsidRPr="003523C5">
        <w:rPr>
          <w:color w:val="000000"/>
          <w:lang w:val="en-US"/>
        </w:rPr>
        <w:t>stronger economies. </w:t>
      </w:r>
      <w:r w:rsidR="003924F2" w:rsidRPr="003523C5">
        <w:rPr>
          <w:color w:val="000000"/>
          <w:lang w:val="en-US"/>
        </w:rPr>
        <w:t xml:space="preserve">These theories, however, cannot explain </w:t>
      </w:r>
      <w:r w:rsidR="005B6AE9" w:rsidRPr="003523C5">
        <w:rPr>
          <w:color w:val="000000"/>
          <w:lang w:val="en-US"/>
        </w:rPr>
        <w:t>the preferences</w:t>
      </w:r>
      <w:r w:rsidR="00375173" w:rsidRPr="003523C5">
        <w:rPr>
          <w:color w:val="000000"/>
          <w:lang w:val="en-US"/>
        </w:rPr>
        <w:t xml:space="preserve"> </w:t>
      </w:r>
      <w:r w:rsidR="005B6AE9" w:rsidRPr="003523C5">
        <w:rPr>
          <w:color w:val="000000"/>
          <w:lang w:val="en-US"/>
        </w:rPr>
        <w:t xml:space="preserve">of </w:t>
      </w:r>
      <w:r w:rsidR="00375173" w:rsidRPr="003523C5">
        <w:rPr>
          <w:color w:val="000000"/>
          <w:lang w:val="en-US"/>
        </w:rPr>
        <w:t>EU</w:t>
      </w:r>
      <w:r w:rsidR="00C47937" w:rsidRPr="003523C5">
        <w:rPr>
          <w:color w:val="000000"/>
          <w:lang w:val="en-US"/>
        </w:rPr>
        <w:t>-</w:t>
      </w:r>
      <w:r w:rsidR="00375173" w:rsidRPr="003523C5">
        <w:rPr>
          <w:color w:val="000000"/>
          <w:lang w:val="en-US"/>
        </w:rPr>
        <w:t>level political actors</w:t>
      </w:r>
      <w:r w:rsidR="00C47937" w:rsidRPr="003523C5">
        <w:rPr>
          <w:color w:val="000000"/>
          <w:lang w:val="en-US"/>
        </w:rPr>
        <w:t>, e.g.,</w:t>
      </w:r>
      <w:r w:rsidR="00375173" w:rsidRPr="003523C5">
        <w:rPr>
          <w:color w:val="000000"/>
          <w:lang w:val="en-US"/>
        </w:rPr>
        <w:t xml:space="preserve"> </w:t>
      </w:r>
      <w:r w:rsidR="005B6AE9" w:rsidRPr="003523C5">
        <w:rPr>
          <w:color w:val="000000"/>
          <w:lang w:val="en-US"/>
        </w:rPr>
        <w:t xml:space="preserve">why they create and uphold suboptimal policies, </w:t>
      </w:r>
      <w:r w:rsidR="00C47937" w:rsidRPr="003523C5">
        <w:rPr>
          <w:color w:val="000000"/>
          <w:lang w:val="en-US"/>
        </w:rPr>
        <w:t xml:space="preserve">or </w:t>
      </w:r>
      <w:r w:rsidR="005B6AE9" w:rsidRPr="003523C5">
        <w:rPr>
          <w:color w:val="000000"/>
          <w:lang w:val="en-US"/>
        </w:rPr>
        <w:t xml:space="preserve">why they </w:t>
      </w:r>
      <w:r w:rsidR="00375173" w:rsidRPr="003523C5">
        <w:rPr>
          <w:color w:val="000000"/>
          <w:lang w:val="en-US"/>
        </w:rPr>
        <w:t xml:space="preserve">repeatedly </w:t>
      </w:r>
      <w:r w:rsidR="003924F2" w:rsidRPr="003523C5">
        <w:rPr>
          <w:color w:val="000000"/>
          <w:lang w:val="en-US"/>
        </w:rPr>
        <w:t xml:space="preserve">learn </w:t>
      </w:r>
      <w:r w:rsidR="00375173" w:rsidRPr="003523C5">
        <w:rPr>
          <w:color w:val="000000"/>
          <w:lang w:val="en-US"/>
        </w:rPr>
        <w:t>the wrong lessons from previous failures of managing developmental disparities in Europe</w:t>
      </w:r>
      <w:r w:rsidR="00345261" w:rsidRPr="003523C5">
        <w:rPr>
          <w:color w:val="000000"/>
          <w:lang w:val="en-US"/>
        </w:rPr>
        <w:t xml:space="preserve">. </w:t>
      </w:r>
      <w:r w:rsidR="00E10500" w:rsidRPr="003523C5">
        <w:rPr>
          <w:color w:val="000000"/>
          <w:lang w:val="en-US"/>
        </w:rPr>
        <w:t xml:space="preserve">Drawing </w:t>
      </w:r>
      <w:r w:rsidR="00C47937" w:rsidRPr="003523C5">
        <w:rPr>
          <w:color w:val="000000"/>
          <w:lang w:val="en-US"/>
        </w:rPr>
        <w:t xml:space="preserve">from research on </w:t>
      </w:r>
      <w:r w:rsidR="00E10500" w:rsidRPr="003523C5">
        <w:rPr>
          <w:color w:val="000000"/>
          <w:lang w:val="en-US"/>
        </w:rPr>
        <w:t xml:space="preserve">comparative federalism, we argue that </w:t>
      </w:r>
      <w:r w:rsidR="0098236E" w:rsidRPr="003523C5">
        <w:rPr>
          <w:color w:val="000000"/>
          <w:lang w:val="en-US"/>
        </w:rPr>
        <w:t xml:space="preserve">the trap of confederal political representation is </w:t>
      </w:r>
      <w:r w:rsidR="00C47937" w:rsidRPr="003523C5">
        <w:rPr>
          <w:color w:val="000000"/>
          <w:lang w:val="en-US"/>
        </w:rPr>
        <w:t>the key factor behind the deficiencies of market</w:t>
      </w:r>
      <w:r w:rsidR="00173AA9" w:rsidRPr="003523C5">
        <w:rPr>
          <w:color w:val="000000"/>
          <w:lang w:val="en-US"/>
        </w:rPr>
        <w:t xml:space="preserve"> </w:t>
      </w:r>
      <w:r w:rsidR="00C47937" w:rsidRPr="003523C5">
        <w:rPr>
          <w:color w:val="000000"/>
          <w:lang w:val="en-US"/>
        </w:rPr>
        <w:t>correcti</w:t>
      </w:r>
      <w:r w:rsidR="00173AA9" w:rsidRPr="003523C5">
        <w:rPr>
          <w:color w:val="000000"/>
          <w:lang w:val="en-US"/>
        </w:rPr>
        <w:t>on</w:t>
      </w:r>
      <w:r w:rsidR="00C47937" w:rsidRPr="003523C5">
        <w:rPr>
          <w:color w:val="000000"/>
          <w:lang w:val="en-US"/>
        </w:rPr>
        <w:t xml:space="preserve"> policies in the EU</w:t>
      </w:r>
      <w:r w:rsidR="00E10500" w:rsidRPr="003523C5">
        <w:rPr>
          <w:color w:val="000000"/>
          <w:lang w:val="en-US"/>
        </w:rPr>
        <w:t>.</w:t>
      </w:r>
    </w:p>
    <w:p w14:paraId="34492E29" w14:textId="135F8AE9" w:rsidR="00F54D86" w:rsidRPr="003523C5" w:rsidRDefault="00F54D86" w:rsidP="00CA7B81">
      <w:pPr>
        <w:contextualSpacing/>
        <w:rPr>
          <w:b/>
          <w:bCs/>
          <w:color w:val="000000"/>
          <w:lang w:val="en-US"/>
        </w:rPr>
      </w:pPr>
    </w:p>
    <w:p w14:paraId="185C6F0C" w14:textId="77777777" w:rsidR="00C1581E" w:rsidRPr="003523C5" w:rsidRDefault="00C1581E" w:rsidP="00CA7B81">
      <w:pPr>
        <w:contextualSpacing/>
        <w:rPr>
          <w:b/>
          <w:lang w:val="en-US"/>
        </w:rPr>
      </w:pPr>
    </w:p>
    <w:p w14:paraId="2E5CE80A" w14:textId="77777777" w:rsidR="0073345D" w:rsidRDefault="0073345D">
      <w:pPr>
        <w:spacing w:after="160" w:line="259" w:lineRule="auto"/>
        <w:rPr>
          <w:b/>
          <w:lang w:val="en-US"/>
        </w:rPr>
      </w:pPr>
      <w:r>
        <w:rPr>
          <w:b/>
          <w:lang w:val="en-US"/>
        </w:rPr>
        <w:br w:type="page"/>
      </w:r>
    </w:p>
    <w:p w14:paraId="3AAB7E3C" w14:textId="5DC6CABF" w:rsidR="00AB6520" w:rsidRPr="003523C5" w:rsidRDefault="00587184" w:rsidP="00CA7B81">
      <w:pPr>
        <w:contextualSpacing/>
        <w:rPr>
          <w:b/>
          <w:lang w:val="en-US"/>
        </w:rPr>
      </w:pPr>
      <w:r w:rsidRPr="003523C5">
        <w:rPr>
          <w:b/>
          <w:lang w:val="en-US"/>
        </w:rPr>
        <w:lastRenderedPageBreak/>
        <w:t xml:space="preserve">1. </w:t>
      </w:r>
      <w:r w:rsidR="00AB6520" w:rsidRPr="003523C5">
        <w:rPr>
          <w:b/>
          <w:lang w:val="en-US"/>
        </w:rPr>
        <w:t>Introduction</w:t>
      </w:r>
    </w:p>
    <w:p w14:paraId="0D1EC47F" w14:textId="77777777" w:rsidR="00FF0AF7" w:rsidRPr="003523C5" w:rsidRDefault="00FF0AF7" w:rsidP="00CA7B81">
      <w:pPr>
        <w:contextualSpacing/>
        <w:rPr>
          <w:b/>
          <w:lang w:val="en-US"/>
        </w:rPr>
      </w:pPr>
    </w:p>
    <w:p w14:paraId="54753A7D" w14:textId="63B29E7B" w:rsidR="005B594C" w:rsidRPr="003523C5" w:rsidRDefault="003B2DD9" w:rsidP="00CA7B81">
      <w:pPr>
        <w:contextualSpacing/>
        <w:rPr>
          <w:lang w:val="en-US"/>
        </w:rPr>
      </w:pPr>
      <w:r w:rsidRPr="003523C5">
        <w:rPr>
          <w:lang w:val="en-US"/>
        </w:rPr>
        <w:t xml:space="preserve">The </w:t>
      </w:r>
      <w:r w:rsidR="005D1585" w:rsidRPr="003523C5">
        <w:rPr>
          <w:lang w:val="en-US"/>
        </w:rPr>
        <w:t xml:space="preserve">key </w:t>
      </w:r>
      <w:r w:rsidR="00AB6520" w:rsidRPr="003523C5">
        <w:rPr>
          <w:lang w:val="en-US"/>
        </w:rPr>
        <w:t xml:space="preserve">governance problem </w:t>
      </w:r>
      <w:r w:rsidRPr="003523C5">
        <w:rPr>
          <w:lang w:val="en-US"/>
        </w:rPr>
        <w:t xml:space="preserve">of </w:t>
      </w:r>
      <w:r w:rsidR="00171AA4" w:rsidRPr="003523C5">
        <w:rPr>
          <w:lang w:val="en-US"/>
        </w:rPr>
        <w:t>integrating</w:t>
      </w:r>
      <w:r w:rsidRPr="003523C5">
        <w:rPr>
          <w:lang w:val="en-US"/>
        </w:rPr>
        <w:t xml:space="preserve"> </w:t>
      </w:r>
      <w:r w:rsidR="00171AA4" w:rsidRPr="003523C5">
        <w:rPr>
          <w:lang w:val="en-US"/>
        </w:rPr>
        <w:t xml:space="preserve">markets </w:t>
      </w:r>
      <w:r w:rsidRPr="003523C5">
        <w:rPr>
          <w:lang w:val="en-US"/>
        </w:rPr>
        <w:t xml:space="preserve">at different </w:t>
      </w:r>
      <w:r w:rsidR="00171AA4" w:rsidRPr="003523C5">
        <w:rPr>
          <w:lang w:val="en-US"/>
        </w:rPr>
        <w:t xml:space="preserve">levels of </w:t>
      </w:r>
      <w:r w:rsidR="008841C1" w:rsidRPr="003523C5">
        <w:rPr>
          <w:lang w:val="en-US"/>
        </w:rPr>
        <w:t xml:space="preserve">development </w:t>
      </w:r>
      <w:r w:rsidR="00171AA4" w:rsidRPr="003523C5">
        <w:rPr>
          <w:lang w:val="en-US"/>
        </w:rPr>
        <w:t xml:space="preserve">is that </w:t>
      </w:r>
      <w:r w:rsidR="005D1585" w:rsidRPr="003523C5">
        <w:rPr>
          <w:lang w:val="en-US"/>
        </w:rPr>
        <w:t>t</w:t>
      </w:r>
      <w:r w:rsidR="00AB6520" w:rsidRPr="003523C5">
        <w:rPr>
          <w:lang w:val="en-US"/>
        </w:rPr>
        <w:t xml:space="preserve">he deeper </w:t>
      </w:r>
      <w:r w:rsidR="00386834" w:rsidRPr="003523C5">
        <w:rPr>
          <w:lang w:val="en-US"/>
        </w:rPr>
        <w:t xml:space="preserve">the </w:t>
      </w:r>
      <w:r w:rsidR="00AB6520" w:rsidRPr="003523C5">
        <w:rPr>
          <w:lang w:val="en-US"/>
        </w:rPr>
        <w:t xml:space="preserve">integration, the stronger </w:t>
      </w:r>
      <w:r w:rsidR="005D1585" w:rsidRPr="003523C5">
        <w:rPr>
          <w:lang w:val="en-US"/>
        </w:rPr>
        <w:t>the</w:t>
      </w:r>
      <w:r w:rsidR="00AB6520" w:rsidRPr="003523C5">
        <w:rPr>
          <w:lang w:val="en-US"/>
        </w:rPr>
        <w:t xml:space="preserve"> need for mechanisms that could manage the developmental consequences of </w:t>
      </w:r>
      <w:r w:rsidR="0098236E" w:rsidRPr="003523C5">
        <w:rPr>
          <w:lang w:val="en-US"/>
        </w:rPr>
        <w:t xml:space="preserve">those </w:t>
      </w:r>
      <w:r w:rsidR="00171AA4" w:rsidRPr="003523C5">
        <w:rPr>
          <w:lang w:val="en-US"/>
        </w:rPr>
        <w:t xml:space="preserve">integrated </w:t>
      </w:r>
      <w:r w:rsidR="00AB6520" w:rsidRPr="003523C5">
        <w:rPr>
          <w:lang w:val="en-US"/>
        </w:rPr>
        <w:t xml:space="preserve">markets. Deepening integration </w:t>
      </w:r>
      <w:r w:rsidR="00386834" w:rsidRPr="003523C5">
        <w:rPr>
          <w:lang w:val="en-US"/>
        </w:rPr>
        <w:t>implies</w:t>
      </w:r>
      <w:r w:rsidR="00AB6520" w:rsidRPr="003523C5">
        <w:rPr>
          <w:lang w:val="en-US"/>
        </w:rPr>
        <w:t xml:space="preserve"> </w:t>
      </w:r>
      <w:r w:rsidR="0098236E" w:rsidRPr="003523C5">
        <w:rPr>
          <w:lang w:val="en-US"/>
        </w:rPr>
        <w:t xml:space="preserve">the creation of </w:t>
      </w:r>
      <w:r w:rsidR="00AB6520" w:rsidRPr="003523C5">
        <w:rPr>
          <w:lang w:val="en-US"/>
        </w:rPr>
        <w:t xml:space="preserve">a </w:t>
      </w:r>
      <w:r w:rsidR="0098236E" w:rsidRPr="003523C5">
        <w:rPr>
          <w:lang w:val="en-US"/>
        </w:rPr>
        <w:t>“</w:t>
      </w:r>
      <w:r w:rsidR="00AB6520" w:rsidRPr="003523C5">
        <w:rPr>
          <w:lang w:val="en-US"/>
        </w:rPr>
        <w:t>level playing field</w:t>
      </w:r>
      <w:r w:rsidR="0098236E" w:rsidRPr="003523C5">
        <w:rPr>
          <w:lang w:val="en-US"/>
        </w:rPr>
        <w:t>”</w:t>
      </w:r>
      <w:r w:rsidR="00171AA4" w:rsidRPr="003523C5">
        <w:rPr>
          <w:lang w:val="en-US"/>
        </w:rPr>
        <w:t xml:space="preserve"> </w:t>
      </w:r>
      <w:r w:rsidR="0098236E" w:rsidRPr="003523C5">
        <w:rPr>
          <w:lang w:val="en-US"/>
        </w:rPr>
        <w:t>which</w:t>
      </w:r>
      <w:r w:rsidR="00171AA4" w:rsidRPr="003523C5">
        <w:rPr>
          <w:lang w:val="en-US"/>
        </w:rPr>
        <w:t xml:space="preserve"> is supposed to</w:t>
      </w:r>
      <w:r w:rsidR="00AC4E46" w:rsidRPr="003523C5">
        <w:rPr>
          <w:lang w:val="en-US"/>
        </w:rPr>
        <w:t xml:space="preserve"> </w:t>
      </w:r>
      <w:r w:rsidR="00171AA4" w:rsidRPr="003523C5">
        <w:rPr>
          <w:lang w:val="en-US"/>
        </w:rPr>
        <w:t xml:space="preserve">provide </w:t>
      </w:r>
      <w:r w:rsidR="00AB6520" w:rsidRPr="003523C5">
        <w:rPr>
          <w:lang w:val="en-US"/>
        </w:rPr>
        <w:t xml:space="preserve">equal formal rights to </w:t>
      </w:r>
      <w:r w:rsidR="0098236E" w:rsidRPr="003523C5">
        <w:rPr>
          <w:lang w:val="en-US"/>
        </w:rPr>
        <w:t xml:space="preserve">the </w:t>
      </w:r>
      <w:r w:rsidR="00AB6520" w:rsidRPr="003523C5">
        <w:rPr>
          <w:lang w:val="en-US"/>
        </w:rPr>
        <w:t>producers of goods and holders of the various factors of production in member states</w:t>
      </w:r>
      <w:r w:rsidR="00171AA4" w:rsidRPr="003523C5">
        <w:rPr>
          <w:lang w:val="en-US"/>
        </w:rPr>
        <w:t>, which, however, are</w:t>
      </w:r>
      <w:r w:rsidR="00AB6520" w:rsidRPr="003523C5">
        <w:rPr>
          <w:lang w:val="en-US"/>
        </w:rPr>
        <w:t xml:space="preserve"> endowed with widely different capacities to live by and benefit from the </w:t>
      </w:r>
      <w:r w:rsidR="005D1585" w:rsidRPr="003523C5">
        <w:rPr>
          <w:lang w:val="en-US"/>
        </w:rPr>
        <w:t>extension of markets</w:t>
      </w:r>
      <w:r w:rsidR="00173AA9" w:rsidRPr="003523C5">
        <w:rPr>
          <w:lang w:val="en-US"/>
        </w:rPr>
        <w:t>.</w:t>
      </w:r>
      <w:r w:rsidR="00DF1C48" w:rsidRPr="003523C5">
        <w:rPr>
          <w:rStyle w:val="FootnoteReference"/>
          <w:lang w:val="en-US"/>
        </w:rPr>
        <w:footnoteReference w:id="1"/>
      </w:r>
      <w:r w:rsidR="005D1585" w:rsidRPr="003523C5">
        <w:rPr>
          <w:lang w:val="en-US"/>
        </w:rPr>
        <w:t xml:space="preserve"> </w:t>
      </w:r>
      <w:r w:rsidR="00571E3E" w:rsidRPr="003523C5">
        <w:rPr>
          <w:lang w:val="en-US"/>
        </w:rPr>
        <w:t>I</w:t>
      </w:r>
      <w:r w:rsidR="008841C1" w:rsidRPr="003523C5">
        <w:rPr>
          <w:lang w:val="en-US"/>
        </w:rPr>
        <w:t>f</w:t>
      </w:r>
      <w:r w:rsidR="005B594C" w:rsidRPr="003523C5">
        <w:rPr>
          <w:lang w:val="en-US"/>
        </w:rPr>
        <w:t xml:space="preserve"> </w:t>
      </w:r>
      <w:r w:rsidR="00AB6520" w:rsidRPr="003523C5">
        <w:rPr>
          <w:lang w:val="en-US"/>
        </w:rPr>
        <w:t xml:space="preserve">left on </w:t>
      </w:r>
      <w:r w:rsidR="004B23DC" w:rsidRPr="003523C5">
        <w:rPr>
          <w:lang w:val="en-US"/>
        </w:rPr>
        <w:t>their</w:t>
      </w:r>
      <w:r w:rsidR="00AB6520" w:rsidRPr="003523C5">
        <w:rPr>
          <w:lang w:val="en-US"/>
        </w:rPr>
        <w:t xml:space="preserve"> own, </w:t>
      </w:r>
      <w:r w:rsidR="00343B34" w:rsidRPr="003523C5">
        <w:rPr>
          <w:lang w:val="en-US"/>
        </w:rPr>
        <w:t>integrated markets</w:t>
      </w:r>
      <w:r w:rsidR="00AC4E46" w:rsidRPr="003523C5">
        <w:rPr>
          <w:lang w:val="en-US"/>
        </w:rPr>
        <w:t xml:space="preserve"> </w:t>
      </w:r>
      <w:r w:rsidR="00AB6520" w:rsidRPr="003523C5">
        <w:rPr>
          <w:lang w:val="en-US"/>
        </w:rPr>
        <w:t>will distribute wealth</w:t>
      </w:r>
      <w:r w:rsidR="00DB48FD" w:rsidRPr="003523C5">
        <w:rPr>
          <w:lang w:val="en-US"/>
        </w:rPr>
        <w:t xml:space="preserve">, </w:t>
      </w:r>
      <w:r w:rsidR="00AB6520" w:rsidRPr="003523C5">
        <w:rPr>
          <w:lang w:val="en-US"/>
        </w:rPr>
        <w:t>opportunities</w:t>
      </w:r>
      <w:r w:rsidR="005B594C" w:rsidRPr="003523C5">
        <w:rPr>
          <w:lang w:val="en-US"/>
        </w:rPr>
        <w:t>, risks</w:t>
      </w:r>
      <w:r w:rsidR="00DB48FD" w:rsidRPr="003523C5">
        <w:rPr>
          <w:lang w:val="en-US"/>
        </w:rPr>
        <w:t>,</w:t>
      </w:r>
      <w:r w:rsidR="005B594C" w:rsidRPr="003523C5">
        <w:rPr>
          <w:lang w:val="en-US"/>
        </w:rPr>
        <w:t xml:space="preserve"> and gains</w:t>
      </w:r>
      <w:r w:rsidR="00AB6520" w:rsidRPr="003523C5">
        <w:rPr>
          <w:lang w:val="en-US"/>
        </w:rPr>
        <w:t xml:space="preserve"> among participating countries not only </w:t>
      </w:r>
      <w:r w:rsidR="00386834" w:rsidRPr="003523C5">
        <w:rPr>
          <w:lang w:val="en-US"/>
        </w:rPr>
        <w:t>unequally</w:t>
      </w:r>
      <w:r w:rsidR="00AB6520" w:rsidRPr="003523C5">
        <w:rPr>
          <w:lang w:val="en-US"/>
        </w:rPr>
        <w:t xml:space="preserve">, but </w:t>
      </w:r>
      <w:r w:rsidR="004B23DC" w:rsidRPr="003523C5">
        <w:rPr>
          <w:lang w:val="en-US"/>
        </w:rPr>
        <w:t>they</w:t>
      </w:r>
      <w:r w:rsidR="00AB6520" w:rsidRPr="003523C5">
        <w:rPr>
          <w:lang w:val="en-US"/>
        </w:rPr>
        <w:t xml:space="preserve"> might </w:t>
      </w:r>
      <w:r w:rsidR="008841C1" w:rsidRPr="003523C5">
        <w:rPr>
          <w:lang w:val="en-US"/>
        </w:rPr>
        <w:t xml:space="preserve">even </w:t>
      </w:r>
      <w:r w:rsidR="00AB6520" w:rsidRPr="003523C5">
        <w:rPr>
          <w:lang w:val="en-US"/>
        </w:rPr>
        <w:t>produce dev</w:t>
      </w:r>
      <w:r w:rsidR="005D1585" w:rsidRPr="003523C5">
        <w:rPr>
          <w:lang w:val="en-US"/>
        </w:rPr>
        <w:t>elopmental outcomes that could undermine</w:t>
      </w:r>
      <w:r w:rsidR="00AB6520" w:rsidRPr="003523C5">
        <w:rPr>
          <w:lang w:val="en-US"/>
        </w:rPr>
        <w:t xml:space="preserve"> integration</w:t>
      </w:r>
      <w:r w:rsidR="00C93ABF" w:rsidRPr="003523C5">
        <w:rPr>
          <w:lang w:val="en-US"/>
        </w:rPr>
        <w:t>.</w:t>
      </w:r>
      <w:r w:rsidR="00C93ABF" w:rsidRPr="003523C5">
        <w:rPr>
          <w:rStyle w:val="FootnoteReference"/>
          <w:lang w:val="en-US"/>
        </w:rPr>
        <w:footnoteReference w:id="2"/>
      </w:r>
      <w:r w:rsidR="00CB360F">
        <w:rPr>
          <w:lang w:val="en-US"/>
        </w:rPr>
        <w:t xml:space="preserve"> </w:t>
      </w:r>
      <w:r w:rsidR="00171AA4" w:rsidRPr="003523C5">
        <w:rPr>
          <w:lang w:val="en-US"/>
        </w:rPr>
        <w:t>Consequently</w:t>
      </w:r>
      <w:r w:rsidR="00571E3E" w:rsidRPr="003523C5">
        <w:rPr>
          <w:lang w:val="en-US"/>
        </w:rPr>
        <w:t>,</w:t>
      </w:r>
      <w:r w:rsidR="005B594C" w:rsidRPr="003523C5">
        <w:rPr>
          <w:lang w:val="en-US"/>
        </w:rPr>
        <w:t xml:space="preserve"> </w:t>
      </w:r>
      <w:r w:rsidR="00171AA4" w:rsidRPr="003523C5">
        <w:rPr>
          <w:lang w:val="en-US"/>
        </w:rPr>
        <w:t>the key to successful market integration is to find</w:t>
      </w:r>
      <w:r w:rsidR="005B594C" w:rsidRPr="003523C5">
        <w:rPr>
          <w:lang w:val="en-US"/>
        </w:rPr>
        <w:t xml:space="preserve"> the right institutional setup </w:t>
      </w:r>
      <w:r w:rsidR="00171AA4" w:rsidRPr="003523C5">
        <w:rPr>
          <w:lang w:val="en-US"/>
        </w:rPr>
        <w:t>that</w:t>
      </w:r>
      <w:r w:rsidR="00F16E70" w:rsidRPr="003523C5">
        <w:rPr>
          <w:lang w:val="en-US"/>
        </w:rPr>
        <w:t xml:space="preserve"> </w:t>
      </w:r>
      <w:r w:rsidR="00B6357B" w:rsidRPr="003523C5">
        <w:rPr>
          <w:lang w:val="en-US"/>
        </w:rPr>
        <w:t xml:space="preserve">can </w:t>
      </w:r>
      <w:r w:rsidR="00171AA4" w:rsidRPr="003523C5">
        <w:rPr>
          <w:lang w:val="en-US"/>
        </w:rPr>
        <w:t xml:space="preserve">produce </w:t>
      </w:r>
      <w:r w:rsidR="00F16E70" w:rsidRPr="003523C5">
        <w:rPr>
          <w:lang w:val="en-US"/>
        </w:rPr>
        <w:t xml:space="preserve">policies </w:t>
      </w:r>
      <w:r w:rsidR="00CB360F">
        <w:rPr>
          <w:lang w:val="en-US"/>
        </w:rPr>
        <w:t>which correct</w:t>
      </w:r>
      <w:r w:rsidR="00CB360F" w:rsidRPr="003523C5">
        <w:rPr>
          <w:lang w:val="en-US"/>
        </w:rPr>
        <w:t xml:space="preserve"> </w:t>
      </w:r>
      <w:r w:rsidR="005B594C" w:rsidRPr="003523C5">
        <w:rPr>
          <w:lang w:val="en-US"/>
        </w:rPr>
        <w:t xml:space="preserve">the distributive </w:t>
      </w:r>
      <w:r w:rsidR="006E361B" w:rsidRPr="003523C5">
        <w:rPr>
          <w:lang w:val="en-US"/>
        </w:rPr>
        <w:t>outcomes</w:t>
      </w:r>
      <w:r w:rsidR="005B594C" w:rsidRPr="003523C5">
        <w:rPr>
          <w:lang w:val="en-US"/>
        </w:rPr>
        <w:t xml:space="preserve"> of integrated markets</w:t>
      </w:r>
      <w:r w:rsidR="006E361B" w:rsidRPr="003523C5">
        <w:rPr>
          <w:lang w:val="en-US"/>
        </w:rPr>
        <w:t xml:space="preserve"> in</w:t>
      </w:r>
      <w:r w:rsidR="00CB360F">
        <w:rPr>
          <w:lang w:val="en-US"/>
        </w:rPr>
        <w:t xml:space="preserve"> </w:t>
      </w:r>
      <w:r w:rsidR="008841C1" w:rsidRPr="003523C5">
        <w:rPr>
          <w:lang w:val="en-US"/>
        </w:rPr>
        <w:t>participating states</w:t>
      </w:r>
      <w:r w:rsidR="00DB48FD" w:rsidRPr="003523C5">
        <w:rPr>
          <w:lang w:val="en-US"/>
        </w:rPr>
        <w:t>’</w:t>
      </w:r>
      <w:r w:rsidR="008841C1" w:rsidRPr="003523C5">
        <w:rPr>
          <w:lang w:val="en-US"/>
        </w:rPr>
        <w:t xml:space="preserve"> common interest</w:t>
      </w:r>
      <w:r w:rsidR="00F16E70" w:rsidRPr="003523C5">
        <w:rPr>
          <w:lang w:val="en-US"/>
        </w:rPr>
        <w:t>s</w:t>
      </w:r>
      <w:r w:rsidR="005B594C" w:rsidRPr="003523C5">
        <w:rPr>
          <w:lang w:val="en-US"/>
        </w:rPr>
        <w:t xml:space="preserve">, </w:t>
      </w:r>
      <w:r w:rsidR="006A45D2">
        <w:rPr>
          <w:lang w:val="en-US"/>
        </w:rPr>
        <w:t>sharing</w:t>
      </w:r>
      <w:r w:rsidR="00F46FD0" w:rsidRPr="003523C5">
        <w:rPr>
          <w:lang w:val="en-US"/>
        </w:rPr>
        <w:t xml:space="preserve"> </w:t>
      </w:r>
      <w:r w:rsidR="005B594C" w:rsidRPr="003523C5">
        <w:rPr>
          <w:lang w:val="en-US"/>
        </w:rPr>
        <w:t>the risks and gains of integration.</w:t>
      </w:r>
    </w:p>
    <w:p w14:paraId="4E909A10" w14:textId="77777777" w:rsidR="00FF0AF7" w:rsidRPr="003523C5" w:rsidRDefault="00FF0AF7" w:rsidP="00CA7B81">
      <w:pPr>
        <w:contextualSpacing/>
        <w:rPr>
          <w:lang w:val="en-US"/>
        </w:rPr>
      </w:pPr>
    </w:p>
    <w:p w14:paraId="6F37FE45" w14:textId="4C9CCA80" w:rsidR="00B254AB" w:rsidRPr="003523C5" w:rsidRDefault="00046369" w:rsidP="00CA7B81">
      <w:pPr>
        <w:contextualSpacing/>
        <w:rPr>
          <w:bCs/>
          <w:lang w:val="en-US"/>
        </w:rPr>
      </w:pPr>
      <w:r w:rsidRPr="003523C5">
        <w:rPr>
          <w:lang w:val="en-US"/>
        </w:rPr>
        <w:t xml:space="preserve">Of all the transnational </w:t>
      </w:r>
      <w:r w:rsidR="00343B34" w:rsidRPr="003523C5">
        <w:rPr>
          <w:lang w:val="en-US"/>
        </w:rPr>
        <w:t>market-making experiences</w:t>
      </w:r>
      <w:r w:rsidRPr="003523C5">
        <w:rPr>
          <w:lang w:val="en-US"/>
        </w:rPr>
        <w:t xml:space="preserve"> that have </w:t>
      </w:r>
      <w:r w:rsidR="002B3AB0" w:rsidRPr="003523C5">
        <w:rPr>
          <w:lang w:val="en-US"/>
        </w:rPr>
        <w:t>emerged</w:t>
      </w:r>
      <w:r w:rsidRPr="003523C5">
        <w:rPr>
          <w:lang w:val="en-US"/>
        </w:rPr>
        <w:t xml:space="preserve"> in recent decades</w:t>
      </w:r>
      <w:r w:rsidR="00A36535" w:rsidRPr="003523C5">
        <w:rPr>
          <w:lang w:val="en-US"/>
        </w:rPr>
        <w:t>,</w:t>
      </w:r>
      <w:r w:rsidR="008841C1" w:rsidRPr="003523C5">
        <w:rPr>
          <w:lang w:val="en-US"/>
        </w:rPr>
        <w:t xml:space="preserve"> </w:t>
      </w:r>
      <w:r w:rsidR="002B3AB0" w:rsidRPr="003523C5">
        <w:rPr>
          <w:lang w:val="en-US"/>
        </w:rPr>
        <w:t xml:space="preserve">the </w:t>
      </w:r>
      <w:r w:rsidR="00E43BF5" w:rsidRPr="003523C5">
        <w:rPr>
          <w:lang w:val="en-US"/>
        </w:rPr>
        <w:t>EU is unique in that it has</w:t>
      </w:r>
      <w:r w:rsidR="00343B34" w:rsidRPr="003523C5">
        <w:rPr>
          <w:lang w:val="en-US"/>
        </w:rPr>
        <w:t xml:space="preserve"> created a complex set of political institutions with the responsibility to extend and correct markets. More specifically, </w:t>
      </w:r>
      <w:r w:rsidR="00582DD9" w:rsidRPr="003523C5">
        <w:rPr>
          <w:lang w:val="en-US"/>
        </w:rPr>
        <w:t xml:space="preserve">the </w:t>
      </w:r>
      <w:r w:rsidR="00343B34" w:rsidRPr="003523C5">
        <w:rPr>
          <w:lang w:val="en-US"/>
        </w:rPr>
        <w:t xml:space="preserve">EU has </w:t>
      </w:r>
      <w:r w:rsidR="00E43BF5" w:rsidRPr="003523C5">
        <w:rPr>
          <w:lang w:val="en-US"/>
        </w:rPr>
        <w:t xml:space="preserve">introduced several policies with the </w:t>
      </w:r>
      <w:r w:rsidR="00171AA4" w:rsidRPr="003523C5">
        <w:rPr>
          <w:lang w:val="en-US"/>
        </w:rPr>
        <w:t>objective</w:t>
      </w:r>
      <w:r w:rsidR="00E43BF5" w:rsidRPr="003523C5">
        <w:rPr>
          <w:lang w:val="en-US"/>
        </w:rPr>
        <w:t xml:space="preserve"> to alter the market distribution of wealth and opportunities </w:t>
      </w:r>
      <w:r w:rsidR="009428B6" w:rsidRPr="003523C5">
        <w:rPr>
          <w:lang w:val="en-US"/>
        </w:rPr>
        <w:t>and further common developmental goals among its member states</w:t>
      </w:r>
      <w:r w:rsidR="002358FA" w:rsidRPr="003523C5">
        <w:rPr>
          <w:lang w:val="en-US"/>
        </w:rPr>
        <w:t>.</w:t>
      </w:r>
      <w:r w:rsidR="002358FA" w:rsidRPr="003523C5">
        <w:rPr>
          <w:rStyle w:val="FootnoteReference"/>
          <w:lang w:val="en-US"/>
        </w:rPr>
        <w:footnoteReference w:id="3"/>
      </w:r>
      <w:r w:rsidR="003D5E93" w:rsidRPr="003523C5">
        <w:rPr>
          <w:lang w:val="en-US"/>
        </w:rPr>
        <w:t xml:space="preserve"> </w:t>
      </w:r>
      <w:r w:rsidR="009428B6" w:rsidRPr="003523C5">
        <w:rPr>
          <w:lang w:val="en-US"/>
        </w:rPr>
        <w:t>In this paper</w:t>
      </w:r>
      <w:r w:rsidR="008841C1" w:rsidRPr="003523C5">
        <w:rPr>
          <w:lang w:val="en-US"/>
        </w:rPr>
        <w:t>,</w:t>
      </w:r>
      <w:r w:rsidR="009428B6" w:rsidRPr="003523C5">
        <w:rPr>
          <w:lang w:val="en-US"/>
        </w:rPr>
        <w:t xml:space="preserve"> we explore the four largest EU policies that</w:t>
      </w:r>
      <w:r w:rsidR="00261049" w:rsidRPr="003523C5">
        <w:rPr>
          <w:lang w:val="en-US"/>
        </w:rPr>
        <w:t>, at the time of their launching,</w:t>
      </w:r>
      <w:r w:rsidR="009428B6" w:rsidRPr="003523C5">
        <w:rPr>
          <w:lang w:val="en-US"/>
        </w:rPr>
        <w:t xml:space="preserve"> </w:t>
      </w:r>
      <w:r w:rsidR="00CB360F">
        <w:rPr>
          <w:lang w:val="en-US"/>
        </w:rPr>
        <w:t xml:space="preserve">aimed </w:t>
      </w:r>
      <w:r w:rsidR="008841C1" w:rsidRPr="003523C5">
        <w:rPr>
          <w:lang w:val="en-US"/>
        </w:rPr>
        <w:t>either</w:t>
      </w:r>
      <w:r w:rsidR="00CB360F">
        <w:rPr>
          <w:lang w:val="en-US"/>
        </w:rPr>
        <w:t xml:space="preserve"> to</w:t>
      </w:r>
      <w:r w:rsidR="008841C1" w:rsidRPr="003523C5">
        <w:rPr>
          <w:lang w:val="en-US"/>
        </w:rPr>
        <w:t xml:space="preserve"> </w:t>
      </w:r>
      <w:r w:rsidR="00CB360F">
        <w:rPr>
          <w:lang w:val="en-US"/>
        </w:rPr>
        <w:t>reduce</w:t>
      </w:r>
      <w:r w:rsidR="009428B6" w:rsidRPr="003523C5">
        <w:rPr>
          <w:lang w:val="en-US"/>
        </w:rPr>
        <w:t xml:space="preserve"> disparities generated by the integrated market </w:t>
      </w:r>
      <w:r w:rsidR="00797F71" w:rsidRPr="003523C5">
        <w:rPr>
          <w:lang w:val="en-US"/>
        </w:rPr>
        <w:t>or</w:t>
      </w:r>
      <w:r w:rsidR="009428B6" w:rsidRPr="003523C5">
        <w:rPr>
          <w:lang w:val="en-US"/>
        </w:rPr>
        <w:t xml:space="preserve"> </w:t>
      </w:r>
      <w:r w:rsidR="00CB360F">
        <w:rPr>
          <w:lang w:val="en-US"/>
        </w:rPr>
        <w:t>to promote</w:t>
      </w:r>
      <w:r w:rsidR="009428B6" w:rsidRPr="003523C5">
        <w:rPr>
          <w:lang w:val="en-US"/>
        </w:rPr>
        <w:t xml:space="preserve"> </w:t>
      </w:r>
      <w:r w:rsidR="00CB360F" w:rsidRPr="003523C5">
        <w:rPr>
          <w:lang w:val="en-US"/>
        </w:rPr>
        <w:t xml:space="preserve">mutually beneficial </w:t>
      </w:r>
      <w:r w:rsidR="009428B6" w:rsidRPr="003523C5">
        <w:rPr>
          <w:lang w:val="en-US"/>
        </w:rPr>
        <w:t>economic activity for the member states</w:t>
      </w:r>
      <w:r w:rsidR="00CB360F">
        <w:rPr>
          <w:lang w:val="en-US"/>
        </w:rPr>
        <w:t xml:space="preserve">, that is, </w:t>
      </w:r>
      <w:r w:rsidR="008841C1" w:rsidRPr="003523C5">
        <w:rPr>
          <w:lang w:val="en-US"/>
        </w:rPr>
        <w:t>the EU</w:t>
      </w:r>
      <w:r w:rsidR="00E12B56" w:rsidRPr="003523C5">
        <w:rPr>
          <w:lang w:val="en-US"/>
        </w:rPr>
        <w:t>’</w:t>
      </w:r>
      <w:r w:rsidR="008841C1" w:rsidRPr="003523C5">
        <w:rPr>
          <w:lang w:val="en-US"/>
        </w:rPr>
        <w:t xml:space="preserve">s state aid regime, </w:t>
      </w:r>
      <w:r w:rsidR="00571E3E" w:rsidRPr="003523C5">
        <w:rPr>
          <w:lang w:val="en-US"/>
        </w:rPr>
        <w:t xml:space="preserve">the </w:t>
      </w:r>
      <w:r w:rsidR="008841C1" w:rsidRPr="003523C5">
        <w:rPr>
          <w:lang w:val="en-US"/>
        </w:rPr>
        <w:t xml:space="preserve">Cohesion Policy, </w:t>
      </w:r>
      <w:r w:rsidR="00E12B56" w:rsidRPr="003523C5">
        <w:rPr>
          <w:lang w:val="en-US"/>
        </w:rPr>
        <w:t xml:space="preserve">as well as </w:t>
      </w:r>
      <w:r w:rsidR="008841C1" w:rsidRPr="003523C5">
        <w:rPr>
          <w:lang w:val="en-US"/>
        </w:rPr>
        <w:t xml:space="preserve">funding from the European Investment Bank </w:t>
      </w:r>
      <w:r w:rsidR="00407FEE" w:rsidRPr="003523C5">
        <w:rPr>
          <w:lang w:val="en-US"/>
        </w:rPr>
        <w:t xml:space="preserve">(EIB) </w:t>
      </w:r>
      <w:r w:rsidR="008841C1" w:rsidRPr="003523C5">
        <w:rPr>
          <w:lang w:val="en-US"/>
        </w:rPr>
        <w:t>and the European Fund for Strategic Investment</w:t>
      </w:r>
      <w:r w:rsidR="00407FEE" w:rsidRPr="003523C5">
        <w:rPr>
          <w:lang w:val="en-US"/>
        </w:rPr>
        <w:t xml:space="preserve"> (EFSI)</w:t>
      </w:r>
      <w:r w:rsidR="008841C1" w:rsidRPr="003523C5">
        <w:rPr>
          <w:lang w:val="en-US"/>
        </w:rPr>
        <w:t>.</w:t>
      </w:r>
      <w:r w:rsidR="009145E6" w:rsidRPr="003523C5">
        <w:rPr>
          <w:lang w:val="en-US"/>
        </w:rPr>
        <w:t xml:space="preserve"> </w:t>
      </w:r>
      <w:r w:rsidR="00B254AB" w:rsidRPr="003523C5">
        <w:rPr>
          <w:bCs/>
          <w:lang w:val="en-US"/>
        </w:rPr>
        <w:t xml:space="preserve">We are interested in the distribution of resources and opportunities </w:t>
      </w:r>
      <w:r w:rsidR="00CB360F">
        <w:rPr>
          <w:bCs/>
          <w:lang w:val="en-US"/>
        </w:rPr>
        <w:t xml:space="preserve">that these policies </w:t>
      </w:r>
      <w:r w:rsidR="00B254AB" w:rsidRPr="003523C5">
        <w:rPr>
          <w:bCs/>
          <w:lang w:val="en-US"/>
        </w:rPr>
        <w:t>provided. D</w:t>
      </w:r>
      <w:r w:rsidR="00CB360F">
        <w:rPr>
          <w:bCs/>
          <w:lang w:val="en-US"/>
        </w:rPr>
        <w:t>id</w:t>
      </w:r>
      <w:r w:rsidR="00B254AB" w:rsidRPr="003523C5">
        <w:rPr>
          <w:bCs/>
          <w:lang w:val="en-US"/>
        </w:rPr>
        <w:t xml:space="preserve"> they comply with their original objectives and alter the market distribution of resources and opportunities to benefit</w:t>
      </w:r>
      <w:r w:rsidR="00E12B56" w:rsidRPr="003523C5">
        <w:rPr>
          <w:bCs/>
          <w:lang w:val="en-US"/>
        </w:rPr>
        <w:t xml:space="preserve"> </w:t>
      </w:r>
      <w:r w:rsidR="00B254AB" w:rsidRPr="003523C5">
        <w:rPr>
          <w:bCs/>
          <w:lang w:val="en-US"/>
        </w:rPr>
        <w:t>less</w:t>
      </w:r>
      <w:r w:rsidR="0029567D">
        <w:rPr>
          <w:bCs/>
          <w:lang w:val="en-US"/>
        </w:rPr>
        <w:t xml:space="preserve"> </w:t>
      </w:r>
      <w:r w:rsidR="00B254AB" w:rsidRPr="003523C5">
        <w:rPr>
          <w:bCs/>
          <w:lang w:val="en-US"/>
        </w:rPr>
        <w:t>developed member states and promote the common interests of the core and the periphery? Or d</w:t>
      </w:r>
      <w:r w:rsidR="0029567D">
        <w:rPr>
          <w:bCs/>
          <w:lang w:val="en-US"/>
        </w:rPr>
        <w:t>id</w:t>
      </w:r>
      <w:r w:rsidR="00B254AB" w:rsidRPr="003523C5">
        <w:rPr>
          <w:bCs/>
          <w:lang w:val="en-US"/>
        </w:rPr>
        <w:t xml:space="preserve"> they reproduce or even increase pre-existing inequalities between core and periphery? And, either way, what </w:t>
      </w:r>
      <w:r w:rsidR="00445B74" w:rsidRPr="003523C5">
        <w:rPr>
          <w:bCs/>
          <w:lang w:val="en-US"/>
        </w:rPr>
        <w:t xml:space="preserve">may </w:t>
      </w:r>
      <w:r w:rsidR="00B254AB" w:rsidRPr="003523C5">
        <w:rPr>
          <w:bCs/>
          <w:lang w:val="en-US"/>
        </w:rPr>
        <w:t>explain the distributive consequences of these policies?</w:t>
      </w:r>
    </w:p>
    <w:p w14:paraId="2DD43B5C" w14:textId="77777777" w:rsidR="002A282B" w:rsidRPr="003523C5" w:rsidRDefault="002A282B" w:rsidP="00CA7B81">
      <w:pPr>
        <w:contextualSpacing/>
        <w:rPr>
          <w:lang w:val="en-US"/>
        </w:rPr>
      </w:pPr>
    </w:p>
    <w:p w14:paraId="61F2D3BC" w14:textId="4243F77C" w:rsidR="00F25173" w:rsidRPr="003523C5" w:rsidRDefault="001A52E4" w:rsidP="00CA7B81">
      <w:pPr>
        <w:contextualSpacing/>
        <w:rPr>
          <w:lang w:val="en-US"/>
        </w:rPr>
      </w:pPr>
      <w:r w:rsidRPr="003523C5">
        <w:rPr>
          <w:lang w:val="en-US"/>
        </w:rPr>
        <w:t>Out of the</w:t>
      </w:r>
      <w:r w:rsidR="00C559CC" w:rsidRPr="003523C5">
        <w:rPr>
          <w:lang w:val="en-US"/>
        </w:rPr>
        <w:t xml:space="preserve"> four policies we explore here</w:t>
      </w:r>
      <w:r w:rsidRPr="003523C5">
        <w:rPr>
          <w:lang w:val="en-US"/>
        </w:rPr>
        <w:t xml:space="preserve">, state aid and </w:t>
      </w:r>
      <w:r w:rsidR="00E12B56" w:rsidRPr="003523C5">
        <w:rPr>
          <w:lang w:val="en-US"/>
        </w:rPr>
        <w:t xml:space="preserve">the </w:t>
      </w:r>
      <w:r w:rsidR="00D91229" w:rsidRPr="003523C5">
        <w:rPr>
          <w:lang w:val="en-US"/>
        </w:rPr>
        <w:t>Cohesion Policy</w:t>
      </w:r>
      <w:r w:rsidRPr="003523C5">
        <w:rPr>
          <w:lang w:val="en-US"/>
        </w:rPr>
        <w:t xml:space="preserve"> </w:t>
      </w:r>
      <w:r w:rsidR="00E12B56" w:rsidRPr="003523C5">
        <w:rPr>
          <w:lang w:val="en-US"/>
        </w:rPr>
        <w:t xml:space="preserve">have been </w:t>
      </w:r>
      <w:r w:rsidRPr="003523C5">
        <w:rPr>
          <w:lang w:val="en-US"/>
        </w:rPr>
        <w:t xml:space="preserve">updated several times, with each round contributing either to increased inequalities </w:t>
      </w:r>
      <w:r w:rsidR="00C77E1D" w:rsidRPr="003523C5">
        <w:rPr>
          <w:lang w:val="en-US"/>
        </w:rPr>
        <w:t xml:space="preserve">among member states </w:t>
      </w:r>
      <w:r w:rsidRPr="003523C5">
        <w:rPr>
          <w:lang w:val="en-US"/>
        </w:rPr>
        <w:t xml:space="preserve">or failed attempts at bringing the outcomes of these policies closer to </w:t>
      </w:r>
      <w:r w:rsidR="006F6708" w:rsidRPr="003523C5">
        <w:rPr>
          <w:lang w:val="en-US"/>
        </w:rPr>
        <w:t xml:space="preserve">the </w:t>
      </w:r>
      <w:r w:rsidRPr="003523C5">
        <w:rPr>
          <w:lang w:val="en-US"/>
        </w:rPr>
        <w:t xml:space="preserve">Pareto frontier. </w:t>
      </w:r>
      <w:r w:rsidR="006F6708" w:rsidRPr="003523C5">
        <w:rPr>
          <w:lang w:val="en-US"/>
        </w:rPr>
        <w:t xml:space="preserve">The </w:t>
      </w:r>
      <w:r w:rsidRPr="003523C5">
        <w:rPr>
          <w:lang w:val="en-US"/>
        </w:rPr>
        <w:t>EIB and EFSI</w:t>
      </w:r>
      <w:r w:rsidR="00A8424A" w:rsidRPr="003523C5">
        <w:rPr>
          <w:lang w:val="en-US"/>
        </w:rPr>
        <w:t xml:space="preserve"> </w:t>
      </w:r>
      <w:r w:rsidRPr="003523C5">
        <w:rPr>
          <w:lang w:val="en-US"/>
        </w:rPr>
        <w:t xml:space="preserve">have </w:t>
      </w:r>
      <w:r w:rsidR="00F21896" w:rsidRPr="003523C5">
        <w:rPr>
          <w:lang w:val="en-US"/>
        </w:rPr>
        <w:t xml:space="preserve">always </w:t>
      </w:r>
      <w:r w:rsidRPr="003523C5">
        <w:rPr>
          <w:lang w:val="en-US"/>
        </w:rPr>
        <w:t xml:space="preserve">distributed resources and opportunities </w:t>
      </w:r>
      <w:r w:rsidR="006F6708" w:rsidRPr="003523C5">
        <w:rPr>
          <w:lang w:val="en-US"/>
        </w:rPr>
        <w:t xml:space="preserve">in </w:t>
      </w:r>
      <w:r w:rsidRPr="003523C5">
        <w:rPr>
          <w:lang w:val="en-US"/>
        </w:rPr>
        <w:t>highly uneven</w:t>
      </w:r>
      <w:r w:rsidR="006F6708" w:rsidRPr="003523C5">
        <w:rPr>
          <w:lang w:val="en-US"/>
        </w:rPr>
        <w:t xml:space="preserve"> manners</w:t>
      </w:r>
      <w:r w:rsidR="0022173D" w:rsidRPr="003523C5">
        <w:rPr>
          <w:lang w:val="en-US"/>
        </w:rPr>
        <w:t>,</w:t>
      </w:r>
      <w:r w:rsidRPr="003523C5">
        <w:rPr>
          <w:lang w:val="en-US"/>
        </w:rPr>
        <w:t xml:space="preserve"> reflect</w:t>
      </w:r>
      <w:r w:rsidR="006F6708" w:rsidRPr="003523C5">
        <w:rPr>
          <w:lang w:val="en-US"/>
        </w:rPr>
        <w:t>ed in</w:t>
      </w:r>
      <w:r w:rsidRPr="003523C5">
        <w:rPr>
          <w:lang w:val="en-US"/>
        </w:rPr>
        <w:t xml:space="preserve"> the preferences of a small number of member states. </w:t>
      </w:r>
      <w:r w:rsidR="00A8424A" w:rsidRPr="003523C5">
        <w:rPr>
          <w:lang w:val="en-US"/>
        </w:rPr>
        <w:t>Overall, we find that these four policies have reproduced market-generated disparities</w:t>
      </w:r>
      <w:r w:rsidR="00A800D2" w:rsidRPr="003523C5">
        <w:rPr>
          <w:lang w:val="en-US"/>
        </w:rPr>
        <w:t xml:space="preserve">: </w:t>
      </w:r>
      <w:r w:rsidR="00A8424A" w:rsidRPr="003523C5">
        <w:rPr>
          <w:lang w:val="en-US"/>
        </w:rPr>
        <w:t xml:space="preserve">they have failed to reduce developmental gaps among member states and did not promote longer-term common European interests. Among them, there is only one, the Cohesion Policy, that directly targets the less developed parts of the EU, redistributing roughly 0.3 percent of EU GDP. However, </w:t>
      </w:r>
      <w:r w:rsidR="006F6708" w:rsidRPr="003523C5">
        <w:rPr>
          <w:lang w:val="en-US"/>
        </w:rPr>
        <w:t xml:space="preserve">the Cohesion Policy </w:t>
      </w:r>
      <w:r w:rsidR="00A8424A" w:rsidRPr="003523C5">
        <w:rPr>
          <w:lang w:val="en-US"/>
        </w:rPr>
        <w:t xml:space="preserve">does not </w:t>
      </w:r>
      <w:r w:rsidR="006F6708" w:rsidRPr="003523C5">
        <w:rPr>
          <w:lang w:val="en-US"/>
        </w:rPr>
        <w:t xml:space="preserve">include </w:t>
      </w:r>
      <w:r w:rsidR="00A8424A" w:rsidRPr="003523C5">
        <w:rPr>
          <w:lang w:val="en-US"/>
        </w:rPr>
        <w:t>institutional guarantees that recipient states will use the transfers to reduce developmental disparities</w:t>
      </w:r>
      <w:r w:rsidR="0029567D">
        <w:rPr>
          <w:lang w:val="en-US"/>
        </w:rPr>
        <w:t xml:space="preserve"> </w:t>
      </w:r>
      <w:r w:rsidR="0029567D" w:rsidRPr="003523C5">
        <w:rPr>
          <w:lang w:val="en-US"/>
        </w:rPr>
        <w:t>effectively</w:t>
      </w:r>
      <w:r w:rsidR="00A8424A" w:rsidRPr="003523C5">
        <w:rPr>
          <w:lang w:val="en-US"/>
        </w:rPr>
        <w:t xml:space="preserve"> and</w:t>
      </w:r>
      <w:r w:rsidR="006F6708" w:rsidRPr="003523C5">
        <w:rPr>
          <w:lang w:val="en-US"/>
        </w:rPr>
        <w:t xml:space="preserve"> thereby</w:t>
      </w:r>
      <w:r w:rsidR="00A8424A" w:rsidRPr="003523C5">
        <w:rPr>
          <w:lang w:val="en-US"/>
        </w:rPr>
        <w:t xml:space="preserve"> decrease the need for transfers. As for other EU policies, a small group of countries </w:t>
      </w:r>
      <w:r w:rsidR="0029567D">
        <w:rPr>
          <w:lang w:val="en-US"/>
        </w:rPr>
        <w:t>are</w:t>
      </w:r>
      <w:r w:rsidR="0029567D" w:rsidRPr="003523C5">
        <w:rPr>
          <w:lang w:val="en-US"/>
        </w:rPr>
        <w:t xml:space="preserve"> </w:t>
      </w:r>
      <w:r w:rsidR="006F6708" w:rsidRPr="003523C5">
        <w:rPr>
          <w:lang w:val="en-US"/>
        </w:rPr>
        <w:t xml:space="preserve">the </w:t>
      </w:r>
      <w:r w:rsidR="00A8424A" w:rsidRPr="003523C5">
        <w:rPr>
          <w:lang w:val="en-US"/>
        </w:rPr>
        <w:t>primary beneficiar</w:t>
      </w:r>
      <w:r w:rsidR="0029567D">
        <w:rPr>
          <w:lang w:val="en-US"/>
        </w:rPr>
        <w:t>ies</w:t>
      </w:r>
      <w:r w:rsidR="00A8424A" w:rsidRPr="003523C5">
        <w:rPr>
          <w:lang w:val="en-US"/>
        </w:rPr>
        <w:t xml:space="preserve"> and</w:t>
      </w:r>
      <w:r w:rsidR="00582DD9" w:rsidRPr="003523C5">
        <w:rPr>
          <w:lang w:val="en-US"/>
        </w:rPr>
        <w:t>,</w:t>
      </w:r>
      <w:r w:rsidR="00A8424A" w:rsidRPr="003523C5">
        <w:rPr>
          <w:lang w:val="en-US"/>
        </w:rPr>
        <w:t xml:space="preserve"> overall, the</w:t>
      </w:r>
      <w:r w:rsidR="006F6708" w:rsidRPr="003523C5">
        <w:rPr>
          <w:lang w:val="en-US"/>
        </w:rPr>
        <w:t>se policies</w:t>
      </w:r>
      <w:r w:rsidR="00A8424A" w:rsidRPr="003523C5">
        <w:rPr>
          <w:lang w:val="en-US"/>
        </w:rPr>
        <w:t xml:space="preserve"> contribute rather to </w:t>
      </w:r>
      <w:r w:rsidR="006F6708" w:rsidRPr="003523C5">
        <w:rPr>
          <w:lang w:val="en-US"/>
        </w:rPr>
        <w:t xml:space="preserve">an </w:t>
      </w:r>
      <w:r w:rsidR="00A8424A" w:rsidRPr="003523C5">
        <w:rPr>
          <w:lang w:val="en-US"/>
        </w:rPr>
        <w:t xml:space="preserve">increase </w:t>
      </w:r>
      <w:r w:rsidR="006F6708" w:rsidRPr="003523C5">
        <w:rPr>
          <w:lang w:val="en-US"/>
        </w:rPr>
        <w:t xml:space="preserve">in </w:t>
      </w:r>
      <w:r w:rsidR="00A8424A" w:rsidRPr="003523C5">
        <w:rPr>
          <w:lang w:val="en-US"/>
        </w:rPr>
        <w:t>developmental disparities.</w:t>
      </w:r>
      <w:r w:rsidR="00CC3E5E" w:rsidRPr="003523C5">
        <w:rPr>
          <w:lang w:val="en-US"/>
        </w:rPr>
        <w:t xml:space="preserve"> </w:t>
      </w:r>
      <w:r w:rsidR="00F25173" w:rsidRPr="003523C5">
        <w:rPr>
          <w:lang w:val="en-US"/>
        </w:rPr>
        <w:t xml:space="preserve">As we will show below, even during the </w:t>
      </w:r>
      <w:r w:rsidR="006F6708" w:rsidRPr="003523C5">
        <w:rPr>
          <w:lang w:val="en-US"/>
        </w:rPr>
        <w:t xml:space="preserve">period of </w:t>
      </w:r>
      <w:r w:rsidR="00F25173" w:rsidRPr="003523C5">
        <w:rPr>
          <w:lang w:val="en-US"/>
        </w:rPr>
        <w:t xml:space="preserve">crisis management </w:t>
      </w:r>
      <w:r w:rsidR="006F6708" w:rsidRPr="003523C5">
        <w:rPr>
          <w:lang w:val="en-US"/>
        </w:rPr>
        <w:t xml:space="preserve">in </w:t>
      </w:r>
      <w:r w:rsidR="00F25173" w:rsidRPr="003523C5">
        <w:rPr>
          <w:lang w:val="en-US"/>
        </w:rPr>
        <w:t>2020</w:t>
      </w:r>
      <w:r w:rsidR="006F6708" w:rsidRPr="003523C5">
        <w:rPr>
          <w:lang w:val="en-US"/>
        </w:rPr>
        <w:t>—</w:t>
      </w:r>
      <w:r w:rsidR="00F25173" w:rsidRPr="003523C5">
        <w:rPr>
          <w:lang w:val="en-US"/>
        </w:rPr>
        <w:t>described by some as the</w:t>
      </w:r>
      <w:r w:rsidR="00C057AA" w:rsidRPr="003523C5">
        <w:rPr>
          <w:lang w:val="en-US"/>
        </w:rPr>
        <w:t xml:space="preserve"> EU’s</w:t>
      </w:r>
      <w:r w:rsidR="00F25173" w:rsidRPr="003523C5">
        <w:rPr>
          <w:lang w:val="en-US"/>
        </w:rPr>
        <w:t xml:space="preserve"> Hamiltonian moment,</w:t>
      </w:r>
      <w:r w:rsidR="006F6708" w:rsidRPr="003523C5">
        <w:rPr>
          <w:lang w:val="en-US"/>
        </w:rPr>
        <w:t xml:space="preserve"> </w:t>
      </w:r>
      <w:r w:rsidR="004B3EE6" w:rsidRPr="003523C5">
        <w:rPr>
          <w:lang w:val="en-US"/>
        </w:rPr>
        <w:t xml:space="preserve">a major step toward mutualizing the costs and gains </w:t>
      </w:r>
      <w:r w:rsidR="004B3EE6" w:rsidRPr="003523C5">
        <w:rPr>
          <w:lang w:val="en-US"/>
        </w:rPr>
        <w:lastRenderedPageBreak/>
        <w:t>of integration</w:t>
      </w:r>
      <w:r w:rsidR="006F6708" w:rsidRPr="003523C5">
        <w:rPr>
          <w:lang w:val="en-US"/>
        </w:rPr>
        <w:t>—</w:t>
      </w:r>
      <w:r w:rsidR="00F25173" w:rsidRPr="003523C5">
        <w:rPr>
          <w:lang w:val="en-US"/>
        </w:rPr>
        <w:t>member states have opted for policies that have further fragmented the single market and have increased inequalities among the</w:t>
      </w:r>
      <w:r w:rsidR="00582DD9" w:rsidRPr="003523C5">
        <w:rPr>
          <w:lang w:val="en-US"/>
        </w:rPr>
        <w:t>m</w:t>
      </w:r>
      <w:r w:rsidR="00F25173" w:rsidRPr="003523C5">
        <w:rPr>
          <w:lang w:val="en-US"/>
        </w:rPr>
        <w:t>.</w:t>
      </w:r>
    </w:p>
    <w:p w14:paraId="14DA4C09" w14:textId="77777777" w:rsidR="002A282B" w:rsidRPr="003523C5" w:rsidRDefault="002A282B" w:rsidP="00CA7B81">
      <w:pPr>
        <w:contextualSpacing/>
        <w:rPr>
          <w:lang w:val="en-US"/>
        </w:rPr>
      </w:pPr>
    </w:p>
    <w:p w14:paraId="3910108B" w14:textId="5F903AC7" w:rsidR="001A52E4" w:rsidRPr="003523C5" w:rsidRDefault="00F25173" w:rsidP="00CA7B81">
      <w:pPr>
        <w:contextualSpacing/>
        <w:rPr>
          <w:lang w:val="en-US"/>
        </w:rPr>
      </w:pPr>
      <w:r w:rsidRPr="003523C5">
        <w:rPr>
          <w:lang w:val="en-US"/>
        </w:rPr>
        <w:t xml:space="preserve">These outcomes are puzzling as </w:t>
      </w:r>
      <w:r w:rsidR="001A52E4" w:rsidRPr="003523C5">
        <w:rPr>
          <w:lang w:val="en-US"/>
        </w:rPr>
        <w:t>member states have considerably deepened market integration</w:t>
      </w:r>
      <w:r w:rsidR="00C057AA" w:rsidRPr="003523C5">
        <w:rPr>
          <w:lang w:val="en-US"/>
        </w:rPr>
        <w:t>,</w:t>
      </w:r>
      <w:r w:rsidR="001A52E4" w:rsidRPr="003523C5">
        <w:rPr>
          <w:lang w:val="en-US"/>
        </w:rPr>
        <w:t xml:space="preserve"> </w:t>
      </w:r>
      <w:r w:rsidR="00C057AA" w:rsidRPr="003523C5">
        <w:rPr>
          <w:lang w:val="en-US"/>
        </w:rPr>
        <w:t xml:space="preserve">which </w:t>
      </w:r>
      <w:r w:rsidR="001A52E4" w:rsidRPr="003523C5">
        <w:rPr>
          <w:lang w:val="en-US"/>
        </w:rPr>
        <w:t>went hand in hand with increased economic and political interdependence</w:t>
      </w:r>
      <w:r w:rsidR="000E2D79" w:rsidRPr="003523C5">
        <w:rPr>
          <w:lang w:val="en-US"/>
        </w:rPr>
        <w:t xml:space="preserve">. </w:t>
      </w:r>
      <w:r w:rsidR="001A52E4" w:rsidRPr="003523C5">
        <w:rPr>
          <w:lang w:val="en-US"/>
        </w:rPr>
        <w:t>EU bodies</w:t>
      </w:r>
      <w:r w:rsidRPr="003523C5">
        <w:rPr>
          <w:lang w:val="en-US"/>
        </w:rPr>
        <w:t xml:space="preserve"> </w:t>
      </w:r>
      <w:r w:rsidR="001A52E4" w:rsidRPr="003523C5">
        <w:rPr>
          <w:lang w:val="en-US"/>
        </w:rPr>
        <w:t xml:space="preserve">were conscious of the potential </w:t>
      </w:r>
      <w:r w:rsidR="00F80527" w:rsidRPr="003523C5">
        <w:rPr>
          <w:lang w:val="en-US"/>
        </w:rPr>
        <w:t xml:space="preserve">negative </w:t>
      </w:r>
      <w:r w:rsidR="001A52E4" w:rsidRPr="003523C5">
        <w:rPr>
          <w:lang w:val="en-US"/>
        </w:rPr>
        <w:t>economic and political externalities of deepened market integration</w:t>
      </w:r>
      <w:r w:rsidR="002358FA" w:rsidRPr="003523C5">
        <w:rPr>
          <w:lang w:val="en-US"/>
        </w:rPr>
        <w:t>,</w:t>
      </w:r>
      <w:r w:rsidR="002358FA" w:rsidRPr="003523C5">
        <w:rPr>
          <w:rStyle w:val="FootnoteReference"/>
          <w:lang w:val="en-US"/>
        </w:rPr>
        <w:footnoteReference w:id="4"/>
      </w:r>
      <w:r w:rsidR="001A52E4" w:rsidRPr="003523C5">
        <w:rPr>
          <w:lang w:val="en-US"/>
        </w:rPr>
        <w:t xml:space="preserve"> </w:t>
      </w:r>
      <w:r w:rsidR="0022173D" w:rsidRPr="003523C5">
        <w:rPr>
          <w:lang w:val="en-US"/>
        </w:rPr>
        <w:t xml:space="preserve">and the introduction of </w:t>
      </w:r>
      <w:r w:rsidR="00C057AA" w:rsidRPr="003523C5">
        <w:rPr>
          <w:lang w:val="en-US"/>
        </w:rPr>
        <w:t xml:space="preserve">the </w:t>
      </w:r>
      <w:r w:rsidR="0022173D" w:rsidRPr="003523C5">
        <w:rPr>
          <w:lang w:val="en-US"/>
        </w:rPr>
        <w:t>market</w:t>
      </w:r>
      <w:r w:rsidR="00173AA9" w:rsidRPr="003523C5">
        <w:rPr>
          <w:lang w:val="en-US"/>
        </w:rPr>
        <w:t xml:space="preserve"> </w:t>
      </w:r>
      <w:r w:rsidR="0022173D" w:rsidRPr="003523C5">
        <w:rPr>
          <w:lang w:val="en-US"/>
        </w:rPr>
        <w:t>correct</w:t>
      </w:r>
      <w:r w:rsidR="00173AA9" w:rsidRPr="003523C5">
        <w:rPr>
          <w:lang w:val="en-US"/>
        </w:rPr>
        <w:t>ion</w:t>
      </w:r>
      <w:r w:rsidR="0022173D" w:rsidRPr="003523C5">
        <w:rPr>
          <w:lang w:val="en-US"/>
        </w:rPr>
        <w:t xml:space="preserve"> policies we study here were interlinked with calls to manage the potential negative externalities of market integration</w:t>
      </w:r>
      <w:r w:rsidR="001A52E4" w:rsidRPr="003523C5">
        <w:rPr>
          <w:lang w:val="en-US"/>
        </w:rPr>
        <w:t xml:space="preserve">. </w:t>
      </w:r>
      <w:r w:rsidR="005F468E" w:rsidRPr="003523C5">
        <w:rPr>
          <w:lang w:val="en-US"/>
        </w:rPr>
        <w:t>T</w:t>
      </w:r>
      <w:r w:rsidR="001A52E4" w:rsidRPr="003523C5">
        <w:rPr>
          <w:lang w:val="en-US"/>
        </w:rPr>
        <w:t>he high social and economic costs of the 2008 crisis in several member states, the growth of populism</w:t>
      </w:r>
      <w:r w:rsidR="00C057AA" w:rsidRPr="003523C5">
        <w:rPr>
          <w:lang w:val="en-US"/>
        </w:rPr>
        <w:t>,</w:t>
      </w:r>
      <w:r w:rsidR="005F468E" w:rsidRPr="003523C5">
        <w:rPr>
          <w:lang w:val="en-US"/>
        </w:rPr>
        <w:t xml:space="preserve"> and</w:t>
      </w:r>
      <w:r w:rsidR="00C057AA" w:rsidRPr="003523C5">
        <w:rPr>
          <w:lang w:val="en-US"/>
        </w:rPr>
        <w:t>,</w:t>
      </w:r>
      <w:r w:rsidR="005F468E" w:rsidRPr="003523C5">
        <w:rPr>
          <w:lang w:val="en-US"/>
        </w:rPr>
        <w:t xml:space="preserve"> simultaneously, the turning of </w:t>
      </w:r>
      <w:r w:rsidR="00C057AA" w:rsidRPr="003523C5">
        <w:rPr>
          <w:lang w:val="en-US"/>
        </w:rPr>
        <w:t xml:space="preserve">the </w:t>
      </w:r>
      <w:r w:rsidR="005F468E" w:rsidRPr="003523C5">
        <w:rPr>
          <w:lang w:val="en-US"/>
        </w:rPr>
        <w:t>EU into a de</w:t>
      </w:r>
      <w:r w:rsidR="00C057AA" w:rsidRPr="003523C5">
        <w:rPr>
          <w:lang w:val="en-US"/>
        </w:rPr>
        <w:t xml:space="preserve"> </w:t>
      </w:r>
      <w:r w:rsidR="005F468E" w:rsidRPr="003523C5">
        <w:rPr>
          <w:lang w:val="en-US"/>
        </w:rPr>
        <w:t xml:space="preserve">facto transfer union have all provided </w:t>
      </w:r>
      <w:r w:rsidR="00C057AA" w:rsidRPr="003523C5">
        <w:rPr>
          <w:lang w:val="en-US"/>
        </w:rPr>
        <w:t>evidence</w:t>
      </w:r>
      <w:r w:rsidR="005F468E" w:rsidRPr="003523C5">
        <w:rPr>
          <w:lang w:val="en-US"/>
        </w:rPr>
        <w:t xml:space="preserve"> for the validity of these calls. Why could member states no</w:t>
      </w:r>
      <w:r w:rsidR="0022173D" w:rsidRPr="003523C5">
        <w:rPr>
          <w:lang w:val="en-US"/>
        </w:rPr>
        <w:t>t</w:t>
      </w:r>
      <w:r w:rsidR="005F468E" w:rsidRPr="003523C5">
        <w:rPr>
          <w:lang w:val="en-US"/>
        </w:rPr>
        <w:t xml:space="preserve"> respond adequately to these calls? </w:t>
      </w:r>
      <w:r w:rsidRPr="003523C5">
        <w:rPr>
          <w:lang w:val="en-US"/>
        </w:rPr>
        <w:t>Why could they not depart from a pattern of policy making tha</w:t>
      </w:r>
      <w:r w:rsidR="00C559CC" w:rsidRPr="003523C5">
        <w:rPr>
          <w:lang w:val="en-US"/>
        </w:rPr>
        <w:t>t</w:t>
      </w:r>
      <w:r w:rsidRPr="003523C5">
        <w:rPr>
          <w:lang w:val="en-US"/>
        </w:rPr>
        <w:t xml:space="preserve"> imposes </w:t>
      </w:r>
      <w:r w:rsidR="00C559CC" w:rsidRPr="003523C5">
        <w:rPr>
          <w:lang w:val="en-US"/>
        </w:rPr>
        <w:t xml:space="preserve">high </w:t>
      </w:r>
      <w:r w:rsidRPr="003523C5">
        <w:rPr>
          <w:lang w:val="en-US"/>
        </w:rPr>
        <w:t>costs on all of them</w:t>
      </w:r>
      <w:r w:rsidR="00C559CC" w:rsidRPr="003523C5">
        <w:rPr>
          <w:lang w:val="en-US"/>
        </w:rPr>
        <w:t>?</w:t>
      </w:r>
    </w:p>
    <w:p w14:paraId="45D4D34C" w14:textId="77777777" w:rsidR="002A282B" w:rsidRPr="003523C5" w:rsidRDefault="002A282B" w:rsidP="00CA7B81">
      <w:pPr>
        <w:contextualSpacing/>
        <w:rPr>
          <w:lang w:val="en-US"/>
        </w:rPr>
      </w:pPr>
    </w:p>
    <w:p w14:paraId="44601B4C" w14:textId="35CBB1A1" w:rsidR="009C3B20" w:rsidRPr="003523C5" w:rsidRDefault="00B242BD" w:rsidP="00CA7B81">
      <w:pPr>
        <w:contextualSpacing/>
        <w:rPr>
          <w:lang w:val="en-US"/>
        </w:rPr>
      </w:pPr>
      <w:r w:rsidRPr="003523C5">
        <w:rPr>
          <w:lang w:val="en-US"/>
        </w:rPr>
        <w:t>To answer this question</w:t>
      </w:r>
      <w:r w:rsidR="00C057AA" w:rsidRPr="003523C5">
        <w:rPr>
          <w:lang w:val="en-US"/>
        </w:rPr>
        <w:t>,</w:t>
      </w:r>
      <w:r w:rsidRPr="003523C5">
        <w:rPr>
          <w:lang w:val="en-US"/>
        </w:rPr>
        <w:t xml:space="preserve"> we </w:t>
      </w:r>
      <w:r w:rsidR="00C77E1D" w:rsidRPr="003523C5">
        <w:rPr>
          <w:lang w:val="en-US"/>
        </w:rPr>
        <w:t xml:space="preserve">explore the properties of the polity that has produced these policies. </w:t>
      </w:r>
      <w:r w:rsidR="009F264E" w:rsidRPr="003523C5">
        <w:rPr>
          <w:lang w:val="en-US"/>
        </w:rPr>
        <w:t xml:space="preserve">At least since the pathbreaking </w:t>
      </w:r>
      <w:r w:rsidR="00E332CE" w:rsidRPr="003523C5">
        <w:rPr>
          <w:lang w:val="en-US"/>
        </w:rPr>
        <w:t>study</w:t>
      </w:r>
      <w:r w:rsidR="009F264E" w:rsidRPr="003523C5">
        <w:rPr>
          <w:lang w:val="en-US"/>
        </w:rPr>
        <w:t xml:space="preserve"> </w:t>
      </w:r>
      <w:r w:rsidR="00E332CE" w:rsidRPr="003523C5">
        <w:rPr>
          <w:lang w:val="en-US"/>
        </w:rPr>
        <w:t xml:space="preserve">of </w:t>
      </w:r>
      <w:r w:rsidR="009F264E" w:rsidRPr="003523C5">
        <w:rPr>
          <w:lang w:val="en-US"/>
        </w:rPr>
        <w:t xml:space="preserve">Fritz </w:t>
      </w:r>
      <w:proofErr w:type="spellStart"/>
      <w:r w:rsidR="009F264E" w:rsidRPr="003523C5">
        <w:rPr>
          <w:lang w:val="en-US"/>
        </w:rPr>
        <w:t>Scharpf</w:t>
      </w:r>
      <w:proofErr w:type="spellEnd"/>
      <w:r w:rsidR="009F264E" w:rsidRPr="003523C5">
        <w:rPr>
          <w:lang w:val="en-US"/>
        </w:rPr>
        <w:t xml:space="preserve"> </w:t>
      </w:r>
      <w:r w:rsidR="00E332CE" w:rsidRPr="003523C5">
        <w:rPr>
          <w:lang w:val="en-US"/>
        </w:rPr>
        <w:t>on what he called</w:t>
      </w:r>
      <w:r w:rsidR="009F264E" w:rsidRPr="003523C5">
        <w:rPr>
          <w:lang w:val="en-US"/>
        </w:rPr>
        <w:t xml:space="preserve"> the </w:t>
      </w:r>
      <w:r w:rsidR="00A66819" w:rsidRPr="003523C5">
        <w:rPr>
          <w:lang w:val="en-US"/>
        </w:rPr>
        <w:t>Joint Decision Trap</w:t>
      </w:r>
      <w:r w:rsidR="00E332CE" w:rsidRPr="003523C5">
        <w:rPr>
          <w:lang w:val="en-US"/>
        </w:rPr>
        <w:t>,</w:t>
      </w:r>
      <w:r w:rsidR="009F264E" w:rsidRPr="003523C5">
        <w:rPr>
          <w:lang w:val="en-US"/>
        </w:rPr>
        <w:t xml:space="preserve"> the structure of </w:t>
      </w:r>
      <w:r w:rsidR="00E332CE" w:rsidRPr="003523C5">
        <w:rPr>
          <w:lang w:val="en-US"/>
        </w:rPr>
        <w:t xml:space="preserve">EU </w:t>
      </w:r>
      <w:r w:rsidR="009F264E" w:rsidRPr="003523C5">
        <w:rPr>
          <w:lang w:val="en-US"/>
        </w:rPr>
        <w:t xml:space="preserve">decision-making has been the starting point </w:t>
      </w:r>
      <w:r w:rsidR="00E332CE" w:rsidRPr="003523C5">
        <w:rPr>
          <w:lang w:val="en-US"/>
        </w:rPr>
        <w:t>for most of the explorations of EU economic policy making</w:t>
      </w:r>
      <w:r w:rsidR="002358FA" w:rsidRPr="003523C5">
        <w:rPr>
          <w:lang w:val="en-US"/>
        </w:rPr>
        <w:t>.</w:t>
      </w:r>
      <w:r w:rsidR="002358FA" w:rsidRPr="003523C5">
        <w:rPr>
          <w:rStyle w:val="FootnoteReference"/>
          <w:lang w:val="en-US"/>
        </w:rPr>
        <w:footnoteReference w:id="5"/>
      </w:r>
      <w:r w:rsidR="00E332CE" w:rsidRPr="003523C5">
        <w:rPr>
          <w:lang w:val="en-US"/>
        </w:rPr>
        <w:t xml:space="preserve"> </w:t>
      </w:r>
      <w:r w:rsidR="009C3B20" w:rsidRPr="003523C5">
        <w:rPr>
          <w:lang w:val="en-US"/>
        </w:rPr>
        <w:t xml:space="preserve">These </w:t>
      </w:r>
      <w:r w:rsidR="00671545" w:rsidRPr="003523C5">
        <w:rPr>
          <w:lang w:val="en-US"/>
        </w:rPr>
        <w:t xml:space="preserve">studies </w:t>
      </w:r>
      <w:r w:rsidR="009C3B20" w:rsidRPr="003523C5">
        <w:rPr>
          <w:lang w:val="en-US"/>
        </w:rPr>
        <w:t xml:space="preserve">can explain why stronger and more developed member states </w:t>
      </w:r>
      <w:r w:rsidR="009C3B20" w:rsidRPr="003523C5">
        <w:rPr>
          <w:i/>
          <w:iCs/>
          <w:lang w:val="en-US"/>
        </w:rPr>
        <w:t>can</w:t>
      </w:r>
      <w:r w:rsidR="009C3B20" w:rsidRPr="003523C5">
        <w:rPr>
          <w:lang w:val="en-US"/>
        </w:rPr>
        <w:t xml:space="preserve"> use the built-in bias of EU institutions and the</w:t>
      </w:r>
      <w:r w:rsidR="00C057AA" w:rsidRPr="003523C5">
        <w:rPr>
          <w:lang w:val="en-US"/>
        </w:rPr>
        <w:t>ir</w:t>
      </w:r>
      <w:r w:rsidR="009C3B20" w:rsidRPr="003523C5">
        <w:rPr>
          <w:lang w:val="en-US"/>
        </w:rPr>
        <w:t xml:space="preserve"> power asymmetries for imposing their preferences on less</w:t>
      </w:r>
      <w:r w:rsidR="00C057AA" w:rsidRPr="003523C5">
        <w:rPr>
          <w:lang w:val="en-US"/>
        </w:rPr>
        <w:t xml:space="preserve"> </w:t>
      </w:r>
      <w:r w:rsidR="009C3B20" w:rsidRPr="003523C5">
        <w:rPr>
          <w:lang w:val="en-US"/>
        </w:rPr>
        <w:t xml:space="preserve">developed member states </w:t>
      </w:r>
      <w:r w:rsidR="009C3B20" w:rsidRPr="003523C5">
        <w:rPr>
          <w:i/>
          <w:iCs/>
          <w:lang w:val="en-US"/>
        </w:rPr>
        <w:t>if they wish to do so</w:t>
      </w:r>
      <w:r w:rsidR="00E42DFA" w:rsidRPr="003523C5">
        <w:rPr>
          <w:lang w:val="en-US"/>
        </w:rPr>
        <w:t>.</w:t>
      </w:r>
      <w:r w:rsidR="00E42DFA" w:rsidRPr="003523C5">
        <w:rPr>
          <w:rStyle w:val="FootnoteReference"/>
          <w:lang w:val="en-US"/>
        </w:rPr>
        <w:footnoteReference w:id="6"/>
      </w:r>
      <w:r w:rsidR="00E42DFA" w:rsidRPr="003523C5">
        <w:rPr>
          <w:lang w:val="en-US"/>
        </w:rPr>
        <w:t xml:space="preserve"> </w:t>
      </w:r>
      <w:r w:rsidR="009C3B20" w:rsidRPr="003523C5">
        <w:rPr>
          <w:lang w:val="en-US"/>
        </w:rPr>
        <w:t>However, they cannot explain why they would wish to do so, why they would prefer to implement market</w:t>
      </w:r>
      <w:r w:rsidR="00173AA9" w:rsidRPr="003523C5">
        <w:rPr>
          <w:lang w:val="en-US"/>
        </w:rPr>
        <w:t xml:space="preserve"> </w:t>
      </w:r>
      <w:r w:rsidR="009C3B20" w:rsidRPr="003523C5">
        <w:rPr>
          <w:lang w:val="en-US"/>
        </w:rPr>
        <w:t>correcti</w:t>
      </w:r>
      <w:r w:rsidR="00173AA9" w:rsidRPr="003523C5">
        <w:rPr>
          <w:lang w:val="en-US"/>
        </w:rPr>
        <w:t>o</w:t>
      </w:r>
      <w:r w:rsidR="009C3B20" w:rsidRPr="003523C5">
        <w:rPr>
          <w:lang w:val="en-US"/>
        </w:rPr>
        <w:t>n policies that, in the end, repeatedly turn out to produce suboptimal outcomes, impose costs even on them</w:t>
      </w:r>
      <w:r w:rsidR="00C057AA" w:rsidRPr="003523C5">
        <w:rPr>
          <w:lang w:val="en-US"/>
        </w:rPr>
        <w:t>,</w:t>
      </w:r>
      <w:r w:rsidR="009C3B20" w:rsidRPr="003523C5">
        <w:rPr>
          <w:lang w:val="en-US"/>
        </w:rPr>
        <w:t xml:space="preserve"> and do not serve</w:t>
      </w:r>
      <w:r w:rsidR="00C057AA" w:rsidRPr="003523C5">
        <w:rPr>
          <w:lang w:val="en-US"/>
        </w:rPr>
        <w:t xml:space="preserve"> the </w:t>
      </w:r>
      <w:r w:rsidR="009C3B20" w:rsidRPr="003523C5">
        <w:rPr>
          <w:lang w:val="en-US"/>
        </w:rPr>
        <w:t>common interests of</w:t>
      </w:r>
      <w:r w:rsidR="00C057AA" w:rsidRPr="003523C5">
        <w:rPr>
          <w:lang w:val="en-US"/>
        </w:rPr>
        <w:t xml:space="preserve"> </w:t>
      </w:r>
      <w:r w:rsidR="009C3B20" w:rsidRPr="003523C5">
        <w:rPr>
          <w:lang w:val="en-US"/>
        </w:rPr>
        <w:t>social and economic cohesion, increased competitiveness</w:t>
      </w:r>
      <w:r w:rsidR="00C057AA" w:rsidRPr="003523C5">
        <w:rPr>
          <w:lang w:val="en-US"/>
        </w:rPr>
        <w:t>,</w:t>
      </w:r>
      <w:r w:rsidR="009C3B20" w:rsidRPr="003523C5">
        <w:rPr>
          <w:lang w:val="en-US"/>
        </w:rPr>
        <w:t xml:space="preserve"> or </w:t>
      </w:r>
      <w:r w:rsidR="00C057AA" w:rsidRPr="003523C5">
        <w:rPr>
          <w:lang w:val="en-US"/>
        </w:rPr>
        <w:t xml:space="preserve">the </w:t>
      </w:r>
      <w:r w:rsidR="009C3B20" w:rsidRPr="003523C5">
        <w:rPr>
          <w:lang w:val="en-US"/>
        </w:rPr>
        <w:t>reduction of the risk of crises</w:t>
      </w:r>
      <w:r w:rsidR="00C057AA" w:rsidRPr="003523C5">
        <w:rPr>
          <w:lang w:val="en-US"/>
        </w:rPr>
        <w:t xml:space="preserve"> among member states.</w:t>
      </w:r>
    </w:p>
    <w:p w14:paraId="6AAD3A89" w14:textId="77777777" w:rsidR="002A282B" w:rsidRPr="003523C5" w:rsidRDefault="002A282B" w:rsidP="00CA7B81">
      <w:pPr>
        <w:contextualSpacing/>
        <w:rPr>
          <w:lang w:val="en-US"/>
        </w:rPr>
      </w:pPr>
    </w:p>
    <w:p w14:paraId="5B41C282" w14:textId="443090DB" w:rsidR="002A282B" w:rsidRPr="003523C5" w:rsidRDefault="002358FA" w:rsidP="00CA7B81">
      <w:pPr>
        <w:contextualSpacing/>
        <w:rPr>
          <w:lang w:val="en-US"/>
        </w:rPr>
      </w:pPr>
      <w:r w:rsidRPr="003523C5">
        <w:rPr>
          <w:lang w:val="en-US"/>
        </w:rPr>
        <w:t>As a means to address</w:t>
      </w:r>
      <w:r w:rsidR="00B916B6" w:rsidRPr="003523C5">
        <w:rPr>
          <w:lang w:val="en-US"/>
        </w:rPr>
        <w:t xml:space="preserve"> the </w:t>
      </w:r>
      <w:r w:rsidR="00A609FC" w:rsidRPr="003523C5">
        <w:rPr>
          <w:lang w:val="en-US"/>
        </w:rPr>
        <w:t xml:space="preserve">sources of the </w:t>
      </w:r>
      <w:r w:rsidR="00CC3E5E" w:rsidRPr="003523C5">
        <w:rPr>
          <w:lang w:val="en-US"/>
        </w:rPr>
        <w:t xml:space="preserve">preferences of </w:t>
      </w:r>
      <w:r w:rsidR="006A45D2">
        <w:rPr>
          <w:lang w:val="en-US"/>
        </w:rPr>
        <w:t xml:space="preserve">EU level </w:t>
      </w:r>
      <w:r w:rsidR="006A45D2" w:rsidRPr="003523C5">
        <w:rPr>
          <w:lang w:val="en-US"/>
        </w:rPr>
        <w:t>policymakers</w:t>
      </w:r>
      <w:r w:rsidR="00A609FC" w:rsidRPr="003523C5">
        <w:rPr>
          <w:lang w:val="en-US"/>
        </w:rPr>
        <w:t>,</w:t>
      </w:r>
      <w:r w:rsidR="00CC3E5E" w:rsidRPr="003523C5">
        <w:rPr>
          <w:lang w:val="en-US"/>
        </w:rPr>
        <w:t xml:space="preserve"> w</w:t>
      </w:r>
      <w:r w:rsidR="009F264E" w:rsidRPr="003523C5">
        <w:rPr>
          <w:lang w:val="en-US"/>
        </w:rPr>
        <w:t xml:space="preserve">e </w:t>
      </w:r>
      <w:r w:rsidR="00B242BD" w:rsidRPr="003523C5">
        <w:rPr>
          <w:lang w:val="en-US"/>
        </w:rPr>
        <w:t>introduce the notion of the trap of confederalism</w:t>
      </w:r>
      <w:r w:rsidR="00B916B6" w:rsidRPr="003523C5">
        <w:rPr>
          <w:lang w:val="en-US"/>
        </w:rPr>
        <w:t xml:space="preserve">. </w:t>
      </w:r>
      <w:r w:rsidR="00F21896" w:rsidRPr="003523C5">
        <w:rPr>
          <w:lang w:val="en-US"/>
        </w:rPr>
        <w:t>T</w:t>
      </w:r>
      <w:r w:rsidR="00B916B6" w:rsidRPr="003523C5">
        <w:rPr>
          <w:lang w:val="en-US"/>
        </w:rPr>
        <w:t>he trap of confederalism</w:t>
      </w:r>
      <w:r w:rsidR="00B242BD" w:rsidRPr="003523C5">
        <w:rPr>
          <w:lang w:val="en-US"/>
        </w:rPr>
        <w:t xml:space="preserve"> refers to the pathologies of </w:t>
      </w:r>
      <w:r w:rsidR="00C412A7" w:rsidRPr="003523C5">
        <w:rPr>
          <w:lang w:val="en-US"/>
        </w:rPr>
        <w:t xml:space="preserve">governing a transnational market economy by a territorially fragmented polity in which political representation and accountability rest </w:t>
      </w:r>
      <w:r w:rsidR="006A45D2" w:rsidRPr="003523C5">
        <w:rPr>
          <w:lang w:val="en-US"/>
        </w:rPr>
        <w:t>exclusively</w:t>
      </w:r>
      <w:r w:rsidR="00C412A7" w:rsidRPr="003523C5">
        <w:rPr>
          <w:lang w:val="en-US"/>
        </w:rPr>
        <w:t xml:space="preserve"> at the level of the member states</w:t>
      </w:r>
      <w:r w:rsidR="009F264E" w:rsidRPr="003523C5">
        <w:rPr>
          <w:lang w:val="en-US"/>
        </w:rPr>
        <w:t>.</w:t>
      </w:r>
      <w:r w:rsidR="00C412A7" w:rsidRPr="003523C5">
        <w:rPr>
          <w:lang w:val="en-US"/>
        </w:rPr>
        <w:t xml:space="preserve"> </w:t>
      </w:r>
      <w:r w:rsidR="008715D4" w:rsidRPr="003523C5">
        <w:rPr>
          <w:lang w:val="en-US"/>
        </w:rPr>
        <w:t>This</w:t>
      </w:r>
      <w:r w:rsidR="000E2EFF" w:rsidRPr="003523C5">
        <w:rPr>
          <w:lang w:val="en-US"/>
        </w:rPr>
        <w:t xml:space="preserve"> structure of representation and accountability introduces a territorial bias into EU decision-making </w:t>
      </w:r>
      <w:r w:rsidR="000C647B" w:rsidRPr="003523C5">
        <w:rPr>
          <w:lang w:val="en-US"/>
        </w:rPr>
        <w:t>by</w:t>
      </w:r>
      <w:r w:rsidR="000E2EFF" w:rsidRPr="003523C5">
        <w:rPr>
          <w:lang w:val="en-US"/>
        </w:rPr>
        <w:t xml:space="preserve"> genera</w:t>
      </w:r>
      <w:r w:rsidR="000C647B" w:rsidRPr="003523C5">
        <w:rPr>
          <w:lang w:val="en-US"/>
        </w:rPr>
        <w:t>ting</w:t>
      </w:r>
      <w:r w:rsidR="000E2EFF" w:rsidRPr="003523C5">
        <w:rPr>
          <w:lang w:val="en-US"/>
        </w:rPr>
        <w:t xml:space="preserve"> strong incentives for elected politicians in the EU to externalize the developmental consequences of integration on</w:t>
      </w:r>
      <w:r w:rsidR="0065787A" w:rsidRPr="003523C5">
        <w:rPr>
          <w:lang w:val="en-US"/>
        </w:rPr>
        <w:t>to</w:t>
      </w:r>
      <w:r w:rsidR="000E2EFF" w:rsidRPr="003523C5">
        <w:rPr>
          <w:lang w:val="en-US"/>
        </w:rPr>
        <w:t xml:space="preserve"> other member states and </w:t>
      </w:r>
      <w:r w:rsidR="00AB070C" w:rsidRPr="003523C5">
        <w:rPr>
          <w:lang w:val="en-US"/>
        </w:rPr>
        <w:t xml:space="preserve">block </w:t>
      </w:r>
      <w:r w:rsidR="000E2EFF" w:rsidRPr="003523C5">
        <w:rPr>
          <w:lang w:val="en-US"/>
        </w:rPr>
        <w:t>EU policies on the Pareto frontier if those policies could endanger their competit</w:t>
      </w:r>
      <w:r w:rsidR="00293A80">
        <w:rPr>
          <w:lang w:val="en-US"/>
        </w:rPr>
        <w:t>i</w:t>
      </w:r>
      <w:r w:rsidR="000E2EFF" w:rsidRPr="003523C5">
        <w:rPr>
          <w:lang w:val="en-US"/>
        </w:rPr>
        <w:t>veness in domestic political struggles.</w:t>
      </w:r>
    </w:p>
    <w:p w14:paraId="35D1339F" w14:textId="77777777" w:rsidR="002A282B" w:rsidRPr="003523C5" w:rsidRDefault="002A282B" w:rsidP="00CA7B81">
      <w:pPr>
        <w:contextualSpacing/>
        <w:rPr>
          <w:lang w:val="en-US"/>
        </w:rPr>
      </w:pPr>
    </w:p>
    <w:p w14:paraId="27F3FBB1" w14:textId="3663E578" w:rsidR="000E2EFF" w:rsidRPr="003523C5" w:rsidRDefault="000E2EFF" w:rsidP="00CA7B81">
      <w:pPr>
        <w:contextualSpacing/>
        <w:rPr>
          <w:lang w:val="en-US"/>
        </w:rPr>
      </w:pPr>
      <w:r w:rsidRPr="003523C5">
        <w:rPr>
          <w:lang w:val="en-US"/>
        </w:rPr>
        <w:t xml:space="preserve">The </w:t>
      </w:r>
      <w:r w:rsidR="00E42DFA" w:rsidRPr="003523C5">
        <w:rPr>
          <w:lang w:val="en-US"/>
        </w:rPr>
        <w:t xml:space="preserve">EU’s </w:t>
      </w:r>
      <w:r w:rsidRPr="003523C5">
        <w:rPr>
          <w:lang w:val="en-US"/>
        </w:rPr>
        <w:t xml:space="preserve">intergovernmental decision-making system adds an extra boost to these </w:t>
      </w:r>
      <w:r w:rsidR="006A45D2" w:rsidRPr="003523C5">
        <w:rPr>
          <w:lang w:val="en-US"/>
        </w:rPr>
        <w:t>incentives,</w:t>
      </w:r>
      <w:r w:rsidRPr="003523C5">
        <w:rPr>
          <w:lang w:val="en-US"/>
        </w:rPr>
        <w:t xml:space="preserve"> and it provides opportunities to further these preferences. Together, they produce outcomes reflecting primarily the preferences of the more developed and stronger member states. </w:t>
      </w:r>
      <w:r w:rsidR="00D91229" w:rsidRPr="003523C5">
        <w:rPr>
          <w:lang w:val="en-US"/>
        </w:rPr>
        <w:t>T</w:t>
      </w:r>
      <w:r w:rsidRPr="003523C5">
        <w:rPr>
          <w:lang w:val="en-US"/>
        </w:rPr>
        <w:t xml:space="preserve">he trap of confederalism means that </w:t>
      </w:r>
      <w:r w:rsidR="00D91229" w:rsidRPr="003523C5">
        <w:rPr>
          <w:lang w:val="en-US"/>
        </w:rPr>
        <w:t xml:space="preserve">this bias in the EU polity becomes institutionalized into </w:t>
      </w:r>
      <w:r w:rsidR="00E42DFA" w:rsidRPr="003523C5">
        <w:rPr>
          <w:lang w:val="en-US"/>
        </w:rPr>
        <w:t xml:space="preserve">its </w:t>
      </w:r>
      <w:r w:rsidR="00D91229" w:rsidRPr="003523C5">
        <w:rPr>
          <w:lang w:val="en-US"/>
        </w:rPr>
        <w:t>market</w:t>
      </w:r>
      <w:r w:rsidR="00173AA9" w:rsidRPr="003523C5">
        <w:rPr>
          <w:lang w:val="en-US"/>
        </w:rPr>
        <w:t xml:space="preserve"> </w:t>
      </w:r>
      <w:r w:rsidR="00D91229" w:rsidRPr="003523C5">
        <w:rPr>
          <w:lang w:val="en-US"/>
        </w:rPr>
        <w:t>correcti</w:t>
      </w:r>
      <w:r w:rsidR="00173AA9" w:rsidRPr="003523C5">
        <w:rPr>
          <w:lang w:val="en-US"/>
        </w:rPr>
        <w:t>o</w:t>
      </w:r>
      <w:r w:rsidR="00D91229" w:rsidRPr="003523C5">
        <w:rPr>
          <w:lang w:val="en-US"/>
        </w:rPr>
        <w:t>n policies so that they contribute to the reproduction of market</w:t>
      </w:r>
      <w:r w:rsidR="00E42DFA" w:rsidRPr="003523C5">
        <w:rPr>
          <w:lang w:val="en-US"/>
        </w:rPr>
        <w:t>-</w:t>
      </w:r>
      <w:r w:rsidR="00D91229" w:rsidRPr="003523C5">
        <w:rPr>
          <w:lang w:val="en-US"/>
        </w:rPr>
        <w:t>generated inequalities, and the sustaining of the core</w:t>
      </w:r>
      <w:r w:rsidR="00E42DFA" w:rsidRPr="003523C5">
        <w:rPr>
          <w:lang w:val="en-US"/>
        </w:rPr>
        <w:t>–</w:t>
      </w:r>
      <w:r w:rsidR="00D91229" w:rsidRPr="003523C5">
        <w:rPr>
          <w:lang w:val="en-US"/>
        </w:rPr>
        <w:t xml:space="preserve">periphery development gap. </w:t>
      </w:r>
      <w:r w:rsidRPr="003523C5">
        <w:rPr>
          <w:lang w:val="en-US"/>
        </w:rPr>
        <w:t xml:space="preserve">By distributing resources and opportunities to economic actors predominantly on the basis of belonging to different member states, these policies, moreover, furnish the fragmentation of the single market and contribute to the </w:t>
      </w:r>
      <w:r w:rsidR="00E42DFA" w:rsidRPr="003523C5">
        <w:rPr>
          <w:lang w:val="en-US"/>
        </w:rPr>
        <w:t xml:space="preserve">conservation </w:t>
      </w:r>
      <w:r w:rsidRPr="003523C5">
        <w:rPr>
          <w:lang w:val="en-US"/>
        </w:rPr>
        <w:t xml:space="preserve">of </w:t>
      </w:r>
      <w:r w:rsidR="00E42DFA" w:rsidRPr="003523C5">
        <w:rPr>
          <w:lang w:val="en-US"/>
        </w:rPr>
        <w:t xml:space="preserve">the </w:t>
      </w:r>
      <w:r w:rsidRPr="003523C5">
        <w:rPr>
          <w:lang w:val="en-US"/>
        </w:rPr>
        <w:t>economic and political problems that they were supposed to alleviate.</w:t>
      </w:r>
    </w:p>
    <w:p w14:paraId="28635CC2" w14:textId="77777777" w:rsidR="002A282B" w:rsidRPr="003523C5" w:rsidRDefault="002A282B" w:rsidP="00CA7B81">
      <w:pPr>
        <w:contextualSpacing/>
        <w:rPr>
          <w:lang w:val="en-US"/>
        </w:rPr>
      </w:pPr>
    </w:p>
    <w:p w14:paraId="0EE122A4" w14:textId="69DE3AAA" w:rsidR="00B26841" w:rsidRPr="003523C5" w:rsidRDefault="00B916B6" w:rsidP="00CA7B81">
      <w:pPr>
        <w:contextualSpacing/>
        <w:rPr>
          <w:lang w:val="en-US"/>
        </w:rPr>
      </w:pPr>
      <w:r w:rsidRPr="003523C5">
        <w:rPr>
          <w:lang w:val="en-US"/>
        </w:rPr>
        <w:lastRenderedPageBreak/>
        <w:t xml:space="preserve">Our approach draws </w:t>
      </w:r>
      <w:r w:rsidR="00E42DFA" w:rsidRPr="003523C5">
        <w:rPr>
          <w:lang w:val="en-US"/>
        </w:rPr>
        <w:t xml:space="preserve">from </w:t>
      </w:r>
      <w:r w:rsidR="00000562" w:rsidRPr="003523C5">
        <w:rPr>
          <w:lang w:val="en-US"/>
        </w:rPr>
        <w:t>the literature on</w:t>
      </w:r>
      <w:r w:rsidRPr="003523C5">
        <w:rPr>
          <w:lang w:val="en-US"/>
        </w:rPr>
        <w:t xml:space="preserve"> comparative </w:t>
      </w:r>
      <w:r w:rsidR="00000562" w:rsidRPr="003523C5">
        <w:rPr>
          <w:lang w:val="en-US"/>
        </w:rPr>
        <w:t xml:space="preserve">federalism, more specifically </w:t>
      </w:r>
      <w:r w:rsidRPr="003523C5">
        <w:rPr>
          <w:lang w:val="en-US"/>
        </w:rPr>
        <w:t>stud</w:t>
      </w:r>
      <w:r w:rsidR="00E42DFA" w:rsidRPr="003523C5">
        <w:rPr>
          <w:lang w:val="en-US"/>
        </w:rPr>
        <w:t>ies</w:t>
      </w:r>
      <w:r w:rsidRPr="003523C5">
        <w:rPr>
          <w:lang w:val="en-US"/>
        </w:rPr>
        <w:t xml:space="preserve"> o</w:t>
      </w:r>
      <w:r w:rsidR="00E42DFA" w:rsidRPr="003523C5">
        <w:rPr>
          <w:lang w:val="en-US"/>
        </w:rPr>
        <w:t>n</w:t>
      </w:r>
      <w:r w:rsidRPr="003523C5">
        <w:rPr>
          <w:lang w:val="en-US"/>
        </w:rPr>
        <w:t xml:space="preserve"> the effects of various systems of </w:t>
      </w:r>
      <w:r w:rsidR="00472B03" w:rsidRPr="00EC5F9D">
        <w:rPr>
          <w:lang w:val="en-US"/>
        </w:rPr>
        <w:t xml:space="preserve">political </w:t>
      </w:r>
      <w:r w:rsidRPr="003523C5">
        <w:rPr>
          <w:lang w:val="en-US"/>
        </w:rPr>
        <w:t xml:space="preserve">representation in </w:t>
      </w:r>
      <w:r w:rsidR="00C57480" w:rsidRPr="003523C5">
        <w:rPr>
          <w:lang w:val="en-US"/>
        </w:rPr>
        <w:t>multilevel</w:t>
      </w:r>
      <w:r w:rsidRPr="003523C5">
        <w:rPr>
          <w:lang w:val="en-US"/>
        </w:rPr>
        <w:t xml:space="preserve"> polities</w:t>
      </w:r>
      <w:r w:rsidR="00671545" w:rsidRPr="003523C5">
        <w:rPr>
          <w:lang w:val="en-US"/>
        </w:rPr>
        <w:t xml:space="preserve">. </w:t>
      </w:r>
      <w:r w:rsidR="00E42DFA" w:rsidRPr="003523C5">
        <w:rPr>
          <w:lang w:val="en-US"/>
        </w:rPr>
        <w:t>I</w:t>
      </w:r>
      <w:r w:rsidR="00671545" w:rsidRPr="003523C5">
        <w:rPr>
          <w:lang w:val="en-US"/>
        </w:rPr>
        <w:t>n this research stream</w:t>
      </w:r>
      <w:r w:rsidR="00E42DFA" w:rsidRPr="003523C5">
        <w:rPr>
          <w:lang w:val="en-US"/>
        </w:rPr>
        <w:t>,</w:t>
      </w:r>
      <w:r w:rsidRPr="003523C5">
        <w:rPr>
          <w:lang w:val="en-US"/>
        </w:rPr>
        <w:t xml:space="preserve"> differences in the learning capacities of </w:t>
      </w:r>
      <w:r w:rsidR="00E42DFA" w:rsidRPr="003523C5">
        <w:rPr>
          <w:lang w:val="en-US"/>
        </w:rPr>
        <w:t xml:space="preserve">regimes where sovereignty is </w:t>
      </w:r>
      <w:r w:rsidRPr="003523C5">
        <w:rPr>
          <w:lang w:val="en-US"/>
        </w:rPr>
        <w:t xml:space="preserve">shared </w:t>
      </w:r>
      <w:r w:rsidR="00E42DFA" w:rsidRPr="003523C5">
        <w:rPr>
          <w:lang w:val="en-US"/>
        </w:rPr>
        <w:t>are explained by</w:t>
      </w:r>
      <w:r w:rsidRPr="003523C5">
        <w:rPr>
          <w:lang w:val="en-US"/>
        </w:rPr>
        <w:t xml:space="preserve"> the way political representation and accountability </w:t>
      </w:r>
      <w:r w:rsidR="00E42DFA" w:rsidRPr="003523C5">
        <w:rPr>
          <w:lang w:val="en-US"/>
        </w:rPr>
        <w:t xml:space="preserve">are </w:t>
      </w:r>
      <w:r w:rsidRPr="003523C5">
        <w:rPr>
          <w:lang w:val="en-US"/>
        </w:rPr>
        <w:t xml:space="preserve">organized </w:t>
      </w:r>
      <w:r w:rsidR="00E42DFA" w:rsidRPr="003523C5">
        <w:rPr>
          <w:lang w:val="en-US"/>
        </w:rPr>
        <w:t>with</w:t>
      </w:r>
      <w:r w:rsidRPr="003523C5">
        <w:rPr>
          <w:lang w:val="en-US"/>
        </w:rPr>
        <w:t>in them</w:t>
      </w:r>
      <w:r w:rsidR="00E42DFA" w:rsidRPr="003523C5">
        <w:rPr>
          <w:lang w:val="en-US"/>
        </w:rPr>
        <w:t>.</w:t>
      </w:r>
      <w:r w:rsidR="00E42DFA" w:rsidRPr="003523C5">
        <w:rPr>
          <w:rStyle w:val="FootnoteReference"/>
          <w:lang w:val="en-US"/>
        </w:rPr>
        <w:footnoteReference w:id="7"/>
      </w:r>
      <w:r w:rsidR="00F96715" w:rsidRPr="003523C5">
        <w:rPr>
          <w:lang w:val="en-US"/>
        </w:rPr>
        <w:t xml:space="preserve"> </w:t>
      </w:r>
      <w:r w:rsidR="003A00DA" w:rsidRPr="003523C5">
        <w:rPr>
          <w:lang w:val="en-US"/>
        </w:rPr>
        <w:t xml:space="preserve">James Madison was </w:t>
      </w:r>
      <w:r w:rsidR="00867673" w:rsidRPr="003523C5">
        <w:rPr>
          <w:lang w:val="en-US"/>
        </w:rPr>
        <w:t xml:space="preserve">among </w:t>
      </w:r>
      <w:r w:rsidR="003A00DA" w:rsidRPr="003523C5">
        <w:rPr>
          <w:lang w:val="en-US"/>
        </w:rPr>
        <w:t xml:space="preserve">the first to </w:t>
      </w:r>
      <w:r w:rsidR="00867673" w:rsidRPr="003523C5">
        <w:rPr>
          <w:lang w:val="en-US"/>
        </w:rPr>
        <w:t xml:space="preserve">recognize </w:t>
      </w:r>
      <w:r w:rsidR="00860EC2" w:rsidRPr="003523C5">
        <w:rPr>
          <w:lang w:val="en-US"/>
        </w:rPr>
        <w:t xml:space="preserve">a key mechanism of political learning </w:t>
      </w:r>
      <w:r w:rsidR="003A00DA" w:rsidRPr="003523C5">
        <w:rPr>
          <w:lang w:val="en-US"/>
        </w:rPr>
        <w:t>in</w:t>
      </w:r>
      <w:r w:rsidR="00860EC2" w:rsidRPr="003523C5">
        <w:rPr>
          <w:lang w:val="en-US"/>
        </w:rPr>
        <w:t xml:space="preserve"> </w:t>
      </w:r>
      <w:r w:rsidR="003A00DA" w:rsidRPr="003523C5">
        <w:rPr>
          <w:lang w:val="en-US"/>
        </w:rPr>
        <w:t>political representation. In the Federalist Paper</w:t>
      </w:r>
      <w:r w:rsidR="00F00E34" w:rsidRPr="003523C5">
        <w:rPr>
          <w:lang w:val="en-US"/>
        </w:rPr>
        <w:t>s</w:t>
      </w:r>
      <w:r w:rsidR="00860EC2" w:rsidRPr="003523C5">
        <w:rPr>
          <w:lang w:val="en-US"/>
        </w:rPr>
        <w:t xml:space="preserve">, </w:t>
      </w:r>
      <w:r w:rsidR="003A00DA" w:rsidRPr="003523C5">
        <w:rPr>
          <w:lang w:val="en-US"/>
        </w:rPr>
        <w:t xml:space="preserve">he formulated the idea that, if organized the right way, </w:t>
      </w:r>
      <w:r w:rsidR="00860EC2" w:rsidRPr="003523C5">
        <w:rPr>
          <w:lang w:val="en-US"/>
        </w:rPr>
        <w:t>a “</w:t>
      </w:r>
      <w:r w:rsidR="003A00DA" w:rsidRPr="003523C5">
        <w:rPr>
          <w:lang w:val="en-US"/>
        </w:rPr>
        <w:t>scheme of repres</w:t>
      </w:r>
      <w:r w:rsidR="00867673" w:rsidRPr="003523C5">
        <w:rPr>
          <w:lang w:val="en-US"/>
        </w:rPr>
        <w:t>e</w:t>
      </w:r>
      <w:r w:rsidR="003A00DA" w:rsidRPr="003523C5">
        <w:rPr>
          <w:lang w:val="en-US"/>
        </w:rPr>
        <w:t>nt</w:t>
      </w:r>
      <w:r w:rsidR="00867673" w:rsidRPr="003523C5">
        <w:rPr>
          <w:lang w:val="en-US"/>
        </w:rPr>
        <w:t>at</w:t>
      </w:r>
      <w:r w:rsidR="003A00DA" w:rsidRPr="003523C5">
        <w:rPr>
          <w:lang w:val="en-US"/>
        </w:rPr>
        <w:t>ion</w:t>
      </w:r>
      <w:r w:rsidR="00860EC2" w:rsidRPr="003523C5">
        <w:rPr>
          <w:lang w:val="en-US"/>
        </w:rPr>
        <w:t xml:space="preserve">” </w:t>
      </w:r>
      <w:r w:rsidR="003A00DA" w:rsidRPr="003523C5">
        <w:rPr>
          <w:lang w:val="en-US"/>
        </w:rPr>
        <w:t>can help to</w:t>
      </w:r>
      <w:r w:rsidR="00860EC2" w:rsidRPr="003523C5">
        <w:rPr>
          <w:lang w:val="en-US"/>
        </w:rPr>
        <w:t xml:space="preserve"> </w:t>
      </w:r>
      <w:r w:rsidR="003A00DA" w:rsidRPr="003523C5">
        <w:rPr>
          <w:lang w:val="en-US"/>
        </w:rPr>
        <w:t>“refine and enlarge public views</w:t>
      </w:r>
      <w:r w:rsidR="00860EC2" w:rsidRPr="003523C5">
        <w:rPr>
          <w:lang w:val="en-US"/>
        </w:rPr>
        <w:t>,</w:t>
      </w:r>
      <w:r w:rsidR="003A00DA" w:rsidRPr="003523C5">
        <w:rPr>
          <w:lang w:val="en-US"/>
        </w:rPr>
        <w:t>”</w:t>
      </w:r>
      <w:r w:rsidR="00FD538E" w:rsidRPr="003523C5">
        <w:rPr>
          <w:lang w:val="en-US"/>
        </w:rPr>
        <w:t xml:space="preserve"> and lead to the production of common goods that can serve a wider diversity </w:t>
      </w:r>
      <w:r w:rsidR="002B3AB0" w:rsidRPr="003523C5">
        <w:rPr>
          <w:lang w:val="en-US"/>
        </w:rPr>
        <w:t xml:space="preserve">of </w:t>
      </w:r>
      <w:r w:rsidR="00FD538E" w:rsidRPr="003523C5">
        <w:rPr>
          <w:lang w:val="en-US"/>
        </w:rPr>
        <w:t xml:space="preserve">interests while preventing </w:t>
      </w:r>
      <w:r w:rsidR="002B3AB0" w:rsidRPr="003523C5">
        <w:rPr>
          <w:lang w:val="en-US"/>
        </w:rPr>
        <w:t>d</w:t>
      </w:r>
      <w:r w:rsidR="00FD538E" w:rsidRPr="003523C5">
        <w:rPr>
          <w:lang w:val="en-US"/>
        </w:rPr>
        <w:t xml:space="preserve">omination </w:t>
      </w:r>
      <w:r w:rsidR="00DD6426" w:rsidRPr="003523C5">
        <w:rPr>
          <w:lang w:val="en-US"/>
        </w:rPr>
        <w:t>by</w:t>
      </w:r>
      <w:r w:rsidR="00FD538E" w:rsidRPr="003523C5">
        <w:rPr>
          <w:lang w:val="en-US"/>
        </w:rPr>
        <w:t xml:space="preserve"> groups with homogeneous interests</w:t>
      </w:r>
      <w:r w:rsidR="00E42DFA" w:rsidRPr="003523C5">
        <w:rPr>
          <w:lang w:val="en-US"/>
        </w:rPr>
        <w:t>.</w:t>
      </w:r>
      <w:r w:rsidR="00E42DFA" w:rsidRPr="003523C5">
        <w:rPr>
          <w:rStyle w:val="FootnoteReference"/>
          <w:lang w:val="en-US"/>
        </w:rPr>
        <w:footnoteReference w:id="8"/>
      </w:r>
    </w:p>
    <w:p w14:paraId="4482B3D0" w14:textId="77777777" w:rsidR="002A282B" w:rsidRPr="003523C5" w:rsidRDefault="002A282B" w:rsidP="00CA7B81">
      <w:pPr>
        <w:contextualSpacing/>
        <w:rPr>
          <w:lang w:val="en-US"/>
        </w:rPr>
      </w:pPr>
    </w:p>
    <w:p w14:paraId="711DE001" w14:textId="4F55958C" w:rsidR="000F6231" w:rsidRPr="003523C5" w:rsidRDefault="003A00DA" w:rsidP="00CA7B81">
      <w:pPr>
        <w:contextualSpacing/>
        <w:rPr>
          <w:lang w:val="en-US"/>
        </w:rPr>
      </w:pPr>
      <w:r w:rsidRPr="003523C5">
        <w:rPr>
          <w:lang w:val="en-US"/>
        </w:rPr>
        <w:t xml:space="preserve">Using this idea, in this paper we argue that if organized the </w:t>
      </w:r>
      <w:r w:rsidRPr="00EC5F9D">
        <w:rPr>
          <w:i/>
          <w:iCs/>
          <w:lang w:val="en-US"/>
        </w:rPr>
        <w:t>wrong</w:t>
      </w:r>
      <w:r w:rsidRPr="003523C5">
        <w:rPr>
          <w:lang w:val="en-US"/>
        </w:rPr>
        <w:t xml:space="preserve"> way, </w:t>
      </w:r>
      <w:r w:rsidR="00860EC2" w:rsidRPr="003523C5">
        <w:rPr>
          <w:lang w:val="en-US"/>
        </w:rPr>
        <w:t xml:space="preserve">a </w:t>
      </w:r>
      <w:r w:rsidRPr="003523C5">
        <w:rPr>
          <w:lang w:val="en-US"/>
        </w:rPr>
        <w:t xml:space="preserve">system of </w:t>
      </w:r>
      <w:r w:rsidR="0085244E" w:rsidRPr="003523C5">
        <w:rPr>
          <w:lang w:val="en-US"/>
        </w:rPr>
        <w:t xml:space="preserve">political </w:t>
      </w:r>
      <w:r w:rsidRPr="003523C5">
        <w:rPr>
          <w:lang w:val="en-US"/>
        </w:rPr>
        <w:t xml:space="preserve">representation can </w:t>
      </w:r>
      <w:r w:rsidR="00273329" w:rsidRPr="003523C5">
        <w:rPr>
          <w:lang w:val="en-US"/>
        </w:rPr>
        <w:t>have the opposi</w:t>
      </w:r>
      <w:r w:rsidR="00860EC2" w:rsidRPr="003523C5">
        <w:rPr>
          <w:lang w:val="en-US"/>
        </w:rPr>
        <w:t xml:space="preserve">te </w:t>
      </w:r>
      <w:r w:rsidR="00273329" w:rsidRPr="003523C5">
        <w:rPr>
          <w:lang w:val="en-US"/>
        </w:rPr>
        <w:t>effect on preference formation</w:t>
      </w:r>
      <w:r w:rsidR="00860EC2" w:rsidRPr="003523C5">
        <w:rPr>
          <w:lang w:val="en-US"/>
        </w:rPr>
        <w:t>. Rather,</w:t>
      </w:r>
      <w:r w:rsidR="00273329" w:rsidRPr="003523C5">
        <w:rPr>
          <w:lang w:val="en-US"/>
        </w:rPr>
        <w:t xml:space="preserve"> it can </w:t>
      </w:r>
      <w:r w:rsidRPr="003523C5">
        <w:rPr>
          <w:lang w:val="en-US"/>
        </w:rPr>
        <w:t xml:space="preserve">be the key factor in </w:t>
      </w:r>
      <w:r w:rsidR="00F1637D" w:rsidRPr="003523C5">
        <w:rPr>
          <w:lang w:val="en-US"/>
        </w:rPr>
        <w:t xml:space="preserve">distorting and diminishing public views and </w:t>
      </w:r>
      <w:r w:rsidRPr="003523C5">
        <w:rPr>
          <w:lang w:val="en-US"/>
        </w:rPr>
        <w:t>preventing learning</w:t>
      </w:r>
      <w:r w:rsidR="00860EC2" w:rsidRPr="00EC5F9D">
        <w:rPr>
          <w:lang w:val="en-US"/>
        </w:rPr>
        <w:t>.</w:t>
      </w:r>
      <w:r w:rsidR="00860EC2" w:rsidRPr="00EC5F9D">
        <w:rPr>
          <w:rStyle w:val="FootnoteReference"/>
          <w:lang w:val="en-US"/>
        </w:rPr>
        <w:footnoteReference w:id="9"/>
      </w:r>
      <w:r w:rsidR="00A609FC" w:rsidRPr="00EC5F9D">
        <w:rPr>
          <w:lang w:val="en-US"/>
        </w:rPr>
        <w:t xml:space="preserve"> </w:t>
      </w:r>
      <w:r w:rsidR="00A53D55" w:rsidRPr="00EC5F9D">
        <w:rPr>
          <w:lang w:val="en-US"/>
        </w:rPr>
        <w:t xml:space="preserve"> </w:t>
      </w:r>
      <w:r w:rsidR="0080143A" w:rsidRPr="00EC5F9D">
        <w:rPr>
          <w:lang w:val="en-US"/>
        </w:rPr>
        <w:t xml:space="preserve">In the EU’s confederal system of political representation, elected policy makers do not have incentives to commit to long-term policies that would involve cross-country redistribution of resources and opportunities negatively affecting their own constituencies. </w:t>
      </w:r>
      <w:r w:rsidR="00CD7549" w:rsidRPr="00EC5F9D">
        <w:rPr>
          <w:lang w:val="en-US"/>
        </w:rPr>
        <w:t>If</w:t>
      </w:r>
      <w:r w:rsidR="00CD7549" w:rsidRPr="003523C5">
        <w:rPr>
          <w:lang w:val="en-US"/>
        </w:rPr>
        <w:t xml:space="preserve"> </w:t>
      </w:r>
      <w:r w:rsidR="0085244E" w:rsidRPr="003523C5">
        <w:rPr>
          <w:lang w:val="en-US"/>
        </w:rPr>
        <w:t xml:space="preserve">policy makers </w:t>
      </w:r>
      <w:r w:rsidR="00CD7549" w:rsidRPr="003523C5">
        <w:rPr>
          <w:lang w:val="en-US"/>
        </w:rPr>
        <w:t xml:space="preserve">come from stronger, more developed member states, they have strong incentives </w:t>
      </w:r>
      <w:r w:rsidR="00711FB2" w:rsidRPr="003523C5">
        <w:rPr>
          <w:lang w:val="en-US"/>
        </w:rPr>
        <w:t xml:space="preserve">to </w:t>
      </w:r>
      <w:r w:rsidR="006A45D2" w:rsidRPr="003523C5">
        <w:rPr>
          <w:lang w:val="en-US"/>
        </w:rPr>
        <w:t>externalize</w:t>
      </w:r>
      <w:r w:rsidR="00B26841" w:rsidRPr="003523C5">
        <w:rPr>
          <w:lang w:val="en-US"/>
        </w:rPr>
        <w:t xml:space="preserve"> the costs of </w:t>
      </w:r>
      <w:r w:rsidR="002359E4" w:rsidRPr="003523C5">
        <w:rPr>
          <w:lang w:val="en-US"/>
        </w:rPr>
        <w:t>the</w:t>
      </w:r>
      <w:r w:rsidR="00711FB2" w:rsidRPr="003523C5">
        <w:rPr>
          <w:lang w:val="en-US"/>
        </w:rPr>
        <w:t xml:space="preserve"> </w:t>
      </w:r>
      <w:r w:rsidR="00B26841" w:rsidRPr="003523C5">
        <w:rPr>
          <w:lang w:val="en-US"/>
        </w:rPr>
        <w:t>systemic problems</w:t>
      </w:r>
      <w:r w:rsidR="002359E4" w:rsidRPr="003523C5">
        <w:rPr>
          <w:lang w:val="en-US"/>
        </w:rPr>
        <w:t xml:space="preserve"> of the EU </w:t>
      </w:r>
      <w:r w:rsidR="00711FB2" w:rsidRPr="003523C5">
        <w:rPr>
          <w:lang w:val="en-US"/>
        </w:rPr>
        <w:t xml:space="preserve">while </w:t>
      </w:r>
      <w:r w:rsidR="006A45D2" w:rsidRPr="003523C5">
        <w:rPr>
          <w:lang w:val="en-US"/>
        </w:rPr>
        <w:t>minimizing</w:t>
      </w:r>
      <w:r w:rsidR="00711FB2" w:rsidRPr="003523C5">
        <w:rPr>
          <w:lang w:val="en-US"/>
        </w:rPr>
        <w:t xml:space="preserve"> the</w:t>
      </w:r>
      <w:r w:rsidR="00725D24" w:rsidRPr="003523C5">
        <w:rPr>
          <w:lang w:val="en-US"/>
        </w:rPr>
        <w:t>ir</w:t>
      </w:r>
      <w:r w:rsidR="00CD7549" w:rsidRPr="003523C5">
        <w:rPr>
          <w:lang w:val="en-US"/>
        </w:rPr>
        <w:t xml:space="preserve"> </w:t>
      </w:r>
      <w:r w:rsidR="003513FF" w:rsidRPr="003523C5">
        <w:rPr>
          <w:lang w:val="en-US"/>
        </w:rPr>
        <w:t xml:space="preserve">commitment to </w:t>
      </w:r>
      <w:r w:rsidR="00725D24" w:rsidRPr="003523C5">
        <w:rPr>
          <w:lang w:val="en-US"/>
        </w:rPr>
        <w:t xml:space="preserve">the </w:t>
      </w:r>
      <w:r w:rsidR="00CD7549" w:rsidRPr="003523C5">
        <w:rPr>
          <w:lang w:val="en-US"/>
        </w:rPr>
        <w:t xml:space="preserve">transfer </w:t>
      </w:r>
      <w:r w:rsidR="0085244E" w:rsidRPr="003523C5">
        <w:rPr>
          <w:lang w:val="en-US"/>
        </w:rPr>
        <w:t xml:space="preserve">of </w:t>
      </w:r>
      <w:r w:rsidR="00CD7549" w:rsidRPr="003523C5">
        <w:rPr>
          <w:lang w:val="en-US"/>
        </w:rPr>
        <w:t xml:space="preserve">resources and opportunities to the </w:t>
      </w:r>
      <w:r w:rsidR="002B3AB0" w:rsidRPr="003523C5">
        <w:rPr>
          <w:lang w:val="en-US"/>
        </w:rPr>
        <w:t>periphery</w:t>
      </w:r>
      <w:r w:rsidR="00CD7549" w:rsidRPr="003523C5">
        <w:rPr>
          <w:lang w:val="en-US"/>
        </w:rPr>
        <w:t xml:space="preserve">. </w:t>
      </w:r>
      <w:r w:rsidR="00A16D75" w:rsidRPr="003523C5">
        <w:rPr>
          <w:lang w:val="en-US"/>
        </w:rPr>
        <w:t>T</w:t>
      </w:r>
      <w:r w:rsidR="00CD7549" w:rsidRPr="003523C5">
        <w:rPr>
          <w:lang w:val="en-US"/>
        </w:rPr>
        <w:t xml:space="preserve">hey also have strong incentives to push for policies that would increase control over the use of transfers in the </w:t>
      </w:r>
      <w:r w:rsidR="002B3AB0" w:rsidRPr="003523C5">
        <w:rPr>
          <w:lang w:val="en-US"/>
        </w:rPr>
        <w:t>periphery</w:t>
      </w:r>
      <w:r w:rsidR="00CD7549" w:rsidRPr="003523C5">
        <w:rPr>
          <w:lang w:val="en-US"/>
        </w:rPr>
        <w:t xml:space="preserve">. Elected politicians in </w:t>
      </w:r>
      <w:r w:rsidR="00725D24" w:rsidRPr="003523C5">
        <w:rPr>
          <w:lang w:val="en-US"/>
        </w:rPr>
        <w:t>peripheral</w:t>
      </w:r>
      <w:r w:rsidR="00CD7549" w:rsidRPr="003523C5">
        <w:rPr>
          <w:lang w:val="en-US"/>
        </w:rPr>
        <w:t xml:space="preserve"> states, on the other hand, have the opposite incentives.</w:t>
      </w:r>
    </w:p>
    <w:p w14:paraId="7C82A738" w14:textId="77777777" w:rsidR="00CA7B81" w:rsidRPr="003523C5" w:rsidRDefault="00CA7B81" w:rsidP="00CA7B81">
      <w:pPr>
        <w:contextualSpacing/>
        <w:rPr>
          <w:lang w:val="en-US"/>
        </w:rPr>
      </w:pPr>
    </w:p>
    <w:p w14:paraId="37601D43" w14:textId="35FB8DCB" w:rsidR="00162079" w:rsidRPr="003523C5" w:rsidRDefault="000F6231" w:rsidP="00CA7B81">
      <w:pPr>
        <w:contextualSpacing/>
        <w:rPr>
          <w:lang w:val="en-US"/>
        </w:rPr>
      </w:pPr>
      <w:r w:rsidRPr="003523C5">
        <w:rPr>
          <w:lang w:val="en-US"/>
        </w:rPr>
        <w:t xml:space="preserve">We make two contributions in this paper. First, </w:t>
      </w:r>
      <w:r w:rsidR="00A66819" w:rsidRPr="003523C5">
        <w:rPr>
          <w:lang w:val="en-US"/>
        </w:rPr>
        <w:t xml:space="preserve">drawing on </w:t>
      </w:r>
      <w:r w:rsidR="00F21896" w:rsidRPr="003523C5">
        <w:rPr>
          <w:lang w:val="en-US"/>
        </w:rPr>
        <w:t>the literature</w:t>
      </w:r>
      <w:r w:rsidR="00725D24" w:rsidRPr="003523C5">
        <w:rPr>
          <w:lang w:val="en-US"/>
        </w:rPr>
        <w:t xml:space="preserve"> mentioned above</w:t>
      </w:r>
      <w:r w:rsidR="00A66819" w:rsidRPr="003523C5">
        <w:rPr>
          <w:lang w:val="en-US"/>
        </w:rPr>
        <w:t xml:space="preserve">, </w:t>
      </w:r>
      <w:r w:rsidRPr="003523C5">
        <w:rPr>
          <w:lang w:val="en-US"/>
        </w:rPr>
        <w:t xml:space="preserve">we bring together the </w:t>
      </w:r>
      <w:r w:rsidR="00A66819" w:rsidRPr="003523C5">
        <w:rPr>
          <w:lang w:val="en-US"/>
        </w:rPr>
        <w:t xml:space="preserve">exploration of the effects of </w:t>
      </w:r>
      <w:r w:rsidR="00A609FC" w:rsidRPr="003523C5">
        <w:rPr>
          <w:lang w:val="en-US"/>
        </w:rPr>
        <w:t xml:space="preserve">two key pillars of </w:t>
      </w:r>
      <w:r w:rsidR="00472B03" w:rsidRPr="003523C5">
        <w:rPr>
          <w:lang w:val="en-US"/>
        </w:rPr>
        <w:t xml:space="preserve">political </w:t>
      </w:r>
      <w:r w:rsidR="00A609FC" w:rsidRPr="003523C5">
        <w:rPr>
          <w:lang w:val="en-US"/>
        </w:rPr>
        <w:t>representation</w:t>
      </w:r>
      <w:r w:rsidR="00A66819" w:rsidRPr="003523C5">
        <w:rPr>
          <w:lang w:val="en-US"/>
        </w:rPr>
        <w:t xml:space="preserve"> in </w:t>
      </w:r>
      <w:r w:rsidR="00C57480" w:rsidRPr="003523C5">
        <w:rPr>
          <w:lang w:val="en-US"/>
        </w:rPr>
        <w:t>multilevel</w:t>
      </w:r>
      <w:r w:rsidR="00A66819" w:rsidRPr="003523C5">
        <w:rPr>
          <w:lang w:val="en-US"/>
        </w:rPr>
        <w:t xml:space="preserve"> polities</w:t>
      </w:r>
      <w:r w:rsidR="00A609FC" w:rsidRPr="003523C5">
        <w:rPr>
          <w:lang w:val="en-US"/>
        </w:rPr>
        <w:t>: one leading from society to the state</w:t>
      </w:r>
      <w:r w:rsidR="00725D24" w:rsidRPr="003523C5">
        <w:rPr>
          <w:lang w:val="en-US"/>
        </w:rPr>
        <w:t xml:space="preserve">, </w:t>
      </w:r>
      <w:r w:rsidR="00A609FC" w:rsidRPr="003523C5">
        <w:rPr>
          <w:lang w:val="en-US"/>
        </w:rPr>
        <w:t>representing territorial, functional</w:t>
      </w:r>
      <w:r w:rsidR="00725D24" w:rsidRPr="003523C5">
        <w:rPr>
          <w:lang w:val="en-US"/>
        </w:rPr>
        <w:t>,</w:t>
      </w:r>
      <w:r w:rsidR="00A609FC" w:rsidRPr="003523C5">
        <w:rPr>
          <w:lang w:val="en-US"/>
        </w:rPr>
        <w:t xml:space="preserve"> and ideological diversity, and the other within the state</w:t>
      </w:r>
      <w:r w:rsidR="00CA7B81" w:rsidRPr="003523C5">
        <w:rPr>
          <w:lang w:val="en-US"/>
        </w:rPr>
        <w:t xml:space="preserve"> apparatus itself</w:t>
      </w:r>
      <w:r w:rsidR="00A609FC" w:rsidRPr="003523C5">
        <w:rPr>
          <w:lang w:val="en-US"/>
        </w:rPr>
        <w:t xml:space="preserve">, balancing among these diverse representations with the help of </w:t>
      </w:r>
      <w:r w:rsidR="00725D24" w:rsidRPr="003523C5">
        <w:rPr>
          <w:lang w:val="en-US"/>
        </w:rPr>
        <w:t xml:space="preserve">a system of checks and balances </w:t>
      </w:r>
      <w:r w:rsidR="00427D70">
        <w:rPr>
          <w:lang w:val="en-US"/>
        </w:rPr>
        <w:t xml:space="preserve">in the process of </w:t>
      </w:r>
      <w:r w:rsidR="00A609FC" w:rsidRPr="003523C5">
        <w:rPr>
          <w:lang w:val="en-US"/>
        </w:rPr>
        <w:t>mak</w:t>
      </w:r>
      <w:r w:rsidR="00427D70">
        <w:rPr>
          <w:lang w:val="en-US"/>
        </w:rPr>
        <w:t xml:space="preserve">ing </w:t>
      </w:r>
      <w:r w:rsidR="00A609FC" w:rsidRPr="003523C5">
        <w:rPr>
          <w:lang w:val="en-US"/>
        </w:rPr>
        <w:t>binding decisions</w:t>
      </w:r>
      <w:r w:rsidR="00A66819" w:rsidRPr="003523C5">
        <w:rPr>
          <w:lang w:val="en-US"/>
        </w:rPr>
        <w:t xml:space="preserve">. Written at a time when </w:t>
      </w:r>
      <w:r w:rsidR="00725D24" w:rsidRPr="003523C5">
        <w:rPr>
          <w:lang w:val="en-US"/>
        </w:rPr>
        <w:t xml:space="preserve">the </w:t>
      </w:r>
      <w:r w:rsidR="00A66819" w:rsidRPr="003523C5">
        <w:rPr>
          <w:lang w:val="en-US"/>
        </w:rPr>
        <w:t xml:space="preserve">politicization of </w:t>
      </w:r>
      <w:r w:rsidR="00725D24" w:rsidRPr="003523C5">
        <w:rPr>
          <w:lang w:val="en-US"/>
        </w:rPr>
        <w:t xml:space="preserve">European </w:t>
      </w:r>
      <w:r w:rsidR="00A66819" w:rsidRPr="003523C5">
        <w:rPr>
          <w:lang w:val="en-US"/>
        </w:rPr>
        <w:t xml:space="preserve">integration was still minimal, </w:t>
      </w:r>
      <w:proofErr w:type="spellStart"/>
      <w:r w:rsidR="00725D24" w:rsidRPr="003523C5">
        <w:rPr>
          <w:lang w:val="en-US"/>
        </w:rPr>
        <w:t>Scharpf’s</w:t>
      </w:r>
      <w:proofErr w:type="spellEnd"/>
      <w:r w:rsidR="00725D24" w:rsidRPr="003523C5">
        <w:rPr>
          <w:lang w:val="en-US"/>
        </w:rPr>
        <w:t xml:space="preserve"> </w:t>
      </w:r>
      <w:r w:rsidR="00A66819" w:rsidRPr="003523C5">
        <w:rPr>
          <w:lang w:val="en-US"/>
        </w:rPr>
        <w:t xml:space="preserve">Joint Decision Trap model focused on the second pillar of </w:t>
      </w:r>
      <w:r w:rsidR="009E39F3" w:rsidRPr="003523C5">
        <w:rPr>
          <w:lang w:val="en-US"/>
        </w:rPr>
        <w:t>political</w:t>
      </w:r>
      <w:r w:rsidR="00A66819" w:rsidRPr="003523C5">
        <w:rPr>
          <w:lang w:val="en-US"/>
        </w:rPr>
        <w:t xml:space="preserve"> representation.</w:t>
      </w:r>
      <w:r w:rsidR="00725D24" w:rsidRPr="003523C5">
        <w:rPr>
          <w:rStyle w:val="FootnoteReference"/>
          <w:lang w:val="en-US"/>
        </w:rPr>
        <w:footnoteReference w:id="10"/>
      </w:r>
      <w:r w:rsidR="00A66819" w:rsidRPr="003523C5">
        <w:rPr>
          <w:lang w:val="en-US"/>
        </w:rPr>
        <w:t xml:space="preserve"> </w:t>
      </w:r>
      <w:r w:rsidR="00CA7B81" w:rsidRPr="003523C5">
        <w:rPr>
          <w:lang w:val="en-US"/>
        </w:rPr>
        <w:t>Discussing</w:t>
      </w:r>
      <w:r w:rsidR="00A66819" w:rsidRPr="003523C5">
        <w:rPr>
          <w:lang w:val="en-US"/>
        </w:rPr>
        <w:t xml:space="preserve"> the </w:t>
      </w:r>
      <w:r w:rsidR="00C6079E" w:rsidRPr="003523C5">
        <w:rPr>
          <w:lang w:val="en-US"/>
        </w:rPr>
        <w:t xml:space="preserve">effects of the </w:t>
      </w:r>
      <w:r w:rsidR="00A66819" w:rsidRPr="003523C5">
        <w:rPr>
          <w:lang w:val="en-US"/>
        </w:rPr>
        <w:t>first pillar</w:t>
      </w:r>
      <w:r w:rsidR="00CE380F" w:rsidRPr="003523C5">
        <w:rPr>
          <w:lang w:val="en-US"/>
        </w:rPr>
        <w:t>,</w:t>
      </w:r>
      <w:r w:rsidR="00A66819" w:rsidRPr="003523C5">
        <w:rPr>
          <w:lang w:val="en-US"/>
        </w:rPr>
        <w:t xml:space="preserve"> </w:t>
      </w:r>
      <w:r w:rsidR="00CA7B81" w:rsidRPr="003523C5">
        <w:rPr>
          <w:lang w:val="en-US"/>
        </w:rPr>
        <w:t xml:space="preserve">which </w:t>
      </w:r>
      <w:r w:rsidR="00C6079E" w:rsidRPr="003523C5">
        <w:rPr>
          <w:lang w:val="en-US"/>
        </w:rPr>
        <w:t>we undertake in this paper</w:t>
      </w:r>
      <w:r w:rsidR="00CE380F" w:rsidRPr="003523C5">
        <w:rPr>
          <w:lang w:val="en-US"/>
        </w:rPr>
        <w:t>,</w:t>
      </w:r>
      <w:r w:rsidR="00C6079E" w:rsidRPr="003523C5">
        <w:rPr>
          <w:lang w:val="en-US"/>
        </w:rPr>
        <w:t xml:space="preserve"> </w:t>
      </w:r>
      <w:r w:rsidR="00A66819" w:rsidRPr="003523C5">
        <w:rPr>
          <w:lang w:val="en-US"/>
        </w:rPr>
        <w:t>has</w:t>
      </w:r>
      <w:r w:rsidR="00C6079E" w:rsidRPr="003523C5">
        <w:rPr>
          <w:lang w:val="en-US"/>
        </w:rPr>
        <w:t xml:space="preserve"> theoretical and practical relevance beyond </w:t>
      </w:r>
      <w:r w:rsidR="002A282B" w:rsidRPr="003523C5">
        <w:rPr>
          <w:lang w:val="en-US"/>
        </w:rPr>
        <w:t xml:space="preserve">the puzzle </w:t>
      </w:r>
      <w:r w:rsidR="00CA7B81" w:rsidRPr="003523C5">
        <w:rPr>
          <w:lang w:val="en-US"/>
        </w:rPr>
        <w:t>we present here.</w:t>
      </w:r>
    </w:p>
    <w:p w14:paraId="73F5DB5F" w14:textId="77777777" w:rsidR="00CA7B81" w:rsidRPr="003523C5" w:rsidRDefault="00CA7B81" w:rsidP="00CA7B81">
      <w:pPr>
        <w:shd w:val="clear" w:color="auto" w:fill="FFFFFF"/>
        <w:contextualSpacing/>
        <w:rPr>
          <w:lang w:val="en-US"/>
        </w:rPr>
      </w:pPr>
    </w:p>
    <w:p w14:paraId="40C14207" w14:textId="4E45CDCC" w:rsidR="00725D24" w:rsidRPr="003523C5" w:rsidRDefault="00725D24" w:rsidP="00CA7B81">
      <w:pPr>
        <w:shd w:val="clear" w:color="auto" w:fill="FFFFFF"/>
        <w:contextualSpacing/>
        <w:rPr>
          <w:color w:val="212121"/>
          <w:lang w:val="en-US" w:eastAsia="hu-HU"/>
        </w:rPr>
      </w:pPr>
      <w:r w:rsidRPr="003523C5">
        <w:rPr>
          <w:lang w:val="en-US"/>
        </w:rPr>
        <w:t xml:space="preserve">Second, </w:t>
      </w:r>
      <w:r w:rsidR="00CA7B81" w:rsidRPr="003523C5">
        <w:rPr>
          <w:lang w:val="en-US"/>
        </w:rPr>
        <w:t>we</w:t>
      </w:r>
      <w:r w:rsidRPr="003523C5">
        <w:rPr>
          <w:lang w:val="en-US"/>
        </w:rPr>
        <w:t xml:space="preserve"> show how the</w:t>
      </w:r>
      <w:r w:rsidR="00EA09D2" w:rsidRPr="003523C5">
        <w:rPr>
          <w:lang w:val="en-US"/>
        </w:rPr>
        <w:t>se</w:t>
      </w:r>
      <w:r w:rsidRPr="003523C5">
        <w:rPr>
          <w:lang w:val="en-US"/>
        </w:rPr>
        <w:t xml:space="preserve"> two pillars of </w:t>
      </w:r>
      <w:r w:rsidR="00472B03" w:rsidRPr="003523C5">
        <w:rPr>
          <w:lang w:val="en-US"/>
        </w:rPr>
        <w:t>political</w:t>
      </w:r>
      <w:r w:rsidR="00EA09D2" w:rsidRPr="003523C5">
        <w:rPr>
          <w:lang w:val="en-US"/>
        </w:rPr>
        <w:t xml:space="preserve"> </w:t>
      </w:r>
      <w:r w:rsidRPr="003523C5">
        <w:rPr>
          <w:lang w:val="en-US"/>
        </w:rPr>
        <w:t xml:space="preserve">representation together create </w:t>
      </w:r>
      <w:r w:rsidRPr="003523C5">
        <w:rPr>
          <w:color w:val="212121"/>
          <w:lang w:val="en-US" w:eastAsia="hu-HU"/>
        </w:rPr>
        <w:t xml:space="preserve">an imbalance in the representation of territorial interests </w:t>
      </w:r>
      <w:r w:rsidR="009E39F3" w:rsidRPr="003523C5">
        <w:rPr>
          <w:color w:val="212121"/>
          <w:lang w:val="en-US" w:eastAsia="hu-HU"/>
        </w:rPr>
        <w:t>which</w:t>
      </w:r>
      <w:r w:rsidRPr="003523C5">
        <w:rPr>
          <w:color w:val="212121"/>
          <w:lang w:val="en-US" w:eastAsia="hu-HU"/>
        </w:rPr>
        <w:t xml:space="preserve"> is not solely about the domination of core countries over the periphery. The two pillars of </w:t>
      </w:r>
      <w:r w:rsidR="00472B03" w:rsidRPr="00EC5F9D">
        <w:rPr>
          <w:color w:val="212121"/>
          <w:lang w:val="en-US" w:eastAsia="hu-HU"/>
        </w:rPr>
        <w:t>political</w:t>
      </w:r>
      <w:r w:rsidRPr="003523C5">
        <w:rPr>
          <w:color w:val="212121"/>
          <w:lang w:val="en-US" w:eastAsia="hu-HU"/>
        </w:rPr>
        <w:t xml:space="preserve"> representation sustain a settlement in which core and periphery work together in undermining the goal of the EU in leveling the playing field and prevent </w:t>
      </w:r>
      <w:r w:rsidR="00EA09D2" w:rsidRPr="003523C5">
        <w:rPr>
          <w:color w:val="212121"/>
          <w:lang w:val="en-US" w:eastAsia="hu-HU"/>
        </w:rPr>
        <w:t xml:space="preserve">it </w:t>
      </w:r>
      <w:r w:rsidRPr="003523C5">
        <w:rPr>
          <w:color w:val="212121"/>
          <w:lang w:val="en-US" w:eastAsia="hu-HU"/>
        </w:rPr>
        <w:t>from advancing the common interests of the member states.</w:t>
      </w:r>
    </w:p>
    <w:p w14:paraId="00EE9A2D" w14:textId="77777777" w:rsidR="00CA7B81" w:rsidRPr="003523C5" w:rsidRDefault="00CA7B81" w:rsidP="00EC5F9D">
      <w:pPr>
        <w:shd w:val="clear" w:color="auto" w:fill="FFFFFF"/>
        <w:contextualSpacing/>
        <w:rPr>
          <w:lang w:val="en-US"/>
        </w:rPr>
      </w:pPr>
    </w:p>
    <w:p w14:paraId="55882BFD" w14:textId="5BCF5DE1" w:rsidR="00AC3FB0" w:rsidRPr="003523C5" w:rsidRDefault="00C6079E" w:rsidP="00CA7B81">
      <w:pPr>
        <w:contextualSpacing/>
        <w:rPr>
          <w:color w:val="212121"/>
          <w:lang w:val="en-US" w:eastAsia="hu-HU"/>
        </w:rPr>
      </w:pPr>
      <w:r w:rsidRPr="003523C5">
        <w:rPr>
          <w:lang w:val="en-US"/>
        </w:rPr>
        <w:t xml:space="preserve">The exclusive focus on the second pillar </w:t>
      </w:r>
      <w:r w:rsidR="006C722F" w:rsidRPr="003523C5">
        <w:rPr>
          <w:lang w:val="en-US"/>
        </w:rPr>
        <w:t xml:space="preserve">has led </w:t>
      </w:r>
      <w:r w:rsidR="0086015F" w:rsidRPr="003523C5">
        <w:rPr>
          <w:lang w:val="en-US"/>
        </w:rPr>
        <w:t xml:space="preserve">some </w:t>
      </w:r>
      <w:r w:rsidRPr="003523C5">
        <w:rPr>
          <w:lang w:val="en-US"/>
        </w:rPr>
        <w:t xml:space="preserve">analysts to conclude that it is </w:t>
      </w:r>
      <w:r w:rsidR="00D40869" w:rsidRPr="003523C5">
        <w:rPr>
          <w:lang w:val="en-US"/>
        </w:rPr>
        <w:t xml:space="preserve">the </w:t>
      </w:r>
      <w:r w:rsidRPr="003523C5">
        <w:rPr>
          <w:lang w:val="en-US"/>
        </w:rPr>
        <w:t>growing heterogeneity among the member states</w:t>
      </w:r>
      <w:r w:rsidR="00D40869" w:rsidRPr="003523C5">
        <w:rPr>
          <w:lang w:val="en-US"/>
        </w:rPr>
        <w:t xml:space="preserve"> that is the source of the problems of </w:t>
      </w:r>
      <w:r w:rsidR="00CE380F" w:rsidRPr="003523C5">
        <w:rPr>
          <w:lang w:val="en-US"/>
        </w:rPr>
        <w:t xml:space="preserve">market integration </w:t>
      </w:r>
      <w:r w:rsidR="004255F6" w:rsidRPr="003523C5">
        <w:rPr>
          <w:lang w:val="en-US"/>
        </w:rPr>
        <w:t xml:space="preserve">in </w:t>
      </w:r>
      <w:r w:rsidR="00CE380F" w:rsidRPr="003523C5">
        <w:rPr>
          <w:lang w:val="en-US"/>
        </w:rPr>
        <w:t>Europe</w:t>
      </w:r>
      <w:r w:rsidR="006C722F" w:rsidRPr="003523C5">
        <w:rPr>
          <w:lang w:val="en-US"/>
        </w:rPr>
        <w:t>.</w:t>
      </w:r>
      <w:r w:rsidR="006C722F" w:rsidRPr="003523C5">
        <w:rPr>
          <w:rStyle w:val="FootnoteReference"/>
          <w:lang w:val="en-US"/>
        </w:rPr>
        <w:footnoteReference w:id="11"/>
      </w:r>
      <w:r w:rsidR="00AC3FB0" w:rsidRPr="003523C5">
        <w:rPr>
          <w:lang w:val="en-US"/>
        </w:rPr>
        <w:t xml:space="preserve"> By bringing the effects of the first pillar</w:t>
      </w:r>
      <w:r w:rsidR="00590414" w:rsidRPr="003523C5">
        <w:rPr>
          <w:lang w:val="en-US"/>
        </w:rPr>
        <w:t xml:space="preserve"> of </w:t>
      </w:r>
      <w:r w:rsidR="009E39F3" w:rsidRPr="003523C5">
        <w:rPr>
          <w:lang w:val="en-US"/>
        </w:rPr>
        <w:t xml:space="preserve">political </w:t>
      </w:r>
      <w:r w:rsidR="00590414" w:rsidRPr="003523C5">
        <w:rPr>
          <w:lang w:val="en-US"/>
        </w:rPr>
        <w:t>representation</w:t>
      </w:r>
      <w:r w:rsidR="006C722F" w:rsidRPr="003523C5">
        <w:rPr>
          <w:lang w:val="en-US"/>
        </w:rPr>
        <w:t xml:space="preserve"> into the analysis</w:t>
      </w:r>
      <w:r w:rsidR="00AC3FB0" w:rsidRPr="003523C5">
        <w:rPr>
          <w:lang w:val="en-US"/>
        </w:rPr>
        <w:t>,</w:t>
      </w:r>
      <w:r w:rsidR="00EA09D2" w:rsidRPr="003523C5">
        <w:rPr>
          <w:lang w:val="en-US"/>
        </w:rPr>
        <w:t xml:space="preserve"> </w:t>
      </w:r>
      <w:r w:rsidR="00AC3FB0" w:rsidRPr="003523C5">
        <w:rPr>
          <w:lang w:val="en-US"/>
        </w:rPr>
        <w:t xml:space="preserve">our </w:t>
      </w:r>
      <w:r w:rsidR="006C722F" w:rsidRPr="003523C5">
        <w:rPr>
          <w:lang w:val="en-US"/>
        </w:rPr>
        <w:t xml:space="preserve">study </w:t>
      </w:r>
      <w:r w:rsidR="00AC3FB0" w:rsidRPr="003523C5">
        <w:rPr>
          <w:lang w:val="en-US"/>
        </w:rPr>
        <w:t>indicates that the problem is not with heterogeneity</w:t>
      </w:r>
      <w:r w:rsidR="00671545" w:rsidRPr="003523C5">
        <w:rPr>
          <w:lang w:val="en-US"/>
        </w:rPr>
        <w:t xml:space="preserve">, </w:t>
      </w:r>
      <w:r w:rsidR="00AC3FB0" w:rsidRPr="003523C5">
        <w:rPr>
          <w:lang w:val="en-US"/>
        </w:rPr>
        <w:t>but with the way heterogeneity is represented in the EU</w:t>
      </w:r>
      <w:r w:rsidR="006C722F" w:rsidRPr="003523C5">
        <w:rPr>
          <w:lang w:val="en-US"/>
        </w:rPr>
        <w:t>, both</w:t>
      </w:r>
      <w:r w:rsidR="00671545" w:rsidRPr="003523C5">
        <w:rPr>
          <w:lang w:val="en-US"/>
        </w:rPr>
        <w:t xml:space="preserve"> to</w:t>
      </w:r>
      <w:r w:rsidR="006C722F" w:rsidRPr="003523C5">
        <w:rPr>
          <w:lang w:val="en-US"/>
        </w:rPr>
        <w:t>ward</w:t>
      </w:r>
      <w:r w:rsidR="00671545" w:rsidRPr="003523C5">
        <w:rPr>
          <w:lang w:val="en-US"/>
        </w:rPr>
        <w:t xml:space="preserve"> and within the sphere of decision-</w:t>
      </w:r>
      <w:r w:rsidR="00671545" w:rsidRPr="003523C5">
        <w:rPr>
          <w:lang w:val="en-US"/>
        </w:rPr>
        <w:lastRenderedPageBreak/>
        <w:t>making</w:t>
      </w:r>
      <w:r w:rsidR="00AC3FB0" w:rsidRPr="003523C5">
        <w:rPr>
          <w:lang w:val="en-US"/>
        </w:rPr>
        <w:t xml:space="preserve">. </w:t>
      </w:r>
      <w:r w:rsidR="00F21896" w:rsidRPr="003523C5">
        <w:rPr>
          <w:lang w:val="en-US"/>
        </w:rPr>
        <w:t xml:space="preserve">Our paper </w:t>
      </w:r>
      <w:r w:rsidR="002A282B" w:rsidRPr="003523C5">
        <w:rPr>
          <w:lang w:val="en-US"/>
        </w:rPr>
        <w:t xml:space="preserve">thus </w:t>
      </w:r>
      <w:r w:rsidR="00F21896" w:rsidRPr="003523C5">
        <w:rPr>
          <w:color w:val="212121"/>
          <w:lang w:val="en-US" w:eastAsia="hu-HU"/>
        </w:rPr>
        <w:t xml:space="preserve">contributes to the endogenous theorizing of integration: outcomes are shaped by the internal structure of </w:t>
      </w:r>
      <w:r w:rsidR="009E39F3" w:rsidRPr="003523C5">
        <w:rPr>
          <w:color w:val="212121"/>
          <w:lang w:val="en-US" w:eastAsia="hu-HU"/>
        </w:rPr>
        <w:t xml:space="preserve">political </w:t>
      </w:r>
      <w:r w:rsidR="0086015F" w:rsidRPr="003523C5">
        <w:rPr>
          <w:color w:val="212121"/>
          <w:lang w:val="en-US" w:eastAsia="hu-HU"/>
        </w:rPr>
        <w:t xml:space="preserve">representation in </w:t>
      </w:r>
      <w:r w:rsidR="00F21896" w:rsidRPr="003523C5">
        <w:rPr>
          <w:color w:val="212121"/>
          <w:lang w:val="en-US" w:eastAsia="hu-HU"/>
        </w:rPr>
        <w:t xml:space="preserve">the EU. </w:t>
      </w:r>
      <w:r w:rsidR="009E39F3" w:rsidRPr="003523C5">
        <w:rPr>
          <w:color w:val="212121"/>
          <w:lang w:val="en-US" w:eastAsia="hu-HU"/>
        </w:rPr>
        <w:t>A</w:t>
      </w:r>
      <w:r w:rsidR="00F21896" w:rsidRPr="003523C5">
        <w:rPr>
          <w:color w:val="212121"/>
          <w:lang w:val="en-US" w:eastAsia="hu-HU"/>
        </w:rPr>
        <w:t xml:space="preserve">ltering the first pillar of </w:t>
      </w:r>
      <w:r w:rsidR="009E39F3" w:rsidRPr="003523C5">
        <w:rPr>
          <w:color w:val="212121"/>
          <w:lang w:val="en-US" w:eastAsia="hu-HU"/>
        </w:rPr>
        <w:t xml:space="preserve">political </w:t>
      </w:r>
      <w:r w:rsidR="00F21896" w:rsidRPr="003523C5">
        <w:rPr>
          <w:color w:val="212121"/>
          <w:lang w:val="en-US" w:eastAsia="hu-HU"/>
        </w:rPr>
        <w:t xml:space="preserve">representation, </w:t>
      </w:r>
      <w:r w:rsidR="009E39F3" w:rsidRPr="003523C5">
        <w:rPr>
          <w:color w:val="212121"/>
          <w:lang w:val="en-US" w:eastAsia="hu-HU"/>
        </w:rPr>
        <w:t xml:space="preserve">and </w:t>
      </w:r>
      <w:r w:rsidR="006C722F" w:rsidRPr="003523C5">
        <w:rPr>
          <w:color w:val="212121"/>
          <w:lang w:val="en-US" w:eastAsia="hu-HU"/>
        </w:rPr>
        <w:t xml:space="preserve">thus </w:t>
      </w:r>
      <w:r w:rsidR="00F21896" w:rsidRPr="003523C5">
        <w:rPr>
          <w:color w:val="212121"/>
          <w:lang w:val="en-US" w:eastAsia="hu-HU"/>
        </w:rPr>
        <w:t xml:space="preserve">enlarging the room </w:t>
      </w:r>
      <w:r w:rsidR="006C722F" w:rsidRPr="003523C5">
        <w:rPr>
          <w:color w:val="212121"/>
          <w:lang w:val="en-US" w:eastAsia="hu-HU"/>
        </w:rPr>
        <w:t xml:space="preserve">where the common interests of Europeans can be </w:t>
      </w:r>
      <w:r w:rsidR="00F21896" w:rsidRPr="003523C5">
        <w:rPr>
          <w:color w:val="212121"/>
          <w:lang w:val="en-US" w:eastAsia="hu-HU"/>
        </w:rPr>
        <w:t>represent</w:t>
      </w:r>
      <w:r w:rsidR="006C722F" w:rsidRPr="003523C5">
        <w:rPr>
          <w:color w:val="212121"/>
          <w:lang w:val="en-US" w:eastAsia="hu-HU"/>
        </w:rPr>
        <w:t xml:space="preserve">ed, </w:t>
      </w:r>
      <w:r w:rsidR="00F21896" w:rsidRPr="003523C5">
        <w:rPr>
          <w:color w:val="212121"/>
          <w:lang w:val="en-US" w:eastAsia="hu-HU"/>
        </w:rPr>
        <w:t xml:space="preserve">might reduce the effects of </w:t>
      </w:r>
      <w:r w:rsidR="006C722F" w:rsidRPr="003523C5">
        <w:rPr>
          <w:color w:val="212121"/>
          <w:lang w:val="en-US" w:eastAsia="hu-HU"/>
        </w:rPr>
        <w:t xml:space="preserve">the EU’s </w:t>
      </w:r>
      <w:r w:rsidR="00F21896" w:rsidRPr="003523C5">
        <w:rPr>
          <w:color w:val="212121"/>
          <w:lang w:val="en-US" w:eastAsia="hu-HU"/>
        </w:rPr>
        <w:t xml:space="preserve">territorially fragmented </w:t>
      </w:r>
      <w:r w:rsidR="009E39F3" w:rsidRPr="003523C5">
        <w:rPr>
          <w:color w:val="212121"/>
          <w:lang w:val="en-US" w:eastAsia="hu-HU"/>
        </w:rPr>
        <w:t xml:space="preserve">system </w:t>
      </w:r>
      <w:r w:rsidR="00F21896" w:rsidRPr="003523C5">
        <w:rPr>
          <w:color w:val="212121"/>
          <w:lang w:val="en-US" w:eastAsia="hu-HU"/>
        </w:rPr>
        <w:t>of</w:t>
      </w:r>
      <w:r w:rsidR="009E39F3" w:rsidRPr="003523C5">
        <w:rPr>
          <w:color w:val="212121"/>
          <w:lang w:val="en-US" w:eastAsia="hu-HU"/>
        </w:rPr>
        <w:t xml:space="preserve"> political</w:t>
      </w:r>
      <w:r w:rsidR="00F21896" w:rsidRPr="003523C5">
        <w:rPr>
          <w:color w:val="212121"/>
          <w:lang w:val="en-US" w:eastAsia="hu-HU"/>
        </w:rPr>
        <w:t xml:space="preserve"> representation, and it might increase support for altering the structure of decision-making. </w:t>
      </w:r>
    </w:p>
    <w:p w14:paraId="6943D130" w14:textId="535DF419" w:rsidR="00F21896" w:rsidRPr="003523C5" w:rsidRDefault="00F21896" w:rsidP="00CA7B81">
      <w:pPr>
        <w:contextualSpacing/>
        <w:rPr>
          <w:lang w:val="en-US"/>
        </w:rPr>
      </w:pPr>
    </w:p>
    <w:p w14:paraId="2A0B9B50" w14:textId="067A000C" w:rsidR="00AB6520" w:rsidRPr="003523C5" w:rsidRDefault="000A0480" w:rsidP="00CA7B81">
      <w:pPr>
        <w:contextualSpacing/>
        <w:rPr>
          <w:lang w:val="en-US"/>
        </w:rPr>
      </w:pPr>
      <w:r w:rsidRPr="003523C5">
        <w:rPr>
          <w:bCs/>
          <w:lang w:val="en-US"/>
        </w:rPr>
        <w:t xml:space="preserve">The paper is organized as follows. </w:t>
      </w:r>
      <w:r w:rsidR="00AB6520" w:rsidRPr="003523C5">
        <w:rPr>
          <w:bCs/>
          <w:lang w:val="en-US"/>
        </w:rPr>
        <w:t>In section two</w:t>
      </w:r>
      <w:r w:rsidR="00AC4E46" w:rsidRPr="003523C5">
        <w:rPr>
          <w:bCs/>
          <w:lang w:val="en-US"/>
        </w:rPr>
        <w:t>,</w:t>
      </w:r>
      <w:r w:rsidR="00AB6520" w:rsidRPr="003523C5">
        <w:rPr>
          <w:bCs/>
          <w:lang w:val="en-US"/>
        </w:rPr>
        <w:t xml:space="preserve"> we </w:t>
      </w:r>
      <w:r w:rsidR="005D7A2E" w:rsidRPr="003523C5">
        <w:rPr>
          <w:bCs/>
          <w:lang w:val="en-US"/>
        </w:rPr>
        <w:t>provide an analytical framework for the study of the</w:t>
      </w:r>
      <w:r w:rsidRPr="003523C5">
        <w:rPr>
          <w:bCs/>
          <w:lang w:val="en-US"/>
        </w:rPr>
        <w:t xml:space="preserve"> </w:t>
      </w:r>
      <w:r w:rsidR="005D7A2E" w:rsidRPr="003523C5">
        <w:rPr>
          <w:bCs/>
          <w:lang w:val="en-US"/>
        </w:rPr>
        <w:t>distributive effects</w:t>
      </w:r>
      <w:r w:rsidRPr="003523C5">
        <w:rPr>
          <w:bCs/>
          <w:lang w:val="en-US"/>
        </w:rPr>
        <w:t xml:space="preserve"> of four market</w:t>
      </w:r>
      <w:r w:rsidR="00173AA9" w:rsidRPr="003523C5">
        <w:rPr>
          <w:bCs/>
          <w:lang w:val="en-US"/>
        </w:rPr>
        <w:t xml:space="preserve"> </w:t>
      </w:r>
      <w:r w:rsidRPr="003523C5">
        <w:rPr>
          <w:bCs/>
          <w:lang w:val="en-US"/>
        </w:rPr>
        <w:t>correcti</w:t>
      </w:r>
      <w:r w:rsidR="00173AA9" w:rsidRPr="003523C5">
        <w:rPr>
          <w:bCs/>
          <w:lang w:val="en-US"/>
        </w:rPr>
        <w:t>o</w:t>
      </w:r>
      <w:r w:rsidRPr="003523C5">
        <w:rPr>
          <w:bCs/>
          <w:lang w:val="en-US"/>
        </w:rPr>
        <w:t>n policies</w:t>
      </w:r>
      <w:r w:rsidR="00173AA9" w:rsidRPr="003523C5">
        <w:rPr>
          <w:bCs/>
          <w:lang w:val="en-US"/>
        </w:rPr>
        <w:t xml:space="preserve"> in the EU</w:t>
      </w:r>
      <w:r w:rsidR="005D7A2E" w:rsidRPr="003523C5">
        <w:rPr>
          <w:bCs/>
          <w:lang w:val="en-US"/>
        </w:rPr>
        <w:t xml:space="preserve">. </w:t>
      </w:r>
      <w:r w:rsidR="00AB6520" w:rsidRPr="003523C5">
        <w:rPr>
          <w:bCs/>
          <w:lang w:val="en-US"/>
        </w:rPr>
        <w:t>In section</w:t>
      </w:r>
      <w:r w:rsidR="006C722F" w:rsidRPr="003523C5">
        <w:rPr>
          <w:bCs/>
          <w:lang w:val="en-US"/>
        </w:rPr>
        <w:t>s</w:t>
      </w:r>
      <w:r w:rsidR="00AB6520" w:rsidRPr="003523C5">
        <w:rPr>
          <w:bCs/>
          <w:lang w:val="en-US"/>
        </w:rPr>
        <w:t xml:space="preserve"> three </w:t>
      </w:r>
      <w:r w:rsidR="003D137E" w:rsidRPr="003523C5">
        <w:rPr>
          <w:bCs/>
          <w:lang w:val="en-US"/>
        </w:rPr>
        <w:t>and four</w:t>
      </w:r>
      <w:r w:rsidR="00AC4E46" w:rsidRPr="003523C5">
        <w:rPr>
          <w:bCs/>
          <w:lang w:val="en-US"/>
        </w:rPr>
        <w:t>,</w:t>
      </w:r>
      <w:r w:rsidR="003D137E" w:rsidRPr="003523C5">
        <w:rPr>
          <w:bCs/>
          <w:lang w:val="en-US"/>
        </w:rPr>
        <w:t xml:space="preserve"> </w:t>
      </w:r>
      <w:r w:rsidR="00AB6520" w:rsidRPr="003523C5">
        <w:rPr>
          <w:bCs/>
          <w:lang w:val="en-US"/>
        </w:rPr>
        <w:t>we discuss</w:t>
      </w:r>
      <w:r w:rsidR="008B5DBA" w:rsidRPr="003523C5">
        <w:rPr>
          <w:bCs/>
          <w:lang w:val="en-US"/>
        </w:rPr>
        <w:t xml:space="preserve"> </w:t>
      </w:r>
      <w:r w:rsidR="00386834" w:rsidRPr="003523C5">
        <w:rPr>
          <w:bCs/>
          <w:lang w:val="en-US"/>
        </w:rPr>
        <w:t>the</w:t>
      </w:r>
      <w:r w:rsidR="006C722F" w:rsidRPr="003523C5">
        <w:rPr>
          <w:bCs/>
          <w:lang w:val="en-US"/>
        </w:rPr>
        <w:t>se</w:t>
      </w:r>
      <w:r w:rsidRPr="003523C5">
        <w:rPr>
          <w:bCs/>
          <w:lang w:val="en-US"/>
        </w:rPr>
        <w:t xml:space="preserve"> policies</w:t>
      </w:r>
      <w:r w:rsidR="00386834" w:rsidRPr="003523C5">
        <w:rPr>
          <w:bCs/>
          <w:lang w:val="en-US"/>
        </w:rPr>
        <w:t xml:space="preserve"> </w:t>
      </w:r>
      <w:r w:rsidR="008B5DBA" w:rsidRPr="003523C5">
        <w:rPr>
          <w:bCs/>
          <w:lang w:val="en-US"/>
        </w:rPr>
        <w:t>in more detail.</w:t>
      </w:r>
      <w:r w:rsidR="007008B4" w:rsidRPr="003523C5">
        <w:rPr>
          <w:bCs/>
          <w:lang w:val="en-US"/>
        </w:rPr>
        <w:t xml:space="preserve"> </w:t>
      </w:r>
      <w:r w:rsidR="00AB6520" w:rsidRPr="003523C5">
        <w:rPr>
          <w:bCs/>
          <w:lang w:val="en-US"/>
        </w:rPr>
        <w:t>We explore both the justifications for their creation, the actual distributive outcomes they produce</w:t>
      </w:r>
      <w:r w:rsidR="006C722F" w:rsidRPr="003523C5">
        <w:rPr>
          <w:bCs/>
          <w:lang w:val="en-US"/>
        </w:rPr>
        <w:t>,</w:t>
      </w:r>
      <w:r w:rsidR="00AB6520" w:rsidRPr="003523C5">
        <w:rPr>
          <w:bCs/>
          <w:lang w:val="en-US"/>
        </w:rPr>
        <w:t xml:space="preserve"> and the factors that could account for these outcomes. Section </w:t>
      </w:r>
      <w:r w:rsidR="007008B4" w:rsidRPr="003523C5">
        <w:rPr>
          <w:bCs/>
          <w:lang w:val="en-US"/>
        </w:rPr>
        <w:t>five</w:t>
      </w:r>
      <w:r w:rsidR="00AB6520" w:rsidRPr="003523C5">
        <w:rPr>
          <w:bCs/>
          <w:lang w:val="en-US"/>
        </w:rPr>
        <w:t xml:space="preserve"> pulls together the different arguments, discusses their relevance</w:t>
      </w:r>
      <w:r w:rsidR="00386834" w:rsidRPr="003523C5">
        <w:rPr>
          <w:bCs/>
          <w:lang w:val="en-US"/>
        </w:rPr>
        <w:t xml:space="preserve"> for market governance</w:t>
      </w:r>
      <w:r w:rsidR="006C722F" w:rsidRPr="003523C5">
        <w:rPr>
          <w:bCs/>
          <w:lang w:val="en-US"/>
        </w:rPr>
        <w:t>,</w:t>
      </w:r>
      <w:r w:rsidR="00AB6520" w:rsidRPr="003523C5">
        <w:rPr>
          <w:bCs/>
          <w:lang w:val="en-US"/>
        </w:rPr>
        <w:t xml:space="preserve"> and makes some cautious suggestions for further research. </w:t>
      </w:r>
    </w:p>
    <w:p w14:paraId="2D37BF5E" w14:textId="4F1E6F9E" w:rsidR="00B254AB" w:rsidRPr="003523C5" w:rsidRDefault="00B254AB" w:rsidP="00CA7B81">
      <w:pPr>
        <w:contextualSpacing/>
        <w:rPr>
          <w:b/>
          <w:bCs/>
          <w:lang w:val="en-US"/>
        </w:rPr>
      </w:pPr>
    </w:p>
    <w:p w14:paraId="5DACE673" w14:textId="77777777" w:rsidR="009E39F3" w:rsidRPr="003523C5" w:rsidRDefault="009E39F3" w:rsidP="00CA7B81">
      <w:pPr>
        <w:contextualSpacing/>
        <w:rPr>
          <w:b/>
          <w:bCs/>
          <w:lang w:val="en-US"/>
        </w:rPr>
      </w:pPr>
    </w:p>
    <w:p w14:paraId="538F9E25" w14:textId="1160853C" w:rsidR="00273329" w:rsidRPr="003523C5" w:rsidRDefault="00273329" w:rsidP="00CA7B81">
      <w:pPr>
        <w:contextualSpacing/>
        <w:rPr>
          <w:b/>
          <w:bCs/>
          <w:lang w:val="en-US"/>
        </w:rPr>
      </w:pPr>
      <w:r w:rsidRPr="003523C5">
        <w:rPr>
          <w:b/>
          <w:bCs/>
          <w:lang w:val="en-US"/>
        </w:rPr>
        <w:t xml:space="preserve">2. (Un)levelling the playing field </w:t>
      </w:r>
    </w:p>
    <w:p w14:paraId="4A2544B1" w14:textId="77777777" w:rsidR="00273329" w:rsidRPr="003523C5" w:rsidRDefault="00273329" w:rsidP="00CA7B81">
      <w:pPr>
        <w:contextualSpacing/>
        <w:rPr>
          <w:b/>
          <w:bCs/>
          <w:lang w:val="en-US"/>
        </w:rPr>
      </w:pPr>
    </w:p>
    <w:p w14:paraId="47B2E5BB" w14:textId="67CA4762" w:rsidR="00273329" w:rsidRPr="003523C5" w:rsidRDefault="00273329" w:rsidP="00CA7B81">
      <w:pPr>
        <w:contextualSpacing/>
        <w:rPr>
          <w:lang w:val="en-US"/>
        </w:rPr>
      </w:pPr>
      <w:r w:rsidRPr="003523C5">
        <w:rPr>
          <w:bCs/>
          <w:lang w:val="en-US"/>
        </w:rPr>
        <w:t xml:space="preserve">State aid control, the </w:t>
      </w:r>
      <w:r w:rsidRPr="003523C5">
        <w:rPr>
          <w:lang w:val="en-US"/>
        </w:rPr>
        <w:t xml:space="preserve">Cohesion Policy, and investments </w:t>
      </w:r>
      <w:r w:rsidR="00CF2407" w:rsidRPr="003523C5">
        <w:rPr>
          <w:lang w:val="en-US"/>
        </w:rPr>
        <w:t xml:space="preserve">by </w:t>
      </w:r>
      <w:r w:rsidRPr="003523C5">
        <w:rPr>
          <w:lang w:val="en-US"/>
        </w:rPr>
        <w:t xml:space="preserve">the </w:t>
      </w:r>
      <w:r w:rsidR="00CF2407" w:rsidRPr="003523C5">
        <w:rPr>
          <w:lang w:val="en-US"/>
        </w:rPr>
        <w:t>EIB</w:t>
      </w:r>
      <w:r w:rsidRPr="003523C5">
        <w:rPr>
          <w:lang w:val="en-US"/>
        </w:rPr>
        <w:t xml:space="preserve"> and EFSI all aim at altering the market distribution of resources and opportunities either by </w:t>
      </w:r>
      <w:r w:rsidR="00CF2407" w:rsidRPr="003523C5">
        <w:rPr>
          <w:lang w:val="en-US"/>
        </w:rPr>
        <w:t xml:space="preserve">the </w:t>
      </w:r>
      <w:r w:rsidRPr="003523C5">
        <w:rPr>
          <w:lang w:val="en-US"/>
        </w:rPr>
        <w:t xml:space="preserve">direct redistribution of resources via the EU or by creating new opportunities that markets on their own would not provide. Each policy’s declared objective is to reduce disparities among member states and further common European </w:t>
      </w:r>
      <w:r w:rsidR="00E1586E" w:rsidRPr="003523C5">
        <w:rPr>
          <w:lang w:val="en-US"/>
        </w:rPr>
        <w:t>d</w:t>
      </w:r>
      <w:r w:rsidRPr="003523C5">
        <w:rPr>
          <w:lang w:val="en-US"/>
        </w:rPr>
        <w:t>evelopmental goals. The Cohesion Policy and certain aspects of the EU</w:t>
      </w:r>
      <w:r w:rsidR="00CF2407" w:rsidRPr="003523C5">
        <w:rPr>
          <w:lang w:val="en-US"/>
        </w:rPr>
        <w:t>’s</w:t>
      </w:r>
      <w:r w:rsidRPr="003523C5">
        <w:rPr>
          <w:lang w:val="en-US"/>
        </w:rPr>
        <w:t xml:space="preserve"> state aid rules directly target the periphery while the others aim to assist developmental outcomes that are supposed to provide benefits to all member states.</w:t>
      </w:r>
      <w:r w:rsidR="00EA09D2" w:rsidRPr="003523C5">
        <w:rPr>
          <w:lang w:val="en-US"/>
        </w:rPr>
        <w:t xml:space="preserve"> </w:t>
      </w:r>
    </w:p>
    <w:p w14:paraId="5B214DE7" w14:textId="28F7EE32" w:rsidR="002A282B" w:rsidRPr="003523C5" w:rsidRDefault="00AF6C03" w:rsidP="00CA7B81">
      <w:pPr>
        <w:tabs>
          <w:tab w:val="left" w:pos="3100"/>
        </w:tabs>
        <w:contextualSpacing/>
        <w:rPr>
          <w:lang w:val="en-US"/>
        </w:rPr>
      </w:pPr>
      <w:r w:rsidRPr="003523C5">
        <w:rPr>
          <w:lang w:val="en-US"/>
        </w:rPr>
        <w:tab/>
      </w:r>
    </w:p>
    <w:p w14:paraId="427E797C" w14:textId="6E7CA681" w:rsidR="00E1586E" w:rsidRPr="003523C5" w:rsidRDefault="00273329" w:rsidP="00CA7B81">
      <w:pPr>
        <w:contextualSpacing/>
        <w:rPr>
          <w:lang w:val="en-US"/>
        </w:rPr>
      </w:pPr>
      <w:r w:rsidRPr="003523C5">
        <w:rPr>
          <w:bCs/>
          <w:lang w:val="en-US"/>
        </w:rPr>
        <w:t xml:space="preserve">How can we explain the four policies’ inability to deliver on their initial objectives? Political economy approaches to European integration and mainstream integration theories offer conflicting answers to this question. Political economists, </w:t>
      </w:r>
      <w:r w:rsidR="00477D42" w:rsidRPr="003523C5">
        <w:rPr>
          <w:bCs/>
          <w:lang w:val="en-US"/>
        </w:rPr>
        <w:t xml:space="preserve">drawing on Fritz </w:t>
      </w:r>
      <w:proofErr w:type="spellStart"/>
      <w:r w:rsidR="00477D42" w:rsidRPr="003523C5">
        <w:rPr>
          <w:bCs/>
          <w:lang w:val="en-US"/>
        </w:rPr>
        <w:t>Scharpf</w:t>
      </w:r>
      <w:r w:rsidR="00CF2407" w:rsidRPr="003523C5">
        <w:rPr>
          <w:bCs/>
          <w:lang w:val="en-US"/>
        </w:rPr>
        <w:t>’s</w:t>
      </w:r>
      <w:proofErr w:type="spellEnd"/>
      <w:r w:rsidR="00477D42" w:rsidRPr="003523C5">
        <w:rPr>
          <w:bCs/>
          <w:lang w:val="en-US"/>
        </w:rPr>
        <w:t xml:space="preserve"> Joint Decision Trap</w:t>
      </w:r>
      <w:r w:rsidR="00CF2407" w:rsidRPr="003523C5">
        <w:rPr>
          <w:bCs/>
          <w:lang w:val="en-US"/>
        </w:rPr>
        <w:t>,</w:t>
      </w:r>
      <w:r w:rsidR="00477D42" w:rsidRPr="003523C5">
        <w:rPr>
          <w:bCs/>
          <w:lang w:val="en-US"/>
        </w:rPr>
        <w:t xml:space="preserve"> </w:t>
      </w:r>
      <w:r w:rsidRPr="003523C5">
        <w:rPr>
          <w:bCs/>
          <w:lang w:val="en-US"/>
        </w:rPr>
        <w:t xml:space="preserve">focus on the institutional setup of EU decision-making, on </w:t>
      </w:r>
      <w:r w:rsidRPr="003523C5">
        <w:rPr>
          <w:lang w:val="en-US"/>
        </w:rPr>
        <w:t>the built-in bias in the structure of EU decision-making</w:t>
      </w:r>
      <w:r w:rsidR="00CF2407" w:rsidRPr="003523C5">
        <w:rPr>
          <w:lang w:val="en-US"/>
        </w:rPr>
        <w:t>,</w:t>
      </w:r>
      <w:r w:rsidRPr="003523C5">
        <w:rPr>
          <w:lang w:val="en-US"/>
        </w:rPr>
        <w:t xml:space="preserve"> and on asymmetrical power relations among </w:t>
      </w:r>
      <w:r w:rsidR="00CF2407" w:rsidRPr="003523C5">
        <w:rPr>
          <w:lang w:val="en-US"/>
        </w:rPr>
        <w:t xml:space="preserve">EU </w:t>
      </w:r>
      <w:r w:rsidRPr="003523C5">
        <w:rPr>
          <w:lang w:val="en-US"/>
        </w:rPr>
        <w:t>member states</w:t>
      </w:r>
      <w:r w:rsidR="00477D42" w:rsidRPr="003523C5">
        <w:rPr>
          <w:lang w:val="en-US"/>
        </w:rPr>
        <w:t>. They</w:t>
      </w:r>
      <w:r w:rsidRPr="003523C5">
        <w:rPr>
          <w:lang w:val="en-US"/>
        </w:rPr>
        <w:t xml:space="preserve"> </w:t>
      </w:r>
      <w:r w:rsidRPr="003523C5">
        <w:rPr>
          <w:bCs/>
          <w:lang w:val="en-US"/>
        </w:rPr>
        <w:t>would expect no market</w:t>
      </w:r>
      <w:r w:rsidR="00173AA9" w:rsidRPr="003523C5">
        <w:rPr>
          <w:bCs/>
          <w:lang w:val="en-US"/>
        </w:rPr>
        <w:t xml:space="preserve"> </w:t>
      </w:r>
      <w:r w:rsidRPr="003523C5">
        <w:rPr>
          <w:bCs/>
          <w:lang w:val="en-US"/>
        </w:rPr>
        <w:t>correcti</w:t>
      </w:r>
      <w:r w:rsidR="00173AA9" w:rsidRPr="003523C5">
        <w:rPr>
          <w:bCs/>
          <w:lang w:val="en-US"/>
        </w:rPr>
        <w:t>on</w:t>
      </w:r>
      <w:r w:rsidRPr="003523C5">
        <w:rPr>
          <w:bCs/>
          <w:lang w:val="en-US"/>
        </w:rPr>
        <w:t xml:space="preserve"> </w:t>
      </w:r>
      <w:r w:rsidR="00427D70" w:rsidRPr="003523C5">
        <w:rPr>
          <w:bCs/>
          <w:lang w:val="en-US"/>
        </w:rPr>
        <w:t>policies,</w:t>
      </w:r>
      <w:r w:rsidRPr="003523C5">
        <w:rPr>
          <w:bCs/>
          <w:lang w:val="en-US"/>
        </w:rPr>
        <w:t xml:space="preserve"> or they would only expect limited ones, primarily in the form of selective side-payments for EU policies that allow for further market integration</w:t>
      </w:r>
      <w:r w:rsidR="00CF2407" w:rsidRPr="003523C5">
        <w:rPr>
          <w:bCs/>
          <w:lang w:val="en-US"/>
        </w:rPr>
        <w:t>.</w:t>
      </w:r>
      <w:r w:rsidR="00CF2407" w:rsidRPr="003523C5">
        <w:rPr>
          <w:rStyle w:val="FootnoteReference"/>
          <w:bCs/>
          <w:lang w:val="en-US"/>
        </w:rPr>
        <w:footnoteReference w:id="12"/>
      </w:r>
    </w:p>
    <w:p w14:paraId="1EC8605D" w14:textId="77777777" w:rsidR="002A282B" w:rsidRPr="003523C5" w:rsidRDefault="002A282B" w:rsidP="00CA7B81">
      <w:pPr>
        <w:contextualSpacing/>
        <w:rPr>
          <w:lang w:val="en-US"/>
        </w:rPr>
      </w:pPr>
    </w:p>
    <w:p w14:paraId="35240D2D" w14:textId="4E1ADAEA" w:rsidR="00273329" w:rsidRPr="003523C5" w:rsidRDefault="00273329" w:rsidP="00CA7B81">
      <w:pPr>
        <w:contextualSpacing/>
        <w:rPr>
          <w:lang w:val="en-US"/>
        </w:rPr>
      </w:pPr>
      <w:r w:rsidRPr="003523C5">
        <w:rPr>
          <w:lang w:val="en-US"/>
        </w:rPr>
        <w:t xml:space="preserve">However, based on </w:t>
      </w:r>
      <w:proofErr w:type="spellStart"/>
      <w:r w:rsidRPr="003523C5">
        <w:rPr>
          <w:lang w:val="en-US"/>
        </w:rPr>
        <w:t>neofunctionalist</w:t>
      </w:r>
      <w:proofErr w:type="spellEnd"/>
      <w:r w:rsidRPr="003523C5">
        <w:rPr>
          <w:lang w:val="en-US"/>
        </w:rPr>
        <w:t xml:space="preserve"> and liberal </w:t>
      </w:r>
      <w:proofErr w:type="spellStart"/>
      <w:r w:rsidRPr="003523C5">
        <w:rPr>
          <w:lang w:val="en-US"/>
        </w:rPr>
        <w:t>intergovernmentalist</w:t>
      </w:r>
      <w:proofErr w:type="spellEnd"/>
      <w:r w:rsidRPr="003523C5">
        <w:rPr>
          <w:lang w:val="en-US"/>
        </w:rPr>
        <w:t xml:space="preserve"> approaches to European integration, one could expect a larger commitment on the side of the stronger economies to move integration in the direction of </w:t>
      </w:r>
      <w:r w:rsidR="00D6507D" w:rsidRPr="003523C5">
        <w:rPr>
          <w:lang w:val="en-US"/>
        </w:rPr>
        <w:t xml:space="preserve">the </w:t>
      </w:r>
      <w:r w:rsidRPr="003523C5">
        <w:rPr>
          <w:lang w:val="en-US"/>
        </w:rPr>
        <w:t xml:space="preserve">Pareto frontier. With growing interdependence, the pains and gains in the periphery can easily </w:t>
      </w:r>
      <w:r w:rsidR="00D6507D" w:rsidRPr="003523C5">
        <w:rPr>
          <w:lang w:val="en-US"/>
        </w:rPr>
        <w:t xml:space="preserve">be </w:t>
      </w:r>
      <w:r w:rsidRPr="003523C5">
        <w:rPr>
          <w:lang w:val="en-US"/>
        </w:rPr>
        <w:t xml:space="preserve">transformed </w:t>
      </w:r>
      <w:r w:rsidR="00D6507D" w:rsidRPr="003523C5">
        <w:rPr>
          <w:lang w:val="en-US"/>
        </w:rPr>
        <w:t>in</w:t>
      </w:r>
      <w:r w:rsidRPr="003523C5">
        <w:rPr>
          <w:lang w:val="en-US"/>
        </w:rPr>
        <w:t>to pains and gains in the core member states, which, in turn, are supposed to induce change in the preferences of policy makers and powerful economic actors in these countries</w:t>
      </w:r>
      <w:r w:rsidR="00A03AD3" w:rsidRPr="003523C5">
        <w:rPr>
          <w:lang w:val="en-US"/>
        </w:rPr>
        <w:t>.</w:t>
      </w:r>
      <w:r w:rsidR="00A03AD3" w:rsidRPr="003523C5">
        <w:rPr>
          <w:rStyle w:val="FootnoteReference"/>
          <w:lang w:val="en-US"/>
        </w:rPr>
        <w:footnoteReference w:id="13"/>
      </w:r>
    </w:p>
    <w:p w14:paraId="2556EE6A" w14:textId="77777777" w:rsidR="002A282B" w:rsidRPr="003523C5" w:rsidRDefault="002A282B" w:rsidP="00CA7B81">
      <w:pPr>
        <w:contextualSpacing/>
        <w:rPr>
          <w:lang w:val="en-US"/>
        </w:rPr>
      </w:pPr>
    </w:p>
    <w:p w14:paraId="431A53CF" w14:textId="61ECC04A" w:rsidR="00273329" w:rsidRPr="003523C5" w:rsidRDefault="00273329" w:rsidP="00CA7B81">
      <w:pPr>
        <w:contextualSpacing/>
        <w:rPr>
          <w:lang w:val="en-US"/>
        </w:rPr>
      </w:pPr>
      <w:r w:rsidRPr="003523C5">
        <w:rPr>
          <w:lang w:val="en-US"/>
        </w:rPr>
        <w:t xml:space="preserve">Although </w:t>
      </w:r>
      <w:r w:rsidR="00E1586E" w:rsidRPr="003523C5">
        <w:rPr>
          <w:lang w:val="en-US"/>
        </w:rPr>
        <w:t xml:space="preserve">the first approach is somewhat closer to the reality, it cannot </w:t>
      </w:r>
      <w:r w:rsidRPr="003523C5">
        <w:rPr>
          <w:lang w:val="en-US"/>
        </w:rPr>
        <w:t xml:space="preserve">offer </w:t>
      </w:r>
      <w:r w:rsidR="00D6507D" w:rsidRPr="003523C5">
        <w:rPr>
          <w:lang w:val="en-US"/>
        </w:rPr>
        <w:t xml:space="preserve">a </w:t>
      </w:r>
      <w:r w:rsidRPr="003523C5">
        <w:rPr>
          <w:lang w:val="en-US"/>
        </w:rPr>
        <w:t xml:space="preserve">convincing answer to </w:t>
      </w:r>
      <w:r w:rsidR="002A282B" w:rsidRPr="003523C5">
        <w:rPr>
          <w:lang w:val="en-US"/>
        </w:rPr>
        <w:t xml:space="preserve">the question </w:t>
      </w:r>
      <w:r w:rsidR="00D6507D" w:rsidRPr="003523C5">
        <w:rPr>
          <w:lang w:val="en-US"/>
        </w:rPr>
        <w:t xml:space="preserve">of </w:t>
      </w:r>
      <w:r w:rsidRPr="003523C5">
        <w:rPr>
          <w:lang w:val="en-US"/>
        </w:rPr>
        <w:t xml:space="preserve">why policy makers in core countries keep sticking to </w:t>
      </w:r>
      <w:r w:rsidR="00D6507D" w:rsidRPr="003523C5">
        <w:rPr>
          <w:lang w:val="en-US"/>
        </w:rPr>
        <w:t xml:space="preserve">the </w:t>
      </w:r>
      <w:r w:rsidRPr="003523C5">
        <w:rPr>
          <w:lang w:val="en-US"/>
        </w:rPr>
        <w:t>wrong preferences</w:t>
      </w:r>
      <w:r w:rsidR="00D6507D" w:rsidRPr="003523C5">
        <w:rPr>
          <w:lang w:val="en-US"/>
        </w:rPr>
        <w:t>.</w:t>
      </w:r>
      <w:r w:rsidRPr="003523C5">
        <w:rPr>
          <w:lang w:val="en-US"/>
        </w:rPr>
        <w:t xml:space="preserve"> Why do </w:t>
      </w:r>
      <w:r w:rsidR="00D6507D" w:rsidRPr="003523C5">
        <w:rPr>
          <w:lang w:val="en-US"/>
        </w:rPr>
        <w:t xml:space="preserve">EU </w:t>
      </w:r>
      <w:r w:rsidRPr="003523C5">
        <w:rPr>
          <w:lang w:val="en-US"/>
        </w:rPr>
        <w:t>member</w:t>
      </w:r>
      <w:r w:rsidR="00E1586E" w:rsidRPr="003523C5">
        <w:rPr>
          <w:lang w:val="en-US"/>
        </w:rPr>
        <w:t xml:space="preserve"> </w:t>
      </w:r>
      <w:r w:rsidRPr="003523C5">
        <w:rPr>
          <w:lang w:val="en-US"/>
        </w:rPr>
        <w:t>s</w:t>
      </w:r>
      <w:r w:rsidR="00E1586E" w:rsidRPr="003523C5">
        <w:rPr>
          <w:lang w:val="en-US"/>
        </w:rPr>
        <w:t>tates</w:t>
      </w:r>
      <w:r w:rsidRPr="003523C5">
        <w:rPr>
          <w:lang w:val="en-US"/>
        </w:rPr>
        <w:t xml:space="preserve"> treat market</w:t>
      </w:r>
      <w:r w:rsidR="00173AA9" w:rsidRPr="003523C5">
        <w:rPr>
          <w:lang w:val="en-US"/>
        </w:rPr>
        <w:t xml:space="preserve"> </w:t>
      </w:r>
      <w:r w:rsidRPr="003523C5">
        <w:rPr>
          <w:lang w:val="en-US"/>
        </w:rPr>
        <w:t>correct</w:t>
      </w:r>
      <w:r w:rsidR="00173AA9" w:rsidRPr="003523C5">
        <w:rPr>
          <w:lang w:val="en-US"/>
        </w:rPr>
        <w:t>ion</w:t>
      </w:r>
      <w:r w:rsidR="00D6507D" w:rsidRPr="003523C5">
        <w:rPr>
          <w:lang w:val="en-US"/>
        </w:rPr>
        <w:t>,</w:t>
      </w:r>
      <w:r w:rsidRPr="003523C5">
        <w:rPr>
          <w:lang w:val="en-US"/>
        </w:rPr>
        <w:t xml:space="preserve"> </w:t>
      </w:r>
      <w:r w:rsidR="00F21896" w:rsidRPr="003523C5">
        <w:rPr>
          <w:lang w:val="en-US"/>
        </w:rPr>
        <w:t>as a rule</w:t>
      </w:r>
      <w:r w:rsidR="00D6507D" w:rsidRPr="003523C5">
        <w:rPr>
          <w:lang w:val="en-US"/>
        </w:rPr>
        <w:t>,</w:t>
      </w:r>
      <w:r w:rsidR="00F21896" w:rsidRPr="003523C5">
        <w:rPr>
          <w:lang w:val="en-US"/>
        </w:rPr>
        <w:t xml:space="preserve"> </w:t>
      </w:r>
      <w:r w:rsidRPr="003523C5">
        <w:rPr>
          <w:lang w:val="en-US"/>
        </w:rPr>
        <w:t>as zero-sum game</w:t>
      </w:r>
      <w:r w:rsidR="00D6507D" w:rsidRPr="003523C5">
        <w:rPr>
          <w:lang w:val="en-US"/>
        </w:rPr>
        <w:t>s</w:t>
      </w:r>
      <w:r w:rsidRPr="003523C5">
        <w:rPr>
          <w:lang w:val="en-US"/>
        </w:rPr>
        <w:t xml:space="preserve"> and not as programs </w:t>
      </w:r>
      <w:r w:rsidR="009E1F55" w:rsidRPr="003523C5">
        <w:rPr>
          <w:lang w:val="en-US"/>
        </w:rPr>
        <w:t xml:space="preserve">which </w:t>
      </w:r>
      <w:r w:rsidRPr="003523C5">
        <w:rPr>
          <w:lang w:val="en-US"/>
        </w:rPr>
        <w:t>serv</w:t>
      </w:r>
      <w:r w:rsidR="009E1F55" w:rsidRPr="003523C5">
        <w:rPr>
          <w:lang w:val="en-US"/>
        </w:rPr>
        <w:t>e</w:t>
      </w:r>
      <w:r w:rsidRPr="003523C5">
        <w:rPr>
          <w:lang w:val="en-US"/>
        </w:rPr>
        <w:t xml:space="preserve"> the long-term common interests of </w:t>
      </w:r>
      <w:r w:rsidR="009E1F55" w:rsidRPr="003523C5">
        <w:rPr>
          <w:lang w:val="en-US"/>
        </w:rPr>
        <w:t xml:space="preserve">all </w:t>
      </w:r>
      <w:r w:rsidRPr="003523C5">
        <w:rPr>
          <w:lang w:val="en-US"/>
        </w:rPr>
        <w:t xml:space="preserve">member states? Why </w:t>
      </w:r>
      <w:r w:rsidR="009E1F55" w:rsidRPr="003523C5">
        <w:rPr>
          <w:lang w:val="en-US"/>
        </w:rPr>
        <w:t>have</w:t>
      </w:r>
      <w:r w:rsidR="00D6507D" w:rsidRPr="003523C5">
        <w:rPr>
          <w:lang w:val="en-US"/>
        </w:rPr>
        <w:t xml:space="preserve"> </w:t>
      </w:r>
      <w:r w:rsidRPr="003523C5">
        <w:rPr>
          <w:lang w:val="en-US"/>
        </w:rPr>
        <w:t xml:space="preserve">they </w:t>
      </w:r>
      <w:r w:rsidR="00D6507D" w:rsidRPr="003523C5">
        <w:rPr>
          <w:lang w:val="en-US"/>
        </w:rPr>
        <w:t xml:space="preserve">not </w:t>
      </w:r>
      <w:r w:rsidRPr="003523C5">
        <w:rPr>
          <w:lang w:val="en-US"/>
        </w:rPr>
        <w:t>learn</w:t>
      </w:r>
      <w:r w:rsidR="009E1F55" w:rsidRPr="003523C5">
        <w:rPr>
          <w:lang w:val="en-US"/>
        </w:rPr>
        <w:t>ed</w:t>
      </w:r>
      <w:r w:rsidRPr="003523C5">
        <w:rPr>
          <w:lang w:val="en-US"/>
        </w:rPr>
        <w:t xml:space="preserve"> from failed attempts </w:t>
      </w:r>
      <w:r w:rsidR="009E1F55" w:rsidRPr="003523C5">
        <w:rPr>
          <w:lang w:val="en-US"/>
        </w:rPr>
        <w:t xml:space="preserve">to </w:t>
      </w:r>
      <w:r w:rsidRPr="003523C5">
        <w:rPr>
          <w:lang w:val="en-US"/>
        </w:rPr>
        <w:t>manag</w:t>
      </w:r>
      <w:r w:rsidR="009E1F55" w:rsidRPr="003523C5">
        <w:rPr>
          <w:lang w:val="en-US"/>
        </w:rPr>
        <w:t>e</w:t>
      </w:r>
      <w:r w:rsidRPr="003523C5">
        <w:rPr>
          <w:lang w:val="en-US"/>
        </w:rPr>
        <w:t xml:space="preserve"> crises </w:t>
      </w:r>
      <w:r w:rsidR="009E1F55" w:rsidRPr="003523C5">
        <w:rPr>
          <w:lang w:val="en-US"/>
        </w:rPr>
        <w:t xml:space="preserve">which </w:t>
      </w:r>
      <w:r w:rsidRPr="003523C5">
        <w:rPr>
          <w:lang w:val="en-US"/>
        </w:rPr>
        <w:t xml:space="preserve">resulted from previous </w:t>
      </w:r>
      <w:r w:rsidRPr="003523C5">
        <w:rPr>
          <w:lang w:val="en-US"/>
        </w:rPr>
        <w:lastRenderedPageBreak/>
        <w:t>unsuccessful attempts at managing the developmental externalities of market integration</w:t>
      </w:r>
      <w:r w:rsidR="009E1F55" w:rsidRPr="003523C5">
        <w:rPr>
          <w:lang w:val="en-US"/>
        </w:rPr>
        <w:t>,</w:t>
      </w:r>
      <w:r w:rsidR="009E1F55" w:rsidRPr="003523C5">
        <w:rPr>
          <w:rStyle w:val="FootnoteReference"/>
          <w:lang w:val="en-US"/>
        </w:rPr>
        <w:footnoteReference w:id="14"/>
      </w:r>
      <w:r w:rsidRPr="003523C5">
        <w:rPr>
          <w:lang w:val="en-US"/>
        </w:rPr>
        <w:t xml:space="preserve"> </w:t>
      </w:r>
      <w:r w:rsidR="009E1F55" w:rsidRPr="003523C5">
        <w:rPr>
          <w:lang w:val="en-US"/>
        </w:rPr>
        <w:t>a</w:t>
      </w:r>
      <w:r w:rsidRPr="003523C5">
        <w:rPr>
          <w:lang w:val="en-US"/>
        </w:rPr>
        <w:t>nd why is it rational for them to learn the wrong lessons</w:t>
      </w:r>
      <w:r w:rsidR="009E1F55" w:rsidRPr="003523C5">
        <w:rPr>
          <w:lang w:val="en-US"/>
        </w:rPr>
        <w:t xml:space="preserve"> over and over?</w:t>
      </w:r>
      <w:r w:rsidR="009E1F55" w:rsidRPr="003523C5">
        <w:rPr>
          <w:rStyle w:val="FootnoteReference"/>
          <w:lang w:val="en-US"/>
        </w:rPr>
        <w:footnoteReference w:id="15"/>
      </w:r>
    </w:p>
    <w:p w14:paraId="4281B5C4" w14:textId="77777777" w:rsidR="002A282B" w:rsidRPr="003523C5" w:rsidRDefault="002A282B" w:rsidP="00CA7B81">
      <w:pPr>
        <w:contextualSpacing/>
        <w:rPr>
          <w:lang w:val="en-US"/>
        </w:rPr>
      </w:pPr>
    </w:p>
    <w:p w14:paraId="09DF35BD" w14:textId="3BD57769" w:rsidR="00273329" w:rsidRPr="003523C5" w:rsidRDefault="009976C4" w:rsidP="00CA7B81">
      <w:pPr>
        <w:contextualSpacing/>
        <w:rPr>
          <w:lang w:val="en-US"/>
        </w:rPr>
      </w:pPr>
      <w:r w:rsidRPr="003523C5">
        <w:rPr>
          <w:lang w:val="en-US"/>
        </w:rPr>
        <w:t>For a better understanding of</w:t>
      </w:r>
      <w:r w:rsidR="00273329" w:rsidRPr="003523C5">
        <w:rPr>
          <w:lang w:val="en-US"/>
        </w:rPr>
        <w:t xml:space="preserve"> </w:t>
      </w:r>
      <w:r w:rsidRPr="003523C5">
        <w:rPr>
          <w:lang w:val="en-US"/>
        </w:rPr>
        <w:t>the link between</w:t>
      </w:r>
      <w:r w:rsidR="00273329" w:rsidRPr="003523C5">
        <w:rPr>
          <w:lang w:val="en-US"/>
        </w:rPr>
        <w:t xml:space="preserve"> the characteristics of the EU polity </w:t>
      </w:r>
      <w:r w:rsidRPr="003523C5">
        <w:rPr>
          <w:lang w:val="en-US"/>
        </w:rPr>
        <w:t>and</w:t>
      </w:r>
      <w:r w:rsidR="00273329" w:rsidRPr="003523C5">
        <w:rPr>
          <w:lang w:val="en-US"/>
        </w:rPr>
        <w:t xml:space="preserve"> the preferences of political actors, we turn to comparative federalism, and within it, a stream </w:t>
      </w:r>
      <w:r w:rsidR="009E1F55" w:rsidRPr="003523C5">
        <w:rPr>
          <w:lang w:val="en-US"/>
        </w:rPr>
        <w:t xml:space="preserve">of research </w:t>
      </w:r>
      <w:r w:rsidR="00273329" w:rsidRPr="003523C5">
        <w:rPr>
          <w:lang w:val="en-US"/>
        </w:rPr>
        <w:t>dealing with the properties of political representation in multilevel polities</w:t>
      </w:r>
      <w:r w:rsidR="007A358D" w:rsidRPr="003523C5">
        <w:rPr>
          <w:lang w:val="en-US"/>
        </w:rPr>
        <w:t xml:space="preserve"> and its impact on market efficiency and dis</w:t>
      </w:r>
      <w:r w:rsidR="00E1586E" w:rsidRPr="003523C5">
        <w:rPr>
          <w:lang w:val="en-US"/>
        </w:rPr>
        <w:t>tortion</w:t>
      </w:r>
      <w:r w:rsidR="00273329" w:rsidRPr="003523C5">
        <w:rPr>
          <w:lang w:val="en-US"/>
        </w:rPr>
        <w:t>. Political representation and accountability can be structured in several different ways in multilevel polities, shaping the incentives of policy makers in substantially different directions</w:t>
      </w:r>
      <w:r w:rsidR="009E1F55" w:rsidRPr="003523C5">
        <w:rPr>
          <w:lang w:val="en-US"/>
        </w:rPr>
        <w:t>.</w:t>
      </w:r>
      <w:r w:rsidR="009E1F55" w:rsidRPr="003523C5">
        <w:rPr>
          <w:rStyle w:val="FootnoteReference"/>
          <w:lang w:val="en-US"/>
        </w:rPr>
        <w:footnoteReference w:id="16"/>
      </w:r>
      <w:r w:rsidR="00A52E06" w:rsidRPr="003523C5">
        <w:rPr>
          <w:lang w:val="en-US"/>
        </w:rPr>
        <w:t xml:space="preserve"> </w:t>
      </w:r>
      <w:r w:rsidR="00273329" w:rsidRPr="003523C5">
        <w:rPr>
          <w:lang w:val="en-US"/>
        </w:rPr>
        <w:t xml:space="preserve">Researchers within comparative federalism </w:t>
      </w:r>
      <w:r w:rsidR="00C57480" w:rsidRPr="003523C5">
        <w:rPr>
          <w:lang w:val="en-US"/>
        </w:rPr>
        <w:t xml:space="preserve">continue to </w:t>
      </w:r>
      <w:r w:rsidR="00273329" w:rsidRPr="003523C5">
        <w:rPr>
          <w:lang w:val="en-US"/>
        </w:rPr>
        <w:t>investigat</w:t>
      </w:r>
      <w:r w:rsidR="00C57480" w:rsidRPr="003523C5">
        <w:rPr>
          <w:lang w:val="en-US"/>
        </w:rPr>
        <w:t>e</w:t>
      </w:r>
      <w:r w:rsidR="00273329" w:rsidRPr="003523C5">
        <w:rPr>
          <w:lang w:val="en-US"/>
        </w:rPr>
        <w:t xml:space="preserve"> the incentives provided by different </w:t>
      </w:r>
      <w:r w:rsidR="00472B03" w:rsidRPr="00EC5F9D">
        <w:rPr>
          <w:lang w:val="en-US"/>
        </w:rPr>
        <w:t>systems</w:t>
      </w:r>
      <w:r w:rsidR="00472B03" w:rsidRPr="003523C5">
        <w:rPr>
          <w:lang w:val="en-US"/>
        </w:rPr>
        <w:t xml:space="preserve"> </w:t>
      </w:r>
      <w:r w:rsidR="00273329" w:rsidRPr="003523C5">
        <w:rPr>
          <w:lang w:val="en-US"/>
        </w:rPr>
        <w:t xml:space="preserve">of </w:t>
      </w:r>
      <w:r w:rsidR="00472B03" w:rsidRPr="00EC5F9D">
        <w:rPr>
          <w:lang w:val="en-US"/>
        </w:rPr>
        <w:t xml:space="preserve">political </w:t>
      </w:r>
      <w:r w:rsidR="00273329" w:rsidRPr="003523C5">
        <w:rPr>
          <w:lang w:val="en-US"/>
        </w:rPr>
        <w:t>representation</w:t>
      </w:r>
      <w:r w:rsidR="009E39F3" w:rsidRPr="003523C5">
        <w:rPr>
          <w:lang w:val="en-US"/>
        </w:rPr>
        <w:t xml:space="preserve"> </w:t>
      </w:r>
      <w:r w:rsidR="00273329" w:rsidRPr="003523C5">
        <w:rPr>
          <w:lang w:val="en-US"/>
        </w:rPr>
        <w:t xml:space="preserve">and their developmental and political effects. </w:t>
      </w:r>
      <w:r w:rsidR="00472B03" w:rsidRPr="003523C5">
        <w:rPr>
          <w:lang w:val="en-US"/>
        </w:rPr>
        <w:t>These studies typically focus on</w:t>
      </w:r>
      <w:r w:rsidR="00273329" w:rsidRPr="003523C5">
        <w:rPr>
          <w:lang w:val="en-US"/>
        </w:rPr>
        <w:t xml:space="preserve"> federal polities </w:t>
      </w:r>
      <w:r w:rsidR="00472B03" w:rsidRPr="003523C5">
        <w:rPr>
          <w:lang w:val="en-US"/>
        </w:rPr>
        <w:t xml:space="preserve">like </w:t>
      </w:r>
      <w:r w:rsidR="00273329" w:rsidRPr="003523C5">
        <w:rPr>
          <w:lang w:val="en-US"/>
        </w:rPr>
        <w:t>India</w:t>
      </w:r>
      <w:r w:rsidR="00472B03" w:rsidRPr="003523C5">
        <w:rPr>
          <w:lang w:val="en-US"/>
        </w:rPr>
        <w:t xml:space="preserve">, </w:t>
      </w:r>
      <w:r w:rsidR="00273329" w:rsidRPr="003523C5">
        <w:rPr>
          <w:lang w:val="en-US"/>
        </w:rPr>
        <w:t xml:space="preserve">Argentina, </w:t>
      </w:r>
      <w:r w:rsidR="00472B03" w:rsidRPr="003523C5">
        <w:rPr>
          <w:lang w:val="en-US"/>
        </w:rPr>
        <w:t xml:space="preserve">or </w:t>
      </w:r>
      <w:r w:rsidR="00273329" w:rsidRPr="003523C5">
        <w:rPr>
          <w:lang w:val="en-US"/>
        </w:rPr>
        <w:t>the USA</w:t>
      </w:r>
      <w:r w:rsidR="00472B03" w:rsidRPr="003523C5">
        <w:rPr>
          <w:lang w:val="en-US"/>
        </w:rPr>
        <w:t xml:space="preserve">, as well as the </w:t>
      </w:r>
      <w:r w:rsidR="00273329" w:rsidRPr="003523C5">
        <w:rPr>
          <w:lang w:val="en-US"/>
        </w:rPr>
        <w:t xml:space="preserve">former Soviet Union </w:t>
      </w:r>
      <w:r w:rsidR="00472B03" w:rsidRPr="003523C5">
        <w:rPr>
          <w:lang w:val="en-US"/>
        </w:rPr>
        <w:t xml:space="preserve">and the former </w:t>
      </w:r>
      <w:r w:rsidR="00273329" w:rsidRPr="003523C5">
        <w:rPr>
          <w:lang w:val="en-US"/>
        </w:rPr>
        <w:t xml:space="preserve">Yugoslavia. These studies deal with the exploration of the way </w:t>
      </w:r>
      <w:r w:rsidR="009E39F3" w:rsidRPr="003523C5">
        <w:rPr>
          <w:lang w:val="en-US"/>
        </w:rPr>
        <w:t xml:space="preserve">that </w:t>
      </w:r>
      <w:r w:rsidR="00273329" w:rsidRPr="003523C5">
        <w:rPr>
          <w:lang w:val="en-US"/>
        </w:rPr>
        <w:t xml:space="preserve">federal and/or regional organization of political representation may tame or induce centripetal tendencies in </w:t>
      </w:r>
      <w:r w:rsidR="00C57480" w:rsidRPr="003523C5">
        <w:rPr>
          <w:lang w:val="en-US"/>
        </w:rPr>
        <w:t>multilevel</w:t>
      </w:r>
      <w:r w:rsidR="00273329" w:rsidRPr="003523C5">
        <w:rPr>
          <w:lang w:val="en-US"/>
        </w:rPr>
        <w:t xml:space="preserve"> polities</w:t>
      </w:r>
      <w:r w:rsidR="0085244E" w:rsidRPr="003523C5">
        <w:rPr>
          <w:rStyle w:val="FootnoteReference"/>
          <w:lang w:val="en-US"/>
        </w:rPr>
        <w:footnoteReference w:id="17"/>
      </w:r>
      <w:r w:rsidR="0085244E" w:rsidRPr="003523C5">
        <w:rPr>
          <w:lang w:val="en-US"/>
        </w:rPr>
        <w:t>;</w:t>
      </w:r>
      <w:r w:rsidR="00273329" w:rsidRPr="003523C5">
        <w:rPr>
          <w:lang w:val="en-US"/>
        </w:rPr>
        <w:t xml:space="preserve"> facilitate cooperation among different levels of government and prevent defection across levels of government</w:t>
      </w:r>
      <w:r w:rsidR="0085244E" w:rsidRPr="003523C5">
        <w:rPr>
          <w:rStyle w:val="FootnoteReference"/>
          <w:lang w:val="en-US"/>
        </w:rPr>
        <w:footnoteReference w:id="18"/>
      </w:r>
      <w:r w:rsidR="0085244E" w:rsidRPr="003523C5">
        <w:rPr>
          <w:lang w:val="en-US"/>
        </w:rPr>
        <w:t>;</w:t>
      </w:r>
      <w:r w:rsidR="00A52E06" w:rsidRPr="003523C5">
        <w:rPr>
          <w:lang w:val="en-US"/>
        </w:rPr>
        <w:t xml:space="preserve"> </w:t>
      </w:r>
      <w:r w:rsidR="00273329" w:rsidRPr="003523C5">
        <w:rPr>
          <w:lang w:val="en-US"/>
        </w:rPr>
        <w:t>prevent the formation of national</w:t>
      </w:r>
      <w:r w:rsidR="0085244E" w:rsidRPr="003523C5">
        <w:rPr>
          <w:lang w:val="en-US"/>
        </w:rPr>
        <w:t>-</w:t>
      </w:r>
      <w:r w:rsidR="00273329" w:rsidRPr="003523C5">
        <w:rPr>
          <w:lang w:val="en-US"/>
        </w:rPr>
        <w:t>level developmental alliances</w:t>
      </w:r>
      <w:r w:rsidR="0085244E" w:rsidRPr="003523C5">
        <w:rPr>
          <w:rStyle w:val="FootnoteReference"/>
          <w:lang w:val="en-US"/>
        </w:rPr>
        <w:footnoteReference w:id="19"/>
      </w:r>
      <w:r w:rsidR="0085244E" w:rsidRPr="003523C5">
        <w:rPr>
          <w:lang w:val="en-US"/>
        </w:rPr>
        <w:t>;</w:t>
      </w:r>
      <w:r w:rsidR="00273329" w:rsidRPr="003523C5">
        <w:rPr>
          <w:lang w:val="en-US"/>
        </w:rPr>
        <w:t xml:space="preserve"> or help/hinder the state from serving encompassing social interests</w:t>
      </w:r>
      <w:r w:rsidR="0085244E" w:rsidRPr="003523C5">
        <w:rPr>
          <w:lang w:val="en-US"/>
        </w:rPr>
        <w:t>.</w:t>
      </w:r>
      <w:r w:rsidR="0085244E" w:rsidRPr="003523C5">
        <w:rPr>
          <w:rStyle w:val="FootnoteReference"/>
          <w:lang w:val="en-US"/>
        </w:rPr>
        <w:footnoteReference w:id="20"/>
      </w:r>
      <w:r w:rsidR="0085244E" w:rsidRPr="003523C5">
        <w:rPr>
          <w:lang w:val="en-US"/>
        </w:rPr>
        <w:t xml:space="preserve"> </w:t>
      </w:r>
      <w:r w:rsidR="00273329" w:rsidRPr="003523C5">
        <w:rPr>
          <w:lang w:val="en-US"/>
        </w:rPr>
        <w:t xml:space="preserve">Applied to the study of European integration, this approach helps to explore whether and in what way </w:t>
      </w:r>
      <w:r w:rsidR="00F17682" w:rsidRPr="003523C5">
        <w:rPr>
          <w:lang w:val="en-US"/>
        </w:rPr>
        <w:t xml:space="preserve">a </w:t>
      </w:r>
      <w:r w:rsidR="00273329" w:rsidRPr="003523C5">
        <w:rPr>
          <w:lang w:val="en-US"/>
        </w:rPr>
        <w:t xml:space="preserve">specific </w:t>
      </w:r>
      <w:r w:rsidR="00F17682" w:rsidRPr="003523C5">
        <w:rPr>
          <w:lang w:val="en-US"/>
        </w:rPr>
        <w:t xml:space="preserve">system </w:t>
      </w:r>
      <w:r w:rsidR="00273329" w:rsidRPr="003523C5">
        <w:rPr>
          <w:lang w:val="en-US"/>
        </w:rPr>
        <w:t xml:space="preserve">of </w:t>
      </w:r>
      <w:r w:rsidR="00F17682" w:rsidRPr="003523C5">
        <w:rPr>
          <w:lang w:val="en-US"/>
        </w:rPr>
        <w:t xml:space="preserve">political </w:t>
      </w:r>
      <w:r w:rsidR="00273329" w:rsidRPr="003523C5">
        <w:rPr>
          <w:lang w:val="en-US"/>
        </w:rPr>
        <w:t>representation could allow voters in Europe to choose from among rival EU agendas and provide them guarantees that their preferences will be translated into EU</w:t>
      </w:r>
      <w:r w:rsidR="00F17682" w:rsidRPr="003523C5">
        <w:rPr>
          <w:lang w:val="en-US"/>
        </w:rPr>
        <w:t>-</w:t>
      </w:r>
      <w:r w:rsidR="00273329" w:rsidRPr="003523C5">
        <w:rPr>
          <w:lang w:val="en-US"/>
        </w:rPr>
        <w:t>level policies</w:t>
      </w:r>
      <w:r w:rsidR="0085244E" w:rsidRPr="003523C5">
        <w:rPr>
          <w:lang w:val="en-US"/>
        </w:rPr>
        <w:t>.</w:t>
      </w:r>
      <w:r w:rsidR="0085244E" w:rsidRPr="003523C5">
        <w:rPr>
          <w:rStyle w:val="FootnoteReference"/>
          <w:lang w:val="en-US"/>
        </w:rPr>
        <w:footnoteReference w:id="21"/>
      </w:r>
    </w:p>
    <w:p w14:paraId="51B96749" w14:textId="77777777" w:rsidR="00742580" w:rsidRPr="003523C5" w:rsidRDefault="00742580" w:rsidP="00CA7B81">
      <w:pPr>
        <w:contextualSpacing/>
        <w:rPr>
          <w:lang w:val="en-US"/>
        </w:rPr>
      </w:pPr>
    </w:p>
    <w:p w14:paraId="3B8253DC" w14:textId="1144BDA0" w:rsidR="00ED2789" w:rsidRPr="003523C5" w:rsidRDefault="00273329" w:rsidP="00CA7B81">
      <w:pPr>
        <w:contextualSpacing/>
        <w:rPr>
          <w:lang w:val="en-US"/>
        </w:rPr>
      </w:pPr>
      <w:r w:rsidRPr="003523C5">
        <w:rPr>
          <w:lang w:val="en-US"/>
        </w:rPr>
        <w:t xml:space="preserve">James Madison, one of the founders of comparative federalism, represents a key source of inspiration for researchers in this stream. Madison was among the first to recognize that the </w:t>
      </w:r>
      <w:r w:rsidR="007A358D" w:rsidRPr="003523C5">
        <w:rPr>
          <w:lang w:val="en-US"/>
        </w:rPr>
        <w:t>pr</w:t>
      </w:r>
      <w:r w:rsidR="00B27EB1" w:rsidRPr="003523C5">
        <w:rPr>
          <w:lang w:val="en-US"/>
        </w:rPr>
        <w:t>o</w:t>
      </w:r>
      <w:r w:rsidR="007A358D" w:rsidRPr="003523C5">
        <w:rPr>
          <w:lang w:val="en-US"/>
        </w:rPr>
        <w:t>p</w:t>
      </w:r>
      <w:r w:rsidR="00B27EB1" w:rsidRPr="003523C5">
        <w:rPr>
          <w:lang w:val="en-US"/>
        </w:rPr>
        <w:t>e</w:t>
      </w:r>
      <w:r w:rsidR="007A358D" w:rsidRPr="003523C5">
        <w:rPr>
          <w:lang w:val="en-US"/>
        </w:rPr>
        <w:t xml:space="preserve">rties of </w:t>
      </w:r>
      <w:r w:rsidR="00F17682" w:rsidRPr="003523C5">
        <w:rPr>
          <w:lang w:val="en-US"/>
        </w:rPr>
        <w:t xml:space="preserve">a </w:t>
      </w:r>
      <w:r w:rsidRPr="003523C5">
        <w:rPr>
          <w:lang w:val="en-US"/>
        </w:rPr>
        <w:t>system of political representation is critical for organizing societal diversity in multilevel polities</w:t>
      </w:r>
      <w:r w:rsidR="0085244E" w:rsidRPr="003523C5">
        <w:rPr>
          <w:lang w:val="en-US"/>
        </w:rPr>
        <w:t>:</w:t>
      </w:r>
      <w:r w:rsidR="00ED2789" w:rsidRPr="00EC5F9D">
        <w:rPr>
          <w:lang w:val="en-US"/>
        </w:rPr>
        <w:t xml:space="preserve"> </w:t>
      </w:r>
      <w:r w:rsidR="00907755" w:rsidRPr="003523C5">
        <w:rPr>
          <w:lang w:val="en-US"/>
        </w:rPr>
        <w:t>The</w:t>
      </w:r>
      <w:r w:rsidR="00ED2789" w:rsidRPr="00EC5F9D">
        <w:rPr>
          <w:lang w:val="en-US"/>
        </w:rPr>
        <w:t xml:space="preserve"> Federalist Papers</w:t>
      </w:r>
      <w:r w:rsidR="0085244E" w:rsidRPr="003523C5">
        <w:rPr>
          <w:lang w:val="en-US"/>
        </w:rPr>
        <w:t xml:space="preserve"> </w:t>
      </w:r>
      <w:r w:rsidR="00907755">
        <w:rPr>
          <w:lang w:val="en-US"/>
        </w:rPr>
        <w:t xml:space="preserve">was the first to </w:t>
      </w:r>
      <w:r w:rsidR="00CE0168" w:rsidRPr="00EC5F9D">
        <w:rPr>
          <w:lang w:val="en-US"/>
        </w:rPr>
        <w:t>establish a</w:t>
      </w:r>
      <w:r w:rsidR="00ED2789" w:rsidRPr="00EC5F9D">
        <w:rPr>
          <w:lang w:val="en-US"/>
        </w:rPr>
        <w:t xml:space="preserve"> link between </w:t>
      </w:r>
      <w:r w:rsidR="00F60C14" w:rsidRPr="00EC5F9D">
        <w:rPr>
          <w:lang w:val="en-US"/>
        </w:rPr>
        <w:t xml:space="preserve">representation and </w:t>
      </w:r>
      <w:r w:rsidR="00ED2789" w:rsidRPr="00EC5F9D">
        <w:rPr>
          <w:lang w:val="en-US"/>
        </w:rPr>
        <w:t>the desire of promoting interstate commerce via keeping state</w:t>
      </w:r>
      <w:r w:rsidR="0085244E" w:rsidRPr="003523C5">
        <w:rPr>
          <w:lang w:val="en-US"/>
        </w:rPr>
        <w:t>-</w:t>
      </w:r>
      <w:r w:rsidR="00ED2789" w:rsidRPr="00EC5F9D">
        <w:rPr>
          <w:lang w:val="en-US"/>
        </w:rPr>
        <w:t>level protectionism under control</w:t>
      </w:r>
      <w:r w:rsidR="00472B03" w:rsidRPr="00EC5F9D">
        <w:rPr>
          <w:lang w:val="en-US"/>
        </w:rPr>
        <w:t>.</w:t>
      </w:r>
      <w:r w:rsidR="00472B03" w:rsidRPr="00EC5F9D">
        <w:rPr>
          <w:rStyle w:val="FootnoteReference"/>
          <w:lang w:val="en-US"/>
        </w:rPr>
        <w:footnoteReference w:id="22"/>
      </w:r>
    </w:p>
    <w:p w14:paraId="5DC4E40D" w14:textId="77777777" w:rsidR="00ED2789" w:rsidRPr="003523C5" w:rsidRDefault="00ED2789" w:rsidP="00CA7B81">
      <w:pPr>
        <w:contextualSpacing/>
        <w:rPr>
          <w:lang w:val="en-US"/>
        </w:rPr>
      </w:pPr>
    </w:p>
    <w:p w14:paraId="4894D1AE" w14:textId="3090207D" w:rsidR="007A358D" w:rsidRPr="003523C5" w:rsidRDefault="00273329" w:rsidP="00CA7B81">
      <w:pPr>
        <w:contextualSpacing/>
        <w:rPr>
          <w:lang w:val="en-US"/>
        </w:rPr>
      </w:pPr>
      <w:r w:rsidRPr="003523C5">
        <w:rPr>
          <w:lang w:val="en-US"/>
        </w:rPr>
        <w:t xml:space="preserve">The Madisonian ‘scheme of representation’ foresaw </w:t>
      </w:r>
      <w:r w:rsidR="00F17682" w:rsidRPr="003523C5">
        <w:rPr>
          <w:lang w:val="en-US"/>
        </w:rPr>
        <w:t xml:space="preserve">the representation of the interests of the same groups of citizens in diverse ways and multiple associations, using the competition of self-interested representatives to create innovative combinations </w:t>
      </w:r>
      <w:r w:rsidRPr="003523C5">
        <w:rPr>
          <w:lang w:val="en-US"/>
        </w:rPr>
        <w:t>at the local, state</w:t>
      </w:r>
      <w:r w:rsidR="00F17682" w:rsidRPr="003523C5">
        <w:rPr>
          <w:lang w:val="en-US"/>
        </w:rPr>
        <w:t>,</w:t>
      </w:r>
      <w:r w:rsidRPr="003523C5">
        <w:rPr>
          <w:lang w:val="en-US"/>
        </w:rPr>
        <w:t xml:space="preserve"> and (supra)national levels</w:t>
      </w:r>
      <w:r w:rsidR="00F17682" w:rsidRPr="003523C5">
        <w:rPr>
          <w:lang w:val="en-US"/>
        </w:rPr>
        <w:t xml:space="preserve">. </w:t>
      </w:r>
      <w:r w:rsidR="007A358D" w:rsidRPr="003523C5">
        <w:rPr>
          <w:lang w:val="en-US"/>
        </w:rPr>
        <w:t>These new combinations</w:t>
      </w:r>
      <w:r w:rsidR="00F17682" w:rsidRPr="003523C5">
        <w:rPr>
          <w:lang w:val="en-US"/>
        </w:rPr>
        <w:t xml:space="preserve"> and </w:t>
      </w:r>
      <w:r w:rsidR="007A358D" w:rsidRPr="003523C5">
        <w:rPr>
          <w:lang w:val="en-US"/>
        </w:rPr>
        <w:t xml:space="preserve">new ways of </w:t>
      </w:r>
      <w:r w:rsidR="006D3D13">
        <w:rPr>
          <w:lang w:val="en-US"/>
        </w:rPr>
        <w:t>accommodating</w:t>
      </w:r>
      <w:r w:rsidR="006D3D13" w:rsidRPr="003523C5">
        <w:rPr>
          <w:lang w:val="en-US"/>
        </w:rPr>
        <w:t xml:space="preserve"> </w:t>
      </w:r>
      <w:r w:rsidR="007A358D" w:rsidRPr="00907755">
        <w:rPr>
          <w:i/>
          <w:iCs/>
          <w:lang w:val="en-US"/>
        </w:rPr>
        <w:t>heterogeneous</w:t>
      </w:r>
      <w:r w:rsidR="007A358D" w:rsidRPr="003523C5">
        <w:rPr>
          <w:lang w:val="en-US"/>
        </w:rPr>
        <w:t xml:space="preserve"> interests </w:t>
      </w:r>
      <w:r w:rsidR="00CE0CC3" w:rsidRPr="003523C5">
        <w:rPr>
          <w:lang w:val="en-US"/>
        </w:rPr>
        <w:t>were expected to serve as counterweights to powerful factions</w:t>
      </w:r>
      <w:r w:rsidR="00F17682" w:rsidRPr="003523C5">
        <w:rPr>
          <w:lang w:val="en-US"/>
        </w:rPr>
        <w:t xml:space="preserve"> and</w:t>
      </w:r>
      <w:r w:rsidR="00CE0CC3" w:rsidRPr="003523C5">
        <w:rPr>
          <w:lang w:val="en-US"/>
        </w:rPr>
        <w:t xml:space="preserve"> combinations of </w:t>
      </w:r>
      <w:r w:rsidR="00CE0CC3" w:rsidRPr="00907755">
        <w:rPr>
          <w:i/>
          <w:iCs/>
          <w:lang w:val="en-US"/>
        </w:rPr>
        <w:t>homogeneous</w:t>
      </w:r>
      <w:r w:rsidR="00CE0CC3" w:rsidRPr="003523C5">
        <w:rPr>
          <w:lang w:val="en-US"/>
        </w:rPr>
        <w:t xml:space="preserve"> interests. </w:t>
      </w:r>
      <w:r w:rsidRPr="003523C5">
        <w:rPr>
          <w:lang w:val="en-US"/>
        </w:rPr>
        <w:t xml:space="preserve">Coalesced </w:t>
      </w:r>
      <w:r w:rsidR="00F17682" w:rsidRPr="003523C5">
        <w:rPr>
          <w:lang w:val="en-US"/>
        </w:rPr>
        <w:t xml:space="preserve">through </w:t>
      </w:r>
      <w:r w:rsidRPr="003523C5">
        <w:rPr>
          <w:lang w:val="en-US"/>
        </w:rPr>
        <w:t>careful</w:t>
      </w:r>
      <w:r w:rsidR="00F17682" w:rsidRPr="003523C5">
        <w:rPr>
          <w:lang w:val="en-US"/>
        </w:rPr>
        <w:t>l</w:t>
      </w:r>
      <w:r w:rsidRPr="003523C5">
        <w:rPr>
          <w:lang w:val="en-US"/>
        </w:rPr>
        <w:t xml:space="preserve">y designed checks and balances, </w:t>
      </w:r>
      <w:r w:rsidR="00000562" w:rsidRPr="003523C5">
        <w:rPr>
          <w:lang w:val="en-US"/>
        </w:rPr>
        <w:t xml:space="preserve">the second pillar of </w:t>
      </w:r>
      <w:r w:rsidR="00F17682" w:rsidRPr="003523C5">
        <w:rPr>
          <w:lang w:val="en-US"/>
        </w:rPr>
        <w:t xml:space="preserve">political </w:t>
      </w:r>
      <w:r w:rsidR="00000562" w:rsidRPr="003523C5">
        <w:rPr>
          <w:lang w:val="en-US"/>
        </w:rPr>
        <w:t xml:space="preserve">representation, </w:t>
      </w:r>
      <w:r w:rsidRPr="003523C5">
        <w:rPr>
          <w:lang w:val="en-US"/>
        </w:rPr>
        <w:t xml:space="preserve">the </w:t>
      </w:r>
      <w:r w:rsidR="00F17682" w:rsidRPr="003523C5">
        <w:rPr>
          <w:lang w:val="en-US"/>
        </w:rPr>
        <w:t xml:space="preserve">system </w:t>
      </w:r>
      <w:r w:rsidRPr="003523C5">
        <w:rPr>
          <w:lang w:val="en-US"/>
        </w:rPr>
        <w:t>was expected to produce ‘virtuous representations</w:t>
      </w:r>
      <w:r w:rsidR="00F17682" w:rsidRPr="003523C5">
        <w:rPr>
          <w:lang w:val="en-US"/>
        </w:rPr>
        <w:t>’, that is,</w:t>
      </w:r>
      <w:r w:rsidRPr="003523C5">
        <w:rPr>
          <w:lang w:val="en-US"/>
        </w:rPr>
        <w:t xml:space="preserve"> political programs and public policies that could be seen as representing common goods</w:t>
      </w:r>
      <w:r w:rsidR="00472B03" w:rsidRPr="003523C5">
        <w:rPr>
          <w:lang w:val="en-US"/>
        </w:rPr>
        <w:t>.</w:t>
      </w:r>
      <w:r w:rsidR="00472B03" w:rsidRPr="003523C5">
        <w:rPr>
          <w:rStyle w:val="FootnoteReference"/>
          <w:lang w:val="en-US"/>
        </w:rPr>
        <w:footnoteReference w:id="23"/>
      </w:r>
    </w:p>
    <w:p w14:paraId="011CB2E7" w14:textId="77777777" w:rsidR="002A282B" w:rsidRPr="003523C5" w:rsidRDefault="002A282B" w:rsidP="00CA7B81">
      <w:pPr>
        <w:contextualSpacing/>
        <w:rPr>
          <w:lang w:val="en-US"/>
        </w:rPr>
      </w:pPr>
    </w:p>
    <w:p w14:paraId="2853AFB6" w14:textId="08151339" w:rsidR="00B51EFB" w:rsidRPr="003523C5" w:rsidRDefault="00B51EFB" w:rsidP="00CA7B81">
      <w:pPr>
        <w:contextualSpacing/>
        <w:rPr>
          <w:lang w:val="en-US"/>
        </w:rPr>
      </w:pPr>
      <w:r w:rsidRPr="003523C5">
        <w:rPr>
          <w:lang w:val="en-US"/>
        </w:rPr>
        <w:t xml:space="preserve">Returning to the classic theme of </w:t>
      </w:r>
      <w:r w:rsidR="00F17682" w:rsidRPr="003523C5">
        <w:rPr>
          <w:lang w:val="en-US"/>
        </w:rPr>
        <w:t>t</w:t>
      </w:r>
      <w:r w:rsidRPr="003523C5">
        <w:rPr>
          <w:lang w:val="en-US"/>
        </w:rPr>
        <w:t>he Federalist</w:t>
      </w:r>
      <w:r w:rsidR="00F17682" w:rsidRPr="003523C5">
        <w:rPr>
          <w:lang w:val="en-US"/>
        </w:rPr>
        <w:t xml:space="preserve"> Papers</w:t>
      </w:r>
      <w:r w:rsidRPr="003523C5">
        <w:rPr>
          <w:lang w:val="en-US"/>
        </w:rPr>
        <w:t xml:space="preserve">, students of positive political economy have claimed </w:t>
      </w:r>
      <w:r w:rsidR="00F17682" w:rsidRPr="003523C5">
        <w:rPr>
          <w:lang w:val="en-US"/>
        </w:rPr>
        <w:t xml:space="preserve">that </w:t>
      </w:r>
      <w:r w:rsidRPr="003523C5">
        <w:rPr>
          <w:lang w:val="en-US"/>
        </w:rPr>
        <w:t xml:space="preserve">the central challenge for </w:t>
      </w:r>
      <w:r w:rsidR="00C57480" w:rsidRPr="003523C5">
        <w:rPr>
          <w:lang w:val="en-US"/>
        </w:rPr>
        <w:t>multilevel</w:t>
      </w:r>
      <w:r w:rsidRPr="003523C5">
        <w:rPr>
          <w:lang w:val="en-US"/>
        </w:rPr>
        <w:t xml:space="preserve"> polities is “how to structure incentives </w:t>
      </w:r>
      <w:r w:rsidRPr="003523C5">
        <w:rPr>
          <w:lang w:val="en-US"/>
        </w:rPr>
        <w:lastRenderedPageBreak/>
        <w:t>so that local politicians have strong incentives to collect information and serve their constituents, while minimizing incentives and opportunities to exploit common</w:t>
      </w:r>
      <w:r w:rsidR="00B27EB1" w:rsidRPr="003523C5">
        <w:rPr>
          <w:lang w:val="en-US"/>
        </w:rPr>
        <w:t xml:space="preserve"> </w:t>
      </w:r>
      <w:r w:rsidRPr="003523C5">
        <w:rPr>
          <w:lang w:val="en-US"/>
        </w:rPr>
        <w:t>pool problems and undermine the provision of national collective goods</w:t>
      </w:r>
      <w:r w:rsidR="00F17682" w:rsidRPr="003523C5">
        <w:rPr>
          <w:lang w:val="en-US"/>
        </w:rPr>
        <w:t>.</w:t>
      </w:r>
      <w:r w:rsidRPr="003523C5">
        <w:rPr>
          <w:lang w:val="en-US"/>
        </w:rPr>
        <w:t>”</w:t>
      </w:r>
      <w:r w:rsidR="00F17682" w:rsidRPr="003523C5">
        <w:rPr>
          <w:rStyle w:val="FootnoteReference"/>
          <w:lang w:val="en-US"/>
        </w:rPr>
        <w:footnoteReference w:id="24"/>
      </w:r>
    </w:p>
    <w:p w14:paraId="5CF0F2A0" w14:textId="77777777" w:rsidR="002A282B" w:rsidRPr="003523C5" w:rsidRDefault="002A282B" w:rsidP="00CA7B81">
      <w:pPr>
        <w:contextualSpacing/>
        <w:rPr>
          <w:lang w:val="en-US"/>
        </w:rPr>
      </w:pPr>
    </w:p>
    <w:p w14:paraId="1655CCB4" w14:textId="393BB392" w:rsidR="007B0913" w:rsidRPr="003523C5" w:rsidRDefault="00273329" w:rsidP="00CA7B81">
      <w:pPr>
        <w:contextualSpacing/>
        <w:rPr>
          <w:lang w:val="en-US"/>
        </w:rPr>
      </w:pPr>
      <w:r w:rsidRPr="003523C5">
        <w:rPr>
          <w:lang w:val="en-US"/>
        </w:rPr>
        <w:t>Based on these ideas</w:t>
      </w:r>
      <w:r w:rsidR="00F17682" w:rsidRPr="003523C5">
        <w:rPr>
          <w:lang w:val="en-US"/>
        </w:rPr>
        <w:t>,</w:t>
      </w:r>
      <w:r w:rsidRPr="003523C5">
        <w:rPr>
          <w:lang w:val="en-US"/>
        </w:rPr>
        <w:t xml:space="preserve"> we argue that the preferences of EU-level policymakers are shaped by the </w:t>
      </w:r>
      <w:r w:rsidR="009C45BC" w:rsidRPr="003523C5">
        <w:rPr>
          <w:lang w:val="en-US"/>
        </w:rPr>
        <w:t xml:space="preserve">EU’s </w:t>
      </w:r>
      <w:r w:rsidRPr="003523C5">
        <w:rPr>
          <w:lang w:val="en-US"/>
        </w:rPr>
        <w:t xml:space="preserve">confederal </w:t>
      </w:r>
      <w:r w:rsidR="009C45BC" w:rsidRPr="003523C5">
        <w:rPr>
          <w:lang w:val="en-US"/>
        </w:rPr>
        <w:t xml:space="preserve">system </w:t>
      </w:r>
      <w:r w:rsidRPr="003523C5">
        <w:rPr>
          <w:lang w:val="en-US"/>
        </w:rPr>
        <w:t>of political representation.</w:t>
      </w:r>
      <w:r w:rsidR="00EA09D2" w:rsidRPr="003523C5">
        <w:rPr>
          <w:lang w:val="en-US"/>
        </w:rPr>
        <w:t xml:space="preserve"> </w:t>
      </w:r>
      <w:r w:rsidRPr="003523C5">
        <w:rPr>
          <w:lang w:val="en-US"/>
        </w:rPr>
        <w:t xml:space="preserve">Unlike in a federal polity, all </w:t>
      </w:r>
      <w:r w:rsidR="00314F60" w:rsidRPr="003523C5">
        <w:rPr>
          <w:lang w:val="en-US"/>
        </w:rPr>
        <w:t xml:space="preserve">member state representatives </w:t>
      </w:r>
      <w:r w:rsidR="009C45BC" w:rsidRPr="003523C5">
        <w:rPr>
          <w:lang w:val="en-US"/>
        </w:rPr>
        <w:t xml:space="preserve">which </w:t>
      </w:r>
      <w:r w:rsidR="00314F60" w:rsidRPr="003523C5">
        <w:rPr>
          <w:lang w:val="en-US"/>
        </w:rPr>
        <w:t>participat</w:t>
      </w:r>
      <w:r w:rsidR="009C45BC" w:rsidRPr="003523C5">
        <w:rPr>
          <w:lang w:val="en-US"/>
        </w:rPr>
        <w:t>e</w:t>
      </w:r>
      <w:r w:rsidR="00314F60" w:rsidRPr="003523C5">
        <w:rPr>
          <w:lang w:val="en-US"/>
        </w:rPr>
        <w:t xml:space="preserve"> in decision-</w:t>
      </w:r>
      <w:r w:rsidRPr="003523C5">
        <w:rPr>
          <w:lang w:val="en-US"/>
        </w:rPr>
        <w:t>mak</w:t>
      </w:r>
      <w:r w:rsidR="00314F60" w:rsidRPr="003523C5">
        <w:rPr>
          <w:lang w:val="en-US"/>
        </w:rPr>
        <w:t>ing</w:t>
      </w:r>
      <w:r w:rsidRPr="003523C5">
        <w:rPr>
          <w:lang w:val="en-US"/>
        </w:rPr>
        <w:t xml:space="preserve"> at </w:t>
      </w:r>
      <w:r w:rsidR="009C45BC" w:rsidRPr="003523C5">
        <w:rPr>
          <w:lang w:val="en-US"/>
        </w:rPr>
        <w:t xml:space="preserve">the </w:t>
      </w:r>
      <w:r w:rsidRPr="003523C5">
        <w:rPr>
          <w:lang w:val="en-US"/>
        </w:rPr>
        <w:t xml:space="preserve">EU level are elected </w:t>
      </w:r>
      <w:r w:rsidR="009C45BC" w:rsidRPr="003523C5">
        <w:rPr>
          <w:lang w:val="en-US"/>
        </w:rPr>
        <w:t>from</w:t>
      </w:r>
      <w:r w:rsidRPr="003523C5">
        <w:rPr>
          <w:lang w:val="en-US"/>
        </w:rPr>
        <w:t xml:space="preserve"> the 27 member states</w:t>
      </w:r>
      <w:r w:rsidR="009C45BC" w:rsidRPr="003523C5">
        <w:rPr>
          <w:lang w:val="en-US"/>
        </w:rPr>
        <w:t>.</w:t>
      </w:r>
      <w:r w:rsidRPr="003523C5">
        <w:rPr>
          <w:lang w:val="en-US"/>
        </w:rPr>
        <w:t xml:space="preserve"> </w:t>
      </w:r>
      <w:r w:rsidR="009C45BC" w:rsidRPr="003523C5">
        <w:rPr>
          <w:lang w:val="en-US"/>
        </w:rPr>
        <w:t>T</w:t>
      </w:r>
      <w:r w:rsidRPr="003523C5">
        <w:rPr>
          <w:lang w:val="en-US"/>
        </w:rPr>
        <w:t>here is no federal representation of the common interests of EU citizens to counterbalance the representation of the interests of the peoples of the member states</w:t>
      </w:r>
      <w:r w:rsidR="009C45BC" w:rsidRPr="003523C5">
        <w:rPr>
          <w:lang w:val="en-US"/>
        </w:rPr>
        <w:t>.</w:t>
      </w:r>
      <w:r w:rsidR="009C45BC" w:rsidRPr="003523C5">
        <w:rPr>
          <w:rStyle w:val="FootnoteReference"/>
          <w:lang w:val="en-US"/>
        </w:rPr>
        <w:footnoteReference w:id="25"/>
      </w:r>
      <w:r w:rsidR="009C45BC" w:rsidRPr="003523C5">
        <w:rPr>
          <w:lang w:val="en-US"/>
        </w:rPr>
        <w:t xml:space="preserve"> </w:t>
      </w:r>
      <w:r w:rsidRPr="003523C5">
        <w:rPr>
          <w:lang w:val="en-US"/>
        </w:rPr>
        <w:t>Europeans’ ability to influence the policy orientation of European institutions through elections is limited</w:t>
      </w:r>
      <w:r w:rsidR="00A66AC4" w:rsidRPr="003523C5">
        <w:rPr>
          <w:lang w:val="en-US"/>
        </w:rPr>
        <w:t>. V</w:t>
      </w:r>
      <w:r w:rsidRPr="003523C5">
        <w:rPr>
          <w:lang w:val="en-US"/>
        </w:rPr>
        <w:t>oters are not able to choose between rival European agendas</w:t>
      </w:r>
      <w:r w:rsidR="00A66AC4" w:rsidRPr="003523C5">
        <w:rPr>
          <w:lang w:val="en-US"/>
        </w:rPr>
        <w:t>,</w:t>
      </w:r>
      <w:r w:rsidRPr="003523C5">
        <w:rPr>
          <w:lang w:val="en-US"/>
        </w:rPr>
        <w:t xml:space="preserve"> and they only have indirect and limited opportunities to hold EU institutions</w:t>
      </w:r>
      <w:r w:rsidR="00A66AC4" w:rsidRPr="003523C5">
        <w:rPr>
          <w:lang w:val="en-US"/>
        </w:rPr>
        <w:t xml:space="preserve"> accountable</w:t>
      </w:r>
      <w:r w:rsidRPr="003523C5">
        <w:rPr>
          <w:lang w:val="en-US"/>
        </w:rPr>
        <w:t xml:space="preserve">. </w:t>
      </w:r>
      <w:r w:rsidRPr="00EC5F9D">
        <w:rPr>
          <w:lang w:val="en-US"/>
        </w:rPr>
        <w:t>EU-level policy makers have little incentive to commit themselves to longer term, mutually beneficial policies, especially if such policies would imply interstate distribution of resources and opportunities.</w:t>
      </w:r>
      <w:r w:rsidRPr="003523C5">
        <w:rPr>
          <w:lang w:val="en-US"/>
        </w:rPr>
        <w:t xml:space="preserve"> If they want to retain their office, they have to </w:t>
      </w:r>
      <w:r w:rsidR="00F21896" w:rsidRPr="003523C5">
        <w:rPr>
          <w:lang w:val="en-US"/>
        </w:rPr>
        <w:t>convince</w:t>
      </w:r>
      <w:r w:rsidRPr="003523C5">
        <w:rPr>
          <w:lang w:val="en-US"/>
        </w:rPr>
        <w:t xml:space="preserve"> domestic electorates that they represent national interests vis-à-vis other member states or ‘Brussels’ better than their domestic competitors. </w:t>
      </w:r>
    </w:p>
    <w:p w14:paraId="5885E0DC" w14:textId="77777777" w:rsidR="002A282B" w:rsidRPr="003523C5" w:rsidRDefault="002A282B" w:rsidP="00CA7B81">
      <w:pPr>
        <w:contextualSpacing/>
        <w:rPr>
          <w:lang w:val="en-US"/>
        </w:rPr>
      </w:pPr>
    </w:p>
    <w:p w14:paraId="257858CD" w14:textId="035E67B3" w:rsidR="00273329" w:rsidRPr="003523C5" w:rsidRDefault="00F21896" w:rsidP="00CA7B81">
      <w:pPr>
        <w:contextualSpacing/>
        <w:rPr>
          <w:lang w:val="en-US"/>
        </w:rPr>
      </w:pPr>
      <w:r w:rsidRPr="003523C5">
        <w:rPr>
          <w:lang w:val="en-US"/>
        </w:rPr>
        <w:t xml:space="preserve">The perspective we present here differs from </w:t>
      </w:r>
      <w:proofErr w:type="spellStart"/>
      <w:r w:rsidRPr="003523C5">
        <w:rPr>
          <w:lang w:val="en-US"/>
        </w:rPr>
        <w:t>postfunctionalist</w:t>
      </w:r>
      <w:proofErr w:type="spellEnd"/>
      <w:r w:rsidRPr="003523C5">
        <w:rPr>
          <w:lang w:val="en-US"/>
        </w:rPr>
        <w:t xml:space="preserve"> theorizing about integration. According to the lat</w:t>
      </w:r>
      <w:r w:rsidR="00D5786A" w:rsidRPr="003523C5">
        <w:rPr>
          <w:lang w:val="en-US"/>
        </w:rPr>
        <w:t>t</w:t>
      </w:r>
      <w:r w:rsidRPr="003523C5">
        <w:rPr>
          <w:lang w:val="en-US"/>
        </w:rPr>
        <w:t>er, it is primarily changes in public opinion that alter the incentives of elected representatives</w:t>
      </w:r>
      <w:r w:rsidR="00A522F9" w:rsidRPr="003523C5">
        <w:rPr>
          <w:lang w:val="en-US"/>
        </w:rPr>
        <w:t>.</w:t>
      </w:r>
      <w:r w:rsidR="00A522F9" w:rsidRPr="003523C5">
        <w:rPr>
          <w:rStyle w:val="FootnoteReference"/>
          <w:lang w:val="en-US"/>
        </w:rPr>
        <w:footnoteReference w:id="26"/>
      </w:r>
      <w:r w:rsidR="00EE32A2" w:rsidRPr="003523C5">
        <w:rPr>
          <w:lang w:val="en-US"/>
        </w:rPr>
        <w:t xml:space="preserve"> </w:t>
      </w:r>
      <w:r w:rsidRPr="003523C5">
        <w:rPr>
          <w:lang w:val="en-US"/>
        </w:rPr>
        <w:t xml:space="preserve">In our approach, changes in public opinion are not exogeneous to the confederal </w:t>
      </w:r>
      <w:r w:rsidR="00A522F9" w:rsidRPr="003523C5">
        <w:rPr>
          <w:lang w:val="en-US"/>
        </w:rPr>
        <w:t xml:space="preserve">system </w:t>
      </w:r>
      <w:r w:rsidRPr="003523C5">
        <w:rPr>
          <w:lang w:val="en-US"/>
        </w:rPr>
        <w:t xml:space="preserve">of </w:t>
      </w:r>
      <w:r w:rsidR="00A522F9" w:rsidRPr="003523C5">
        <w:rPr>
          <w:lang w:val="en-US"/>
        </w:rPr>
        <w:t xml:space="preserve">political </w:t>
      </w:r>
      <w:r w:rsidRPr="003523C5">
        <w:rPr>
          <w:lang w:val="en-US"/>
        </w:rPr>
        <w:t>representation</w:t>
      </w:r>
      <w:r w:rsidR="00EE32A2" w:rsidRPr="003523C5">
        <w:rPr>
          <w:lang w:val="en-US"/>
        </w:rPr>
        <w:t>.</w:t>
      </w:r>
      <w:r w:rsidR="007B0913" w:rsidRPr="003523C5">
        <w:rPr>
          <w:lang w:val="en-US"/>
        </w:rPr>
        <w:t xml:space="preserve"> </w:t>
      </w:r>
      <w:r w:rsidRPr="003523C5">
        <w:rPr>
          <w:lang w:val="en-US"/>
        </w:rPr>
        <w:t>Rational actors competing for the right to become or stay representatives have strong incentive</w:t>
      </w:r>
      <w:r w:rsidR="00A522F9" w:rsidRPr="003523C5">
        <w:rPr>
          <w:lang w:val="en-US"/>
        </w:rPr>
        <w:t>s</w:t>
      </w:r>
      <w:r w:rsidRPr="003523C5">
        <w:rPr>
          <w:lang w:val="en-US"/>
        </w:rPr>
        <w:t xml:space="preserve"> to</w:t>
      </w:r>
      <w:r w:rsidR="00EA09D2" w:rsidRPr="003523C5">
        <w:rPr>
          <w:lang w:val="en-US"/>
        </w:rPr>
        <w:t xml:space="preserve"> </w:t>
      </w:r>
      <w:r w:rsidRPr="003523C5">
        <w:rPr>
          <w:lang w:val="en-US"/>
        </w:rPr>
        <w:t xml:space="preserve">actively shape public opinion. </w:t>
      </w:r>
      <w:r w:rsidR="00912815" w:rsidRPr="003523C5">
        <w:rPr>
          <w:lang w:val="en-US"/>
        </w:rPr>
        <w:t>They c</w:t>
      </w:r>
      <w:r w:rsidR="00000562" w:rsidRPr="003523C5">
        <w:rPr>
          <w:lang w:val="en-US"/>
        </w:rPr>
        <w:t>ompet</w:t>
      </w:r>
      <w:r w:rsidR="00912815" w:rsidRPr="003523C5">
        <w:rPr>
          <w:lang w:val="en-US"/>
        </w:rPr>
        <w:t>e</w:t>
      </w:r>
      <w:r w:rsidRPr="003523C5">
        <w:rPr>
          <w:lang w:val="en-US"/>
        </w:rPr>
        <w:t xml:space="preserve"> with their opponents </w:t>
      </w:r>
      <w:r w:rsidR="00A522F9" w:rsidRPr="003523C5">
        <w:rPr>
          <w:lang w:val="en-US"/>
        </w:rPr>
        <w:t xml:space="preserve">to </w:t>
      </w:r>
      <w:r w:rsidRPr="003523C5">
        <w:rPr>
          <w:lang w:val="en-US"/>
        </w:rPr>
        <w:t>mak</w:t>
      </w:r>
      <w:r w:rsidR="00A522F9" w:rsidRPr="003523C5">
        <w:rPr>
          <w:lang w:val="en-US"/>
        </w:rPr>
        <w:t>e</w:t>
      </w:r>
      <w:r w:rsidRPr="003523C5">
        <w:rPr>
          <w:lang w:val="en-US"/>
        </w:rPr>
        <w:t xml:space="preserve"> voters identify with their program</w:t>
      </w:r>
      <w:r w:rsidR="00912815" w:rsidRPr="003523C5">
        <w:rPr>
          <w:lang w:val="en-US"/>
        </w:rPr>
        <w:t>. As such,</w:t>
      </w:r>
      <w:r w:rsidRPr="003523C5">
        <w:rPr>
          <w:lang w:val="en-US"/>
        </w:rPr>
        <w:t xml:space="preserve"> in the confederal system</w:t>
      </w:r>
      <w:r w:rsidR="00912815" w:rsidRPr="003523C5">
        <w:rPr>
          <w:lang w:val="en-US"/>
        </w:rPr>
        <w:t>,</w:t>
      </w:r>
      <w:r w:rsidRPr="003523C5">
        <w:rPr>
          <w:lang w:val="en-US"/>
        </w:rPr>
        <w:t xml:space="preserve"> </w:t>
      </w:r>
      <w:r w:rsidR="00912815" w:rsidRPr="003523C5">
        <w:rPr>
          <w:lang w:val="en-US"/>
        </w:rPr>
        <w:t xml:space="preserve">candidates </w:t>
      </w:r>
      <w:r w:rsidRPr="003523C5">
        <w:rPr>
          <w:lang w:val="en-US"/>
        </w:rPr>
        <w:t>have strong incentives to anticipate and discredit the strategies of their opponents</w:t>
      </w:r>
      <w:r w:rsidR="00912815" w:rsidRPr="003523C5">
        <w:rPr>
          <w:lang w:val="en-US"/>
        </w:rPr>
        <w:t xml:space="preserve">, claiming that the latter </w:t>
      </w:r>
      <w:r w:rsidRPr="003523C5">
        <w:rPr>
          <w:lang w:val="en-US"/>
        </w:rPr>
        <w:t xml:space="preserve">misrepresent or </w:t>
      </w:r>
      <w:r w:rsidR="00912815" w:rsidRPr="003523C5">
        <w:rPr>
          <w:lang w:val="en-US"/>
        </w:rPr>
        <w:t xml:space="preserve">do </w:t>
      </w:r>
      <w:r w:rsidRPr="003523C5">
        <w:rPr>
          <w:lang w:val="en-US"/>
        </w:rPr>
        <w:t xml:space="preserve">not represent national interests. They do not only represent high salience issues that </w:t>
      </w:r>
      <w:r w:rsidR="00912815" w:rsidRPr="003523C5">
        <w:rPr>
          <w:lang w:val="en-US"/>
        </w:rPr>
        <w:t xml:space="preserve">have </w:t>
      </w:r>
      <w:r w:rsidRPr="003523C5">
        <w:rPr>
          <w:lang w:val="en-US"/>
        </w:rPr>
        <w:t xml:space="preserve">somehow </w:t>
      </w:r>
      <w:r w:rsidR="00912815" w:rsidRPr="003523C5">
        <w:rPr>
          <w:lang w:val="en-US"/>
        </w:rPr>
        <w:t xml:space="preserve">become </w:t>
      </w:r>
      <w:r w:rsidRPr="003523C5">
        <w:rPr>
          <w:lang w:val="en-US"/>
        </w:rPr>
        <w:t>politicized. If they want to be (re</w:t>
      </w:r>
      <w:r w:rsidR="00912815" w:rsidRPr="003523C5">
        <w:rPr>
          <w:lang w:val="en-US"/>
        </w:rPr>
        <w:t>-</w:t>
      </w:r>
      <w:r w:rsidRPr="003523C5">
        <w:rPr>
          <w:lang w:val="en-US"/>
        </w:rPr>
        <w:t>)elected</w:t>
      </w:r>
      <w:r w:rsidR="00912815" w:rsidRPr="003523C5">
        <w:rPr>
          <w:lang w:val="en-US"/>
        </w:rPr>
        <w:t>,</w:t>
      </w:r>
      <w:r w:rsidRPr="003523C5">
        <w:rPr>
          <w:lang w:val="en-US"/>
        </w:rPr>
        <w:t xml:space="preserve"> they have strong incentives both to politicize previously low salience issues and, if they are incumbents, to prevent the politicization of other issues by co-opting</w:t>
      </w:r>
      <w:r w:rsidR="00912815" w:rsidRPr="003523C5">
        <w:rPr>
          <w:lang w:val="en-US"/>
        </w:rPr>
        <w:t xml:space="preserve"> or </w:t>
      </w:r>
      <w:r w:rsidRPr="003523C5">
        <w:rPr>
          <w:lang w:val="en-US"/>
        </w:rPr>
        <w:t>compensating in advance those domestic actors who have the capacity to politicize th</w:t>
      </w:r>
      <w:r w:rsidR="00912815" w:rsidRPr="003523C5">
        <w:rPr>
          <w:lang w:val="en-US"/>
        </w:rPr>
        <w:t>ose issues</w:t>
      </w:r>
      <w:r w:rsidRPr="003523C5">
        <w:rPr>
          <w:lang w:val="en-US"/>
        </w:rPr>
        <w:t xml:space="preserve">. </w:t>
      </w:r>
      <w:r w:rsidR="00000562" w:rsidRPr="003523C5">
        <w:rPr>
          <w:lang w:val="en-US"/>
        </w:rPr>
        <w:t xml:space="preserve">The politicization of EU transfers or the rules </w:t>
      </w:r>
      <w:r w:rsidR="00912815" w:rsidRPr="003523C5">
        <w:rPr>
          <w:lang w:val="en-US"/>
        </w:rPr>
        <w:t xml:space="preserve">on </w:t>
      </w:r>
      <w:r w:rsidR="00000562" w:rsidRPr="003523C5">
        <w:rPr>
          <w:lang w:val="en-US"/>
        </w:rPr>
        <w:t xml:space="preserve">spending EU </w:t>
      </w:r>
      <w:r w:rsidR="00213FFA" w:rsidRPr="003523C5">
        <w:rPr>
          <w:lang w:val="en-US"/>
        </w:rPr>
        <w:t>money</w:t>
      </w:r>
      <w:r w:rsidR="00000562" w:rsidRPr="003523C5">
        <w:rPr>
          <w:lang w:val="en-US"/>
        </w:rPr>
        <w:t xml:space="preserve"> </w:t>
      </w:r>
      <w:r w:rsidR="00912815" w:rsidRPr="003523C5">
        <w:rPr>
          <w:lang w:val="en-US"/>
        </w:rPr>
        <w:t xml:space="preserve">which appeared </w:t>
      </w:r>
      <w:r w:rsidR="00000562" w:rsidRPr="003523C5">
        <w:rPr>
          <w:lang w:val="en-US"/>
        </w:rPr>
        <w:t>after 2008 are examples for the first</w:t>
      </w:r>
      <w:r w:rsidR="00912815" w:rsidRPr="003523C5">
        <w:rPr>
          <w:lang w:val="en-US"/>
        </w:rPr>
        <w:t xml:space="preserve">; </w:t>
      </w:r>
      <w:r w:rsidR="00000562" w:rsidRPr="003523C5">
        <w:rPr>
          <w:lang w:val="en-US"/>
        </w:rPr>
        <w:t xml:space="preserve">the continuous pressure by core countries to alter the rules of state aid policies or the principles guiding </w:t>
      </w:r>
      <w:r w:rsidR="00912815" w:rsidRPr="003523C5">
        <w:rPr>
          <w:lang w:val="en-US"/>
        </w:rPr>
        <w:t xml:space="preserve">the </w:t>
      </w:r>
      <w:r w:rsidR="00000562" w:rsidRPr="003523C5">
        <w:rPr>
          <w:lang w:val="en-US"/>
        </w:rPr>
        <w:t xml:space="preserve">investment decisions of the </w:t>
      </w:r>
      <w:r w:rsidR="00912815" w:rsidRPr="003523C5">
        <w:rPr>
          <w:lang w:val="en-US"/>
        </w:rPr>
        <w:t>EIB</w:t>
      </w:r>
      <w:r w:rsidR="00000562" w:rsidRPr="003523C5">
        <w:rPr>
          <w:lang w:val="en-US"/>
        </w:rPr>
        <w:t xml:space="preserve"> </w:t>
      </w:r>
      <w:r w:rsidR="00912815" w:rsidRPr="003523C5">
        <w:rPr>
          <w:lang w:val="en-US"/>
        </w:rPr>
        <w:t xml:space="preserve">or </w:t>
      </w:r>
      <w:r w:rsidR="00000562" w:rsidRPr="003523C5">
        <w:rPr>
          <w:lang w:val="en-US"/>
        </w:rPr>
        <w:t xml:space="preserve">the EFSI are examples </w:t>
      </w:r>
      <w:r w:rsidR="00912815" w:rsidRPr="003523C5">
        <w:rPr>
          <w:lang w:val="en-US"/>
        </w:rPr>
        <w:t xml:space="preserve">of </w:t>
      </w:r>
      <w:r w:rsidR="00000562" w:rsidRPr="003523C5">
        <w:rPr>
          <w:lang w:val="en-US"/>
        </w:rPr>
        <w:t>the second.</w:t>
      </w:r>
    </w:p>
    <w:p w14:paraId="75B3C5D1" w14:textId="77777777" w:rsidR="002A282B" w:rsidRPr="003523C5" w:rsidRDefault="002A282B" w:rsidP="00CA7B81">
      <w:pPr>
        <w:contextualSpacing/>
        <w:rPr>
          <w:lang w:val="en-US"/>
        </w:rPr>
      </w:pPr>
    </w:p>
    <w:p w14:paraId="14F3842C" w14:textId="1623F85E" w:rsidR="00273329" w:rsidRPr="003523C5" w:rsidRDefault="00273329" w:rsidP="00CA7B81">
      <w:pPr>
        <w:contextualSpacing/>
        <w:rPr>
          <w:bCs/>
          <w:lang w:val="en-US"/>
        </w:rPr>
      </w:pPr>
      <w:r w:rsidRPr="003523C5">
        <w:rPr>
          <w:bCs/>
          <w:lang w:val="en-US"/>
        </w:rPr>
        <w:t xml:space="preserve">EU-level </w:t>
      </w:r>
      <w:r w:rsidR="00314F60" w:rsidRPr="003523C5">
        <w:rPr>
          <w:bCs/>
          <w:lang w:val="en-US"/>
        </w:rPr>
        <w:t xml:space="preserve">representatives and </w:t>
      </w:r>
      <w:r w:rsidR="00907755" w:rsidRPr="003523C5">
        <w:rPr>
          <w:bCs/>
          <w:lang w:val="en-US"/>
        </w:rPr>
        <w:t>policymakers</w:t>
      </w:r>
      <w:r w:rsidRPr="003523C5">
        <w:rPr>
          <w:bCs/>
          <w:lang w:val="en-US"/>
        </w:rPr>
        <w:t xml:space="preserve"> in this system have strong incentives to internalize the gains and externalize the costs of market integration. If they come from core countries, they have strong incentives to </w:t>
      </w:r>
      <w:r w:rsidR="00F21896" w:rsidRPr="003523C5">
        <w:rPr>
          <w:bCs/>
          <w:lang w:val="en-US"/>
        </w:rPr>
        <w:t>expand opportunities for the domestic economic actors in their home countr</w:t>
      </w:r>
      <w:r w:rsidR="00912815" w:rsidRPr="003523C5">
        <w:rPr>
          <w:bCs/>
          <w:lang w:val="en-US"/>
        </w:rPr>
        <w:t xml:space="preserve">ies, </w:t>
      </w:r>
      <w:r w:rsidR="00907755" w:rsidRPr="003523C5">
        <w:rPr>
          <w:bCs/>
          <w:lang w:val="en-US"/>
        </w:rPr>
        <w:t>minimize</w:t>
      </w:r>
      <w:r w:rsidRPr="003523C5">
        <w:rPr>
          <w:bCs/>
          <w:lang w:val="en-US"/>
        </w:rPr>
        <w:t xml:space="preserve"> transferring resources and opportunities to the periphery</w:t>
      </w:r>
      <w:r w:rsidR="00912815" w:rsidRPr="003523C5">
        <w:rPr>
          <w:bCs/>
          <w:lang w:val="en-US"/>
        </w:rPr>
        <w:t>,</w:t>
      </w:r>
      <w:r w:rsidRPr="003523C5">
        <w:rPr>
          <w:bCs/>
          <w:lang w:val="en-US"/>
        </w:rPr>
        <w:t xml:space="preserve"> </w:t>
      </w:r>
      <w:r w:rsidR="00912815" w:rsidRPr="003523C5">
        <w:rPr>
          <w:bCs/>
          <w:lang w:val="en-US"/>
        </w:rPr>
        <w:t xml:space="preserve">and </w:t>
      </w:r>
      <w:r w:rsidRPr="003523C5">
        <w:rPr>
          <w:bCs/>
          <w:lang w:val="en-US"/>
        </w:rPr>
        <w:t>push for EU</w:t>
      </w:r>
      <w:r w:rsidR="00912815" w:rsidRPr="003523C5">
        <w:rPr>
          <w:bCs/>
          <w:lang w:val="en-US"/>
        </w:rPr>
        <w:t>-</w:t>
      </w:r>
      <w:r w:rsidRPr="003523C5">
        <w:rPr>
          <w:bCs/>
          <w:lang w:val="en-US"/>
        </w:rPr>
        <w:t xml:space="preserve">level policies that could increase control over the use of </w:t>
      </w:r>
      <w:r w:rsidR="00FB4153" w:rsidRPr="003523C5">
        <w:rPr>
          <w:bCs/>
          <w:lang w:val="en-US"/>
        </w:rPr>
        <w:t xml:space="preserve">these </w:t>
      </w:r>
      <w:r w:rsidRPr="003523C5">
        <w:rPr>
          <w:bCs/>
          <w:lang w:val="en-US"/>
        </w:rPr>
        <w:t>transfers. Elected politicians in the periphery,</w:t>
      </w:r>
      <w:r w:rsidRPr="003523C5" w:rsidDel="006B1B4A">
        <w:rPr>
          <w:bCs/>
          <w:lang w:val="en-US"/>
        </w:rPr>
        <w:t xml:space="preserve"> </w:t>
      </w:r>
      <w:r w:rsidRPr="003523C5">
        <w:rPr>
          <w:bCs/>
          <w:lang w:val="en-US"/>
        </w:rPr>
        <w:t xml:space="preserve">however, have the opposite incentives. </w:t>
      </w:r>
      <w:r w:rsidR="00B27EB1" w:rsidRPr="003523C5">
        <w:rPr>
          <w:bCs/>
          <w:lang w:val="en-US"/>
        </w:rPr>
        <w:t xml:space="preserve">The trap can best be understood as a collective action </w:t>
      </w:r>
      <w:r w:rsidR="00000562" w:rsidRPr="003523C5">
        <w:rPr>
          <w:bCs/>
          <w:lang w:val="en-US"/>
        </w:rPr>
        <w:t>problem</w:t>
      </w:r>
      <w:r w:rsidR="00B27EB1" w:rsidRPr="003523C5">
        <w:rPr>
          <w:bCs/>
          <w:lang w:val="en-US"/>
        </w:rPr>
        <w:t xml:space="preserve"> in which the motivation of each participant to commit herself to a common goal is hindered both by the contingent choices made by her </w:t>
      </w:r>
      <w:r w:rsidR="001131EF" w:rsidRPr="003523C5">
        <w:rPr>
          <w:bCs/>
          <w:lang w:val="en-US"/>
        </w:rPr>
        <w:t xml:space="preserve">electoral </w:t>
      </w:r>
      <w:r w:rsidR="00B27EB1" w:rsidRPr="003523C5">
        <w:rPr>
          <w:bCs/>
          <w:lang w:val="en-US"/>
        </w:rPr>
        <w:t>opponents at home and by the expectation that her negotiating partners from other member states have the same commitment problems.</w:t>
      </w:r>
    </w:p>
    <w:p w14:paraId="2BB1DD87" w14:textId="77777777" w:rsidR="002A282B" w:rsidRPr="003523C5" w:rsidRDefault="002A282B" w:rsidP="00CA7B81">
      <w:pPr>
        <w:contextualSpacing/>
        <w:rPr>
          <w:bCs/>
          <w:lang w:val="en-US"/>
        </w:rPr>
      </w:pPr>
    </w:p>
    <w:p w14:paraId="5D223B56" w14:textId="7CFBDF5F" w:rsidR="00273329" w:rsidRPr="003523C5" w:rsidRDefault="00273329" w:rsidP="00CA7B81">
      <w:pPr>
        <w:contextualSpacing/>
        <w:rPr>
          <w:bCs/>
          <w:lang w:val="en-US"/>
        </w:rPr>
      </w:pPr>
      <w:r w:rsidRPr="003523C5">
        <w:rPr>
          <w:bCs/>
          <w:lang w:val="en-US"/>
        </w:rPr>
        <w:lastRenderedPageBreak/>
        <w:t xml:space="preserve">Note that the problem is not </w:t>
      </w:r>
      <w:r w:rsidRPr="003523C5">
        <w:rPr>
          <w:bCs/>
          <w:i/>
          <w:iCs/>
          <w:lang w:val="en-US"/>
        </w:rPr>
        <w:t xml:space="preserve">per se </w:t>
      </w:r>
      <w:r w:rsidRPr="003523C5">
        <w:rPr>
          <w:bCs/>
          <w:lang w:val="en-US"/>
        </w:rPr>
        <w:t xml:space="preserve">that member state representatives represent primarily national interests. The source of the problem is that there is no federal counterweight in the EU polity to the representation of the separate interests of the member states. To grasp the specificity of the EU polity, one should imagine the USA </w:t>
      </w:r>
      <w:r w:rsidR="00FB4153" w:rsidRPr="003523C5">
        <w:rPr>
          <w:bCs/>
          <w:lang w:val="en-US"/>
        </w:rPr>
        <w:t xml:space="preserve">being </w:t>
      </w:r>
      <w:r w:rsidRPr="003523C5">
        <w:rPr>
          <w:bCs/>
          <w:lang w:val="en-US"/>
        </w:rPr>
        <w:t xml:space="preserve">run by a council of </w:t>
      </w:r>
      <w:r w:rsidR="00FB4153" w:rsidRPr="003523C5">
        <w:rPr>
          <w:bCs/>
          <w:lang w:val="en-US"/>
        </w:rPr>
        <w:t>fifty</w:t>
      </w:r>
      <w:r w:rsidRPr="003523C5">
        <w:rPr>
          <w:bCs/>
          <w:lang w:val="en-US"/>
        </w:rPr>
        <w:t xml:space="preserve"> governors (with the elected leaders of Rhode Island or Arizona bargaining </w:t>
      </w:r>
      <w:r w:rsidR="00FB4153" w:rsidRPr="003523C5">
        <w:rPr>
          <w:bCs/>
          <w:lang w:val="en-US"/>
        </w:rPr>
        <w:t xml:space="preserve">over </w:t>
      </w:r>
      <w:r w:rsidRPr="003523C5">
        <w:rPr>
          <w:bCs/>
          <w:lang w:val="en-US"/>
        </w:rPr>
        <w:t>federal economic policies with the governors of New York and California) and a weak House of Representatives, with no elected executive and with no one in Washington accountable to the voters of the United States.</w:t>
      </w:r>
    </w:p>
    <w:p w14:paraId="00251B20" w14:textId="77777777" w:rsidR="002A282B" w:rsidRPr="003523C5" w:rsidRDefault="002A282B" w:rsidP="00CA7B81">
      <w:pPr>
        <w:contextualSpacing/>
        <w:rPr>
          <w:bCs/>
          <w:lang w:val="en-US"/>
        </w:rPr>
      </w:pPr>
    </w:p>
    <w:p w14:paraId="347BBE89" w14:textId="774B6AC7" w:rsidR="00273329" w:rsidRPr="003523C5" w:rsidRDefault="001131EF" w:rsidP="00CA7B81">
      <w:pPr>
        <w:contextualSpacing/>
        <w:rPr>
          <w:lang w:val="en-US"/>
        </w:rPr>
      </w:pPr>
      <w:r w:rsidRPr="003523C5">
        <w:rPr>
          <w:bCs/>
          <w:lang w:val="en-US"/>
        </w:rPr>
        <w:t>While the trap of confederalism shapes the preferences of EU</w:t>
      </w:r>
      <w:r w:rsidR="00FB4153" w:rsidRPr="003523C5">
        <w:rPr>
          <w:bCs/>
          <w:lang w:val="en-US"/>
        </w:rPr>
        <w:t>-</w:t>
      </w:r>
      <w:r w:rsidRPr="003523C5">
        <w:rPr>
          <w:bCs/>
          <w:lang w:val="en-US"/>
        </w:rPr>
        <w:t xml:space="preserve">level representatives, </w:t>
      </w:r>
      <w:r w:rsidR="00273329" w:rsidRPr="003523C5">
        <w:rPr>
          <w:bCs/>
          <w:lang w:val="en-US"/>
        </w:rPr>
        <w:t xml:space="preserve">the predominantly intergovernmental </w:t>
      </w:r>
      <w:r w:rsidR="00E31795" w:rsidRPr="003523C5">
        <w:rPr>
          <w:bCs/>
          <w:lang w:val="en-US"/>
        </w:rPr>
        <w:t xml:space="preserve">system of </w:t>
      </w:r>
      <w:r w:rsidR="00907755" w:rsidRPr="003523C5">
        <w:rPr>
          <w:bCs/>
          <w:lang w:val="en-US"/>
        </w:rPr>
        <w:t>policymaking</w:t>
      </w:r>
      <w:r w:rsidR="00273329" w:rsidRPr="003523C5">
        <w:rPr>
          <w:bCs/>
          <w:lang w:val="en-US"/>
        </w:rPr>
        <w:t xml:space="preserve"> provides opportunities to advance those preferences. </w:t>
      </w:r>
      <w:r w:rsidRPr="003523C5">
        <w:rPr>
          <w:bCs/>
          <w:lang w:val="en-US"/>
        </w:rPr>
        <w:t>This</w:t>
      </w:r>
      <w:r w:rsidR="00273329" w:rsidRPr="003523C5">
        <w:rPr>
          <w:bCs/>
          <w:lang w:val="en-US"/>
        </w:rPr>
        <w:t xml:space="preserve"> institutional setup allows for, and in some cases even rewards the core’s weak commitment to level the playing field. For the peripheral members, the same system of </w:t>
      </w:r>
      <w:r w:rsidR="00E31795" w:rsidRPr="003523C5">
        <w:rPr>
          <w:bCs/>
          <w:lang w:val="en-US"/>
        </w:rPr>
        <w:t xml:space="preserve">political </w:t>
      </w:r>
      <w:r w:rsidR="00273329" w:rsidRPr="003523C5">
        <w:rPr>
          <w:bCs/>
          <w:lang w:val="en-US"/>
        </w:rPr>
        <w:t>representation allows for a weak commitment to investing in policies and institutions that could help reduc</w:t>
      </w:r>
      <w:r w:rsidR="00E31795" w:rsidRPr="003523C5">
        <w:rPr>
          <w:bCs/>
          <w:lang w:val="en-US"/>
        </w:rPr>
        <w:t>e</w:t>
      </w:r>
      <w:r w:rsidR="00273329" w:rsidRPr="003523C5">
        <w:rPr>
          <w:bCs/>
          <w:lang w:val="en-US"/>
        </w:rPr>
        <w:t xml:space="preserve"> disparities. </w:t>
      </w:r>
      <w:r w:rsidRPr="003523C5">
        <w:rPr>
          <w:lang w:val="en-US"/>
        </w:rPr>
        <w:t>As a result,</w:t>
      </w:r>
      <w:r w:rsidR="00273329" w:rsidRPr="003523C5">
        <w:rPr>
          <w:lang w:val="en-US"/>
        </w:rPr>
        <w:t xml:space="preserve"> the market</w:t>
      </w:r>
      <w:r w:rsidR="00173AA9" w:rsidRPr="003523C5">
        <w:rPr>
          <w:lang w:val="en-US"/>
        </w:rPr>
        <w:t xml:space="preserve"> </w:t>
      </w:r>
      <w:r w:rsidR="00273329" w:rsidRPr="003523C5">
        <w:rPr>
          <w:lang w:val="en-US"/>
        </w:rPr>
        <w:t>correcti</w:t>
      </w:r>
      <w:r w:rsidR="00173AA9" w:rsidRPr="003523C5">
        <w:rPr>
          <w:lang w:val="en-US"/>
        </w:rPr>
        <w:t>on</w:t>
      </w:r>
      <w:r w:rsidR="00273329" w:rsidRPr="003523C5">
        <w:rPr>
          <w:lang w:val="en-US"/>
        </w:rPr>
        <w:t xml:space="preserve"> policies of </w:t>
      </w:r>
      <w:r w:rsidR="003842B4" w:rsidRPr="003523C5">
        <w:rPr>
          <w:lang w:val="en-US"/>
        </w:rPr>
        <w:t xml:space="preserve">the </w:t>
      </w:r>
      <w:r w:rsidR="00273329" w:rsidRPr="003523C5">
        <w:rPr>
          <w:lang w:val="en-US"/>
        </w:rPr>
        <w:t>EU contribute to the reproduction of market</w:t>
      </w:r>
      <w:r w:rsidR="00E31795" w:rsidRPr="003523C5">
        <w:rPr>
          <w:lang w:val="en-US"/>
        </w:rPr>
        <w:t>-</w:t>
      </w:r>
      <w:r w:rsidR="00273329" w:rsidRPr="003523C5">
        <w:rPr>
          <w:lang w:val="en-US"/>
        </w:rPr>
        <w:t xml:space="preserve">generated inequalities. Moreover, these policies furnish the fragmentation of the single market and contribute to the preservation of </w:t>
      </w:r>
      <w:r w:rsidR="00E31795" w:rsidRPr="003523C5">
        <w:rPr>
          <w:lang w:val="en-US"/>
        </w:rPr>
        <w:t xml:space="preserve">the </w:t>
      </w:r>
      <w:r w:rsidR="00273329" w:rsidRPr="003523C5">
        <w:rPr>
          <w:lang w:val="en-US"/>
        </w:rPr>
        <w:t>economic and political problems that they were supposed to alleviate. In the following sections, we highlight how the distribution of resources and opportunities through the</w:t>
      </w:r>
      <w:r w:rsidR="00173AA9" w:rsidRPr="003523C5">
        <w:rPr>
          <w:lang w:val="en-US"/>
        </w:rPr>
        <w:t xml:space="preserve"> EU’s</w:t>
      </w:r>
      <w:r w:rsidR="00273329" w:rsidRPr="003523C5">
        <w:rPr>
          <w:lang w:val="en-US"/>
        </w:rPr>
        <w:t xml:space="preserve"> market</w:t>
      </w:r>
      <w:r w:rsidR="00173AA9" w:rsidRPr="003523C5">
        <w:rPr>
          <w:lang w:val="en-US"/>
        </w:rPr>
        <w:t xml:space="preserve"> </w:t>
      </w:r>
      <w:r w:rsidR="00273329" w:rsidRPr="003523C5">
        <w:rPr>
          <w:lang w:val="en-US"/>
        </w:rPr>
        <w:t>correcti</w:t>
      </w:r>
      <w:r w:rsidR="00173AA9" w:rsidRPr="003523C5">
        <w:rPr>
          <w:lang w:val="en-US"/>
        </w:rPr>
        <w:t xml:space="preserve">on </w:t>
      </w:r>
      <w:r w:rsidR="00273329" w:rsidRPr="003523C5">
        <w:rPr>
          <w:lang w:val="en-US"/>
        </w:rPr>
        <w:t xml:space="preserve">policies suffer from the </w:t>
      </w:r>
      <w:r w:rsidR="003842B4" w:rsidRPr="003523C5">
        <w:rPr>
          <w:lang w:val="en-US"/>
        </w:rPr>
        <w:t xml:space="preserve">trap of </w:t>
      </w:r>
      <w:r w:rsidR="00273329" w:rsidRPr="003523C5">
        <w:rPr>
          <w:lang w:val="en-US"/>
        </w:rPr>
        <w:t>confederal</w:t>
      </w:r>
      <w:r w:rsidR="003842B4" w:rsidRPr="003523C5">
        <w:rPr>
          <w:lang w:val="en-US"/>
        </w:rPr>
        <w:t>ism</w:t>
      </w:r>
      <w:r w:rsidR="00273329" w:rsidRPr="003523C5">
        <w:rPr>
          <w:lang w:val="en-US"/>
        </w:rPr>
        <w:t xml:space="preserve">. </w:t>
      </w:r>
    </w:p>
    <w:p w14:paraId="42A5521D" w14:textId="77777777" w:rsidR="00D30B79" w:rsidRPr="003523C5" w:rsidRDefault="00D30B79" w:rsidP="00CA7B81">
      <w:pPr>
        <w:contextualSpacing/>
        <w:rPr>
          <w:b/>
          <w:bCs/>
          <w:lang w:val="en-US"/>
        </w:rPr>
      </w:pPr>
    </w:p>
    <w:p w14:paraId="51096C82" w14:textId="7AD857E4" w:rsidR="00EE32A2" w:rsidRPr="003523C5" w:rsidRDefault="009E3FEC" w:rsidP="00CA7B81">
      <w:pPr>
        <w:contextualSpacing/>
        <w:rPr>
          <w:b/>
          <w:bCs/>
          <w:lang w:val="en-US"/>
        </w:rPr>
      </w:pPr>
      <w:r w:rsidRPr="003523C5">
        <w:rPr>
          <w:b/>
          <w:bCs/>
          <w:lang w:val="en-US"/>
        </w:rPr>
        <w:t>3. The EU’s state</w:t>
      </w:r>
      <w:r w:rsidR="00173AA9" w:rsidRPr="003523C5">
        <w:rPr>
          <w:b/>
          <w:bCs/>
          <w:lang w:val="en-US"/>
        </w:rPr>
        <w:t xml:space="preserve"> </w:t>
      </w:r>
      <w:r w:rsidRPr="003523C5">
        <w:rPr>
          <w:b/>
          <w:bCs/>
          <w:lang w:val="en-US"/>
        </w:rPr>
        <w:t xml:space="preserve">aid regime and Cohesion Policy in the </w:t>
      </w:r>
      <w:r w:rsidR="003842B4" w:rsidRPr="003523C5">
        <w:rPr>
          <w:b/>
          <w:bCs/>
          <w:lang w:val="en-US"/>
        </w:rPr>
        <w:t xml:space="preserve">trap of </w:t>
      </w:r>
      <w:r w:rsidRPr="003523C5">
        <w:rPr>
          <w:b/>
          <w:bCs/>
          <w:lang w:val="en-US"/>
        </w:rPr>
        <w:t>confederal</w:t>
      </w:r>
      <w:r w:rsidR="003842B4" w:rsidRPr="003523C5">
        <w:rPr>
          <w:b/>
          <w:bCs/>
          <w:lang w:val="en-US"/>
        </w:rPr>
        <w:t>ism</w:t>
      </w:r>
    </w:p>
    <w:p w14:paraId="2E978FCD" w14:textId="77777777" w:rsidR="009E3FEC" w:rsidRPr="003523C5" w:rsidRDefault="009E3FEC" w:rsidP="00CA7B81">
      <w:pPr>
        <w:contextualSpacing/>
        <w:rPr>
          <w:bCs/>
          <w:lang w:val="en-US"/>
        </w:rPr>
      </w:pPr>
    </w:p>
    <w:p w14:paraId="5BDCE9E1" w14:textId="7064E439" w:rsidR="000121FE" w:rsidRPr="003523C5" w:rsidRDefault="000121FE" w:rsidP="00CA7B81">
      <w:pPr>
        <w:contextualSpacing/>
        <w:rPr>
          <w:b/>
          <w:lang w:val="en-US"/>
        </w:rPr>
      </w:pPr>
      <w:r w:rsidRPr="003523C5">
        <w:rPr>
          <w:b/>
          <w:lang w:val="en-US"/>
        </w:rPr>
        <w:t>3.1</w:t>
      </w:r>
      <w:r w:rsidR="00FF0AF7" w:rsidRPr="003523C5">
        <w:rPr>
          <w:b/>
          <w:lang w:val="en-US"/>
        </w:rPr>
        <w:t>.</w:t>
      </w:r>
      <w:r w:rsidRPr="003523C5">
        <w:rPr>
          <w:b/>
          <w:lang w:val="en-US"/>
        </w:rPr>
        <w:t xml:space="preserve"> State aid</w:t>
      </w:r>
    </w:p>
    <w:p w14:paraId="328793E7" w14:textId="77777777" w:rsidR="002A282B" w:rsidRPr="003523C5" w:rsidRDefault="002A282B" w:rsidP="00CA7B81">
      <w:pPr>
        <w:contextualSpacing/>
        <w:rPr>
          <w:b/>
          <w:lang w:val="en-US"/>
        </w:rPr>
      </w:pPr>
    </w:p>
    <w:p w14:paraId="1B3E64E0" w14:textId="58B0D29E" w:rsidR="00B153F0" w:rsidRPr="003523C5" w:rsidRDefault="000121FE" w:rsidP="00CA7B81">
      <w:pPr>
        <w:contextualSpacing/>
        <w:rPr>
          <w:lang w:val="en-US"/>
        </w:rPr>
      </w:pPr>
      <w:r w:rsidRPr="003523C5">
        <w:rPr>
          <w:lang w:val="en-US"/>
        </w:rPr>
        <w:t xml:space="preserve">State aid is a ‘licensed market distortion’ in the EU’s market governance. While the EU grants near constitutional status to defending market competition from distortion, the Treaties allow for certain exceptions </w:t>
      </w:r>
      <w:r w:rsidR="00E31795" w:rsidRPr="003523C5">
        <w:rPr>
          <w:lang w:val="en-US"/>
        </w:rPr>
        <w:t xml:space="preserve">to </w:t>
      </w:r>
      <w:r w:rsidRPr="003523C5">
        <w:rPr>
          <w:lang w:val="en-US"/>
        </w:rPr>
        <w:t xml:space="preserve">this rule. Articles 107 to 109 specify those circumstances when the provision of potentially market-distorting state aid may be compatible with the internal market. </w:t>
      </w:r>
      <w:r w:rsidR="00C00012" w:rsidRPr="003523C5">
        <w:rPr>
          <w:lang w:val="en-US"/>
        </w:rPr>
        <w:t>As Article 107(3) s</w:t>
      </w:r>
      <w:r w:rsidR="00665EA5" w:rsidRPr="003523C5">
        <w:rPr>
          <w:lang w:val="en-US"/>
        </w:rPr>
        <w:t>tipulates</w:t>
      </w:r>
      <w:r w:rsidR="00C00012" w:rsidRPr="003523C5">
        <w:rPr>
          <w:lang w:val="en-US"/>
        </w:rPr>
        <w:t xml:space="preserve">, aid may be compatible with the EU’s internal market if it promotes the backward areas or certain economic activities or facilitates a project of common European interest. </w:t>
      </w:r>
    </w:p>
    <w:p w14:paraId="69B3AB8E" w14:textId="77777777" w:rsidR="00B153F0" w:rsidRPr="003523C5" w:rsidRDefault="00B153F0" w:rsidP="00CA7B81">
      <w:pPr>
        <w:contextualSpacing/>
        <w:rPr>
          <w:lang w:val="en-US"/>
        </w:rPr>
      </w:pPr>
    </w:p>
    <w:p w14:paraId="2952F7B9" w14:textId="7FFC6C3D" w:rsidR="009037CA" w:rsidRPr="00EC5F9D" w:rsidRDefault="007B39CE" w:rsidP="00CA7B81">
      <w:pPr>
        <w:contextualSpacing/>
        <w:rPr>
          <w:lang w:val="en-US"/>
        </w:rPr>
      </w:pPr>
      <w:r w:rsidRPr="00EC5F9D">
        <w:rPr>
          <w:lang w:val="en-US"/>
        </w:rPr>
        <w:t xml:space="preserve">The evolution of the </w:t>
      </w:r>
      <w:r w:rsidR="001018AD" w:rsidRPr="00EC5F9D">
        <w:rPr>
          <w:lang w:val="en-US"/>
        </w:rPr>
        <w:t>EU</w:t>
      </w:r>
      <w:r w:rsidR="00CF13CC" w:rsidRPr="00EC5F9D">
        <w:rPr>
          <w:lang w:val="en-US"/>
        </w:rPr>
        <w:t>’s</w:t>
      </w:r>
      <w:r w:rsidR="001018AD" w:rsidRPr="00EC5F9D">
        <w:rPr>
          <w:lang w:val="en-US"/>
        </w:rPr>
        <w:t xml:space="preserve"> state aid policy </w:t>
      </w:r>
      <w:r w:rsidR="00E31795" w:rsidRPr="00EC5F9D">
        <w:rPr>
          <w:lang w:val="en-US"/>
        </w:rPr>
        <w:t xml:space="preserve">shares </w:t>
      </w:r>
      <w:r w:rsidR="001018AD" w:rsidRPr="00EC5F9D">
        <w:rPr>
          <w:lang w:val="en-US"/>
        </w:rPr>
        <w:t xml:space="preserve">all the problems linked to the </w:t>
      </w:r>
      <w:r w:rsidR="00E31795" w:rsidRPr="00EC5F9D">
        <w:rPr>
          <w:lang w:val="en-US"/>
        </w:rPr>
        <w:t xml:space="preserve">system </w:t>
      </w:r>
      <w:r w:rsidR="001018AD" w:rsidRPr="00EC5F9D">
        <w:rPr>
          <w:lang w:val="en-US"/>
        </w:rPr>
        <w:t xml:space="preserve">of </w:t>
      </w:r>
      <w:r w:rsidR="00E31795" w:rsidRPr="00EC5F9D">
        <w:rPr>
          <w:lang w:val="en-US"/>
        </w:rPr>
        <w:t xml:space="preserve">political </w:t>
      </w:r>
      <w:r w:rsidR="001018AD" w:rsidRPr="00EC5F9D">
        <w:rPr>
          <w:lang w:val="en-US"/>
        </w:rPr>
        <w:t>representation listed above</w:t>
      </w:r>
      <w:r w:rsidR="00E31795" w:rsidRPr="00EC5F9D">
        <w:rPr>
          <w:lang w:val="en-US"/>
        </w:rPr>
        <w:t>,</w:t>
      </w:r>
      <w:r w:rsidR="001018AD" w:rsidRPr="00EC5F9D">
        <w:rPr>
          <w:lang w:val="en-US"/>
        </w:rPr>
        <w:t xml:space="preserve"> </w:t>
      </w:r>
      <w:r w:rsidR="005E68F3" w:rsidRPr="00EC5F9D">
        <w:rPr>
          <w:lang w:val="en-US"/>
        </w:rPr>
        <w:t>and it illustrate</w:t>
      </w:r>
      <w:r w:rsidR="00B153F0" w:rsidRPr="00EC5F9D">
        <w:rPr>
          <w:lang w:val="en-US"/>
        </w:rPr>
        <w:t>s</w:t>
      </w:r>
      <w:r w:rsidR="005E68F3" w:rsidRPr="00EC5F9D">
        <w:rPr>
          <w:lang w:val="en-US"/>
        </w:rPr>
        <w:t xml:space="preserve"> well the ways the two pillars of </w:t>
      </w:r>
      <w:r w:rsidR="00E31795" w:rsidRPr="00EC5F9D">
        <w:rPr>
          <w:lang w:val="en-US"/>
        </w:rPr>
        <w:t xml:space="preserve">political </w:t>
      </w:r>
      <w:r w:rsidR="005E68F3" w:rsidRPr="00EC5F9D">
        <w:rPr>
          <w:lang w:val="en-US"/>
        </w:rPr>
        <w:t xml:space="preserve">representation together reproduce the outcomes of the market distribution of wealth and opportunities. </w:t>
      </w:r>
      <w:r w:rsidRPr="00EC5F9D">
        <w:rPr>
          <w:lang w:val="en-US"/>
        </w:rPr>
        <w:t xml:space="preserve">All elected </w:t>
      </w:r>
      <w:r w:rsidR="00907755" w:rsidRPr="00EC5F9D">
        <w:rPr>
          <w:lang w:val="en-US"/>
        </w:rPr>
        <w:t>policy</w:t>
      </w:r>
      <w:r w:rsidR="00907755" w:rsidRPr="003523C5">
        <w:rPr>
          <w:lang w:val="en-US"/>
        </w:rPr>
        <w:t>makers</w:t>
      </w:r>
      <w:r w:rsidR="00B153F0" w:rsidRPr="00EC5F9D">
        <w:rPr>
          <w:lang w:val="en-US"/>
        </w:rPr>
        <w:t xml:space="preserve"> </w:t>
      </w:r>
      <w:r w:rsidRPr="00EC5F9D">
        <w:rPr>
          <w:lang w:val="en-US"/>
        </w:rPr>
        <w:t xml:space="preserve">in Brussels represent </w:t>
      </w:r>
      <w:r w:rsidR="00B153F0" w:rsidRPr="00EC5F9D">
        <w:rPr>
          <w:lang w:val="en-US"/>
        </w:rPr>
        <w:t xml:space="preserve">member state </w:t>
      </w:r>
      <w:r w:rsidRPr="00EC5F9D">
        <w:rPr>
          <w:lang w:val="en-US"/>
        </w:rPr>
        <w:t>constituencies. O</w:t>
      </w:r>
      <w:r w:rsidR="00B153F0" w:rsidRPr="00EC5F9D">
        <w:rPr>
          <w:lang w:val="en-US"/>
        </w:rPr>
        <w:t>ut of a desire</w:t>
      </w:r>
      <w:r w:rsidR="008D44DB" w:rsidRPr="00EC5F9D">
        <w:rPr>
          <w:lang w:val="en-US"/>
        </w:rPr>
        <w:t xml:space="preserve"> </w:t>
      </w:r>
      <w:r w:rsidR="00B153F0" w:rsidRPr="00EC5F9D">
        <w:rPr>
          <w:lang w:val="en-US"/>
        </w:rPr>
        <w:t xml:space="preserve">to improve their chances </w:t>
      </w:r>
      <w:r w:rsidR="00E31795" w:rsidRPr="003523C5">
        <w:rPr>
          <w:lang w:val="en-US"/>
        </w:rPr>
        <w:t>for</w:t>
      </w:r>
      <w:r w:rsidR="00E31795" w:rsidRPr="00EC5F9D">
        <w:rPr>
          <w:lang w:val="en-US"/>
        </w:rPr>
        <w:t xml:space="preserve"> </w:t>
      </w:r>
      <w:r w:rsidR="00B153F0" w:rsidRPr="00EC5F9D">
        <w:rPr>
          <w:lang w:val="en-US"/>
        </w:rPr>
        <w:t>re-election</w:t>
      </w:r>
      <w:r w:rsidR="00E31795" w:rsidRPr="003523C5">
        <w:rPr>
          <w:lang w:val="en-US"/>
        </w:rPr>
        <w:t>,</w:t>
      </w:r>
      <w:r w:rsidR="00B153F0" w:rsidRPr="00EC5F9D">
        <w:rPr>
          <w:lang w:val="en-US"/>
        </w:rPr>
        <w:t xml:space="preserve"> they </w:t>
      </w:r>
      <w:r w:rsidR="00F51F57" w:rsidRPr="00EC5F9D">
        <w:rPr>
          <w:lang w:val="en-US"/>
        </w:rPr>
        <w:t xml:space="preserve">might </w:t>
      </w:r>
      <w:r w:rsidR="00B153F0" w:rsidRPr="00EC5F9D">
        <w:rPr>
          <w:lang w:val="en-US"/>
        </w:rPr>
        <w:t xml:space="preserve">have </w:t>
      </w:r>
      <w:r w:rsidR="00F51F57" w:rsidRPr="00EC5F9D">
        <w:rPr>
          <w:lang w:val="en-US"/>
        </w:rPr>
        <w:t>incentives to</w:t>
      </w:r>
      <w:r w:rsidR="00B153F0" w:rsidRPr="00EC5F9D">
        <w:rPr>
          <w:lang w:val="en-US"/>
        </w:rPr>
        <w:t xml:space="preserve"> fight for the removal of interstate barriers</w:t>
      </w:r>
      <w:r w:rsidR="008D44DB" w:rsidRPr="00EC5F9D">
        <w:rPr>
          <w:lang w:val="en-US"/>
        </w:rPr>
        <w:t xml:space="preserve"> </w:t>
      </w:r>
      <w:r w:rsidR="00E31795" w:rsidRPr="003523C5">
        <w:rPr>
          <w:lang w:val="en-US"/>
        </w:rPr>
        <w:t>to</w:t>
      </w:r>
      <w:r w:rsidR="00E31795" w:rsidRPr="00EC5F9D">
        <w:rPr>
          <w:lang w:val="en-US"/>
        </w:rPr>
        <w:t xml:space="preserve"> </w:t>
      </w:r>
      <w:r w:rsidR="008D44DB" w:rsidRPr="00EC5F9D">
        <w:rPr>
          <w:lang w:val="en-US"/>
        </w:rPr>
        <w:t>free trade</w:t>
      </w:r>
      <w:r w:rsidR="00F51F57" w:rsidRPr="00EC5F9D">
        <w:rPr>
          <w:lang w:val="en-US"/>
        </w:rPr>
        <w:t xml:space="preserve">, but </w:t>
      </w:r>
      <w:r w:rsidR="008D44DB" w:rsidRPr="00EC5F9D">
        <w:rPr>
          <w:lang w:val="en-US"/>
        </w:rPr>
        <w:t>they might also have strong incentive</w:t>
      </w:r>
      <w:r w:rsidR="00901376" w:rsidRPr="00EC5F9D">
        <w:rPr>
          <w:lang w:val="en-US"/>
        </w:rPr>
        <w:t>s</w:t>
      </w:r>
      <w:r w:rsidR="008D44DB" w:rsidRPr="00EC5F9D">
        <w:rPr>
          <w:lang w:val="en-US"/>
        </w:rPr>
        <w:t xml:space="preserve"> </w:t>
      </w:r>
      <w:r w:rsidR="00F51F57" w:rsidRPr="00EC5F9D">
        <w:rPr>
          <w:lang w:val="en-US"/>
        </w:rPr>
        <w:t>to</w:t>
      </w:r>
      <w:r w:rsidR="008D44DB" w:rsidRPr="00EC5F9D">
        <w:rPr>
          <w:lang w:val="en-US"/>
        </w:rPr>
        <w:t xml:space="preserve"> fight for rules that allow for </w:t>
      </w:r>
      <w:r w:rsidR="00E31795" w:rsidRPr="003523C5">
        <w:rPr>
          <w:lang w:val="en-US"/>
        </w:rPr>
        <w:t xml:space="preserve">the </w:t>
      </w:r>
      <w:r w:rsidR="008D44DB" w:rsidRPr="00EC5F9D">
        <w:rPr>
          <w:lang w:val="en-US"/>
        </w:rPr>
        <w:t xml:space="preserve">subsidizing </w:t>
      </w:r>
      <w:r w:rsidR="00E31795" w:rsidRPr="003523C5">
        <w:rPr>
          <w:lang w:val="en-US"/>
        </w:rPr>
        <w:t xml:space="preserve">of their </w:t>
      </w:r>
      <w:r w:rsidR="00F51F57" w:rsidRPr="00EC5F9D">
        <w:rPr>
          <w:lang w:val="en-US"/>
        </w:rPr>
        <w:t xml:space="preserve">own </w:t>
      </w:r>
      <w:r w:rsidR="00E31795" w:rsidRPr="003523C5">
        <w:rPr>
          <w:lang w:val="en-US"/>
        </w:rPr>
        <w:t xml:space="preserve">state’s </w:t>
      </w:r>
      <w:r w:rsidR="00F51F57" w:rsidRPr="00EC5F9D">
        <w:rPr>
          <w:lang w:val="en-US"/>
        </w:rPr>
        <w:t>economic activity even at the expense of lost activity in another member state</w:t>
      </w:r>
      <w:r w:rsidRPr="00EC5F9D">
        <w:rPr>
          <w:lang w:val="en-US"/>
        </w:rPr>
        <w:t>.</w:t>
      </w:r>
      <w:r w:rsidR="00E31795" w:rsidRPr="003523C5">
        <w:rPr>
          <w:lang w:val="en-US"/>
        </w:rPr>
        <w:t xml:space="preserve"> </w:t>
      </w:r>
      <w:r w:rsidRPr="00EC5F9D">
        <w:rPr>
          <w:lang w:val="en-US"/>
        </w:rPr>
        <w:t xml:space="preserve">Supporting </w:t>
      </w:r>
      <w:r w:rsidR="00E31795" w:rsidRPr="003523C5">
        <w:rPr>
          <w:lang w:val="en-US"/>
        </w:rPr>
        <w:t xml:space="preserve">an </w:t>
      </w:r>
      <w:r w:rsidRPr="00EC5F9D">
        <w:rPr>
          <w:lang w:val="en-US"/>
        </w:rPr>
        <w:t xml:space="preserve">increase in state aid </w:t>
      </w:r>
      <w:r w:rsidR="00E31795" w:rsidRPr="003523C5">
        <w:rPr>
          <w:lang w:val="en-US"/>
        </w:rPr>
        <w:t>for</w:t>
      </w:r>
      <w:r w:rsidR="00E31795" w:rsidRPr="00EC5F9D">
        <w:rPr>
          <w:lang w:val="en-US"/>
        </w:rPr>
        <w:t xml:space="preserve"> </w:t>
      </w:r>
      <w:r w:rsidRPr="00EC5F9D">
        <w:rPr>
          <w:lang w:val="en-US"/>
        </w:rPr>
        <w:t>their home country is a conspicuous way to signal their commitment to supply public goods</w:t>
      </w:r>
      <w:r w:rsidR="00E31795" w:rsidRPr="003523C5">
        <w:rPr>
          <w:lang w:val="en-US"/>
        </w:rPr>
        <w:t xml:space="preserve"> to their voters.</w:t>
      </w:r>
      <w:r w:rsidR="00E31795" w:rsidRPr="003523C5">
        <w:rPr>
          <w:rStyle w:val="FootnoteReference"/>
          <w:lang w:val="en-US"/>
        </w:rPr>
        <w:footnoteReference w:id="27"/>
      </w:r>
      <w:r w:rsidRPr="00EC5F9D">
        <w:rPr>
          <w:lang w:val="en-US"/>
        </w:rPr>
        <w:t xml:space="preserve"> </w:t>
      </w:r>
    </w:p>
    <w:p w14:paraId="77095777" w14:textId="77777777" w:rsidR="009037CA" w:rsidRPr="003523C5" w:rsidRDefault="009037CA" w:rsidP="00CA7B81">
      <w:pPr>
        <w:contextualSpacing/>
        <w:rPr>
          <w:highlight w:val="yellow"/>
          <w:lang w:val="en-US"/>
        </w:rPr>
      </w:pPr>
    </w:p>
    <w:p w14:paraId="4D77A41F" w14:textId="25B0EA31" w:rsidR="001018AD" w:rsidRPr="003523C5" w:rsidRDefault="00653FEB" w:rsidP="00CA7B81">
      <w:pPr>
        <w:contextualSpacing/>
        <w:rPr>
          <w:lang w:val="en-US"/>
        </w:rPr>
      </w:pPr>
      <w:r w:rsidRPr="00EC5F9D">
        <w:rPr>
          <w:lang w:val="en-US"/>
        </w:rPr>
        <w:t>In federal systems</w:t>
      </w:r>
      <w:r w:rsidR="00E31795" w:rsidRPr="00EC5F9D">
        <w:rPr>
          <w:lang w:val="en-US"/>
        </w:rPr>
        <w:t>,</w:t>
      </w:r>
      <w:r w:rsidRPr="00EC5F9D">
        <w:rPr>
          <w:lang w:val="en-US"/>
        </w:rPr>
        <w:t xml:space="preserve"> there are </w:t>
      </w:r>
      <w:r w:rsidR="00901376" w:rsidRPr="00EC5F9D">
        <w:rPr>
          <w:lang w:val="en-US"/>
        </w:rPr>
        <w:t>representatives</w:t>
      </w:r>
      <w:r w:rsidRPr="00EC5F9D">
        <w:rPr>
          <w:lang w:val="en-US"/>
        </w:rPr>
        <w:t xml:space="preserve"> with strong incentives</w:t>
      </w:r>
      <w:r w:rsidR="00901376" w:rsidRPr="00EC5F9D">
        <w:rPr>
          <w:lang w:val="en-US"/>
        </w:rPr>
        <w:t xml:space="preserve"> and corresponding powers to create and sustain broad-based coalitions of voters from the states</w:t>
      </w:r>
      <w:r w:rsidR="00107ECD" w:rsidRPr="00EC5F9D">
        <w:rPr>
          <w:lang w:val="en-US"/>
        </w:rPr>
        <w:t>. They can do so</w:t>
      </w:r>
      <w:r w:rsidR="00901376" w:rsidRPr="00EC5F9D">
        <w:rPr>
          <w:lang w:val="en-US"/>
        </w:rPr>
        <w:t xml:space="preserve"> both by </w:t>
      </w:r>
      <w:r w:rsidR="003C58E2" w:rsidRPr="00EC5F9D">
        <w:rPr>
          <w:lang w:val="en-US"/>
        </w:rPr>
        <w:t>leaving</w:t>
      </w:r>
      <w:r w:rsidR="00901376" w:rsidRPr="00EC5F9D">
        <w:rPr>
          <w:lang w:val="en-US"/>
        </w:rPr>
        <w:t xml:space="preserve"> larger regulatory autonomy </w:t>
      </w:r>
      <w:r w:rsidR="003C58E2" w:rsidRPr="00EC5F9D">
        <w:rPr>
          <w:lang w:val="en-US"/>
        </w:rPr>
        <w:t xml:space="preserve">at the level of </w:t>
      </w:r>
      <w:r w:rsidR="00901376" w:rsidRPr="00EC5F9D">
        <w:rPr>
          <w:lang w:val="en-US"/>
        </w:rPr>
        <w:t xml:space="preserve">the states and </w:t>
      </w:r>
      <w:r w:rsidR="005E3E27" w:rsidRPr="00EC5F9D">
        <w:rPr>
          <w:lang w:val="en-US"/>
        </w:rPr>
        <w:t xml:space="preserve">support </w:t>
      </w:r>
      <w:r w:rsidR="00901376" w:rsidRPr="00EC5F9D">
        <w:rPr>
          <w:lang w:val="en-US"/>
        </w:rPr>
        <w:t>federal</w:t>
      </w:r>
      <w:r w:rsidR="005E3E27" w:rsidRPr="00EC5F9D">
        <w:rPr>
          <w:lang w:val="en-US"/>
        </w:rPr>
        <w:t>-</w:t>
      </w:r>
      <w:r w:rsidR="00901376" w:rsidRPr="00EC5F9D">
        <w:rPr>
          <w:lang w:val="en-US"/>
        </w:rPr>
        <w:t xml:space="preserve">level policies </w:t>
      </w:r>
      <w:r w:rsidR="005E3E27" w:rsidRPr="00EC5F9D">
        <w:rPr>
          <w:lang w:val="en-US"/>
        </w:rPr>
        <w:t xml:space="preserve">which </w:t>
      </w:r>
      <w:r w:rsidR="00901376" w:rsidRPr="00EC5F9D">
        <w:rPr>
          <w:lang w:val="en-US"/>
        </w:rPr>
        <w:t>compensat</w:t>
      </w:r>
      <w:r w:rsidR="005E3E27" w:rsidRPr="00EC5F9D">
        <w:rPr>
          <w:lang w:val="en-US"/>
        </w:rPr>
        <w:t>e</w:t>
      </w:r>
      <w:r w:rsidR="00901376" w:rsidRPr="00EC5F9D">
        <w:rPr>
          <w:lang w:val="en-US"/>
        </w:rPr>
        <w:t xml:space="preserve"> for the negative externalities of the free(er) flow of goods and factors of </w:t>
      </w:r>
      <w:r w:rsidR="00901376" w:rsidRPr="00EC5F9D">
        <w:rPr>
          <w:lang w:val="en-US"/>
        </w:rPr>
        <w:lastRenderedPageBreak/>
        <w:t>production across state</w:t>
      </w:r>
      <w:r w:rsidR="005E3E27" w:rsidRPr="00EC5F9D">
        <w:rPr>
          <w:lang w:val="en-US"/>
        </w:rPr>
        <w:t xml:space="preserve"> borders</w:t>
      </w:r>
      <w:r w:rsidR="00901376" w:rsidRPr="00EC5F9D">
        <w:rPr>
          <w:lang w:val="en-US"/>
        </w:rPr>
        <w:t>. In a confederal system</w:t>
      </w:r>
      <w:r w:rsidR="005E3E27" w:rsidRPr="00EC5F9D">
        <w:rPr>
          <w:lang w:val="en-US"/>
        </w:rPr>
        <w:t>,</w:t>
      </w:r>
      <w:r w:rsidR="003C58E2" w:rsidRPr="00EC5F9D">
        <w:rPr>
          <w:lang w:val="en-US"/>
        </w:rPr>
        <w:t xml:space="preserve"> </w:t>
      </w:r>
      <w:r w:rsidR="00A90937" w:rsidRPr="00EC5F9D">
        <w:rPr>
          <w:lang w:val="en-US"/>
        </w:rPr>
        <w:t>such countervailing powers are weak</w:t>
      </w:r>
      <w:r w:rsidR="00107ECD" w:rsidRPr="00EC5F9D">
        <w:rPr>
          <w:lang w:val="en-US"/>
        </w:rPr>
        <w:t xml:space="preserve"> and the </w:t>
      </w:r>
      <w:r w:rsidR="005E3E27" w:rsidRPr="00EC5F9D">
        <w:rPr>
          <w:lang w:val="en-US"/>
        </w:rPr>
        <w:t>opportunities</w:t>
      </w:r>
      <w:r w:rsidR="00107ECD" w:rsidRPr="00EC5F9D">
        <w:rPr>
          <w:lang w:val="en-US"/>
        </w:rPr>
        <w:t xml:space="preserve"> </w:t>
      </w:r>
      <w:r w:rsidR="005E3E27" w:rsidRPr="00EC5F9D">
        <w:rPr>
          <w:lang w:val="en-US"/>
        </w:rPr>
        <w:t xml:space="preserve">for </w:t>
      </w:r>
      <w:r w:rsidR="00107ECD" w:rsidRPr="00EC5F9D">
        <w:rPr>
          <w:lang w:val="en-US"/>
        </w:rPr>
        <w:t xml:space="preserve">such balancing acts </w:t>
      </w:r>
      <w:r w:rsidR="005E3E27" w:rsidRPr="00EC5F9D">
        <w:rPr>
          <w:lang w:val="en-US"/>
        </w:rPr>
        <w:t xml:space="preserve">to appear are </w:t>
      </w:r>
      <w:r w:rsidR="00107ECD" w:rsidRPr="00EC5F9D">
        <w:rPr>
          <w:lang w:val="en-US"/>
        </w:rPr>
        <w:t>limited</w:t>
      </w:r>
      <w:r w:rsidR="00A90937" w:rsidRPr="00EC5F9D">
        <w:rPr>
          <w:lang w:val="en-US"/>
        </w:rPr>
        <w:t xml:space="preserve">. </w:t>
      </w:r>
      <w:r w:rsidR="001823C6" w:rsidRPr="00EC5F9D">
        <w:rPr>
          <w:lang w:val="en-US"/>
        </w:rPr>
        <w:t>Governments</w:t>
      </w:r>
      <w:r w:rsidR="00A90937" w:rsidRPr="00EC5F9D">
        <w:rPr>
          <w:lang w:val="en-US"/>
        </w:rPr>
        <w:t xml:space="preserve"> act to maximize the welfare of their own jurisdiction in the framework of treaties that limit room for discrimination. They have incentives to </w:t>
      </w:r>
      <w:r w:rsidR="009B1F96" w:rsidRPr="00EC5F9D">
        <w:rPr>
          <w:lang w:val="en-US"/>
        </w:rPr>
        <w:t>extend markets</w:t>
      </w:r>
      <w:r w:rsidR="001823C6" w:rsidRPr="00EC5F9D">
        <w:rPr>
          <w:lang w:val="en-US"/>
        </w:rPr>
        <w:t xml:space="preserve">, </w:t>
      </w:r>
      <w:r w:rsidR="005E3E27" w:rsidRPr="00EC5F9D">
        <w:rPr>
          <w:lang w:val="en-US"/>
        </w:rPr>
        <w:t xml:space="preserve">and </w:t>
      </w:r>
      <w:r w:rsidR="001823C6" w:rsidRPr="00EC5F9D">
        <w:rPr>
          <w:lang w:val="en-US"/>
        </w:rPr>
        <w:t>they might even have incentives to have a semi-strong supranational controlling agency that can be used to shift blam</w:t>
      </w:r>
      <w:r w:rsidR="005E3E27" w:rsidRPr="00EC5F9D">
        <w:rPr>
          <w:lang w:val="en-US"/>
        </w:rPr>
        <w:t>e</w:t>
      </w:r>
      <w:r w:rsidR="001823C6" w:rsidRPr="00EC5F9D">
        <w:rPr>
          <w:lang w:val="en-US"/>
        </w:rPr>
        <w:t xml:space="preserve"> in cases when incumbents want to prevent wasteful subsidies</w:t>
      </w:r>
      <w:r w:rsidR="009B1F96" w:rsidRPr="00EC5F9D">
        <w:rPr>
          <w:lang w:val="en-US"/>
        </w:rPr>
        <w:t xml:space="preserve"> </w:t>
      </w:r>
      <w:r w:rsidR="00107ECD" w:rsidRPr="00EC5F9D">
        <w:rPr>
          <w:lang w:val="en-US"/>
        </w:rPr>
        <w:t>at home</w:t>
      </w:r>
      <w:r w:rsidR="005E3E27" w:rsidRPr="00EC5F9D">
        <w:rPr>
          <w:lang w:val="en-US"/>
        </w:rPr>
        <w:t>.</w:t>
      </w:r>
      <w:r w:rsidR="005E3E27" w:rsidRPr="00EC5F9D">
        <w:rPr>
          <w:rStyle w:val="FootnoteReference"/>
          <w:lang w:val="en-US"/>
        </w:rPr>
        <w:footnoteReference w:id="28"/>
      </w:r>
      <w:r w:rsidR="00107ECD" w:rsidRPr="00EC5F9D">
        <w:rPr>
          <w:lang w:val="en-US"/>
        </w:rPr>
        <w:t xml:space="preserve"> B</w:t>
      </w:r>
      <w:r w:rsidR="009B1F96" w:rsidRPr="00EC5F9D">
        <w:rPr>
          <w:lang w:val="en-US"/>
        </w:rPr>
        <w:t xml:space="preserve">ut </w:t>
      </w:r>
      <w:r w:rsidR="00107ECD" w:rsidRPr="00EC5F9D">
        <w:rPr>
          <w:lang w:val="en-US"/>
        </w:rPr>
        <w:t>they also have strong incentives to use the opportunities of the confederal system of decision-making</w:t>
      </w:r>
      <w:r w:rsidR="009B1F96" w:rsidRPr="00EC5F9D">
        <w:rPr>
          <w:lang w:val="en-US"/>
        </w:rPr>
        <w:t xml:space="preserve"> to </w:t>
      </w:r>
      <w:r w:rsidR="00A90937" w:rsidRPr="00EC5F9D">
        <w:rPr>
          <w:lang w:val="en-US"/>
        </w:rPr>
        <w:t>relax supranational control, weaken the criteria of permissible state aid</w:t>
      </w:r>
      <w:r w:rsidR="005E3E27" w:rsidRPr="00EC5F9D">
        <w:rPr>
          <w:lang w:val="en-US"/>
        </w:rPr>
        <w:t>,</w:t>
      </w:r>
      <w:r w:rsidR="009B1F96" w:rsidRPr="00EC5F9D">
        <w:rPr>
          <w:lang w:val="en-US"/>
        </w:rPr>
        <w:t xml:space="preserve"> and increase the discretionary powers of their home country in issues of state aid.</w:t>
      </w:r>
      <w:r w:rsidR="009B1F96" w:rsidRPr="003523C5">
        <w:rPr>
          <w:lang w:val="en-US"/>
        </w:rPr>
        <w:t xml:space="preserve"> </w:t>
      </w:r>
    </w:p>
    <w:p w14:paraId="0AE54529" w14:textId="77777777" w:rsidR="001018AD" w:rsidRPr="003523C5" w:rsidRDefault="001018AD" w:rsidP="00CA7B81">
      <w:pPr>
        <w:contextualSpacing/>
        <w:rPr>
          <w:lang w:val="en-US"/>
        </w:rPr>
      </w:pPr>
    </w:p>
    <w:p w14:paraId="45053813" w14:textId="29FD0F6E" w:rsidR="000121FE" w:rsidRPr="003523C5" w:rsidRDefault="000121FE" w:rsidP="00CA7B81">
      <w:pPr>
        <w:contextualSpacing/>
        <w:rPr>
          <w:lang w:val="en-US"/>
        </w:rPr>
      </w:pPr>
      <w:r w:rsidRPr="003523C5">
        <w:rPr>
          <w:lang w:val="en-US"/>
        </w:rPr>
        <w:t>Although the member states granted the European Commission an exclusive mandate to define, monitor</w:t>
      </w:r>
      <w:r w:rsidR="005E3E27" w:rsidRPr="003523C5">
        <w:rPr>
          <w:lang w:val="en-US"/>
        </w:rPr>
        <w:t>,</w:t>
      </w:r>
      <w:r w:rsidRPr="003523C5">
        <w:rPr>
          <w:lang w:val="en-US"/>
        </w:rPr>
        <w:t xml:space="preserve"> and control state aid, the policy shows typical symptoms of the </w:t>
      </w:r>
      <w:r w:rsidR="003842B4" w:rsidRPr="003523C5">
        <w:rPr>
          <w:lang w:val="en-US"/>
        </w:rPr>
        <w:t xml:space="preserve">trap of </w:t>
      </w:r>
      <w:r w:rsidRPr="003523C5">
        <w:rPr>
          <w:lang w:val="en-US"/>
        </w:rPr>
        <w:t>confederal</w:t>
      </w:r>
      <w:r w:rsidR="003842B4" w:rsidRPr="003523C5">
        <w:rPr>
          <w:lang w:val="en-US"/>
        </w:rPr>
        <w:t>ism</w:t>
      </w:r>
      <w:r w:rsidRPr="003523C5">
        <w:rPr>
          <w:lang w:val="en-US"/>
        </w:rPr>
        <w:t xml:space="preserve">: after decades of inaction, the Commission’s stricter </w:t>
      </w:r>
      <w:r w:rsidR="00907755" w:rsidRPr="003523C5">
        <w:rPr>
          <w:lang w:val="en-US"/>
        </w:rPr>
        <w:t>rulemaking</w:t>
      </w:r>
      <w:r w:rsidRPr="003523C5">
        <w:rPr>
          <w:lang w:val="en-US"/>
        </w:rPr>
        <w:t xml:space="preserve"> in the 1990s has gradually been watered down to the benefit of core member</w:t>
      </w:r>
      <w:r w:rsidR="005E3E27" w:rsidRPr="003523C5">
        <w:rPr>
          <w:lang w:val="en-US"/>
        </w:rPr>
        <w:t xml:space="preserve"> states</w:t>
      </w:r>
      <w:r w:rsidRPr="003523C5">
        <w:rPr>
          <w:lang w:val="en-US"/>
        </w:rPr>
        <w:t xml:space="preserve">. </w:t>
      </w:r>
      <w:r w:rsidR="00C00012" w:rsidRPr="003523C5">
        <w:rPr>
          <w:lang w:val="en-US"/>
        </w:rPr>
        <w:t>As we demonstrate below, the recent decentralization of state aid rules and the loosening of the legal framework during the coronavirus crisis have further increased core country dominance. Consequently, instead of counterbalancing it, the EU’s state aid regime reinforces the developmental gap between Europe’s core and periphery.</w:t>
      </w:r>
    </w:p>
    <w:p w14:paraId="74B010D0" w14:textId="77777777" w:rsidR="002A282B" w:rsidRPr="003523C5" w:rsidRDefault="002A282B" w:rsidP="00CA7B81">
      <w:pPr>
        <w:contextualSpacing/>
        <w:rPr>
          <w:lang w:val="en-US"/>
        </w:rPr>
      </w:pPr>
    </w:p>
    <w:p w14:paraId="134278EA" w14:textId="371F9FC5" w:rsidR="002A282B" w:rsidRPr="003523C5" w:rsidRDefault="000121FE" w:rsidP="00CA7B81">
      <w:pPr>
        <w:contextualSpacing/>
        <w:rPr>
          <w:lang w:val="en-US"/>
        </w:rPr>
      </w:pPr>
      <w:r w:rsidRPr="003523C5">
        <w:rPr>
          <w:lang w:val="en-US"/>
        </w:rPr>
        <w:t xml:space="preserve">The reasons for this are rooted </w:t>
      </w:r>
      <w:r w:rsidR="008B341F" w:rsidRPr="003523C5">
        <w:rPr>
          <w:lang w:val="en-US"/>
        </w:rPr>
        <w:t xml:space="preserve">in the </w:t>
      </w:r>
      <w:r w:rsidR="003842B4" w:rsidRPr="003523C5">
        <w:rPr>
          <w:lang w:val="en-US"/>
        </w:rPr>
        <w:t xml:space="preserve">trap of </w:t>
      </w:r>
      <w:r w:rsidR="008B341F" w:rsidRPr="003523C5">
        <w:rPr>
          <w:lang w:val="en-US"/>
        </w:rPr>
        <w:t>confederal</w:t>
      </w:r>
      <w:r w:rsidR="003842B4" w:rsidRPr="003523C5">
        <w:rPr>
          <w:lang w:val="en-US"/>
        </w:rPr>
        <w:t xml:space="preserve">ism, </w:t>
      </w:r>
      <w:r w:rsidR="008B341F" w:rsidRPr="003523C5">
        <w:rPr>
          <w:lang w:val="en-US"/>
        </w:rPr>
        <w:t xml:space="preserve">embodied </w:t>
      </w:r>
      <w:r w:rsidRPr="003523C5">
        <w:rPr>
          <w:lang w:val="en-US"/>
        </w:rPr>
        <w:t>in the institutional architecture of state</w:t>
      </w:r>
      <w:r w:rsidR="00173AA9" w:rsidRPr="003523C5">
        <w:rPr>
          <w:lang w:val="en-US"/>
        </w:rPr>
        <w:t xml:space="preserve"> </w:t>
      </w:r>
      <w:r w:rsidRPr="003523C5">
        <w:rPr>
          <w:lang w:val="en-US"/>
        </w:rPr>
        <w:t>aid polic</w:t>
      </w:r>
      <w:r w:rsidR="008B341F" w:rsidRPr="003523C5">
        <w:rPr>
          <w:lang w:val="en-US"/>
        </w:rPr>
        <w:t xml:space="preserve">y. Because state aid control aims to explore the anti-competitive </w:t>
      </w:r>
      <w:proofErr w:type="spellStart"/>
      <w:r w:rsidR="008B341F" w:rsidRPr="003523C5">
        <w:rPr>
          <w:lang w:val="en-US"/>
        </w:rPr>
        <w:t>behaviour</w:t>
      </w:r>
      <w:proofErr w:type="spellEnd"/>
      <w:r w:rsidR="008B341F" w:rsidRPr="003523C5">
        <w:rPr>
          <w:lang w:val="en-US"/>
        </w:rPr>
        <w:t xml:space="preserve"> of governments, it has always been a contentious issue</w:t>
      </w:r>
      <w:r w:rsidR="005E3E27" w:rsidRPr="003523C5">
        <w:rPr>
          <w:lang w:val="en-US"/>
        </w:rPr>
        <w:t>,</w:t>
      </w:r>
      <w:r w:rsidR="005E3E27" w:rsidRPr="003523C5">
        <w:rPr>
          <w:rStyle w:val="FootnoteReference"/>
          <w:lang w:val="en-US"/>
        </w:rPr>
        <w:footnoteReference w:id="29"/>
      </w:r>
      <w:r w:rsidR="008B341F" w:rsidRPr="003523C5">
        <w:rPr>
          <w:lang w:val="en-US"/>
        </w:rPr>
        <w:t xml:space="preserve"> and the Commission has been exposed to political pressure and influence by member states</w:t>
      </w:r>
      <w:r w:rsidR="005E3E27" w:rsidRPr="003523C5">
        <w:rPr>
          <w:lang w:val="en-US"/>
        </w:rPr>
        <w:t>.</w:t>
      </w:r>
      <w:r w:rsidR="005E3E27" w:rsidRPr="003523C5">
        <w:rPr>
          <w:rStyle w:val="FootnoteReference"/>
          <w:lang w:val="en-US"/>
        </w:rPr>
        <w:footnoteReference w:id="30"/>
      </w:r>
      <w:r w:rsidR="008B341F" w:rsidRPr="003523C5">
        <w:rPr>
          <w:lang w:val="en-US"/>
        </w:rPr>
        <w:t xml:space="preserve"> This is why </w:t>
      </w:r>
      <w:r w:rsidR="00C00012" w:rsidRPr="003523C5">
        <w:rPr>
          <w:lang w:val="en-US"/>
        </w:rPr>
        <w:t>t</w:t>
      </w:r>
      <w:r w:rsidRPr="003523C5">
        <w:rPr>
          <w:lang w:val="en-US"/>
        </w:rPr>
        <w:t>he Commission has always been subject to “embedded institutional control mechanisms and political pressures that served to condition [its] autonomy</w:t>
      </w:r>
      <w:r w:rsidR="005E3E27" w:rsidRPr="003523C5">
        <w:rPr>
          <w:lang w:val="en-US"/>
        </w:rPr>
        <w:t>.</w:t>
      </w:r>
      <w:r w:rsidRPr="003523C5">
        <w:rPr>
          <w:lang w:val="en-US"/>
        </w:rPr>
        <w:t>”</w:t>
      </w:r>
      <w:r w:rsidR="005E3E27" w:rsidRPr="003523C5">
        <w:rPr>
          <w:rStyle w:val="FootnoteReference"/>
          <w:lang w:val="en-US"/>
        </w:rPr>
        <w:footnoteReference w:id="31"/>
      </w:r>
      <w:r w:rsidRPr="003523C5">
        <w:rPr>
          <w:lang w:val="en-US"/>
        </w:rPr>
        <w:t xml:space="preserve"> </w:t>
      </w:r>
      <w:r w:rsidR="008B341F" w:rsidRPr="003523C5">
        <w:rPr>
          <w:lang w:val="en-US"/>
        </w:rPr>
        <w:t>To exercise control over state aid, the Commission has to rely on the cooperation of member states because national authorities have to ensure and monitor compliance with EU rules</w:t>
      </w:r>
      <w:r w:rsidR="0040575D" w:rsidRPr="003523C5">
        <w:rPr>
          <w:lang w:val="en-US"/>
        </w:rPr>
        <w:t>.</w:t>
      </w:r>
      <w:r w:rsidR="0040575D" w:rsidRPr="003523C5">
        <w:rPr>
          <w:rStyle w:val="FootnoteReference"/>
          <w:lang w:val="en-US"/>
        </w:rPr>
        <w:footnoteReference w:id="32"/>
      </w:r>
      <w:r w:rsidR="0040575D" w:rsidRPr="003523C5">
        <w:rPr>
          <w:lang w:val="en-US"/>
        </w:rPr>
        <w:t xml:space="preserve"> </w:t>
      </w:r>
      <w:r w:rsidR="008B341F" w:rsidRPr="003523C5">
        <w:rPr>
          <w:lang w:val="en-US"/>
        </w:rPr>
        <w:t>Therefore, the Commission’s ability to control state aid depends on the willingness of governments to comply with its decisions</w:t>
      </w:r>
      <w:r w:rsidR="0040575D" w:rsidRPr="003523C5">
        <w:rPr>
          <w:lang w:val="en-US"/>
        </w:rPr>
        <w:t>.</w:t>
      </w:r>
      <w:r w:rsidR="0040575D" w:rsidRPr="003523C5">
        <w:rPr>
          <w:rStyle w:val="FootnoteReference"/>
          <w:lang w:val="en-US"/>
        </w:rPr>
        <w:footnoteReference w:id="33"/>
      </w:r>
      <w:r w:rsidR="008B341F" w:rsidRPr="003523C5">
        <w:rPr>
          <w:lang w:val="en-US"/>
        </w:rPr>
        <w:t xml:space="preserve"> Moreover, </w:t>
      </w:r>
      <w:r w:rsidRPr="003523C5">
        <w:rPr>
          <w:lang w:val="en-US"/>
        </w:rPr>
        <w:t>national governments have remained responsible for the design and implementation of their state aid policies</w:t>
      </w:r>
      <w:r w:rsidR="0040575D" w:rsidRPr="003523C5">
        <w:rPr>
          <w:lang w:val="en-US"/>
        </w:rPr>
        <w:t>,</w:t>
      </w:r>
      <w:r w:rsidR="008B341F" w:rsidRPr="003523C5">
        <w:rPr>
          <w:lang w:val="en-US"/>
        </w:rPr>
        <w:t xml:space="preserve"> thus</w:t>
      </w:r>
      <w:r w:rsidRPr="003523C5">
        <w:rPr>
          <w:lang w:val="en-US"/>
        </w:rPr>
        <w:t xml:space="preserve"> state aid allocation also serves their short-term political interests instead of promoting common European objectives.</w:t>
      </w:r>
      <w:r w:rsidR="0040575D" w:rsidRPr="003523C5">
        <w:rPr>
          <w:rStyle w:val="FootnoteReference"/>
          <w:lang w:val="en-US"/>
        </w:rPr>
        <w:footnoteReference w:id="34"/>
      </w:r>
      <w:r w:rsidR="0040575D" w:rsidRPr="003523C5">
        <w:rPr>
          <w:lang w:val="en-US"/>
        </w:rPr>
        <w:t xml:space="preserve"> </w:t>
      </w:r>
      <w:r w:rsidRPr="003523C5">
        <w:rPr>
          <w:lang w:val="en-US"/>
        </w:rPr>
        <w:t>Hence, aid allocations reflect national preferences and priorities</w:t>
      </w:r>
      <w:r w:rsidR="0040575D" w:rsidRPr="003523C5">
        <w:rPr>
          <w:lang w:val="en-US"/>
        </w:rPr>
        <w:t>.</w:t>
      </w:r>
      <w:r w:rsidR="0040575D" w:rsidRPr="003523C5">
        <w:rPr>
          <w:rStyle w:val="FootnoteReference"/>
          <w:lang w:val="en-US"/>
        </w:rPr>
        <w:footnoteReference w:id="35"/>
      </w:r>
    </w:p>
    <w:p w14:paraId="4EE6555C" w14:textId="77777777" w:rsidR="002A282B" w:rsidRPr="003523C5" w:rsidRDefault="002A282B" w:rsidP="00CA7B81">
      <w:pPr>
        <w:contextualSpacing/>
        <w:rPr>
          <w:lang w:val="en-US"/>
        </w:rPr>
      </w:pPr>
    </w:p>
    <w:p w14:paraId="139F1CC8" w14:textId="34A81EEB" w:rsidR="000121FE" w:rsidRPr="003523C5" w:rsidRDefault="000121FE" w:rsidP="00CA7B81">
      <w:pPr>
        <w:contextualSpacing/>
        <w:rPr>
          <w:lang w:val="en-US"/>
        </w:rPr>
      </w:pPr>
      <w:r w:rsidRPr="003523C5">
        <w:rPr>
          <w:lang w:val="en-US"/>
        </w:rPr>
        <w:t>The above institutionally embedded “cat-and-mouse dynamic” between the Commission and the member states has characterized the</w:t>
      </w:r>
      <w:r w:rsidR="0040575D" w:rsidRPr="003523C5">
        <w:rPr>
          <w:lang w:val="en-US"/>
        </w:rPr>
        <w:t xml:space="preserve"> evolution of its state aid</w:t>
      </w:r>
      <w:r w:rsidRPr="003523C5">
        <w:rPr>
          <w:lang w:val="en-US"/>
        </w:rPr>
        <w:t xml:space="preserve"> policy.</w:t>
      </w:r>
      <w:r w:rsidR="0040575D" w:rsidRPr="003523C5">
        <w:rPr>
          <w:rStyle w:val="FootnoteReference"/>
          <w:lang w:val="en-US"/>
        </w:rPr>
        <w:footnoteReference w:id="36"/>
      </w:r>
      <w:r w:rsidRPr="003523C5">
        <w:rPr>
          <w:lang w:val="en-US"/>
        </w:rPr>
        <w:t xml:space="preserve"> In the 1960s and 1970s, the Commission followed a lenient, non-</w:t>
      </w:r>
      <w:r w:rsidR="0040575D" w:rsidRPr="003523C5">
        <w:rPr>
          <w:lang w:val="en-US"/>
        </w:rPr>
        <w:t xml:space="preserve">confrontational </w:t>
      </w:r>
      <w:r w:rsidRPr="003523C5">
        <w:rPr>
          <w:lang w:val="en-US"/>
        </w:rPr>
        <w:t>approach and did not block state aid initiatives</w:t>
      </w:r>
      <w:r w:rsidR="0040575D" w:rsidRPr="003523C5">
        <w:rPr>
          <w:lang w:val="en-US"/>
        </w:rPr>
        <w:t>.</w:t>
      </w:r>
      <w:r w:rsidR="0040575D" w:rsidRPr="003523C5">
        <w:rPr>
          <w:rStyle w:val="FootnoteReference"/>
          <w:lang w:val="en-US"/>
        </w:rPr>
        <w:footnoteReference w:id="37"/>
      </w:r>
      <w:r w:rsidRPr="003523C5">
        <w:rPr>
          <w:lang w:val="en-US"/>
        </w:rPr>
        <w:t xml:space="preserve"> </w:t>
      </w:r>
      <w:r w:rsidR="00AD1C60" w:rsidRPr="003523C5">
        <w:rPr>
          <w:lang w:val="en-US"/>
        </w:rPr>
        <w:t>It</w:t>
      </w:r>
      <w:r w:rsidRPr="003523C5">
        <w:rPr>
          <w:lang w:val="en-US"/>
        </w:rPr>
        <w:t xml:space="preserve"> rarely exercised control over state aid in the early decades</w:t>
      </w:r>
      <w:r w:rsidR="005721CD" w:rsidRPr="003523C5">
        <w:rPr>
          <w:lang w:val="en-US"/>
        </w:rPr>
        <w:t xml:space="preserve"> when particularly</w:t>
      </w:r>
      <w:r w:rsidRPr="003523C5">
        <w:rPr>
          <w:lang w:val="en-US"/>
        </w:rPr>
        <w:t xml:space="preserve"> France, Germany, the UK</w:t>
      </w:r>
      <w:r w:rsidR="0040575D" w:rsidRPr="003523C5">
        <w:rPr>
          <w:lang w:val="en-US"/>
        </w:rPr>
        <w:t>,</w:t>
      </w:r>
      <w:r w:rsidRPr="003523C5">
        <w:rPr>
          <w:lang w:val="en-US"/>
        </w:rPr>
        <w:t xml:space="preserve"> and Italy</w:t>
      </w:r>
      <w:r w:rsidR="005721CD" w:rsidRPr="003523C5">
        <w:rPr>
          <w:lang w:val="en-US"/>
        </w:rPr>
        <w:t xml:space="preserve"> generously supported their industrial restructuring</w:t>
      </w:r>
      <w:r w:rsidRPr="003523C5">
        <w:rPr>
          <w:lang w:val="en-US"/>
        </w:rPr>
        <w:t xml:space="preserve">. However, over the years, the European Court of Justice provided support to the Commission through its state aid rulings and reinforced its competence in determining </w:t>
      </w:r>
      <w:r w:rsidRPr="003523C5">
        <w:rPr>
          <w:lang w:val="en-US"/>
        </w:rPr>
        <w:lastRenderedPageBreak/>
        <w:t>unlawful aid practices</w:t>
      </w:r>
      <w:r w:rsidR="0040575D" w:rsidRPr="003523C5">
        <w:rPr>
          <w:lang w:val="en-US"/>
        </w:rPr>
        <w:t>.</w:t>
      </w:r>
      <w:r w:rsidR="0040575D" w:rsidRPr="003523C5">
        <w:rPr>
          <w:rStyle w:val="FootnoteReference"/>
          <w:lang w:val="en-US"/>
        </w:rPr>
        <w:footnoteReference w:id="38"/>
      </w:r>
      <w:r w:rsidRPr="003523C5">
        <w:rPr>
          <w:lang w:val="en-US"/>
        </w:rPr>
        <w:t xml:space="preserve"> </w:t>
      </w:r>
      <w:r w:rsidR="00AD1C60" w:rsidRPr="003523C5">
        <w:rPr>
          <w:lang w:val="en-US"/>
        </w:rPr>
        <w:t>T</w:t>
      </w:r>
      <w:r w:rsidRPr="003523C5">
        <w:rPr>
          <w:lang w:val="en-US"/>
        </w:rPr>
        <w:t xml:space="preserve">he </w:t>
      </w:r>
      <w:r w:rsidR="00AD1C60" w:rsidRPr="003523C5">
        <w:rPr>
          <w:lang w:val="en-US"/>
        </w:rPr>
        <w:t xml:space="preserve">game-changer came in the </w:t>
      </w:r>
      <w:r w:rsidRPr="003523C5">
        <w:rPr>
          <w:lang w:val="en-US"/>
        </w:rPr>
        <w:t xml:space="preserve">1980s when even those member states that traditionally granted large amounts of aid to domestic industries initiated neoliberal reforms to enhance their competitiveness. The Commission jumped on the neoliberal bandwagon and has grown increasingly active </w:t>
      </w:r>
      <w:r w:rsidR="0041316F" w:rsidRPr="003523C5">
        <w:rPr>
          <w:lang w:val="en-US"/>
        </w:rPr>
        <w:t xml:space="preserve">in </w:t>
      </w:r>
      <w:r w:rsidRPr="003523C5">
        <w:rPr>
          <w:lang w:val="en-US"/>
        </w:rPr>
        <w:t xml:space="preserve">interpreting Treaty rules and </w:t>
      </w:r>
      <w:r w:rsidR="0041316F" w:rsidRPr="003523C5">
        <w:rPr>
          <w:lang w:val="en-US"/>
        </w:rPr>
        <w:t xml:space="preserve">has </w:t>
      </w:r>
      <w:r w:rsidRPr="003523C5">
        <w:rPr>
          <w:lang w:val="en-US"/>
        </w:rPr>
        <w:t xml:space="preserve">developed its </w:t>
      </w:r>
      <w:r w:rsidR="0041316F" w:rsidRPr="003523C5">
        <w:rPr>
          <w:lang w:val="en-US"/>
        </w:rPr>
        <w:t xml:space="preserve">own </w:t>
      </w:r>
      <w:r w:rsidRPr="003523C5">
        <w:rPr>
          <w:lang w:val="en-US"/>
        </w:rPr>
        <w:t>vision of what constitutes “good” aid policy</w:t>
      </w:r>
      <w:r w:rsidR="0041316F" w:rsidRPr="003523C5">
        <w:rPr>
          <w:lang w:val="en-US"/>
        </w:rPr>
        <w:t>.</w:t>
      </w:r>
      <w:r w:rsidR="0041316F" w:rsidRPr="003523C5">
        <w:rPr>
          <w:rStyle w:val="FootnoteReference"/>
          <w:lang w:val="en-US"/>
        </w:rPr>
        <w:footnoteReference w:id="39"/>
      </w:r>
      <w:r w:rsidRPr="003523C5">
        <w:rPr>
          <w:lang w:val="en-US"/>
        </w:rPr>
        <w:t xml:space="preserve"> The creation of the EU’s single market</w:t>
      </w:r>
      <w:r w:rsidR="0041316F" w:rsidRPr="003523C5">
        <w:rPr>
          <w:lang w:val="en-US"/>
        </w:rPr>
        <w:t>,</w:t>
      </w:r>
      <w:r w:rsidRPr="003523C5">
        <w:rPr>
          <w:lang w:val="en-US"/>
        </w:rPr>
        <w:t xml:space="preserve"> and the fiscal discipline required by monetary integration</w:t>
      </w:r>
      <w:r w:rsidR="0041316F" w:rsidRPr="003523C5">
        <w:rPr>
          <w:lang w:val="en-US"/>
        </w:rPr>
        <w:t>,</w:t>
      </w:r>
      <w:r w:rsidRPr="003523C5">
        <w:rPr>
          <w:lang w:val="en-US"/>
        </w:rPr>
        <w:t xml:space="preserve"> further assisted the Commission in becoming stricter and more active</w:t>
      </w:r>
      <w:r w:rsidR="0041316F" w:rsidRPr="003523C5">
        <w:rPr>
          <w:lang w:val="en-US"/>
        </w:rPr>
        <w:t>.</w:t>
      </w:r>
      <w:r w:rsidR="0041316F" w:rsidRPr="003523C5">
        <w:rPr>
          <w:rStyle w:val="FootnoteReference"/>
          <w:lang w:val="en-US"/>
        </w:rPr>
        <w:footnoteReference w:id="40"/>
      </w:r>
    </w:p>
    <w:p w14:paraId="104ED296" w14:textId="77777777" w:rsidR="002A282B" w:rsidRPr="003523C5" w:rsidRDefault="002A282B" w:rsidP="00CA7B81">
      <w:pPr>
        <w:contextualSpacing/>
        <w:rPr>
          <w:lang w:val="en-US"/>
        </w:rPr>
      </w:pPr>
    </w:p>
    <w:p w14:paraId="5A1FD00A" w14:textId="3FECBC5C" w:rsidR="000121FE" w:rsidRPr="003523C5" w:rsidRDefault="000121FE" w:rsidP="00CA7B81">
      <w:pPr>
        <w:contextualSpacing/>
        <w:rPr>
          <w:lang w:val="en-US"/>
        </w:rPr>
      </w:pPr>
      <w:r w:rsidRPr="003523C5">
        <w:rPr>
          <w:lang w:val="en-US"/>
        </w:rPr>
        <w:t>Following the 1985 White Paper on Completing the Internal Market, which emphasized the competition-distorting character of sectoral state aid, the debate shifted to budgetary discipline and cost-effectiveness. In practice, this implied that wealthier members with greater fiscal capacity (i.e.</w:t>
      </w:r>
      <w:r w:rsidR="0041316F" w:rsidRPr="003523C5">
        <w:rPr>
          <w:lang w:val="en-US"/>
        </w:rPr>
        <w:t>,</w:t>
      </w:r>
      <w:r w:rsidRPr="003523C5">
        <w:rPr>
          <w:lang w:val="en-US"/>
        </w:rPr>
        <w:t xml:space="preserve"> healthier budgets) could continue providing more state aid than those facing liquidity problems. As the Commission took advantage of the </w:t>
      </w:r>
      <w:r w:rsidR="0041316F" w:rsidRPr="003523C5">
        <w:rPr>
          <w:lang w:val="en-US"/>
        </w:rPr>
        <w:t xml:space="preserve">window of </w:t>
      </w:r>
      <w:r w:rsidRPr="003523C5">
        <w:rPr>
          <w:lang w:val="en-US"/>
        </w:rPr>
        <w:t>opportunity</w:t>
      </w:r>
      <w:r w:rsidR="0041316F" w:rsidRPr="003523C5">
        <w:rPr>
          <w:lang w:val="en-US"/>
        </w:rPr>
        <w:t xml:space="preserve"> </w:t>
      </w:r>
      <w:r w:rsidRPr="003523C5">
        <w:rPr>
          <w:lang w:val="en-US"/>
        </w:rPr>
        <w:t>presented by the Maastricht Treaty</w:t>
      </w:r>
      <w:r w:rsidR="0041316F" w:rsidRPr="003523C5">
        <w:rPr>
          <w:lang w:val="en-US"/>
        </w:rPr>
        <w:t>,</w:t>
      </w:r>
      <w:r w:rsidRPr="003523C5">
        <w:rPr>
          <w:lang w:val="en-US"/>
        </w:rPr>
        <w:t xml:space="preserve"> and engaged in suspending more distortive sectoral aid, </w:t>
      </w:r>
      <w:r w:rsidR="0041316F" w:rsidRPr="003523C5">
        <w:rPr>
          <w:lang w:val="en-US"/>
        </w:rPr>
        <w:t xml:space="preserve">a </w:t>
      </w:r>
      <w:r w:rsidRPr="003523C5">
        <w:rPr>
          <w:lang w:val="en-US"/>
        </w:rPr>
        <w:t xml:space="preserve">growing number of cases to be investigated drained its limited resources. With approximately 400 officials, the “inadequate staff resources clearly weaken[ed] the </w:t>
      </w:r>
      <w:r w:rsidR="0080143A">
        <w:rPr>
          <w:lang w:val="en-US"/>
        </w:rPr>
        <w:t>[</w:t>
      </w:r>
      <w:r w:rsidRPr="003523C5">
        <w:rPr>
          <w:lang w:val="en-US"/>
        </w:rPr>
        <w:t>D</w:t>
      </w:r>
      <w:r w:rsidR="0080143A">
        <w:rPr>
          <w:lang w:val="en-US"/>
        </w:rPr>
        <w:t xml:space="preserve">irectorate </w:t>
      </w:r>
      <w:r w:rsidRPr="003523C5">
        <w:rPr>
          <w:lang w:val="en-US"/>
        </w:rPr>
        <w:t>G</w:t>
      </w:r>
      <w:r w:rsidR="0080143A">
        <w:rPr>
          <w:lang w:val="en-US"/>
        </w:rPr>
        <w:t>eneral</w:t>
      </w:r>
      <w:r w:rsidR="0041316F" w:rsidRPr="003523C5">
        <w:rPr>
          <w:lang w:val="en-US"/>
        </w:rPr>
        <w:t>’</w:t>
      </w:r>
      <w:r w:rsidRPr="003523C5">
        <w:rPr>
          <w:lang w:val="en-US"/>
        </w:rPr>
        <w:t>s</w:t>
      </w:r>
      <w:r w:rsidR="0080143A">
        <w:rPr>
          <w:lang w:val="en-US"/>
        </w:rPr>
        <w:t>]</w:t>
      </w:r>
      <w:r w:rsidRPr="003523C5">
        <w:rPr>
          <w:lang w:val="en-US"/>
        </w:rPr>
        <w:t xml:space="preserve"> capacity for enforcement</w:t>
      </w:r>
      <w:r w:rsidR="0041316F" w:rsidRPr="003523C5">
        <w:rPr>
          <w:lang w:val="en-US"/>
        </w:rPr>
        <w:t>.</w:t>
      </w:r>
      <w:r w:rsidRPr="003523C5">
        <w:rPr>
          <w:lang w:val="en-US"/>
        </w:rPr>
        <w:t>”</w:t>
      </w:r>
      <w:r w:rsidR="0041316F" w:rsidRPr="003523C5">
        <w:rPr>
          <w:rStyle w:val="FootnoteReference"/>
          <w:lang w:val="en-US"/>
        </w:rPr>
        <w:footnoteReference w:id="41"/>
      </w:r>
      <w:r w:rsidRPr="003523C5">
        <w:rPr>
          <w:lang w:val="en-US"/>
        </w:rPr>
        <w:t xml:space="preserve"> </w:t>
      </w:r>
      <w:r w:rsidR="00AD1C60" w:rsidRPr="003523C5">
        <w:rPr>
          <w:lang w:val="en-US"/>
        </w:rPr>
        <w:t>D</w:t>
      </w:r>
      <w:r w:rsidRPr="003523C5">
        <w:rPr>
          <w:lang w:val="en-US"/>
        </w:rPr>
        <w:t xml:space="preserve">espite its strong </w:t>
      </w:r>
      <w:r w:rsidRPr="003523C5">
        <w:rPr>
          <w:i/>
          <w:lang w:val="en-US"/>
        </w:rPr>
        <w:t>de jure</w:t>
      </w:r>
      <w:r w:rsidRPr="003523C5">
        <w:rPr>
          <w:lang w:val="en-US"/>
        </w:rPr>
        <w:t xml:space="preserve"> mandate, the Commission’s federal oversight was </w:t>
      </w:r>
      <w:r w:rsidRPr="003523C5">
        <w:rPr>
          <w:i/>
          <w:lang w:val="en-US"/>
        </w:rPr>
        <w:t>de facto</w:t>
      </w:r>
      <w:r w:rsidRPr="003523C5">
        <w:rPr>
          <w:lang w:val="en-US"/>
        </w:rPr>
        <w:t xml:space="preserve"> </w:t>
      </w:r>
      <w:proofErr w:type="gramStart"/>
      <w:r w:rsidRPr="003523C5">
        <w:rPr>
          <w:lang w:val="en-US"/>
        </w:rPr>
        <w:t>we</w:t>
      </w:r>
      <w:r w:rsidR="0041316F" w:rsidRPr="003523C5">
        <w:rPr>
          <w:lang w:val="en-US"/>
        </w:rPr>
        <w:t>a</w:t>
      </w:r>
      <w:r w:rsidRPr="003523C5">
        <w:rPr>
          <w:lang w:val="en-US"/>
        </w:rPr>
        <w:t>k</w:t>
      </w:r>
      <w:proofErr w:type="gramEnd"/>
      <w:r w:rsidRPr="003523C5">
        <w:rPr>
          <w:lang w:val="en-US"/>
        </w:rPr>
        <w:t>.</w:t>
      </w:r>
    </w:p>
    <w:p w14:paraId="5AB70C3B" w14:textId="77777777" w:rsidR="002A282B" w:rsidRPr="003523C5" w:rsidRDefault="002A282B" w:rsidP="00CA7B81">
      <w:pPr>
        <w:contextualSpacing/>
        <w:rPr>
          <w:lang w:val="en-US"/>
        </w:rPr>
      </w:pPr>
    </w:p>
    <w:p w14:paraId="16248AB8" w14:textId="378EDB99" w:rsidR="00FC080A" w:rsidRPr="003523C5" w:rsidRDefault="000121FE" w:rsidP="00CA7B81">
      <w:pPr>
        <w:contextualSpacing/>
        <w:rPr>
          <w:lang w:val="en-US"/>
        </w:rPr>
      </w:pPr>
      <w:r w:rsidRPr="003523C5">
        <w:rPr>
          <w:lang w:val="en-US"/>
        </w:rPr>
        <w:t xml:space="preserve">Facing limitations to its capacity, the Commission indicated to the member states that the high and growing number of </w:t>
      </w:r>
      <w:r w:rsidR="00AD1C60" w:rsidRPr="003523C5">
        <w:rPr>
          <w:lang w:val="en-US"/>
        </w:rPr>
        <w:t xml:space="preserve">cases </w:t>
      </w:r>
      <w:r w:rsidRPr="003523C5">
        <w:rPr>
          <w:lang w:val="en-US"/>
        </w:rPr>
        <w:t>undermined its ability to focus on the most distortive aid measures</w:t>
      </w:r>
      <w:r w:rsidR="0041316F" w:rsidRPr="003523C5">
        <w:rPr>
          <w:lang w:val="en-US"/>
        </w:rPr>
        <w:t>.</w:t>
      </w:r>
      <w:r w:rsidR="0041316F" w:rsidRPr="003523C5">
        <w:rPr>
          <w:rStyle w:val="FootnoteReference"/>
          <w:lang w:val="en-US"/>
        </w:rPr>
        <w:footnoteReference w:id="42"/>
      </w:r>
      <w:r w:rsidRPr="003523C5">
        <w:rPr>
          <w:lang w:val="en-US"/>
        </w:rPr>
        <w:t xml:space="preserve"> Responding to these calls, in the late 1990s, the Council of Ministers authorized the Commission to exempt certain categories of aid from the notification requirements</w:t>
      </w:r>
      <w:r w:rsidR="0041316F" w:rsidRPr="003523C5">
        <w:rPr>
          <w:lang w:val="en-US"/>
        </w:rPr>
        <w:t>.</w:t>
      </w:r>
      <w:r w:rsidR="0041316F" w:rsidRPr="003523C5">
        <w:rPr>
          <w:rStyle w:val="FootnoteReference"/>
          <w:lang w:val="en-US"/>
        </w:rPr>
        <w:footnoteReference w:id="43"/>
      </w:r>
      <w:r w:rsidR="0041316F" w:rsidRPr="003523C5">
        <w:rPr>
          <w:lang w:val="en-US"/>
        </w:rPr>
        <w:t xml:space="preserve"> </w:t>
      </w:r>
      <w:r w:rsidRPr="003523C5">
        <w:rPr>
          <w:lang w:val="en-US"/>
        </w:rPr>
        <w:t>With this reform, the Commission created so-called block exemptions, which ruled out</w:t>
      </w:r>
      <w:r w:rsidR="005721CD" w:rsidRPr="003523C5">
        <w:rPr>
          <w:lang w:val="en-US"/>
        </w:rPr>
        <w:t xml:space="preserve"> the</w:t>
      </w:r>
      <w:r w:rsidRPr="003523C5">
        <w:rPr>
          <w:lang w:val="en-US"/>
        </w:rPr>
        <w:t xml:space="preserve"> sectoral but allowed </w:t>
      </w:r>
      <w:r w:rsidR="005721CD" w:rsidRPr="003523C5">
        <w:rPr>
          <w:lang w:val="en-US"/>
        </w:rPr>
        <w:t xml:space="preserve">for </w:t>
      </w:r>
      <w:r w:rsidRPr="003523C5">
        <w:rPr>
          <w:lang w:val="en-US"/>
        </w:rPr>
        <w:t xml:space="preserve">horizontal aid such as subsidies to SMEs, training, research and development, innovation, regional development, green economy, and employment. </w:t>
      </w:r>
      <w:r w:rsidR="00FC080A" w:rsidRPr="003523C5">
        <w:rPr>
          <w:lang w:val="en-US"/>
        </w:rPr>
        <w:t>The area covered by block exemptions kept expanding in the 2000s</w:t>
      </w:r>
      <w:r w:rsidR="0041316F" w:rsidRPr="003523C5">
        <w:rPr>
          <w:lang w:val="en-US"/>
        </w:rPr>
        <w:t>,</w:t>
      </w:r>
      <w:r w:rsidR="00FC080A" w:rsidRPr="003523C5">
        <w:rPr>
          <w:lang w:val="en-US"/>
        </w:rPr>
        <w:t xml:space="preserve"> and the policy’s gradual decentralization continued with the State Aid Action Plan (2005) and the State Aid Modernization Package (2012), which dispersed more responsibility to national administrations</w:t>
      </w:r>
      <w:r w:rsidR="00776C82" w:rsidRPr="003523C5">
        <w:rPr>
          <w:lang w:val="en-US"/>
        </w:rPr>
        <w:t>.</w:t>
      </w:r>
      <w:r w:rsidR="00776C82" w:rsidRPr="003523C5">
        <w:rPr>
          <w:rStyle w:val="FootnoteReference"/>
          <w:lang w:val="en-US"/>
        </w:rPr>
        <w:footnoteReference w:id="44"/>
      </w:r>
      <w:r w:rsidR="00FC080A" w:rsidRPr="003523C5">
        <w:rPr>
          <w:lang w:val="en-US"/>
        </w:rPr>
        <w:t xml:space="preserve"> </w:t>
      </w:r>
      <w:r w:rsidRPr="003523C5">
        <w:rPr>
          <w:lang w:val="en-US"/>
        </w:rPr>
        <w:t>Block exemptions,</w:t>
      </w:r>
      <w:r w:rsidR="0050675B" w:rsidRPr="003523C5">
        <w:rPr>
          <w:lang w:val="en-US"/>
        </w:rPr>
        <w:t xml:space="preserve"> which today constitute</w:t>
      </w:r>
      <w:r w:rsidRPr="003523C5">
        <w:rPr>
          <w:lang w:val="en-US"/>
        </w:rPr>
        <w:t xml:space="preserve"> </w:t>
      </w:r>
      <w:r w:rsidR="0050675B" w:rsidRPr="003523C5">
        <w:rPr>
          <w:lang w:val="en-US"/>
        </w:rPr>
        <w:t>more than 90% of new aid measures</w:t>
      </w:r>
      <w:r w:rsidR="00776C82" w:rsidRPr="003523C5">
        <w:rPr>
          <w:lang w:val="en-US"/>
        </w:rPr>
        <w:t>,</w:t>
      </w:r>
      <w:r w:rsidRPr="003523C5">
        <w:rPr>
          <w:lang w:val="en-US"/>
        </w:rPr>
        <w:t xml:space="preserve"> constitute a strong incentive for member states to spend on ‘good’, less distortive aid instead of sectoral support.</w:t>
      </w:r>
      <w:r w:rsidR="00776C82" w:rsidRPr="003523C5">
        <w:rPr>
          <w:rStyle w:val="FootnoteReference"/>
          <w:lang w:val="en-US"/>
        </w:rPr>
        <w:footnoteReference w:id="45"/>
      </w:r>
      <w:r w:rsidRPr="003523C5">
        <w:rPr>
          <w:lang w:val="en-US"/>
        </w:rPr>
        <w:t xml:space="preserve"> However, allowing horizontal </w:t>
      </w:r>
      <w:r w:rsidR="00FC080A" w:rsidRPr="003523C5">
        <w:rPr>
          <w:lang w:val="en-US"/>
        </w:rPr>
        <w:t xml:space="preserve">aid </w:t>
      </w:r>
      <w:r w:rsidRPr="003523C5">
        <w:rPr>
          <w:lang w:val="en-US"/>
        </w:rPr>
        <w:t xml:space="preserve">with practically no restrictions also </w:t>
      </w:r>
      <w:r w:rsidR="00AD1C60" w:rsidRPr="003523C5">
        <w:rPr>
          <w:lang w:val="en-US"/>
        </w:rPr>
        <w:t>assists</w:t>
      </w:r>
      <w:r w:rsidRPr="003523C5">
        <w:rPr>
          <w:lang w:val="en-US"/>
        </w:rPr>
        <w:t xml:space="preserve"> the fragmentation of the internal market because state aid will follow national capabilities instead of promoting common European interests.</w:t>
      </w:r>
    </w:p>
    <w:p w14:paraId="1F9A26E9" w14:textId="77777777" w:rsidR="00FC080A" w:rsidRPr="003523C5" w:rsidRDefault="00FC080A" w:rsidP="00CA7B81">
      <w:pPr>
        <w:contextualSpacing/>
        <w:rPr>
          <w:lang w:val="en-US"/>
        </w:rPr>
      </w:pPr>
    </w:p>
    <w:p w14:paraId="010FAD62" w14:textId="11734CC7" w:rsidR="00DF1C48" w:rsidRPr="003523C5" w:rsidRDefault="000121FE" w:rsidP="00CA7B81">
      <w:pPr>
        <w:contextualSpacing/>
        <w:rPr>
          <w:lang w:val="en-US"/>
        </w:rPr>
      </w:pPr>
      <w:r w:rsidRPr="003523C5">
        <w:rPr>
          <w:lang w:val="en-US"/>
        </w:rPr>
        <w:t>The regulation of regional development aid within block exemptions offers insight into the</w:t>
      </w:r>
      <w:r w:rsidR="00FC080A" w:rsidRPr="003523C5">
        <w:rPr>
          <w:lang w:val="en-US"/>
        </w:rPr>
        <w:t xml:space="preserve"> consequences of the</w:t>
      </w:r>
      <w:r w:rsidRPr="003523C5">
        <w:rPr>
          <w:lang w:val="en-US"/>
        </w:rPr>
        <w:t xml:space="preserve"> </w:t>
      </w:r>
      <w:r w:rsidR="00776C82" w:rsidRPr="003523C5">
        <w:rPr>
          <w:lang w:val="en-US"/>
        </w:rPr>
        <w:t xml:space="preserve">trap of </w:t>
      </w:r>
      <w:r w:rsidRPr="003523C5">
        <w:rPr>
          <w:lang w:val="en-US"/>
        </w:rPr>
        <w:t>confederal</w:t>
      </w:r>
      <w:r w:rsidR="00776C82" w:rsidRPr="003523C5">
        <w:rPr>
          <w:lang w:val="en-US"/>
        </w:rPr>
        <w:t>ism</w:t>
      </w:r>
      <w:r w:rsidRPr="003523C5">
        <w:rPr>
          <w:lang w:val="en-US"/>
        </w:rPr>
        <w:t xml:space="preserve">. Initially, the Commission wanted to limit state aid to the most backward regions of the EU. However, it backtracked on the original proposal after confronting heavy resistance from old EU members. In the end, the Commission continued to allow state aid in the least developed </w:t>
      </w:r>
      <w:r w:rsidR="00776C82" w:rsidRPr="003523C5">
        <w:rPr>
          <w:lang w:val="en-US"/>
        </w:rPr>
        <w:t xml:space="preserve">sub-state </w:t>
      </w:r>
      <w:r w:rsidRPr="003523C5">
        <w:rPr>
          <w:lang w:val="en-US"/>
        </w:rPr>
        <w:t xml:space="preserve">regions </w:t>
      </w:r>
      <w:r w:rsidR="00776C82" w:rsidRPr="003523C5">
        <w:rPr>
          <w:lang w:val="en-US"/>
        </w:rPr>
        <w:t xml:space="preserve">within </w:t>
      </w:r>
      <w:r w:rsidRPr="003523C5">
        <w:rPr>
          <w:lang w:val="en-US"/>
        </w:rPr>
        <w:t>each member state</w:t>
      </w:r>
      <w:r w:rsidR="00776C82" w:rsidRPr="003523C5">
        <w:rPr>
          <w:lang w:val="en-US"/>
        </w:rPr>
        <w:t xml:space="preserve">, </w:t>
      </w:r>
      <w:r w:rsidRPr="003523C5">
        <w:rPr>
          <w:lang w:val="en-US"/>
        </w:rPr>
        <w:t>regardless of the countries’ position in the core or periphery</w:t>
      </w:r>
      <w:r w:rsidR="00776C82" w:rsidRPr="003523C5">
        <w:rPr>
          <w:lang w:val="en-US"/>
        </w:rPr>
        <w:t>.</w:t>
      </w:r>
      <w:r w:rsidR="00776C82" w:rsidRPr="003523C5">
        <w:rPr>
          <w:rStyle w:val="FootnoteReference"/>
          <w:lang w:val="en-US"/>
        </w:rPr>
        <w:footnoteReference w:id="46"/>
      </w:r>
      <w:r w:rsidRPr="003523C5">
        <w:rPr>
          <w:lang w:val="en-US"/>
        </w:rPr>
        <w:t xml:space="preserve"> It has led to peculiar situations where two districts in Luxembourg, the wealthiest EU member state with a GDP per capita </w:t>
      </w:r>
      <w:r w:rsidRPr="003523C5">
        <w:rPr>
          <w:lang w:val="en-US"/>
        </w:rPr>
        <w:lastRenderedPageBreak/>
        <w:t>nearly three times greater than the EU average, qualif</w:t>
      </w:r>
      <w:r w:rsidR="00AD1C60" w:rsidRPr="003523C5">
        <w:rPr>
          <w:lang w:val="en-US"/>
        </w:rPr>
        <w:t>ied</w:t>
      </w:r>
      <w:r w:rsidRPr="003523C5">
        <w:rPr>
          <w:lang w:val="en-US"/>
        </w:rPr>
        <w:t xml:space="preserve"> for regional development aid with</w:t>
      </w:r>
      <w:r w:rsidR="00776C82" w:rsidRPr="003523C5">
        <w:rPr>
          <w:lang w:val="en-US"/>
        </w:rPr>
        <w:t xml:space="preserve"> </w:t>
      </w:r>
      <w:r w:rsidRPr="003523C5">
        <w:rPr>
          <w:lang w:val="en-US"/>
        </w:rPr>
        <w:t>10% maximum aid intensity for investments by large companies.</w:t>
      </w:r>
      <w:r w:rsidR="00776C82" w:rsidRPr="003523C5">
        <w:rPr>
          <w:rStyle w:val="FootnoteReference"/>
          <w:lang w:val="en-US"/>
        </w:rPr>
        <w:footnoteReference w:id="47"/>
      </w:r>
    </w:p>
    <w:p w14:paraId="5342C321" w14:textId="77777777" w:rsidR="00DF1C48" w:rsidRPr="003523C5" w:rsidRDefault="00DF1C48" w:rsidP="00CA7B81">
      <w:pPr>
        <w:contextualSpacing/>
        <w:rPr>
          <w:lang w:val="en-US"/>
        </w:rPr>
      </w:pPr>
    </w:p>
    <w:p w14:paraId="131142CE" w14:textId="0B4D69A1" w:rsidR="00DF1C48" w:rsidRPr="003523C5" w:rsidRDefault="00F27F37" w:rsidP="00CA7B81">
      <w:pPr>
        <w:contextualSpacing/>
        <w:rPr>
          <w:lang w:val="en-US"/>
        </w:rPr>
      </w:pPr>
      <w:r>
        <w:rPr>
          <w:lang w:val="en-US"/>
        </w:rPr>
        <w:t>T</w:t>
      </w:r>
      <w:r w:rsidR="00DF1C48" w:rsidRPr="003523C5">
        <w:rPr>
          <w:lang w:val="en-US"/>
        </w:rPr>
        <w:t>he decentralization process is the institutional imprint of the EU</w:t>
      </w:r>
      <w:r w:rsidR="006E5FAF" w:rsidRPr="003523C5">
        <w:rPr>
          <w:lang w:val="en-US"/>
        </w:rPr>
        <w:t xml:space="preserve"> having fallen into the trap of confederalism, </w:t>
      </w:r>
      <w:r w:rsidR="00DF1C48" w:rsidRPr="003523C5">
        <w:rPr>
          <w:lang w:val="en-US"/>
        </w:rPr>
        <w:t>two important consequences</w:t>
      </w:r>
      <w:r w:rsidR="006E5FAF" w:rsidRPr="003523C5">
        <w:rPr>
          <w:lang w:val="en-US"/>
        </w:rPr>
        <w:t xml:space="preserve"> of which follow</w:t>
      </w:r>
      <w:r w:rsidR="00DF1C48" w:rsidRPr="003523C5">
        <w:rPr>
          <w:lang w:val="en-US"/>
        </w:rPr>
        <w:t xml:space="preserve">. First, it allows for uneven national enforcement of state aid rules. </w:t>
      </w:r>
      <w:r w:rsidR="006E5FAF" w:rsidRPr="003523C5">
        <w:rPr>
          <w:lang w:val="en-US"/>
        </w:rPr>
        <w:t>A d</w:t>
      </w:r>
      <w:r w:rsidR="00DF1C48" w:rsidRPr="003523C5">
        <w:rPr>
          <w:lang w:val="en-US"/>
        </w:rPr>
        <w:t>iffuse application of state aid law may lead to unequal rule implementation that could undermine the internal market</w:t>
      </w:r>
      <w:r w:rsidR="006E5FAF" w:rsidRPr="003523C5">
        <w:rPr>
          <w:lang w:val="en-US"/>
        </w:rPr>
        <w:t>.</w:t>
      </w:r>
      <w:r w:rsidR="006E5FAF" w:rsidRPr="003523C5">
        <w:rPr>
          <w:rStyle w:val="FootnoteReference"/>
          <w:lang w:val="en-US"/>
        </w:rPr>
        <w:footnoteReference w:id="48"/>
      </w:r>
      <w:r w:rsidR="006E5FAF" w:rsidRPr="003523C5">
        <w:rPr>
          <w:lang w:val="en-US"/>
        </w:rPr>
        <w:t xml:space="preserve"> </w:t>
      </w:r>
      <w:r w:rsidR="00A7063E" w:rsidRPr="003523C5">
        <w:rPr>
          <w:lang w:val="en-US"/>
        </w:rPr>
        <w:t>Further, s</w:t>
      </w:r>
      <w:r w:rsidR="00DF1C48" w:rsidRPr="003523C5">
        <w:rPr>
          <w:lang w:val="en-US"/>
        </w:rPr>
        <w:t xml:space="preserve">tate aid control suffers from structural problems related </w:t>
      </w:r>
      <w:r w:rsidR="00DF1C48" w:rsidRPr="00EC5F9D">
        <w:rPr>
          <w:lang w:val="en-US"/>
        </w:rPr>
        <w:t>to “the fragmented nature of the architecture,</w:t>
      </w:r>
      <w:r w:rsidR="00DF1C48" w:rsidRPr="003523C5">
        <w:rPr>
          <w:lang w:val="en-US"/>
        </w:rPr>
        <w:t xml:space="preserve"> as administrative responsibilities are dispersed across a multiplicity of loosely coupled actors displaying dissimilar mechanisms and capacities</w:t>
      </w:r>
      <w:r w:rsidR="006E5FAF" w:rsidRPr="003523C5">
        <w:rPr>
          <w:lang w:val="en-US"/>
        </w:rPr>
        <w:t>.</w:t>
      </w:r>
      <w:r w:rsidR="00DF1C48" w:rsidRPr="003523C5">
        <w:rPr>
          <w:lang w:val="en-US"/>
        </w:rPr>
        <w:t>”</w:t>
      </w:r>
      <w:r w:rsidR="006E5FAF" w:rsidRPr="003523C5">
        <w:rPr>
          <w:rStyle w:val="FootnoteReference"/>
          <w:lang w:val="en-US"/>
        </w:rPr>
        <w:footnoteReference w:id="49"/>
      </w:r>
      <w:r w:rsidR="006E5FAF" w:rsidRPr="003523C5">
        <w:rPr>
          <w:lang w:val="en-US"/>
        </w:rPr>
        <w:t xml:space="preserve"> </w:t>
      </w:r>
      <w:r w:rsidR="00DF1C48" w:rsidRPr="003523C5">
        <w:rPr>
          <w:lang w:val="en-US"/>
        </w:rPr>
        <w:t xml:space="preserve">Second, the distributive outcome of the policy </w:t>
      </w:r>
      <w:r w:rsidR="006A59BC" w:rsidRPr="003523C5">
        <w:rPr>
          <w:lang w:val="en-US"/>
        </w:rPr>
        <w:t>favors</w:t>
      </w:r>
      <w:r w:rsidR="00DF1C48" w:rsidRPr="003523C5">
        <w:rPr>
          <w:lang w:val="en-US"/>
        </w:rPr>
        <w:t xml:space="preserve"> larger and wealthier members because they have traditionally been more successful in influencing changes in state aid regulation and have also been more capable of taking advantage of them</w:t>
      </w:r>
      <w:r w:rsidR="006E5FAF" w:rsidRPr="003523C5">
        <w:rPr>
          <w:lang w:val="en-US"/>
        </w:rPr>
        <w:t>.</w:t>
      </w:r>
      <w:r w:rsidR="006E5FAF" w:rsidRPr="003523C5">
        <w:rPr>
          <w:rStyle w:val="FootnoteReference"/>
          <w:lang w:val="en-US"/>
        </w:rPr>
        <w:footnoteReference w:id="50"/>
      </w:r>
      <w:r w:rsidR="00DF1C48" w:rsidRPr="003523C5">
        <w:rPr>
          <w:lang w:val="en-US"/>
        </w:rPr>
        <w:t xml:space="preserve"> In other words, the member states’ budgetary power determines how much aid is granted</w:t>
      </w:r>
      <w:r w:rsidR="006E5FAF" w:rsidRPr="003523C5">
        <w:rPr>
          <w:lang w:val="en-US"/>
        </w:rPr>
        <w:t>.</w:t>
      </w:r>
      <w:r w:rsidR="006E5FAF" w:rsidRPr="003523C5">
        <w:rPr>
          <w:rStyle w:val="FootnoteReference"/>
          <w:lang w:val="en-US"/>
        </w:rPr>
        <w:footnoteReference w:id="51"/>
      </w:r>
    </w:p>
    <w:p w14:paraId="67171610" w14:textId="77777777" w:rsidR="00DF1C48" w:rsidRPr="003523C5" w:rsidRDefault="00DF1C48" w:rsidP="00CA7B81">
      <w:pPr>
        <w:contextualSpacing/>
        <w:rPr>
          <w:lang w:val="en-US"/>
        </w:rPr>
      </w:pPr>
    </w:p>
    <w:p w14:paraId="2D87D60D" w14:textId="1B1809C7" w:rsidR="00DF1C48" w:rsidRPr="003523C5" w:rsidRDefault="00DF1C48" w:rsidP="00CA7B81">
      <w:pPr>
        <w:contextualSpacing/>
        <w:rPr>
          <w:lang w:val="en-US"/>
        </w:rPr>
      </w:pPr>
      <w:r w:rsidRPr="003523C5">
        <w:rPr>
          <w:lang w:val="en-US"/>
        </w:rPr>
        <w:t>Core members, particularly France and Germany, have traditionally disbursed the highest amounts of state aid</w:t>
      </w:r>
      <w:r w:rsidR="00A7063E" w:rsidRPr="003523C5">
        <w:rPr>
          <w:lang w:val="en-US"/>
        </w:rPr>
        <w:t>.</w:t>
      </w:r>
      <w:r w:rsidR="00A7063E" w:rsidRPr="003523C5">
        <w:rPr>
          <w:rStyle w:val="FootnoteReference"/>
          <w:lang w:val="en-US"/>
        </w:rPr>
        <w:footnoteReference w:id="52"/>
      </w:r>
      <w:r w:rsidRPr="003523C5">
        <w:rPr>
          <w:lang w:val="en-US"/>
        </w:rPr>
        <w:t xml:space="preserve"> In 2018, Germany and France were responsible for 51% of all the state aid granted within the EU, while their share </w:t>
      </w:r>
      <w:r w:rsidR="00A7063E" w:rsidRPr="003523C5">
        <w:rPr>
          <w:lang w:val="en-US"/>
        </w:rPr>
        <w:t xml:space="preserve">of </w:t>
      </w:r>
      <w:r w:rsidRPr="003523C5">
        <w:rPr>
          <w:lang w:val="en-US"/>
        </w:rPr>
        <w:t>the EU’s GDP amounted to 34%.</w:t>
      </w:r>
      <w:r w:rsidR="00A7063E" w:rsidRPr="003523C5">
        <w:rPr>
          <w:rStyle w:val="FootnoteReference"/>
          <w:lang w:val="en-US"/>
        </w:rPr>
        <w:footnoteReference w:id="53"/>
      </w:r>
      <w:r w:rsidRPr="003523C5">
        <w:rPr>
          <w:lang w:val="en-US"/>
        </w:rPr>
        <w:t xml:space="preserve"> The</w:t>
      </w:r>
      <w:r w:rsidR="00A7063E" w:rsidRPr="003523C5">
        <w:rPr>
          <w:lang w:val="en-US"/>
        </w:rPr>
        <w:t xml:space="preserve"> budgetary power of</w:t>
      </w:r>
      <w:r w:rsidRPr="003523C5">
        <w:rPr>
          <w:lang w:val="en-US"/>
        </w:rPr>
        <w:t xml:space="preserve"> economically strong member states</w:t>
      </w:r>
      <w:r w:rsidR="00A7063E" w:rsidRPr="003523C5">
        <w:rPr>
          <w:lang w:val="en-US"/>
        </w:rPr>
        <w:t xml:space="preserve"> </w:t>
      </w:r>
      <w:r w:rsidRPr="003523C5">
        <w:rPr>
          <w:lang w:val="en-US"/>
        </w:rPr>
        <w:t>seems to tilt the playing field towards</w:t>
      </w:r>
      <w:r w:rsidR="00A7063E" w:rsidRPr="003523C5">
        <w:rPr>
          <w:lang w:val="en-US"/>
        </w:rPr>
        <w:t xml:space="preserve"> </w:t>
      </w:r>
      <w:r w:rsidRPr="003523C5">
        <w:rPr>
          <w:lang w:val="en-US"/>
        </w:rPr>
        <w:t xml:space="preserve">core members’ advantage, and, as Figure 1 shows, core countries’ overspending of state aid relative to their share </w:t>
      </w:r>
      <w:r w:rsidR="00A7063E" w:rsidRPr="003523C5">
        <w:rPr>
          <w:lang w:val="en-US"/>
        </w:rPr>
        <w:t xml:space="preserve">of </w:t>
      </w:r>
      <w:r w:rsidRPr="003523C5">
        <w:rPr>
          <w:lang w:val="en-US"/>
        </w:rPr>
        <w:t xml:space="preserve">total EU GDP has </w:t>
      </w:r>
      <w:r w:rsidR="00A7063E" w:rsidRPr="003523C5">
        <w:rPr>
          <w:lang w:val="en-US"/>
        </w:rPr>
        <w:t xml:space="preserve">recently </w:t>
      </w:r>
      <w:r w:rsidRPr="003523C5">
        <w:rPr>
          <w:lang w:val="en-US"/>
        </w:rPr>
        <w:t xml:space="preserve">increased. Moreover, as Figure 2 reveals, since the first round of the Eastern enlargement in 2004, the core has spent twice as much state aid than the Southern periphery and almost 40% more than the East. Even though most recently the Eastern member states’ spending on state aid </w:t>
      </w:r>
      <w:r w:rsidR="002A5410" w:rsidRPr="003523C5">
        <w:rPr>
          <w:lang w:val="en-US"/>
        </w:rPr>
        <w:t xml:space="preserve">has been </w:t>
      </w:r>
      <w:r w:rsidRPr="003523C5">
        <w:rPr>
          <w:lang w:val="en-US"/>
        </w:rPr>
        <w:t>the highest in the EU relative to their GDP</w:t>
      </w:r>
      <w:r w:rsidR="002A5410" w:rsidRPr="003523C5">
        <w:rPr>
          <w:lang w:val="en-US"/>
        </w:rPr>
        <w:t>,</w:t>
      </w:r>
      <w:r w:rsidRPr="003523C5">
        <w:rPr>
          <w:lang w:val="en-US"/>
        </w:rPr>
        <w:t xml:space="preserve"> this is not reflected in the per capita figures because of the superior budgetary capacity of the core members.</w:t>
      </w:r>
      <w:r w:rsidR="002A5410" w:rsidRPr="003523C5">
        <w:rPr>
          <w:rStyle w:val="FootnoteReference"/>
          <w:lang w:val="en-US"/>
        </w:rPr>
        <w:footnoteReference w:id="54"/>
      </w:r>
    </w:p>
    <w:p w14:paraId="71229AFA" w14:textId="6849ECD5" w:rsidR="0007086C" w:rsidRDefault="0007086C">
      <w:pPr>
        <w:spacing w:after="160" w:line="259" w:lineRule="auto"/>
        <w:rPr>
          <w:lang w:val="en-US"/>
        </w:rPr>
      </w:pPr>
      <w:r>
        <w:rPr>
          <w:lang w:val="en-US"/>
        </w:rPr>
        <w:br w:type="page"/>
      </w:r>
    </w:p>
    <w:p w14:paraId="770F9F43" w14:textId="77777777" w:rsidR="00DF1C48" w:rsidRPr="003523C5" w:rsidRDefault="00DF1C48" w:rsidP="00CA7B81">
      <w:pPr>
        <w:contextualSpacing/>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DF1C48" w:rsidRPr="003523C5" w14:paraId="5BF1C88E" w14:textId="77777777" w:rsidTr="000121FE">
        <w:tc>
          <w:tcPr>
            <w:tcW w:w="9062" w:type="dxa"/>
          </w:tcPr>
          <w:p w14:paraId="52BA9BA4" w14:textId="043BCB4C" w:rsidR="00DF1C48" w:rsidRPr="003523C5" w:rsidRDefault="00DF1C48" w:rsidP="00CA7B81">
            <w:pPr>
              <w:contextualSpacing/>
              <w:rPr>
                <w:b/>
                <w:lang w:val="en-US"/>
              </w:rPr>
            </w:pPr>
            <w:r w:rsidRPr="003523C5">
              <w:rPr>
                <w:b/>
                <w:lang w:val="en-US"/>
              </w:rPr>
              <w:t>Figure 1: Share (%) of core EU members from total non-crisis state aid and total EU GDP (2004</w:t>
            </w:r>
            <w:r w:rsidR="00A7063E" w:rsidRPr="003523C5">
              <w:rPr>
                <w:b/>
                <w:lang w:val="en-US"/>
              </w:rPr>
              <w:t>–</w:t>
            </w:r>
            <w:r w:rsidRPr="003523C5">
              <w:rPr>
                <w:b/>
                <w:lang w:val="en-US"/>
              </w:rPr>
              <w:t>2019)</w:t>
            </w:r>
          </w:p>
        </w:tc>
      </w:tr>
      <w:tr w:rsidR="00DF1C48" w:rsidRPr="003523C5" w14:paraId="72207E2C" w14:textId="77777777" w:rsidTr="000121FE">
        <w:tblPrEx>
          <w:tblCellMar>
            <w:left w:w="70" w:type="dxa"/>
            <w:right w:w="70" w:type="dxa"/>
          </w:tblCellMar>
        </w:tblPrEx>
        <w:tc>
          <w:tcPr>
            <w:tcW w:w="9062" w:type="dxa"/>
          </w:tcPr>
          <w:p w14:paraId="65A7D197" w14:textId="77777777" w:rsidR="00DF1C48" w:rsidRPr="003523C5" w:rsidRDefault="00DF1C48" w:rsidP="00CA7B81">
            <w:pPr>
              <w:contextualSpacing/>
              <w:rPr>
                <w:lang w:val="en-US"/>
              </w:rPr>
            </w:pPr>
            <w:r w:rsidRPr="003523C5">
              <w:rPr>
                <w:noProof/>
                <w:lang w:eastAsia="hu-HU"/>
              </w:rPr>
              <w:drawing>
                <wp:inline distT="0" distB="0" distL="0" distR="0" wp14:anchorId="4467A92E" wp14:editId="57D22B91">
                  <wp:extent cx="4368018" cy="2539218"/>
                  <wp:effectExtent l="0" t="0" r="0" b="0"/>
                  <wp:docPr id="4"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DF1C48" w:rsidRPr="003523C5" w14:paraId="702678FA" w14:textId="77777777" w:rsidTr="000121FE">
        <w:tc>
          <w:tcPr>
            <w:tcW w:w="9062" w:type="dxa"/>
          </w:tcPr>
          <w:p w14:paraId="63954289" w14:textId="736217C8" w:rsidR="00DF1C48" w:rsidRPr="003523C5" w:rsidRDefault="00DF1C48" w:rsidP="00CA7B81">
            <w:pPr>
              <w:contextualSpacing/>
              <w:rPr>
                <w:lang w:val="en-US"/>
              </w:rPr>
            </w:pPr>
            <w:r w:rsidRPr="003523C5">
              <w:rPr>
                <w:lang w:val="en-US"/>
              </w:rPr>
              <w:t xml:space="preserve">Source: </w:t>
            </w:r>
            <w:r w:rsidR="00AF0E0E" w:rsidRPr="003523C5">
              <w:rPr>
                <w:lang w:val="en-US"/>
              </w:rPr>
              <w:t>Authors’</w:t>
            </w:r>
            <w:r w:rsidRPr="003523C5">
              <w:rPr>
                <w:lang w:val="en-US"/>
              </w:rPr>
              <w:t xml:space="preserve"> calculation based on Eurostat and EU State Aid Scoreboard</w:t>
            </w:r>
            <w:r w:rsidR="00A7063E" w:rsidRPr="003523C5">
              <w:rPr>
                <w:lang w:val="en-US"/>
              </w:rPr>
              <w:t>.</w:t>
            </w:r>
          </w:p>
        </w:tc>
      </w:tr>
      <w:tr w:rsidR="00DF1C48" w:rsidRPr="003523C5" w14:paraId="0690A259" w14:textId="77777777" w:rsidTr="000121FE">
        <w:tc>
          <w:tcPr>
            <w:tcW w:w="9062" w:type="dxa"/>
          </w:tcPr>
          <w:p w14:paraId="422754A8" w14:textId="77777777" w:rsidR="002A5410" w:rsidRPr="003523C5" w:rsidRDefault="002A5410" w:rsidP="00CA7B81">
            <w:pPr>
              <w:contextualSpacing/>
              <w:rPr>
                <w:lang w:val="en-US"/>
              </w:rPr>
            </w:pPr>
          </w:p>
          <w:p w14:paraId="76CACBA5" w14:textId="77777777" w:rsidR="00DF1C48" w:rsidRPr="003523C5" w:rsidRDefault="00DF1C48" w:rsidP="00CA7B81">
            <w:pPr>
              <w:contextualSpacing/>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6"/>
            </w:tblGrid>
            <w:tr w:rsidR="00DF1C48" w:rsidRPr="003523C5" w14:paraId="02D779A4" w14:textId="77777777" w:rsidTr="000121FE">
              <w:tc>
                <w:tcPr>
                  <w:tcW w:w="9062" w:type="dxa"/>
                </w:tcPr>
                <w:p w14:paraId="5CF374DF" w14:textId="03540D9A" w:rsidR="00DF1C48" w:rsidRPr="003523C5" w:rsidRDefault="00DF1C48" w:rsidP="00CA7B81">
                  <w:pPr>
                    <w:contextualSpacing/>
                    <w:rPr>
                      <w:b/>
                      <w:lang w:val="en-US"/>
                    </w:rPr>
                  </w:pPr>
                  <w:r w:rsidRPr="003523C5">
                    <w:rPr>
                      <w:b/>
                      <w:lang w:val="en-US"/>
                    </w:rPr>
                    <w:t xml:space="preserve">Figure 2: Total disbursed state aid per capita </w:t>
                  </w:r>
                  <w:r w:rsidR="002A5410" w:rsidRPr="003523C5">
                    <w:rPr>
                      <w:b/>
                      <w:lang w:val="en-US"/>
                    </w:rPr>
                    <w:t>(</w:t>
                  </w:r>
                  <w:r w:rsidRPr="003523C5">
                    <w:rPr>
                      <w:b/>
                      <w:lang w:val="en-US"/>
                    </w:rPr>
                    <w:t>in EUR</w:t>
                  </w:r>
                  <w:r w:rsidR="002A5410" w:rsidRPr="003523C5">
                    <w:rPr>
                      <w:b/>
                      <w:lang w:val="en-US"/>
                    </w:rPr>
                    <w:t>)</w:t>
                  </w:r>
                  <w:r w:rsidRPr="003523C5">
                    <w:rPr>
                      <w:b/>
                      <w:lang w:val="en-US"/>
                    </w:rPr>
                    <w:t xml:space="preserve"> in EU core and periphery (2004</w:t>
                  </w:r>
                  <w:r w:rsidR="002A5410" w:rsidRPr="003523C5">
                    <w:rPr>
                      <w:b/>
                      <w:lang w:val="en-US"/>
                    </w:rPr>
                    <w:t>–</w:t>
                  </w:r>
                  <w:r w:rsidRPr="003523C5">
                    <w:rPr>
                      <w:b/>
                      <w:lang w:val="en-US"/>
                    </w:rPr>
                    <w:t>2018)</w:t>
                  </w:r>
                </w:p>
              </w:tc>
            </w:tr>
            <w:tr w:rsidR="00DF1C48" w:rsidRPr="003523C5" w14:paraId="13A1798D" w14:textId="77777777" w:rsidTr="000121FE">
              <w:tblPrEx>
                <w:tblCellMar>
                  <w:left w:w="70" w:type="dxa"/>
                  <w:right w:w="70" w:type="dxa"/>
                </w:tblCellMar>
              </w:tblPrEx>
              <w:tc>
                <w:tcPr>
                  <w:tcW w:w="9062" w:type="dxa"/>
                </w:tcPr>
                <w:p w14:paraId="1F6227E7" w14:textId="77777777" w:rsidR="00DF1C48" w:rsidRPr="003523C5" w:rsidRDefault="00DF1C48" w:rsidP="00CA7B81">
                  <w:pPr>
                    <w:contextualSpacing/>
                    <w:rPr>
                      <w:lang w:val="en-US"/>
                    </w:rPr>
                  </w:pPr>
                  <w:r w:rsidRPr="003523C5">
                    <w:rPr>
                      <w:noProof/>
                      <w:lang w:eastAsia="hu-HU"/>
                    </w:rPr>
                    <w:drawing>
                      <wp:inline distT="0" distB="0" distL="0" distR="0" wp14:anchorId="34DE3C0F" wp14:editId="4CB2D1E2">
                        <wp:extent cx="4445391" cy="2778370"/>
                        <wp:effectExtent l="0" t="0" r="0" b="3175"/>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DF1C48" w:rsidRPr="003523C5" w14:paraId="65DFA64D" w14:textId="77777777" w:rsidTr="000121FE">
              <w:tc>
                <w:tcPr>
                  <w:tcW w:w="9062" w:type="dxa"/>
                </w:tcPr>
                <w:p w14:paraId="34C0DC48" w14:textId="4A9A9075" w:rsidR="00DF1C48" w:rsidRPr="003523C5" w:rsidRDefault="00DF1C48" w:rsidP="00CA7B81">
                  <w:pPr>
                    <w:contextualSpacing/>
                    <w:rPr>
                      <w:lang w:val="en-US"/>
                    </w:rPr>
                  </w:pPr>
                  <w:r w:rsidRPr="003523C5">
                    <w:rPr>
                      <w:lang w:val="en-US"/>
                    </w:rPr>
                    <w:t xml:space="preserve">Note: </w:t>
                  </w:r>
                  <w:r w:rsidR="002A5410" w:rsidRPr="003523C5">
                    <w:rPr>
                      <w:lang w:val="en-US"/>
                    </w:rPr>
                    <w:t>C</w:t>
                  </w:r>
                  <w:r w:rsidRPr="003523C5">
                    <w:rPr>
                      <w:lang w:val="en-US"/>
                    </w:rPr>
                    <w:t>alculated with population figures for 2019</w:t>
                  </w:r>
                  <w:r w:rsidR="002A5410" w:rsidRPr="003523C5">
                    <w:rPr>
                      <w:lang w:val="en-US"/>
                    </w:rPr>
                    <w:t>.</w:t>
                  </w:r>
                </w:p>
                <w:p w14:paraId="65CF89A0" w14:textId="1563B947" w:rsidR="00DF1C48" w:rsidRPr="003523C5" w:rsidRDefault="00DF1C48" w:rsidP="00CA7B81">
                  <w:pPr>
                    <w:contextualSpacing/>
                    <w:rPr>
                      <w:lang w:val="en-US"/>
                    </w:rPr>
                  </w:pPr>
                  <w:r w:rsidRPr="003523C5">
                    <w:rPr>
                      <w:lang w:val="en-US"/>
                    </w:rPr>
                    <w:t xml:space="preserve">Source: </w:t>
                  </w:r>
                  <w:r w:rsidR="00AF0E0E" w:rsidRPr="003523C5">
                    <w:rPr>
                      <w:lang w:val="en-US"/>
                    </w:rPr>
                    <w:t>Authors’</w:t>
                  </w:r>
                  <w:r w:rsidRPr="003523C5">
                    <w:rPr>
                      <w:lang w:val="en-US"/>
                    </w:rPr>
                    <w:t xml:space="preserve"> calculation based on Eurostat and EU State Aid Scoreboard</w:t>
                  </w:r>
                  <w:r w:rsidR="002A5410" w:rsidRPr="003523C5">
                    <w:rPr>
                      <w:lang w:val="en-US"/>
                    </w:rPr>
                    <w:t>.</w:t>
                  </w:r>
                </w:p>
              </w:tc>
            </w:tr>
          </w:tbl>
          <w:p w14:paraId="4FFBB662" w14:textId="77777777" w:rsidR="00DF1C48" w:rsidRPr="003523C5" w:rsidRDefault="00DF1C48" w:rsidP="00CA7B81">
            <w:pPr>
              <w:contextualSpacing/>
              <w:rPr>
                <w:lang w:val="en-US"/>
              </w:rPr>
            </w:pPr>
          </w:p>
        </w:tc>
      </w:tr>
    </w:tbl>
    <w:p w14:paraId="75B0F484" w14:textId="77777777" w:rsidR="00DF1C48" w:rsidRPr="003523C5" w:rsidRDefault="00DF1C48" w:rsidP="00CA7B81">
      <w:pPr>
        <w:contextualSpacing/>
        <w:rPr>
          <w:lang w:val="en-US"/>
        </w:rPr>
      </w:pPr>
    </w:p>
    <w:p w14:paraId="42B16894" w14:textId="77777777" w:rsidR="00DF1C48" w:rsidRPr="003523C5" w:rsidRDefault="00DF1C48" w:rsidP="00CA7B81">
      <w:pPr>
        <w:contextualSpacing/>
        <w:rPr>
          <w:lang w:val="en-US"/>
        </w:rPr>
      </w:pPr>
    </w:p>
    <w:p w14:paraId="67AE7B18" w14:textId="4602FBCB" w:rsidR="00DF1C48" w:rsidRPr="003523C5" w:rsidRDefault="00DF1C48" w:rsidP="00CA7B81">
      <w:pPr>
        <w:contextualSpacing/>
        <w:rPr>
          <w:lang w:val="en-US"/>
        </w:rPr>
      </w:pPr>
      <w:r w:rsidRPr="003523C5">
        <w:rPr>
          <w:lang w:val="en-US"/>
        </w:rPr>
        <w:t>The relaxation of state aid rules because of the COVID-19 crisis has reinforced the core members’ advantage and exposed huge inequality in disbursing aid (</w:t>
      </w:r>
      <w:r w:rsidR="002A5410" w:rsidRPr="003523C5">
        <w:rPr>
          <w:lang w:val="en-US"/>
        </w:rPr>
        <w:t xml:space="preserve">see </w:t>
      </w:r>
      <w:r w:rsidRPr="003523C5">
        <w:rPr>
          <w:lang w:val="en-US"/>
        </w:rPr>
        <w:t xml:space="preserve">Figure 3). In March 2020, the European Commission established a temporary aid framework to facilitate crisis management. In this document, the Commission expressed that “given the limited size of the </w:t>
      </w:r>
      <w:r w:rsidRPr="003523C5">
        <w:rPr>
          <w:lang w:val="en-US"/>
        </w:rPr>
        <w:lastRenderedPageBreak/>
        <w:t>EU budget, the main response will come from Member States’ national budgets</w:t>
      </w:r>
      <w:r w:rsidR="002A5410" w:rsidRPr="003523C5">
        <w:rPr>
          <w:lang w:val="en-US"/>
        </w:rPr>
        <w:t>.</w:t>
      </w:r>
      <w:r w:rsidRPr="003523C5">
        <w:rPr>
          <w:lang w:val="en-US"/>
        </w:rPr>
        <w:t>”</w:t>
      </w:r>
      <w:r w:rsidR="00AF0E0E" w:rsidRPr="003523C5">
        <w:rPr>
          <w:rStyle w:val="FootnoteReference"/>
          <w:lang w:val="en-US"/>
        </w:rPr>
        <w:footnoteReference w:id="55"/>
      </w:r>
      <w:r w:rsidRPr="003523C5">
        <w:rPr>
          <w:lang w:val="en-US"/>
        </w:rPr>
        <w:t xml:space="preserve"> By June 2020, the Commission had approved more than 2 trillion euro </w:t>
      </w:r>
      <w:r w:rsidR="00AF0E0E" w:rsidRPr="003523C5">
        <w:rPr>
          <w:lang w:val="en-US"/>
        </w:rPr>
        <w:t xml:space="preserve">in </w:t>
      </w:r>
      <w:r w:rsidRPr="003523C5">
        <w:rPr>
          <w:lang w:val="en-US"/>
        </w:rPr>
        <w:t>state aid, most of it initiated by the core members: Germany alone accounted for half of this sum, which has caused concerns among less affluent members</w:t>
      </w:r>
      <w:r w:rsidR="00AF0E0E" w:rsidRPr="003523C5">
        <w:rPr>
          <w:lang w:val="en-US"/>
        </w:rPr>
        <w:t>.</w:t>
      </w:r>
      <w:r w:rsidR="00AF0E0E" w:rsidRPr="003523C5">
        <w:rPr>
          <w:rStyle w:val="FootnoteReference"/>
          <w:lang w:val="en-US"/>
        </w:rPr>
        <w:footnoteReference w:id="56"/>
      </w:r>
      <w:r w:rsidR="00AF0E0E" w:rsidRPr="003523C5">
        <w:rPr>
          <w:lang w:val="en-US"/>
        </w:rPr>
        <w:t xml:space="preserve"> </w:t>
      </w:r>
      <w:r w:rsidRPr="003523C5">
        <w:rPr>
          <w:lang w:val="en-US"/>
        </w:rPr>
        <w:t xml:space="preserve">Within less than a year, the core countries committed crisis-mitigating expenses equivalent to the total Cohesion Policy funding paid to the Eastern members since the 2004 enlargement (compare with Figure 4). </w:t>
      </w:r>
      <w:r w:rsidR="00AF0E0E" w:rsidRPr="003523C5">
        <w:rPr>
          <w:lang w:val="en-US"/>
        </w:rPr>
        <w:t xml:space="preserve">The </w:t>
      </w:r>
      <w:r w:rsidRPr="003523C5">
        <w:rPr>
          <w:lang w:val="en-US"/>
        </w:rPr>
        <w:t>Spanish Minister of Economy expressed that to preserve the internal market, richer member states should not support their economies more generously</w:t>
      </w:r>
      <w:r w:rsidR="00AF0E0E" w:rsidRPr="003523C5">
        <w:rPr>
          <w:lang w:val="en-US"/>
        </w:rPr>
        <w:t>.</w:t>
      </w:r>
      <w:r w:rsidR="00AF0E0E" w:rsidRPr="003523C5">
        <w:rPr>
          <w:rStyle w:val="FootnoteReference"/>
          <w:lang w:val="en-US"/>
        </w:rPr>
        <w:footnoteReference w:id="57"/>
      </w:r>
      <w:r w:rsidRPr="003523C5">
        <w:rPr>
          <w:lang w:val="en-US"/>
        </w:rPr>
        <w:t xml:space="preserve"> As a spokesperson for the Commission admitted, the cross-country differences in state aid provision is “linked to the fiscal space they have as well as the respective size of their economies</w:t>
      </w:r>
      <w:r w:rsidR="00AF0E0E" w:rsidRPr="003523C5">
        <w:rPr>
          <w:lang w:val="en-US"/>
        </w:rPr>
        <w:t>.</w:t>
      </w:r>
      <w:r w:rsidRPr="003523C5">
        <w:rPr>
          <w:lang w:val="en-US"/>
        </w:rPr>
        <w:t>”</w:t>
      </w:r>
      <w:r w:rsidR="00AF0E0E" w:rsidRPr="003523C5">
        <w:rPr>
          <w:rStyle w:val="FootnoteReference"/>
          <w:lang w:val="en-US"/>
        </w:rPr>
        <w:footnoteReference w:id="58"/>
      </w:r>
    </w:p>
    <w:p w14:paraId="774FB8E9" w14:textId="77777777" w:rsidR="00DF1C48" w:rsidRPr="003523C5" w:rsidRDefault="00DF1C48" w:rsidP="00CA7B81">
      <w:pPr>
        <w:contextualSpacing/>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DF1C48" w:rsidRPr="003523C5" w14:paraId="337D77FB" w14:textId="77777777" w:rsidTr="000121FE">
        <w:tc>
          <w:tcPr>
            <w:tcW w:w="9062" w:type="dxa"/>
          </w:tcPr>
          <w:p w14:paraId="5F2898DE" w14:textId="1EE54FFE" w:rsidR="00DF1C48" w:rsidRPr="003523C5" w:rsidRDefault="00DF1C48" w:rsidP="00CA7B81">
            <w:pPr>
              <w:contextualSpacing/>
              <w:rPr>
                <w:b/>
                <w:lang w:val="en-US"/>
              </w:rPr>
            </w:pPr>
            <w:r w:rsidRPr="003523C5">
              <w:rPr>
                <w:b/>
                <w:lang w:val="en-US"/>
              </w:rPr>
              <w:t xml:space="preserve">Figure 3: Total COVID-19 state aid per capita </w:t>
            </w:r>
            <w:r w:rsidR="00AF0E0E" w:rsidRPr="003523C5">
              <w:rPr>
                <w:b/>
                <w:lang w:val="en-US"/>
              </w:rPr>
              <w:t>(</w:t>
            </w:r>
            <w:r w:rsidRPr="003523C5">
              <w:rPr>
                <w:b/>
                <w:lang w:val="en-US"/>
              </w:rPr>
              <w:t>in EUR</w:t>
            </w:r>
            <w:r w:rsidR="00AF0E0E" w:rsidRPr="003523C5">
              <w:rPr>
                <w:b/>
                <w:lang w:val="en-US"/>
              </w:rPr>
              <w:t>,</w:t>
            </w:r>
            <w:r w:rsidRPr="003523C5">
              <w:rPr>
                <w:b/>
                <w:lang w:val="en-US"/>
              </w:rPr>
              <w:t xml:space="preserve"> adjusted with price levels) in the EU core and periphery (March 2020–April 2021)</w:t>
            </w:r>
          </w:p>
        </w:tc>
      </w:tr>
      <w:tr w:rsidR="00DF1C48" w:rsidRPr="003523C5" w14:paraId="514DA325" w14:textId="77777777" w:rsidTr="000121FE">
        <w:tblPrEx>
          <w:tblCellMar>
            <w:left w:w="70" w:type="dxa"/>
            <w:right w:w="70" w:type="dxa"/>
          </w:tblCellMar>
        </w:tblPrEx>
        <w:tc>
          <w:tcPr>
            <w:tcW w:w="9062" w:type="dxa"/>
          </w:tcPr>
          <w:p w14:paraId="6F70B145" w14:textId="77777777" w:rsidR="00DF1C48" w:rsidRPr="003523C5" w:rsidRDefault="00DF1C48" w:rsidP="00CA7B81">
            <w:pPr>
              <w:contextualSpacing/>
              <w:rPr>
                <w:lang w:val="en-US"/>
              </w:rPr>
            </w:pPr>
            <w:r w:rsidRPr="003523C5">
              <w:rPr>
                <w:noProof/>
                <w:lang w:eastAsia="hu-HU"/>
              </w:rPr>
              <w:drawing>
                <wp:inline distT="0" distB="0" distL="0" distR="0" wp14:anchorId="032A9B0E" wp14:editId="148B144C">
                  <wp:extent cx="4572000" cy="2743200"/>
                  <wp:effectExtent l="0" t="0" r="0" b="0"/>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DF1C48" w:rsidRPr="003523C5" w14:paraId="706C43B0" w14:textId="77777777" w:rsidTr="000121FE">
        <w:tc>
          <w:tcPr>
            <w:tcW w:w="9062" w:type="dxa"/>
          </w:tcPr>
          <w:p w14:paraId="2A789EAE" w14:textId="0842E360" w:rsidR="00DF1C48" w:rsidRPr="003523C5" w:rsidRDefault="00DF1C48" w:rsidP="00CA7B81">
            <w:pPr>
              <w:contextualSpacing/>
              <w:rPr>
                <w:lang w:val="en-US"/>
              </w:rPr>
            </w:pPr>
            <w:r w:rsidRPr="003523C5">
              <w:rPr>
                <w:lang w:val="en-US"/>
              </w:rPr>
              <w:t xml:space="preserve">Source: </w:t>
            </w:r>
            <w:r w:rsidR="00AF0E0E" w:rsidRPr="003523C5">
              <w:rPr>
                <w:lang w:val="en-US"/>
              </w:rPr>
              <w:t>A</w:t>
            </w:r>
            <w:r w:rsidRPr="003523C5">
              <w:rPr>
                <w:lang w:val="en-US"/>
              </w:rPr>
              <w:t>uthors</w:t>
            </w:r>
            <w:r w:rsidR="00AF0E0E" w:rsidRPr="003523C5">
              <w:rPr>
                <w:lang w:val="en-US"/>
              </w:rPr>
              <w:t>’</w:t>
            </w:r>
            <w:r w:rsidRPr="003523C5">
              <w:rPr>
                <w:lang w:val="en-US"/>
              </w:rPr>
              <w:t xml:space="preserve"> calculation based on DG Competition and Eurostat</w:t>
            </w:r>
            <w:r w:rsidR="00AF0E0E" w:rsidRPr="003523C5">
              <w:rPr>
                <w:lang w:val="en-US"/>
              </w:rPr>
              <w:t>.</w:t>
            </w:r>
          </w:p>
        </w:tc>
      </w:tr>
    </w:tbl>
    <w:p w14:paraId="046DA5E9" w14:textId="77777777" w:rsidR="00DF1C48" w:rsidRPr="003523C5" w:rsidRDefault="00DF1C48" w:rsidP="00CA7B81">
      <w:pPr>
        <w:contextualSpacing/>
        <w:rPr>
          <w:lang w:val="en-US"/>
        </w:rPr>
      </w:pPr>
    </w:p>
    <w:p w14:paraId="7D828F91" w14:textId="6230D6EF" w:rsidR="00DF1C48" w:rsidRPr="003523C5" w:rsidRDefault="00DF1C48" w:rsidP="00CA7B81">
      <w:pPr>
        <w:contextualSpacing/>
        <w:rPr>
          <w:lang w:val="en-US"/>
        </w:rPr>
      </w:pPr>
      <w:r w:rsidRPr="003523C5">
        <w:rPr>
          <w:lang w:val="en-US"/>
        </w:rPr>
        <w:t>The first assessment of the pandemic-related state aid packages revealed that their budget size</w:t>
      </w:r>
      <w:r w:rsidR="00AF0E0E" w:rsidRPr="003523C5">
        <w:rPr>
          <w:lang w:val="en-US"/>
        </w:rPr>
        <w:t>s</w:t>
      </w:r>
      <w:r w:rsidRPr="003523C5">
        <w:rPr>
          <w:lang w:val="en-US"/>
        </w:rPr>
        <w:t xml:space="preserve"> were historically unprecedented, but the measures might not necessarily be proportional to the initial economic damage caused by the crisis. Moreover, convincing evidence for positive cross-border spillovers of state aid were missing, hence the measures may not serve common European interests. Consequently, disproportional and excessive use of state aid may risk the integrity of the single market</w:t>
      </w:r>
      <w:r w:rsidR="00AF0E0E" w:rsidRPr="003523C5">
        <w:rPr>
          <w:lang w:val="en-US"/>
        </w:rPr>
        <w:t>.</w:t>
      </w:r>
      <w:r w:rsidR="00AF0E0E" w:rsidRPr="003523C5">
        <w:rPr>
          <w:rStyle w:val="FootnoteReference"/>
          <w:lang w:val="en-US"/>
        </w:rPr>
        <w:footnoteReference w:id="59"/>
      </w:r>
      <w:r w:rsidRPr="003523C5">
        <w:rPr>
          <w:lang w:val="en-US"/>
        </w:rPr>
        <w:t xml:space="preserve"> However, neither the Commission nor the Court took any steps to contain core members’ excessive spending. For instance, the EU General Court rejected Ryanair’s legal appeals against aid packages supporting the French and Swedish aviation sectors, arguing that the aid schemes were appropriate to the damage suffered by the sector</w:t>
      </w:r>
      <w:r w:rsidR="00AF0E0E" w:rsidRPr="003523C5">
        <w:rPr>
          <w:lang w:val="en-US"/>
        </w:rPr>
        <w:t>.</w:t>
      </w:r>
      <w:r w:rsidR="00AF0E0E" w:rsidRPr="003523C5">
        <w:rPr>
          <w:rStyle w:val="FootnoteReference"/>
          <w:lang w:val="en-US"/>
        </w:rPr>
        <w:footnoteReference w:id="60"/>
      </w:r>
      <w:r w:rsidRPr="003523C5">
        <w:rPr>
          <w:lang w:val="en-US"/>
        </w:rPr>
        <w:t xml:space="preserve"> With this ruling, the Court indirectly suggested that during an economic crisis, the best preservation of the internal market is to further fragment it according to national economic interests.</w:t>
      </w:r>
    </w:p>
    <w:p w14:paraId="3DA7FFF0" w14:textId="77777777" w:rsidR="00DF1C48" w:rsidRPr="003523C5" w:rsidRDefault="00DF1C48" w:rsidP="00CA7B81">
      <w:pPr>
        <w:contextualSpacing/>
        <w:rPr>
          <w:lang w:val="en-US"/>
        </w:rPr>
      </w:pPr>
    </w:p>
    <w:p w14:paraId="0E17C851" w14:textId="2CEEFF82" w:rsidR="00DF1C48" w:rsidRPr="003523C5" w:rsidRDefault="00DF1C48" w:rsidP="00CA7B81">
      <w:pPr>
        <w:contextualSpacing/>
        <w:rPr>
          <w:lang w:val="en-US"/>
        </w:rPr>
      </w:pPr>
      <w:r w:rsidRPr="003523C5">
        <w:rPr>
          <w:lang w:val="en-US"/>
        </w:rPr>
        <w:t>The pandemic is not the only reason for the loosening of state aid control</w:t>
      </w:r>
      <w:r w:rsidR="001F3A9D" w:rsidRPr="003523C5">
        <w:rPr>
          <w:lang w:val="en-US"/>
        </w:rPr>
        <w:t>. T</w:t>
      </w:r>
      <w:r w:rsidRPr="003523C5">
        <w:rPr>
          <w:lang w:val="en-US"/>
        </w:rPr>
        <w:t xml:space="preserve">he growing </w:t>
      </w:r>
      <w:proofErr w:type="spellStart"/>
      <w:r w:rsidRPr="003523C5">
        <w:rPr>
          <w:lang w:val="en-US"/>
        </w:rPr>
        <w:t>geopoliticization</w:t>
      </w:r>
      <w:proofErr w:type="spellEnd"/>
      <w:r w:rsidRPr="003523C5">
        <w:rPr>
          <w:lang w:val="en-US"/>
        </w:rPr>
        <w:t xml:space="preserve"> of competition has already pointed in this direction.</w:t>
      </w:r>
      <w:r w:rsidR="001F3A9D" w:rsidRPr="003523C5">
        <w:rPr>
          <w:rStyle w:val="FootnoteReference"/>
          <w:lang w:val="en-US"/>
        </w:rPr>
        <w:footnoteReference w:id="61"/>
      </w:r>
      <w:r w:rsidRPr="003523C5">
        <w:rPr>
          <w:lang w:val="en-US"/>
        </w:rPr>
        <w:t xml:space="preserve"> On the one hand, China’s extensive support to its firms competing in the global market and the increasingly protectionist stance of the US government may put European enterprises at a disadvantage. On the other hand, Brexit and the UK government’s anticipated lenient approach to state aid control also require an adequate EU response. Finally, the French and German governments have been lobbying</w:t>
      </w:r>
      <w:r w:rsidR="001F3A9D" w:rsidRPr="003523C5">
        <w:rPr>
          <w:lang w:val="en-US"/>
        </w:rPr>
        <w:t xml:space="preserve"> </w:t>
      </w:r>
      <w:r w:rsidRPr="003523C5">
        <w:rPr>
          <w:lang w:val="en-US"/>
        </w:rPr>
        <w:t>the Commission to simplify the state aid framework to promote European industry.</w:t>
      </w:r>
      <w:r w:rsidR="001F3A9D" w:rsidRPr="003523C5">
        <w:rPr>
          <w:rStyle w:val="FootnoteReference"/>
          <w:lang w:val="en-US"/>
        </w:rPr>
        <w:footnoteReference w:id="62"/>
      </w:r>
      <w:r w:rsidRPr="003523C5">
        <w:rPr>
          <w:lang w:val="en-US"/>
        </w:rPr>
        <w:t xml:space="preserve"> In short, consistent with the </w:t>
      </w:r>
      <w:r w:rsidR="001F3A9D" w:rsidRPr="003523C5">
        <w:rPr>
          <w:lang w:val="en-US"/>
        </w:rPr>
        <w:t xml:space="preserve">trap of </w:t>
      </w:r>
      <w:r w:rsidRPr="003523C5">
        <w:rPr>
          <w:lang w:val="en-US"/>
        </w:rPr>
        <w:t>confederal</w:t>
      </w:r>
      <w:r w:rsidR="001F3A9D" w:rsidRPr="003523C5">
        <w:rPr>
          <w:lang w:val="en-US"/>
        </w:rPr>
        <w:t>ism</w:t>
      </w:r>
      <w:r w:rsidRPr="003523C5">
        <w:rPr>
          <w:lang w:val="en-US"/>
        </w:rPr>
        <w:t>, a further dismantling of the “level playing field” in state aid control can be expected, which reflects the EU’s inability to manage internal heterogeneity according to common European interests.</w:t>
      </w:r>
    </w:p>
    <w:p w14:paraId="47E1206C" w14:textId="77777777" w:rsidR="00DF1C48" w:rsidRPr="003523C5" w:rsidRDefault="00DF1C48" w:rsidP="00CA7B81">
      <w:pPr>
        <w:contextualSpacing/>
        <w:rPr>
          <w:b/>
          <w:lang w:val="en-US"/>
        </w:rPr>
      </w:pPr>
    </w:p>
    <w:p w14:paraId="22A5AC39" w14:textId="020C9A0F" w:rsidR="00DF1C48" w:rsidRPr="003523C5" w:rsidRDefault="00DF1C48" w:rsidP="00CA7B81">
      <w:pPr>
        <w:contextualSpacing/>
        <w:rPr>
          <w:b/>
          <w:lang w:val="en-US"/>
        </w:rPr>
      </w:pPr>
      <w:r w:rsidRPr="003523C5">
        <w:rPr>
          <w:b/>
          <w:lang w:val="en-US"/>
        </w:rPr>
        <w:t>3.2. The Cohesion Policy</w:t>
      </w:r>
    </w:p>
    <w:p w14:paraId="7BD4174B" w14:textId="77777777" w:rsidR="00DF1C48" w:rsidRPr="003523C5" w:rsidRDefault="00DF1C48" w:rsidP="00CA7B81">
      <w:pPr>
        <w:contextualSpacing/>
        <w:rPr>
          <w:b/>
          <w:lang w:val="en-US"/>
        </w:rPr>
      </w:pPr>
    </w:p>
    <w:p w14:paraId="48CCCA24" w14:textId="5DAE5B8F" w:rsidR="00DF1C48" w:rsidRPr="003523C5" w:rsidRDefault="00DF1C48" w:rsidP="00CA7B81">
      <w:pPr>
        <w:pStyle w:val="NormalWeb"/>
        <w:spacing w:before="0" w:beforeAutospacing="0" w:after="0" w:afterAutospacing="0"/>
        <w:contextualSpacing/>
        <w:rPr>
          <w:lang w:val="en-US"/>
        </w:rPr>
      </w:pPr>
      <w:r w:rsidRPr="003523C5">
        <w:rPr>
          <w:lang w:val="en-US"/>
        </w:rPr>
        <w:t>The EU’s Cohesion Policy initially aimed to offset market imperfections “in those economic sectors and geographical areas where the working of market forces needed to be reinforced or complemented</w:t>
      </w:r>
      <w:r w:rsidR="00F6485C" w:rsidRPr="003523C5">
        <w:rPr>
          <w:lang w:val="en-US"/>
        </w:rPr>
        <w:t>.</w:t>
      </w:r>
      <w:r w:rsidRPr="003523C5">
        <w:rPr>
          <w:lang w:val="en-US"/>
        </w:rPr>
        <w:t>”</w:t>
      </w:r>
      <w:r w:rsidR="00F6485C" w:rsidRPr="003523C5">
        <w:rPr>
          <w:rStyle w:val="FootnoteReference"/>
          <w:lang w:val="en-US"/>
        </w:rPr>
        <w:footnoteReference w:id="63"/>
      </w:r>
      <w:r w:rsidRPr="003523C5">
        <w:rPr>
          <w:lang w:val="en-US"/>
        </w:rPr>
        <w:t xml:space="preserve"> Article 174 lays out the </w:t>
      </w:r>
      <w:r w:rsidR="00F6485C" w:rsidRPr="003523C5">
        <w:rPr>
          <w:lang w:val="en-US"/>
        </w:rPr>
        <w:t>P</w:t>
      </w:r>
      <w:r w:rsidRPr="003523C5">
        <w:rPr>
          <w:lang w:val="en-US"/>
        </w:rPr>
        <w:t xml:space="preserve">olicy’s main objectives, which stipulates that “the Union shall aim at reducing disparities between the levels of development of the various regions and the backwardness of the least </w:t>
      </w:r>
      <w:r w:rsidR="00561532" w:rsidRPr="003523C5">
        <w:rPr>
          <w:lang w:val="en-US"/>
        </w:rPr>
        <w:t>favored</w:t>
      </w:r>
      <w:r w:rsidRPr="003523C5">
        <w:rPr>
          <w:lang w:val="en-US"/>
        </w:rPr>
        <w:t xml:space="preserve"> regions</w:t>
      </w:r>
      <w:r w:rsidR="00F6485C" w:rsidRPr="003523C5">
        <w:rPr>
          <w:lang w:val="en-US"/>
        </w:rPr>
        <w:t>.</w:t>
      </w:r>
      <w:r w:rsidRPr="003523C5">
        <w:rPr>
          <w:lang w:val="en-US"/>
        </w:rPr>
        <w:t xml:space="preserve">” Notwithstanding these objectives, the </w:t>
      </w:r>
      <w:r w:rsidR="00F6485C" w:rsidRPr="003523C5">
        <w:rPr>
          <w:lang w:val="en-US"/>
        </w:rPr>
        <w:t>P</w:t>
      </w:r>
      <w:r w:rsidRPr="003523C5">
        <w:rPr>
          <w:lang w:val="en-US"/>
        </w:rPr>
        <w:t xml:space="preserve">olicy shows similar symptoms of the </w:t>
      </w:r>
      <w:r w:rsidR="00F6485C" w:rsidRPr="003523C5">
        <w:rPr>
          <w:lang w:val="en-US"/>
        </w:rPr>
        <w:t xml:space="preserve">trap of </w:t>
      </w:r>
      <w:r w:rsidRPr="003523C5">
        <w:rPr>
          <w:lang w:val="en-US"/>
        </w:rPr>
        <w:t>confederal</w:t>
      </w:r>
      <w:r w:rsidR="00F6485C" w:rsidRPr="003523C5">
        <w:rPr>
          <w:lang w:val="en-US"/>
        </w:rPr>
        <w:t xml:space="preserve">ism </w:t>
      </w:r>
      <w:r w:rsidRPr="003523C5">
        <w:rPr>
          <w:lang w:val="en-US"/>
        </w:rPr>
        <w:t xml:space="preserve">as state aid control. First, the territorial focus of the </w:t>
      </w:r>
      <w:r w:rsidR="00F6485C" w:rsidRPr="003523C5">
        <w:rPr>
          <w:lang w:val="en-US"/>
        </w:rPr>
        <w:t>P</w:t>
      </w:r>
      <w:r w:rsidRPr="003523C5">
        <w:rPr>
          <w:lang w:val="en-US"/>
        </w:rPr>
        <w:t xml:space="preserve">olicy has been considerably weakened over the last two decades. Second, the European Commission exerts only marginal control over how effectively the members spend the funds and whether spending serves any common European interests. This aspect is especially relevant in the periphery, which is the main beneficiary of the </w:t>
      </w:r>
      <w:r w:rsidR="00F6485C" w:rsidRPr="003523C5">
        <w:rPr>
          <w:lang w:val="en-US"/>
        </w:rPr>
        <w:t>P</w:t>
      </w:r>
      <w:r w:rsidRPr="003523C5">
        <w:rPr>
          <w:lang w:val="en-US"/>
        </w:rPr>
        <w:t xml:space="preserve">olicy. These institutional characteristics may have contributed to the </w:t>
      </w:r>
      <w:r w:rsidR="00F6485C" w:rsidRPr="003523C5">
        <w:rPr>
          <w:lang w:val="en-US"/>
        </w:rPr>
        <w:t>P</w:t>
      </w:r>
      <w:r w:rsidRPr="003523C5">
        <w:rPr>
          <w:lang w:val="en-US"/>
        </w:rPr>
        <w:t>olicy’s at best mixed results in narrowing development gaps.</w:t>
      </w:r>
    </w:p>
    <w:p w14:paraId="1751A9ED" w14:textId="77777777" w:rsidR="00CA7B81" w:rsidRPr="003523C5" w:rsidRDefault="00CA7B81" w:rsidP="00CA7B81">
      <w:pPr>
        <w:pStyle w:val="NormalWeb"/>
        <w:spacing w:before="0" w:beforeAutospacing="0" w:after="0" w:afterAutospacing="0"/>
        <w:contextualSpacing/>
        <w:rPr>
          <w:lang w:val="en-US"/>
        </w:rPr>
      </w:pPr>
    </w:p>
    <w:p w14:paraId="7923B29F" w14:textId="122302E1" w:rsidR="0007086C" w:rsidRDefault="00DF1C48" w:rsidP="00CA7B81">
      <w:pPr>
        <w:contextualSpacing/>
        <w:rPr>
          <w:lang w:val="en-US"/>
        </w:rPr>
      </w:pPr>
      <w:r w:rsidRPr="003523C5">
        <w:rPr>
          <w:lang w:val="en-US"/>
        </w:rPr>
        <w:t xml:space="preserve">Although, as expected, the vast majority of Cohesion Policy funding </w:t>
      </w:r>
      <w:r w:rsidR="00C17E66" w:rsidRPr="003523C5">
        <w:rPr>
          <w:lang w:val="en-US"/>
        </w:rPr>
        <w:t xml:space="preserve">does </w:t>
      </w:r>
      <w:r w:rsidRPr="003523C5">
        <w:rPr>
          <w:lang w:val="en-US"/>
        </w:rPr>
        <w:t xml:space="preserve">benefit peripheral member states (Figure 4), the literature is divided over its developmental effects. Many consider the </w:t>
      </w:r>
      <w:r w:rsidR="00C17E66" w:rsidRPr="003523C5">
        <w:rPr>
          <w:lang w:val="en-US"/>
        </w:rPr>
        <w:t>P</w:t>
      </w:r>
      <w:r w:rsidRPr="003523C5">
        <w:rPr>
          <w:lang w:val="en-US"/>
        </w:rPr>
        <w:t>olicy a pure side-payment without notably reducing disparities</w:t>
      </w:r>
      <w:r w:rsidR="00C17E66" w:rsidRPr="003523C5">
        <w:rPr>
          <w:lang w:val="en-US"/>
        </w:rPr>
        <w:t>.</w:t>
      </w:r>
      <w:r w:rsidR="00C17E66" w:rsidRPr="003523C5">
        <w:rPr>
          <w:rStyle w:val="FootnoteReference"/>
          <w:lang w:val="en-US"/>
        </w:rPr>
        <w:footnoteReference w:id="64"/>
      </w:r>
      <w:r w:rsidRPr="003523C5">
        <w:rPr>
          <w:lang w:val="en-US"/>
        </w:rPr>
        <w:t xml:space="preserve"> A more nuanced opinion is that in countries with the right institutions and a supportive domestic developmental alliance, the EU transfers can have positive developmental effects</w:t>
      </w:r>
      <w:r w:rsidR="00C17E66" w:rsidRPr="003523C5">
        <w:rPr>
          <w:lang w:val="en-US"/>
        </w:rPr>
        <w:t>.</w:t>
      </w:r>
      <w:r w:rsidR="00C17E66" w:rsidRPr="003523C5">
        <w:rPr>
          <w:rStyle w:val="FootnoteReference"/>
          <w:lang w:val="en-US"/>
        </w:rPr>
        <w:footnoteReference w:id="65"/>
      </w:r>
      <w:r w:rsidR="00C17E66" w:rsidRPr="003523C5">
        <w:rPr>
          <w:lang w:val="en-US"/>
        </w:rPr>
        <w:t xml:space="preserve"> </w:t>
      </w:r>
      <w:r w:rsidRPr="003523C5">
        <w:rPr>
          <w:lang w:val="en-US"/>
        </w:rPr>
        <w:t>Nevertheless, despite three decades of intensive transfers that have been several times greater than the Marshall Plan, Southern member states have failed to close the gap with the core members or withstand the detrimental consequences of the 2008 crisis</w:t>
      </w:r>
      <w:r w:rsidR="00C17E66" w:rsidRPr="003523C5">
        <w:rPr>
          <w:lang w:val="en-US"/>
        </w:rPr>
        <w:t>.</w:t>
      </w:r>
      <w:r w:rsidR="00C17E66" w:rsidRPr="003523C5">
        <w:rPr>
          <w:rStyle w:val="FootnoteReference"/>
          <w:lang w:val="en-US"/>
        </w:rPr>
        <w:footnoteReference w:id="66"/>
      </w:r>
      <w:r w:rsidRPr="003523C5">
        <w:rPr>
          <w:lang w:val="en-US"/>
        </w:rPr>
        <w:t xml:space="preserve"> This outcome can be partially attributed to the prioritization of spending on physical infrastructure, and a persistent downplaying of investing EU funds into R&amp;D and human capital, which may involve more sustained growth effects than physical investments</w:t>
      </w:r>
      <w:r w:rsidR="00C17E66" w:rsidRPr="003523C5">
        <w:rPr>
          <w:lang w:val="en-US"/>
        </w:rPr>
        <w:t>.</w:t>
      </w:r>
      <w:r w:rsidR="00C17E66" w:rsidRPr="003523C5">
        <w:rPr>
          <w:rStyle w:val="FootnoteReference"/>
          <w:lang w:val="en-US"/>
        </w:rPr>
        <w:footnoteReference w:id="67"/>
      </w:r>
    </w:p>
    <w:p w14:paraId="64321A46" w14:textId="77777777" w:rsidR="0007086C" w:rsidRDefault="0007086C">
      <w:pPr>
        <w:spacing w:after="160" w:line="259" w:lineRule="auto"/>
        <w:rPr>
          <w:lang w:val="en-US"/>
        </w:rPr>
      </w:pPr>
      <w:r>
        <w:rPr>
          <w:lang w:val="en-U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DF1C48" w:rsidRPr="003523C5" w14:paraId="1ADD51DC" w14:textId="77777777" w:rsidTr="000121FE">
        <w:tc>
          <w:tcPr>
            <w:tcW w:w="9062" w:type="dxa"/>
          </w:tcPr>
          <w:p w14:paraId="38AE897D" w14:textId="3B8F5FC8" w:rsidR="00DF1C48" w:rsidRPr="003523C5" w:rsidRDefault="00DF1C48" w:rsidP="00CA7B81">
            <w:pPr>
              <w:contextualSpacing/>
              <w:rPr>
                <w:b/>
                <w:lang w:val="en-US"/>
              </w:rPr>
            </w:pPr>
            <w:r w:rsidRPr="003523C5">
              <w:rPr>
                <w:b/>
                <w:lang w:val="en-US"/>
              </w:rPr>
              <w:lastRenderedPageBreak/>
              <w:t xml:space="preserve">Figure 4: Total Cohesion Policy payments per capita </w:t>
            </w:r>
            <w:r w:rsidR="00C17E66" w:rsidRPr="003523C5">
              <w:rPr>
                <w:b/>
                <w:lang w:val="en-US"/>
              </w:rPr>
              <w:t>(</w:t>
            </w:r>
            <w:r w:rsidRPr="003523C5">
              <w:rPr>
                <w:b/>
                <w:lang w:val="en-US"/>
              </w:rPr>
              <w:t>in EUR</w:t>
            </w:r>
            <w:r w:rsidR="00C17E66" w:rsidRPr="003523C5">
              <w:rPr>
                <w:b/>
                <w:lang w:val="en-US"/>
              </w:rPr>
              <w:t>)</w:t>
            </w:r>
            <w:r w:rsidRPr="003523C5">
              <w:rPr>
                <w:b/>
                <w:lang w:val="en-US"/>
              </w:rPr>
              <w:t xml:space="preserve"> in the EU core and periphery</w:t>
            </w:r>
            <w:r w:rsidR="00C17E66" w:rsidRPr="003523C5">
              <w:rPr>
                <w:b/>
                <w:lang w:val="en-US"/>
              </w:rPr>
              <w:t xml:space="preserve"> (2004–2019)</w:t>
            </w:r>
          </w:p>
        </w:tc>
      </w:tr>
      <w:tr w:rsidR="00DF1C48" w:rsidRPr="003523C5" w14:paraId="3033555F" w14:textId="77777777" w:rsidTr="000121FE">
        <w:tblPrEx>
          <w:tblCellMar>
            <w:left w:w="70" w:type="dxa"/>
            <w:right w:w="70" w:type="dxa"/>
          </w:tblCellMar>
        </w:tblPrEx>
        <w:tc>
          <w:tcPr>
            <w:tcW w:w="9062" w:type="dxa"/>
          </w:tcPr>
          <w:p w14:paraId="379A2968" w14:textId="77777777" w:rsidR="00DF1C48" w:rsidRPr="003523C5" w:rsidRDefault="00DF1C48" w:rsidP="00CA7B81">
            <w:pPr>
              <w:contextualSpacing/>
              <w:rPr>
                <w:lang w:val="en-US"/>
              </w:rPr>
            </w:pPr>
            <w:r w:rsidRPr="003523C5">
              <w:rPr>
                <w:noProof/>
                <w:lang w:eastAsia="hu-HU"/>
              </w:rPr>
              <w:drawing>
                <wp:inline distT="0" distB="0" distL="0" distR="0" wp14:anchorId="36966188" wp14:editId="4228788C">
                  <wp:extent cx="4572000" cy="2743200"/>
                  <wp:effectExtent l="0" t="0" r="0" b="0"/>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DF1C48" w:rsidRPr="003523C5" w14:paraId="35523CBC" w14:textId="77777777" w:rsidTr="000121FE">
        <w:tc>
          <w:tcPr>
            <w:tcW w:w="9062" w:type="dxa"/>
          </w:tcPr>
          <w:p w14:paraId="3C5EE824" w14:textId="065A40E5" w:rsidR="00DF1C48" w:rsidRPr="003523C5" w:rsidRDefault="00DF1C48" w:rsidP="00CA7B81">
            <w:pPr>
              <w:contextualSpacing/>
              <w:rPr>
                <w:lang w:val="en-US"/>
              </w:rPr>
            </w:pPr>
            <w:r w:rsidRPr="003523C5">
              <w:rPr>
                <w:lang w:val="en-US"/>
              </w:rPr>
              <w:t xml:space="preserve">Note: </w:t>
            </w:r>
            <w:r w:rsidR="00C17E66" w:rsidRPr="003523C5">
              <w:rPr>
                <w:lang w:val="en-US"/>
              </w:rPr>
              <w:t>C</w:t>
            </w:r>
            <w:r w:rsidRPr="003523C5">
              <w:rPr>
                <w:lang w:val="en-US"/>
              </w:rPr>
              <w:t>alculated with population figures for 2019</w:t>
            </w:r>
            <w:r w:rsidR="00C17E66" w:rsidRPr="003523C5">
              <w:rPr>
                <w:lang w:val="en-US"/>
              </w:rPr>
              <w:t>.</w:t>
            </w:r>
          </w:p>
          <w:p w14:paraId="1FFC839F" w14:textId="4F783E5F" w:rsidR="00DF1C48" w:rsidRPr="003523C5" w:rsidRDefault="00DF1C48" w:rsidP="00CA7B81">
            <w:pPr>
              <w:contextualSpacing/>
              <w:rPr>
                <w:lang w:val="en-US"/>
              </w:rPr>
            </w:pPr>
            <w:r w:rsidRPr="003523C5">
              <w:rPr>
                <w:lang w:val="en-US"/>
              </w:rPr>
              <w:t xml:space="preserve">Source: </w:t>
            </w:r>
            <w:r w:rsidR="00C17E66" w:rsidRPr="003523C5">
              <w:rPr>
                <w:lang w:val="en-US"/>
              </w:rPr>
              <w:t xml:space="preserve">Authors’ </w:t>
            </w:r>
            <w:r w:rsidRPr="003523C5">
              <w:rPr>
                <w:lang w:val="en-US"/>
              </w:rPr>
              <w:t>calculation based on Eurostat and European Commission data</w:t>
            </w:r>
            <w:r w:rsidR="00C17E66" w:rsidRPr="003523C5">
              <w:rPr>
                <w:lang w:val="en-US"/>
              </w:rPr>
              <w:t>.</w:t>
            </w:r>
          </w:p>
        </w:tc>
      </w:tr>
    </w:tbl>
    <w:p w14:paraId="0FE01A5C" w14:textId="77777777" w:rsidR="00DF1C48" w:rsidRPr="003523C5" w:rsidRDefault="00DF1C48" w:rsidP="00CA7B81">
      <w:pPr>
        <w:contextualSpacing/>
        <w:rPr>
          <w:lang w:val="en-US"/>
        </w:rPr>
      </w:pPr>
    </w:p>
    <w:p w14:paraId="235FF14C" w14:textId="05BAFFF4" w:rsidR="00DF1C48" w:rsidRPr="003523C5" w:rsidRDefault="00DF1C48" w:rsidP="00CA7B81">
      <w:pPr>
        <w:contextualSpacing/>
        <w:rPr>
          <w:lang w:val="en-US"/>
        </w:rPr>
      </w:pPr>
      <w:r w:rsidRPr="003523C5">
        <w:rPr>
          <w:lang w:val="en-US"/>
        </w:rPr>
        <w:t>The above consequence is related to one of the key problems of the Cohesion Policy: member states treat it as an entitlement or a guaranteed benefit without being accountable to any national or European fora about the substantive results of their spending.</w:t>
      </w:r>
      <w:r w:rsidR="00C17E66" w:rsidRPr="003523C5">
        <w:rPr>
          <w:rStyle w:val="FootnoteReference"/>
          <w:lang w:val="en-US"/>
        </w:rPr>
        <w:footnoteReference w:id="68"/>
      </w:r>
      <w:r w:rsidRPr="003523C5">
        <w:rPr>
          <w:lang w:val="en-US"/>
        </w:rPr>
        <w:t xml:space="preserve"> In other words, mechanisms ensuring that the transfers will reduce the need for them are lacking, such as guarantees that the funds would serve the longer-term common interests of core and peripheral countries. Once negotiations on the EU’s budget are over and the subsequent deals on the operational </w:t>
      </w:r>
      <w:r w:rsidR="00561532" w:rsidRPr="003523C5">
        <w:rPr>
          <w:lang w:val="en-US"/>
        </w:rPr>
        <w:t>prog</w:t>
      </w:r>
      <w:r w:rsidR="00561532">
        <w:rPr>
          <w:lang w:val="en-US"/>
        </w:rPr>
        <w:t>r</w:t>
      </w:r>
      <w:r w:rsidR="00561532" w:rsidRPr="003523C5">
        <w:rPr>
          <w:lang w:val="en-US"/>
        </w:rPr>
        <w:t>ams</w:t>
      </w:r>
      <w:r w:rsidRPr="003523C5">
        <w:rPr>
          <w:lang w:val="en-US"/>
        </w:rPr>
        <w:t xml:space="preserve"> are arranged, the recipients’ main interest is to maximize flexibility in using funds without maximizing their effectiveness. This introduces a bias into the </w:t>
      </w:r>
      <w:r w:rsidR="00C17E66" w:rsidRPr="003523C5">
        <w:rPr>
          <w:lang w:val="en-US"/>
        </w:rPr>
        <w:t>P</w:t>
      </w:r>
      <w:r w:rsidRPr="003523C5">
        <w:rPr>
          <w:lang w:val="en-US"/>
        </w:rPr>
        <w:t>olicy’s goals and governance “whereby the rules of the game and the goals are loosened, and the general EU interest fails to be pursued</w:t>
      </w:r>
      <w:r w:rsidR="00C17E66" w:rsidRPr="003523C5">
        <w:rPr>
          <w:lang w:val="en-US"/>
        </w:rPr>
        <w:t>.</w:t>
      </w:r>
      <w:r w:rsidRPr="003523C5">
        <w:rPr>
          <w:lang w:val="en-US"/>
        </w:rPr>
        <w:t>”</w:t>
      </w:r>
      <w:r w:rsidR="00C17E66" w:rsidRPr="003523C5">
        <w:rPr>
          <w:rStyle w:val="FootnoteReference"/>
          <w:lang w:val="en-US"/>
        </w:rPr>
        <w:footnoteReference w:id="69"/>
      </w:r>
    </w:p>
    <w:p w14:paraId="01EE9760" w14:textId="77777777" w:rsidR="00DF1C48" w:rsidRPr="003523C5" w:rsidRDefault="00DF1C48" w:rsidP="00CA7B81">
      <w:pPr>
        <w:contextualSpacing/>
        <w:rPr>
          <w:lang w:val="en-US"/>
        </w:rPr>
      </w:pPr>
    </w:p>
    <w:p w14:paraId="32B8BB17" w14:textId="3E4126E4" w:rsidR="00DF1C48" w:rsidRPr="003523C5" w:rsidRDefault="00DF1C48" w:rsidP="00CA7B81">
      <w:pPr>
        <w:contextualSpacing/>
        <w:rPr>
          <w:lang w:val="en-US"/>
        </w:rPr>
      </w:pPr>
      <w:r w:rsidRPr="003523C5">
        <w:rPr>
          <w:lang w:val="en-US"/>
        </w:rPr>
        <w:t>At the same time, the core members, which are the net contributors to the EU budget, are interested in minimizing the transfers and maximizing their effectiveness. The absorption problems of the poorest EU members strengthen their position: the funds yield greater returns where institutional capacity and quality of government is higher</w:t>
      </w:r>
      <w:r w:rsidR="00C17E66" w:rsidRPr="003523C5">
        <w:rPr>
          <w:lang w:val="en-US"/>
        </w:rPr>
        <w:t>.</w:t>
      </w:r>
      <w:r w:rsidR="00C17E66" w:rsidRPr="003523C5">
        <w:rPr>
          <w:rStyle w:val="FootnoteReference"/>
          <w:lang w:val="en-US"/>
        </w:rPr>
        <w:footnoteReference w:id="70"/>
      </w:r>
      <w:r w:rsidRPr="003523C5">
        <w:rPr>
          <w:lang w:val="en-US"/>
        </w:rPr>
        <w:t xml:space="preserve"> It follows that spending would be more efficient in countries and regions with better institutional performance.</w:t>
      </w:r>
      <w:r w:rsidR="00C17E66" w:rsidRPr="003523C5">
        <w:rPr>
          <w:lang w:val="en-US"/>
        </w:rPr>
        <w:t xml:space="preserve"> </w:t>
      </w:r>
      <w:r w:rsidRPr="003523C5">
        <w:rPr>
          <w:lang w:val="en-US"/>
        </w:rPr>
        <w:t>However, institutional quality, absorption capacity, and economic development are positively related to each other; hence the poorest countries face the largest developmental challenges and the greatest need for funding</w:t>
      </w:r>
      <w:r w:rsidR="00C17E66" w:rsidRPr="003523C5">
        <w:rPr>
          <w:lang w:val="en-US"/>
        </w:rPr>
        <w:t>.</w:t>
      </w:r>
      <w:r w:rsidR="00C17E66" w:rsidRPr="003523C5">
        <w:rPr>
          <w:rStyle w:val="FootnoteReference"/>
          <w:lang w:val="en-US"/>
        </w:rPr>
        <w:footnoteReference w:id="71"/>
      </w:r>
    </w:p>
    <w:p w14:paraId="2631DBF9" w14:textId="77777777" w:rsidR="00C17E66" w:rsidRPr="003523C5" w:rsidRDefault="00C17E66" w:rsidP="00CA7B81">
      <w:pPr>
        <w:pStyle w:val="NormalWeb"/>
        <w:spacing w:before="0" w:beforeAutospacing="0" w:after="0" w:afterAutospacing="0"/>
        <w:contextualSpacing/>
        <w:rPr>
          <w:lang w:val="en-US"/>
        </w:rPr>
      </w:pPr>
    </w:p>
    <w:p w14:paraId="20001F99" w14:textId="3EB48FBD" w:rsidR="00DF1C48" w:rsidRPr="003523C5" w:rsidRDefault="00460B77" w:rsidP="00CA7B81">
      <w:pPr>
        <w:pStyle w:val="NormalWeb"/>
        <w:spacing w:before="0" w:beforeAutospacing="0" w:after="0" w:afterAutospacing="0"/>
        <w:contextualSpacing/>
        <w:rPr>
          <w:lang w:val="en-US"/>
        </w:rPr>
      </w:pPr>
      <w:r w:rsidRPr="003523C5">
        <w:rPr>
          <w:lang w:val="en-US"/>
        </w:rPr>
        <w:t>A</w:t>
      </w:r>
      <w:r w:rsidR="00DF1C48" w:rsidRPr="003523C5">
        <w:rPr>
          <w:lang w:val="en-US"/>
        </w:rPr>
        <w:t xml:space="preserve">ware of the above problems, net contributor countries (“Friends of Better Spending”) urged for a considerable cut </w:t>
      </w:r>
      <w:r w:rsidRPr="003523C5">
        <w:rPr>
          <w:lang w:val="en-US"/>
        </w:rPr>
        <w:t xml:space="preserve">in </w:t>
      </w:r>
      <w:r w:rsidR="00DF1C48" w:rsidRPr="003523C5">
        <w:rPr>
          <w:lang w:val="en-US"/>
        </w:rPr>
        <w:t>the Cohesion Policy’s budget</w:t>
      </w:r>
      <w:r w:rsidRPr="003523C5">
        <w:rPr>
          <w:lang w:val="en-US"/>
        </w:rPr>
        <w:t xml:space="preserve"> during the negotiations prior to the 2014–20 programming cycle</w:t>
      </w:r>
      <w:r w:rsidR="00DF1C48" w:rsidRPr="003523C5">
        <w:rPr>
          <w:lang w:val="en-US"/>
        </w:rPr>
        <w:t xml:space="preserve">, while the net recipients </w:t>
      </w:r>
      <w:r w:rsidRPr="003523C5">
        <w:rPr>
          <w:lang w:val="en-US"/>
        </w:rPr>
        <w:t>(</w:t>
      </w:r>
      <w:r w:rsidR="00DF1C48" w:rsidRPr="003523C5">
        <w:rPr>
          <w:lang w:val="en-US"/>
        </w:rPr>
        <w:t>“Friends of Cohesion”</w:t>
      </w:r>
      <w:r w:rsidRPr="003523C5">
        <w:rPr>
          <w:lang w:val="en-US"/>
        </w:rPr>
        <w:t>)</w:t>
      </w:r>
      <w:r w:rsidR="00DF1C48" w:rsidRPr="003523C5">
        <w:rPr>
          <w:lang w:val="en-US"/>
        </w:rPr>
        <w:t xml:space="preserve"> firmly reject</w:t>
      </w:r>
      <w:r w:rsidRPr="003523C5">
        <w:rPr>
          <w:lang w:val="en-US"/>
        </w:rPr>
        <w:t>ed</w:t>
      </w:r>
      <w:r w:rsidR="00DF1C48" w:rsidRPr="003523C5">
        <w:rPr>
          <w:lang w:val="en-US"/>
        </w:rPr>
        <w:t xml:space="preserve"> </w:t>
      </w:r>
      <w:r w:rsidR="00DF1C48" w:rsidRPr="003523C5">
        <w:rPr>
          <w:lang w:val="en-US"/>
        </w:rPr>
        <w:lastRenderedPageBreak/>
        <w:t>this proposal</w:t>
      </w:r>
      <w:r w:rsidRPr="003523C5">
        <w:rPr>
          <w:lang w:val="en-US"/>
        </w:rPr>
        <w:t>.</w:t>
      </w:r>
      <w:r w:rsidRPr="003523C5">
        <w:rPr>
          <w:rStyle w:val="FootnoteReference"/>
          <w:lang w:val="en-US"/>
        </w:rPr>
        <w:footnoteReference w:id="72"/>
      </w:r>
      <w:r w:rsidR="00DF1C48" w:rsidRPr="003523C5">
        <w:rPr>
          <w:lang w:val="en-US"/>
        </w:rPr>
        <w:t xml:space="preserve"> By capitalizing on the </w:t>
      </w:r>
      <w:r w:rsidR="00561532" w:rsidRPr="003523C5">
        <w:rPr>
          <w:lang w:val="en-US"/>
        </w:rPr>
        <w:t>euro crisis</w:t>
      </w:r>
      <w:r w:rsidR="00DF1C48" w:rsidRPr="003523C5">
        <w:rPr>
          <w:lang w:val="en-US"/>
        </w:rPr>
        <w:t>, the net payers could enforce their position</w:t>
      </w:r>
      <w:r w:rsidR="003D7D9D" w:rsidRPr="003523C5">
        <w:rPr>
          <w:lang w:val="en-US"/>
        </w:rPr>
        <w:t>.</w:t>
      </w:r>
      <w:r w:rsidR="003D7D9D" w:rsidRPr="003523C5">
        <w:rPr>
          <w:rStyle w:val="FootnoteReference"/>
          <w:lang w:val="en-US"/>
        </w:rPr>
        <w:footnoteReference w:id="73"/>
      </w:r>
      <w:r w:rsidR="003D7D9D" w:rsidRPr="003523C5">
        <w:rPr>
          <w:lang w:val="en-US"/>
        </w:rPr>
        <w:t xml:space="preserve"> </w:t>
      </w:r>
      <w:r w:rsidR="00DF1C48" w:rsidRPr="003523C5">
        <w:rPr>
          <w:lang w:val="en-US"/>
        </w:rPr>
        <w:t>Consequently, the Cohesion Policy’s focus shifted towards stimulating growth, competitiveness</w:t>
      </w:r>
      <w:r w:rsidR="003D7D9D" w:rsidRPr="003523C5">
        <w:rPr>
          <w:lang w:val="en-US"/>
        </w:rPr>
        <w:t>,</w:t>
      </w:r>
      <w:r w:rsidR="00DF1C48" w:rsidRPr="003523C5">
        <w:rPr>
          <w:lang w:val="en-US"/>
        </w:rPr>
        <w:t xml:space="preserve"> and efficiency and watered down the objective of territorial cohesion</w:t>
      </w:r>
      <w:r w:rsidR="003D7D9D" w:rsidRPr="003523C5">
        <w:rPr>
          <w:lang w:val="en-US"/>
        </w:rPr>
        <w:t>.</w:t>
      </w:r>
      <w:r w:rsidR="003D7D9D" w:rsidRPr="003523C5">
        <w:rPr>
          <w:rStyle w:val="FootnoteReference"/>
          <w:lang w:val="en-US"/>
        </w:rPr>
        <w:footnoteReference w:id="74"/>
      </w:r>
      <w:r w:rsidR="003D7D9D" w:rsidRPr="003523C5">
        <w:rPr>
          <w:lang w:val="en-US"/>
        </w:rPr>
        <w:t xml:space="preserve"> </w:t>
      </w:r>
      <w:r w:rsidR="00DF1C48" w:rsidRPr="003523C5">
        <w:rPr>
          <w:lang w:val="en-US"/>
        </w:rPr>
        <w:t xml:space="preserve">However, mechanisms that would guarantee the effective use of the funds were not introduced. </w:t>
      </w:r>
    </w:p>
    <w:p w14:paraId="70E0AF2F" w14:textId="77777777" w:rsidR="00CA7B81" w:rsidRPr="003523C5" w:rsidRDefault="00CA7B81" w:rsidP="00CA7B81">
      <w:pPr>
        <w:pStyle w:val="NormalWeb"/>
        <w:spacing w:before="0" w:beforeAutospacing="0" w:after="0" w:afterAutospacing="0"/>
        <w:contextualSpacing/>
        <w:rPr>
          <w:lang w:val="en-US"/>
        </w:rPr>
      </w:pPr>
    </w:p>
    <w:p w14:paraId="12CC9C95" w14:textId="3D1F3B4F" w:rsidR="00DF1C48" w:rsidRPr="003523C5" w:rsidRDefault="00DF1C48" w:rsidP="00CA7B81">
      <w:pPr>
        <w:pStyle w:val="NormalWeb"/>
        <w:spacing w:before="0" w:beforeAutospacing="0" w:after="0" w:afterAutospacing="0"/>
        <w:contextualSpacing/>
        <w:rPr>
          <w:lang w:val="en-US"/>
        </w:rPr>
      </w:pPr>
      <w:r w:rsidRPr="003523C5">
        <w:rPr>
          <w:lang w:val="en-US"/>
        </w:rPr>
        <w:t xml:space="preserve">In theory, the conditionality mechanism adopted at the end of 2020 would provide greater mandate to the Commission to protect the EU’s financial interests and suspend funding in those member states where breaches of the rule of law and mismanagement </w:t>
      </w:r>
      <w:r w:rsidR="00361D52" w:rsidRPr="003523C5">
        <w:rPr>
          <w:lang w:val="en-US"/>
        </w:rPr>
        <w:t xml:space="preserve">of </w:t>
      </w:r>
      <w:r w:rsidRPr="003523C5">
        <w:rPr>
          <w:lang w:val="en-US"/>
        </w:rPr>
        <w:t>transfers occur. However, because of the heavy resistance by the Polish and Hungarian governments, the European Council toned down the instrument “by reconfiguring the context in which it should be interpreted and applied</w:t>
      </w:r>
      <w:r w:rsidR="00361D52" w:rsidRPr="003523C5">
        <w:rPr>
          <w:lang w:val="en-US"/>
        </w:rPr>
        <w:t>,</w:t>
      </w:r>
      <w:r w:rsidRPr="003523C5">
        <w:rPr>
          <w:lang w:val="en-US"/>
        </w:rPr>
        <w:t>” and also delayed its full entry into force.</w:t>
      </w:r>
      <w:r w:rsidR="00361D52" w:rsidRPr="003523C5">
        <w:rPr>
          <w:rStyle w:val="FootnoteReference"/>
          <w:lang w:val="en-US"/>
        </w:rPr>
        <w:footnoteReference w:id="75"/>
      </w:r>
      <w:r w:rsidRPr="003523C5">
        <w:rPr>
          <w:lang w:val="en-US"/>
        </w:rPr>
        <w:t xml:space="preserve"> In short, the watering down of the original proposal, which is consistent with the </w:t>
      </w:r>
      <w:r w:rsidR="00361D52" w:rsidRPr="003523C5">
        <w:rPr>
          <w:lang w:val="en-US"/>
        </w:rPr>
        <w:t xml:space="preserve">trap of </w:t>
      </w:r>
      <w:r w:rsidRPr="003523C5">
        <w:rPr>
          <w:lang w:val="en-US"/>
        </w:rPr>
        <w:t>confederal</w:t>
      </w:r>
      <w:r w:rsidR="00361D52" w:rsidRPr="003523C5">
        <w:rPr>
          <w:lang w:val="en-US"/>
        </w:rPr>
        <w:t>ism</w:t>
      </w:r>
      <w:r w:rsidRPr="003523C5">
        <w:rPr>
          <w:lang w:val="en-US"/>
        </w:rPr>
        <w:t xml:space="preserve">, produced an instrument that, contrary to </w:t>
      </w:r>
      <w:r w:rsidR="00361D52" w:rsidRPr="003523C5">
        <w:rPr>
          <w:lang w:val="en-US"/>
        </w:rPr>
        <w:t xml:space="preserve">its </w:t>
      </w:r>
      <w:r w:rsidRPr="003523C5">
        <w:rPr>
          <w:lang w:val="en-US"/>
        </w:rPr>
        <w:t>original intentions, cannot bite.</w:t>
      </w:r>
    </w:p>
    <w:p w14:paraId="1A7644D9" w14:textId="77777777" w:rsidR="00CA7B81" w:rsidRPr="003523C5" w:rsidRDefault="00CA7B81" w:rsidP="00CA7B81">
      <w:pPr>
        <w:pStyle w:val="NormalWeb"/>
        <w:spacing w:before="0" w:beforeAutospacing="0" w:after="0" w:afterAutospacing="0"/>
        <w:contextualSpacing/>
        <w:rPr>
          <w:lang w:val="en-US"/>
        </w:rPr>
      </w:pPr>
    </w:p>
    <w:p w14:paraId="5CEC637C" w14:textId="72332D3F" w:rsidR="00DF1C48" w:rsidRPr="003523C5" w:rsidRDefault="00DF1C48" w:rsidP="00CA7B81">
      <w:pPr>
        <w:contextualSpacing/>
        <w:rPr>
          <w:b/>
          <w:lang w:val="en-US"/>
        </w:rPr>
      </w:pPr>
      <w:r w:rsidRPr="003523C5">
        <w:rPr>
          <w:b/>
          <w:lang w:val="en-US"/>
        </w:rPr>
        <w:t>4. The EU</w:t>
      </w:r>
      <w:r w:rsidR="00361D52" w:rsidRPr="003523C5">
        <w:rPr>
          <w:b/>
          <w:lang w:val="en-US"/>
        </w:rPr>
        <w:t>’</w:t>
      </w:r>
      <w:r w:rsidRPr="003523C5">
        <w:rPr>
          <w:b/>
          <w:lang w:val="en-US"/>
        </w:rPr>
        <w:t>s loan</w:t>
      </w:r>
      <w:r w:rsidR="00EE7627">
        <w:rPr>
          <w:b/>
          <w:lang w:val="en-US"/>
        </w:rPr>
        <w:t>-</w:t>
      </w:r>
      <w:r w:rsidRPr="003523C5">
        <w:rPr>
          <w:b/>
          <w:lang w:val="en-US"/>
        </w:rPr>
        <w:t xml:space="preserve"> and guarantee-based developmental policies: the European Investment Bank (EIB) and the European Fund for Strategic Investments (EFSI) </w:t>
      </w:r>
    </w:p>
    <w:p w14:paraId="55B865FA" w14:textId="77777777" w:rsidR="00DF1C48" w:rsidRPr="003523C5" w:rsidRDefault="00DF1C48" w:rsidP="00CA7B81">
      <w:pPr>
        <w:contextualSpacing/>
        <w:rPr>
          <w:b/>
          <w:lang w:val="en-US"/>
        </w:rPr>
      </w:pPr>
    </w:p>
    <w:p w14:paraId="73B169C8" w14:textId="5197F04A" w:rsidR="00DF1C48" w:rsidRPr="003523C5" w:rsidRDefault="00DF1C48" w:rsidP="00CA7B81">
      <w:pPr>
        <w:contextualSpacing/>
        <w:rPr>
          <w:lang w:val="en-US"/>
        </w:rPr>
      </w:pPr>
      <w:r w:rsidRPr="003523C5">
        <w:rPr>
          <w:lang w:val="en-US"/>
        </w:rPr>
        <w:t>The European Investment Bank</w:t>
      </w:r>
      <w:r w:rsidR="00361D52" w:rsidRPr="003523C5">
        <w:rPr>
          <w:lang w:val="en-US"/>
        </w:rPr>
        <w:t xml:space="preserve"> (EIB)</w:t>
      </w:r>
      <w:r w:rsidRPr="003523C5">
        <w:rPr>
          <w:lang w:val="en-US"/>
        </w:rPr>
        <w:t xml:space="preserve"> was founded in 1958</w:t>
      </w:r>
      <w:r w:rsidR="00361D52" w:rsidRPr="003523C5">
        <w:rPr>
          <w:lang w:val="en-US"/>
        </w:rPr>
        <w:t>.</w:t>
      </w:r>
      <w:r w:rsidRPr="003523C5">
        <w:rPr>
          <w:lang w:val="en-US"/>
        </w:rPr>
        <w:t xml:space="preserve"> </w:t>
      </w:r>
      <w:r w:rsidR="00361D52" w:rsidRPr="003523C5">
        <w:rPr>
          <w:lang w:val="en-US"/>
        </w:rPr>
        <w:t>I</w:t>
      </w:r>
      <w:r w:rsidRPr="003523C5">
        <w:rPr>
          <w:lang w:val="en-US"/>
        </w:rPr>
        <w:t>ts statute defines it as a development bank of the European Communities in the Treaty of Rome</w:t>
      </w:r>
      <w:r w:rsidR="00361D52" w:rsidRPr="003523C5">
        <w:rPr>
          <w:lang w:val="en-US"/>
        </w:rPr>
        <w:t xml:space="preserve"> (TR)</w:t>
      </w:r>
      <w:r w:rsidRPr="003523C5">
        <w:rPr>
          <w:lang w:val="en-US"/>
        </w:rPr>
        <w:t xml:space="preserve">. According to TR Article 130, the EIB shall contribute to the balanced and steady development of the common market through financing: </w:t>
      </w:r>
      <w:r w:rsidR="00361D52" w:rsidRPr="003523C5">
        <w:rPr>
          <w:lang w:val="en-US"/>
        </w:rPr>
        <w:t>“</w:t>
      </w:r>
      <w:r w:rsidRPr="003523C5">
        <w:rPr>
          <w:lang w:val="en-US"/>
        </w:rPr>
        <w:t>(a) projects for developing less developed regions</w:t>
      </w:r>
      <w:r w:rsidR="00361D52" w:rsidRPr="003523C5">
        <w:rPr>
          <w:lang w:val="en-US"/>
        </w:rPr>
        <w:t>;</w:t>
      </w:r>
      <w:r w:rsidRPr="003523C5">
        <w:rPr>
          <w:lang w:val="en-US"/>
        </w:rPr>
        <w:t xml:space="preserve"> (b) projects for </w:t>
      </w:r>
      <w:r w:rsidR="00561532" w:rsidRPr="003523C5">
        <w:rPr>
          <w:lang w:val="en-US"/>
        </w:rPr>
        <w:t>modernizing</w:t>
      </w:r>
      <w:r w:rsidRPr="003523C5">
        <w:rPr>
          <w:lang w:val="en-US"/>
        </w:rPr>
        <w:t xml:space="preserve"> or converting undertakings or for developing fresh activities called for by the progressive establishment of the common market…; (c) projects of common interest to several Member States which are of such a size or nature that they cannot be entirely financed by the various means available in the individual Member States.</w:t>
      </w:r>
      <w:r w:rsidR="00361D52" w:rsidRPr="003523C5">
        <w:rPr>
          <w:lang w:val="en-US"/>
        </w:rPr>
        <w:t>”</w:t>
      </w:r>
      <w:r w:rsidR="00361D52" w:rsidRPr="003523C5">
        <w:rPr>
          <w:rStyle w:val="FootnoteReference"/>
          <w:lang w:val="en-US"/>
        </w:rPr>
        <w:footnoteReference w:id="76"/>
      </w:r>
      <w:r w:rsidRPr="003523C5">
        <w:rPr>
          <w:lang w:val="en-US"/>
        </w:rPr>
        <w:t xml:space="preserve"> Thus, the EIB is a regional development bank, with an EU-specific focus on balancing and facilitating the common market. Contrary to its mandate, however, our findings indicate that the EIB caters </w:t>
      </w:r>
      <w:r w:rsidR="00361D52" w:rsidRPr="003523C5">
        <w:rPr>
          <w:lang w:val="en-US"/>
        </w:rPr>
        <w:t xml:space="preserve">to </w:t>
      </w:r>
      <w:r w:rsidRPr="003523C5">
        <w:rPr>
          <w:lang w:val="en-US"/>
        </w:rPr>
        <w:t>the dominance of a smaller number of countries from the Core and the Southern periphery and invest only a minimal amount into joint projects benefiting multiple member states. We demonstrate here that the EIB</w:t>
      </w:r>
      <w:r w:rsidR="00361D52" w:rsidRPr="003523C5">
        <w:rPr>
          <w:lang w:val="en-US"/>
        </w:rPr>
        <w:t>’s</w:t>
      </w:r>
      <w:r w:rsidRPr="003523C5">
        <w:rPr>
          <w:lang w:val="en-US"/>
        </w:rPr>
        <w:t xml:space="preserve"> and the Jun</w:t>
      </w:r>
      <w:r w:rsidR="007A5154">
        <w:rPr>
          <w:lang w:val="en-US"/>
        </w:rPr>
        <w:t>c</w:t>
      </w:r>
      <w:r w:rsidRPr="003523C5">
        <w:rPr>
          <w:lang w:val="en-US"/>
        </w:rPr>
        <w:t xml:space="preserve">ker Plan-attached European Fund for Strategic Investment’s (EFSI) funding structure and procedural features are largely responsible for this outcome. We contend that the EIB’s operational mechanism is victim to the </w:t>
      </w:r>
      <w:r w:rsidR="00C94182" w:rsidRPr="003523C5">
        <w:rPr>
          <w:lang w:val="en-US"/>
        </w:rPr>
        <w:t xml:space="preserve">trap of </w:t>
      </w:r>
      <w:r w:rsidRPr="003523C5">
        <w:rPr>
          <w:lang w:val="en-US"/>
        </w:rPr>
        <w:t>confederal</w:t>
      </w:r>
      <w:r w:rsidR="00C94182" w:rsidRPr="003523C5">
        <w:rPr>
          <w:lang w:val="en-US"/>
        </w:rPr>
        <w:t>ism</w:t>
      </w:r>
      <w:r w:rsidRPr="003523C5">
        <w:rPr>
          <w:lang w:val="en-US"/>
        </w:rPr>
        <w:t xml:space="preserve">, </w:t>
      </w:r>
      <w:proofErr w:type="gramStart"/>
      <w:r w:rsidRPr="003523C5">
        <w:rPr>
          <w:lang w:val="en-US"/>
        </w:rPr>
        <w:t>i.e.</w:t>
      </w:r>
      <w:proofErr w:type="gramEnd"/>
      <w:r w:rsidRPr="003523C5">
        <w:rPr>
          <w:lang w:val="en-US"/>
        </w:rPr>
        <w:t xml:space="preserve"> it is the result of a polity which prioritizes member states’ </w:t>
      </w:r>
      <w:r w:rsidR="00C94182" w:rsidRPr="003523C5">
        <w:rPr>
          <w:lang w:val="en-US"/>
        </w:rPr>
        <w:t xml:space="preserve">individual </w:t>
      </w:r>
      <w:r w:rsidRPr="003523C5">
        <w:rPr>
          <w:lang w:val="en-US"/>
        </w:rPr>
        <w:t>interest</w:t>
      </w:r>
      <w:r w:rsidR="00C94182" w:rsidRPr="003523C5">
        <w:rPr>
          <w:lang w:val="en-US"/>
        </w:rPr>
        <w:t>s</w:t>
      </w:r>
      <w:r w:rsidRPr="003523C5">
        <w:rPr>
          <w:lang w:val="en-US"/>
        </w:rPr>
        <w:t xml:space="preserve"> over the representation of </w:t>
      </w:r>
      <w:r w:rsidR="00C94182" w:rsidRPr="003523C5">
        <w:rPr>
          <w:lang w:val="en-US"/>
        </w:rPr>
        <w:t xml:space="preserve">a </w:t>
      </w:r>
      <w:r w:rsidRPr="003523C5">
        <w:rPr>
          <w:lang w:val="en-US"/>
        </w:rPr>
        <w:t xml:space="preserve">common </w:t>
      </w:r>
      <w:r w:rsidR="00C94182" w:rsidRPr="003523C5">
        <w:rPr>
          <w:lang w:val="en-US"/>
        </w:rPr>
        <w:t xml:space="preserve">European </w:t>
      </w:r>
      <w:r w:rsidRPr="003523C5">
        <w:rPr>
          <w:lang w:val="en-US"/>
        </w:rPr>
        <w:t xml:space="preserve">interest. </w:t>
      </w:r>
    </w:p>
    <w:p w14:paraId="1770CA0D" w14:textId="77777777" w:rsidR="00DF1C48" w:rsidRPr="003523C5" w:rsidRDefault="00DF1C48" w:rsidP="00EC5F9D">
      <w:pPr>
        <w:contextualSpacing/>
        <w:jc w:val="center"/>
        <w:rPr>
          <w:lang w:val="en-US"/>
        </w:rPr>
      </w:pPr>
    </w:p>
    <w:p w14:paraId="78340069" w14:textId="2335E337" w:rsidR="00DF1C48" w:rsidRPr="003523C5" w:rsidRDefault="00DF1C48" w:rsidP="00CA7B81">
      <w:pPr>
        <w:contextualSpacing/>
        <w:rPr>
          <w:lang w:val="en-US"/>
        </w:rPr>
      </w:pPr>
      <w:r w:rsidRPr="003523C5">
        <w:rPr>
          <w:lang w:val="en-US"/>
        </w:rPr>
        <w:t>Looking at the EIB’s lending figures, we see that out of the three EU geographical regions (Core, Southern Periphery</w:t>
      </w:r>
      <w:r w:rsidR="00C94182" w:rsidRPr="003523C5">
        <w:rPr>
          <w:lang w:val="en-US"/>
        </w:rPr>
        <w:t>,</w:t>
      </w:r>
      <w:r w:rsidRPr="003523C5">
        <w:rPr>
          <w:lang w:val="en-US"/>
        </w:rPr>
        <w:t xml:space="preserve"> and Eastern Periphery)</w:t>
      </w:r>
      <w:r w:rsidRPr="003523C5">
        <w:rPr>
          <w:b/>
          <w:color w:val="000000"/>
          <w:lang w:val="en-US"/>
        </w:rPr>
        <w:t> </w:t>
      </w:r>
      <w:r w:rsidRPr="003523C5">
        <w:rPr>
          <w:lang w:val="en-US"/>
        </w:rPr>
        <w:t>on nominal terms, the most developed Core countries received 45</w:t>
      </w:r>
      <w:r w:rsidR="00C94182" w:rsidRPr="003523C5">
        <w:rPr>
          <w:lang w:val="en-US"/>
        </w:rPr>
        <w:t>%</w:t>
      </w:r>
      <w:r w:rsidRPr="003523C5">
        <w:rPr>
          <w:lang w:val="en-US"/>
        </w:rPr>
        <w:t xml:space="preserve"> of total loans, i.e., the largest share of total EIB lending in the period 2004 to 2019. The Southern Periphery received 38</w:t>
      </w:r>
      <w:r w:rsidR="00C94182" w:rsidRPr="003523C5">
        <w:rPr>
          <w:lang w:val="en-US"/>
        </w:rPr>
        <w:t>% of the</w:t>
      </w:r>
      <w:r w:rsidRPr="003523C5">
        <w:rPr>
          <w:lang w:val="en-US"/>
        </w:rPr>
        <w:t xml:space="preserve"> financing on nominal terms, while the Eastern periphery received 17</w:t>
      </w:r>
      <w:r w:rsidR="00C94182" w:rsidRPr="003523C5">
        <w:rPr>
          <w:lang w:val="en-US"/>
        </w:rPr>
        <w:t xml:space="preserve">% </w:t>
      </w:r>
      <w:r w:rsidRPr="003523C5">
        <w:rPr>
          <w:lang w:val="en-US"/>
        </w:rPr>
        <w:t>of EIB lending (Table 1). These patterns are slightly more skewed in the case of EFSI in the direction of Core countries</w:t>
      </w:r>
      <w:r w:rsidR="00C94182" w:rsidRPr="003523C5">
        <w:rPr>
          <w:lang w:val="en-US"/>
        </w:rPr>
        <w:t>,</w:t>
      </w:r>
      <w:r w:rsidRPr="003523C5">
        <w:rPr>
          <w:lang w:val="en-US"/>
        </w:rPr>
        <w:t xml:space="preserve"> with 50 percent of total loans, while </w:t>
      </w:r>
      <w:r w:rsidR="00C94182" w:rsidRPr="003523C5">
        <w:rPr>
          <w:lang w:val="en-US"/>
        </w:rPr>
        <w:t xml:space="preserve">the </w:t>
      </w:r>
      <w:r w:rsidRPr="003523C5">
        <w:rPr>
          <w:lang w:val="en-US"/>
        </w:rPr>
        <w:t xml:space="preserve">Eastern periphery received 20 percent and the Southern periphery 30 </w:t>
      </w:r>
      <w:r w:rsidRPr="003523C5">
        <w:rPr>
          <w:lang w:val="en-US"/>
        </w:rPr>
        <w:lastRenderedPageBreak/>
        <w:t xml:space="preserve">percent (Table 2). Nominal lending figures show the distribution of EIB’s and EFSI’s total resources, thus they reflect EIB’s and EFSI’s internal mechanisms for distributing available resources among various geographic regions. </w:t>
      </w:r>
    </w:p>
    <w:p w14:paraId="7E53E2DA" w14:textId="77777777" w:rsidR="00DF1C48" w:rsidRPr="003523C5" w:rsidRDefault="00DF1C48" w:rsidP="00CA7B81">
      <w:pPr>
        <w:contextualSpacing/>
        <w:rPr>
          <w:lang w:val="en-US"/>
        </w:rPr>
      </w:pPr>
    </w:p>
    <w:tbl>
      <w:tblPr>
        <w:tblW w:w="9072" w:type="dxa"/>
        <w:tblLayout w:type="fixed"/>
        <w:tblLook w:val="0400" w:firstRow="0" w:lastRow="0" w:firstColumn="0" w:lastColumn="0" w:noHBand="0" w:noVBand="1"/>
      </w:tblPr>
      <w:tblGrid>
        <w:gridCol w:w="4955"/>
        <w:gridCol w:w="1487"/>
        <w:gridCol w:w="1005"/>
        <w:gridCol w:w="1625"/>
      </w:tblGrid>
      <w:tr w:rsidR="00DF1C48" w:rsidRPr="003523C5" w14:paraId="4C5B7D89" w14:textId="77777777" w:rsidTr="005236E5">
        <w:trPr>
          <w:trHeight w:val="290"/>
        </w:trPr>
        <w:tc>
          <w:tcPr>
            <w:tcW w:w="7447" w:type="dxa"/>
            <w:gridSpan w:val="3"/>
            <w:tcBorders>
              <w:top w:val="nil"/>
              <w:left w:val="nil"/>
              <w:bottom w:val="single" w:sz="4" w:space="0" w:color="000000"/>
              <w:right w:val="nil"/>
            </w:tcBorders>
            <w:shd w:val="clear" w:color="auto" w:fill="FFFFFF"/>
            <w:vAlign w:val="bottom"/>
          </w:tcPr>
          <w:p w14:paraId="7E00A591" w14:textId="421DD556" w:rsidR="00DF1C48" w:rsidRPr="003523C5" w:rsidRDefault="00DF1C48" w:rsidP="00CA7B81">
            <w:pPr>
              <w:contextualSpacing/>
              <w:rPr>
                <w:b/>
                <w:color w:val="000000"/>
                <w:lang w:val="en-US"/>
              </w:rPr>
            </w:pPr>
            <w:r w:rsidRPr="003523C5">
              <w:rPr>
                <w:b/>
                <w:color w:val="000000"/>
                <w:lang w:val="en-US"/>
              </w:rPr>
              <w:t>Table 1. Aggregate data for EIB financing in</w:t>
            </w:r>
          </w:p>
          <w:p w14:paraId="79DC9B64" w14:textId="655A69BA" w:rsidR="00DF1C48" w:rsidRPr="003523C5" w:rsidRDefault="00DF1C48" w:rsidP="00CA7B81">
            <w:pPr>
              <w:contextualSpacing/>
              <w:rPr>
                <w:b/>
                <w:color w:val="000000"/>
                <w:lang w:val="en-US"/>
              </w:rPr>
            </w:pPr>
            <w:r w:rsidRPr="003523C5">
              <w:rPr>
                <w:b/>
                <w:color w:val="000000"/>
                <w:lang w:val="en-US"/>
              </w:rPr>
              <w:t xml:space="preserve"> different EU regions </w:t>
            </w:r>
            <w:r w:rsidR="00C94182" w:rsidRPr="003523C5">
              <w:rPr>
                <w:b/>
                <w:color w:val="000000"/>
                <w:lang w:val="en-US"/>
              </w:rPr>
              <w:t>(</w:t>
            </w:r>
            <w:r w:rsidRPr="003523C5">
              <w:rPr>
                <w:b/>
                <w:color w:val="000000"/>
                <w:lang w:val="en-US"/>
              </w:rPr>
              <w:t>2004</w:t>
            </w:r>
            <w:r w:rsidR="00C94182" w:rsidRPr="003523C5">
              <w:rPr>
                <w:b/>
                <w:color w:val="000000"/>
                <w:lang w:val="en-US"/>
              </w:rPr>
              <w:t>–</w:t>
            </w:r>
            <w:r w:rsidRPr="003523C5">
              <w:rPr>
                <w:b/>
                <w:color w:val="000000"/>
                <w:lang w:val="en-US"/>
              </w:rPr>
              <w:t>2019</w:t>
            </w:r>
            <w:r w:rsidR="00C94182" w:rsidRPr="003523C5">
              <w:rPr>
                <w:b/>
                <w:color w:val="000000"/>
                <w:lang w:val="en-US"/>
              </w:rPr>
              <w:t>)</w:t>
            </w:r>
            <w:r w:rsidRPr="003523C5">
              <w:rPr>
                <w:b/>
                <w:color w:val="000000"/>
                <w:lang w:val="en-US"/>
              </w:rPr>
              <w:t> </w:t>
            </w:r>
          </w:p>
        </w:tc>
        <w:tc>
          <w:tcPr>
            <w:tcW w:w="1625" w:type="dxa"/>
            <w:tcBorders>
              <w:top w:val="nil"/>
              <w:left w:val="nil"/>
              <w:bottom w:val="single" w:sz="4" w:space="0" w:color="000000"/>
              <w:right w:val="nil"/>
            </w:tcBorders>
            <w:shd w:val="clear" w:color="auto" w:fill="FFFFFF"/>
            <w:vAlign w:val="bottom"/>
          </w:tcPr>
          <w:p w14:paraId="1F4244F0" w14:textId="77777777" w:rsidR="00DF1C48" w:rsidRPr="003523C5" w:rsidRDefault="00DF1C48" w:rsidP="00CA7B81">
            <w:pPr>
              <w:contextualSpacing/>
              <w:rPr>
                <w:color w:val="000000"/>
                <w:lang w:val="en-US"/>
              </w:rPr>
            </w:pPr>
            <w:r w:rsidRPr="003523C5">
              <w:rPr>
                <w:color w:val="000000"/>
                <w:lang w:val="en-US"/>
              </w:rPr>
              <w:t> </w:t>
            </w:r>
          </w:p>
        </w:tc>
      </w:tr>
      <w:tr w:rsidR="00DF1C48" w:rsidRPr="003523C5" w14:paraId="1BDD87BD" w14:textId="77777777" w:rsidTr="005236E5">
        <w:trPr>
          <w:trHeight w:val="290"/>
        </w:trPr>
        <w:tc>
          <w:tcPr>
            <w:tcW w:w="4955" w:type="dxa"/>
            <w:tcBorders>
              <w:top w:val="nil"/>
              <w:left w:val="single" w:sz="4" w:space="0" w:color="000000"/>
              <w:bottom w:val="single" w:sz="4" w:space="0" w:color="000000"/>
              <w:right w:val="single" w:sz="4" w:space="0" w:color="000000"/>
            </w:tcBorders>
            <w:shd w:val="clear" w:color="auto" w:fill="F8CBAD"/>
            <w:vAlign w:val="bottom"/>
          </w:tcPr>
          <w:p w14:paraId="6CEBBC25" w14:textId="77777777" w:rsidR="00DF1C48" w:rsidRPr="003523C5" w:rsidRDefault="00DF1C48" w:rsidP="00CA7B81">
            <w:pPr>
              <w:contextualSpacing/>
              <w:rPr>
                <w:b/>
                <w:color w:val="000000"/>
                <w:lang w:val="en-US"/>
              </w:rPr>
            </w:pPr>
            <w:r w:rsidRPr="003523C5">
              <w:rPr>
                <w:b/>
                <w:color w:val="000000"/>
                <w:lang w:val="en-US"/>
              </w:rPr>
              <w:t> </w:t>
            </w:r>
          </w:p>
        </w:tc>
        <w:tc>
          <w:tcPr>
            <w:tcW w:w="1487" w:type="dxa"/>
            <w:tcBorders>
              <w:top w:val="nil"/>
              <w:left w:val="single" w:sz="4" w:space="0" w:color="000000"/>
              <w:bottom w:val="single" w:sz="4" w:space="0" w:color="000000"/>
              <w:right w:val="single" w:sz="4" w:space="0" w:color="000000"/>
            </w:tcBorders>
            <w:shd w:val="clear" w:color="auto" w:fill="FFC000"/>
            <w:vAlign w:val="bottom"/>
          </w:tcPr>
          <w:p w14:paraId="2A9DCD4E" w14:textId="77777777" w:rsidR="00DF1C48" w:rsidRPr="003523C5" w:rsidRDefault="00DF1C48" w:rsidP="00CA7B81">
            <w:pPr>
              <w:contextualSpacing/>
              <w:rPr>
                <w:b/>
                <w:color w:val="000000"/>
                <w:lang w:val="en-US"/>
              </w:rPr>
            </w:pPr>
            <w:r w:rsidRPr="003523C5">
              <w:rPr>
                <w:b/>
                <w:color w:val="000000"/>
                <w:lang w:val="en-US"/>
              </w:rPr>
              <w:t>Eastern Periphery</w:t>
            </w:r>
          </w:p>
        </w:tc>
        <w:tc>
          <w:tcPr>
            <w:tcW w:w="1005" w:type="dxa"/>
            <w:tcBorders>
              <w:top w:val="nil"/>
              <w:left w:val="single" w:sz="4" w:space="0" w:color="000000"/>
              <w:bottom w:val="single" w:sz="4" w:space="0" w:color="000000"/>
              <w:right w:val="single" w:sz="4" w:space="0" w:color="000000"/>
            </w:tcBorders>
            <w:shd w:val="clear" w:color="auto" w:fill="FFC000"/>
            <w:vAlign w:val="bottom"/>
          </w:tcPr>
          <w:p w14:paraId="02D9F88A" w14:textId="77777777" w:rsidR="00DF1C48" w:rsidRPr="003523C5" w:rsidRDefault="00DF1C48" w:rsidP="00CA7B81">
            <w:pPr>
              <w:contextualSpacing/>
              <w:rPr>
                <w:b/>
                <w:color w:val="000000"/>
                <w:lang w:val="en-US"/>
              </w:rPr>
            </w:pPr>
            <w:r w:rsidRPr="003523C5">
              <w:rPr>
                <w:b/>
                <w:color w:val="000000"/>
                <w:lang w:val="en-US"/>
              </w:rPr>
              <w:t>Core</w:t>
            </w:r>
          </w:p>
        </w:tc>
        <w:tc>
          <w:tcPr>
            <w:tcW w:w="1625" w:type="dxa"/>
            <w:tcBorders>
              <w:top w:val="nil"/>
              <w:left w:val="single" w:sz="4" w:space="0" w:color="000000"/>
              <w:bottom w:val="single" w:sz="4" w:space="0" w:color="000000"/>
              <w:right w:val="single" w:sz="4" w:space="0" w:color="000000"/>
            </w:tcBorders>
            <w:shd w:val="clear" w:color="auto" w:fill="FFC000"/>
            <w:vAlign w:val="bottom"/>
          </w:tcPr>
          <w:p w14:paraId="7F207961" w14:textId="77777777" w:rsidR="00DF1C48" w:rsidRPr="003523C5" w:rsidRDefault="00DF1C48" w:rsidP="00CA7B81">
            <w:pPr>
              <w:contextualSpacing/>
              <w:rPr>
                <w:b/>
                <w:color w:val="000000"/>
                <w:lang w:val="en-US"/>
              </w:rPr>
            </w:pPr>
            <w:r w:rsidRPr="003523C5">
              <w:rPr>
                <w:b/>
                <w:color w:val="000000"/>
                <w:lang w:val="en-US"/>
              </w:rPr>
              <w:t>Southern Periphery</w:t>
            </w:r>
          </w:p>
        </w:tc>
      </w:tr>
      <w:tr w:rsidR="00DF1C48" w:rsidRPr="003523C5" w14:paraId="4C1B4FD0" w14:textId="77777777" w:rsidTr="005236E5">
        <w:trPr>
          <w:trHeight w:val="290"/>
        </w:trPr>
        <w:tc>
          <w:tcPr>
            <w:tcW w:w="495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CAD0DB1" w14:textId="77777777" w:rsidR="00DF1C48" w:rsidRPr="003523C5" w:rsidRDefault="00DF1C48" w:rsidP="00CA7B81">
            <w:pPr>
              <w:contextualSpacing/>
              <w:rPr>
                <w:color w:val="000000"/>
                <w:lang w:val="en-US"/>
              </w:rPr>
            </w:pPr>
            <w:r w:rsidRPr="003523C5">
              <w:rPr>
                <w:color w:val="000000"/>
                <w:lang w:val="en-US"/>
              </w:rPr>
              <w:t> Total Loan (in million 2005 Euros) </w:t>
            </w:r>
          </w:p>
        </w:tc>
        <w:tc>
          <w:tcPr>
            <w:tcW w:w="1487"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5F30356" w14:textId="77777777" w:rsidR="00DF1C48" w:rsidRPr="003523C5" w:rsidRDefault="00DF1C48" w:rsidP="00CA7B81">
            <w:pPr>
              <w:contextualSpacing/>
              <w:rPr>
                <w:color w:val="000000"/>
                <w:lang w:val="en-US"/>
              </w:rPr>
            </w:pPr>
            <w:r w:rsidRPr="003523C5">
              <w:rPr>
                <w:color w:val="000000"/>
                <w:lang w:val="en-US"/>
              </w:rPr>
              <w:t>126,635</w:t>
            </w:r>
          </w:p>
          <w:p w14:paraId="46D3D162" w14:textId="77777777" w:rsidR="00DF1C48" w:rsidRPr="003523C5" w:rsidRDefault="00DF1C48" w:rsidP="00CA7B81">
            <w:pPr>
              <w:contextualSpacing/>
              <w:rPr>
                <w:color w:val="000000"/>
                <w:lang w:val="en-US"/>
              </w:rPr>
            </w:pPr>
            <w:r w:rsidRPr="003523C5">
              <w:rPr>
                <w:color w:val="000000"/>
                <w:lang w:val="en-US"/>
              </w:rPr>
              <w:t>(17%)</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7147FF5" w14:textId="77777777" w:rsidR="00DF1C48" w:rsidRPr="003523C5" w:rsidRDefault="00DF1C48" w:rsidP="00CA7B81">
            <w:pPr>
              <w:contextualSpacing/>
              <w:rPr>
                <w:color w:val="000000"/>
                <w:lang w:val="en-US"/>
              </w:rPr>
            </w:pPr>
            <w:r w:rsidRPr="003523C5">
              <w:rPr>
                <w:color w:val="000000"/>
                <w:lang w:val="en-US"/>
              </w:rPr>
              <w:t xml:space="preserve">343,505 </w:t>
            </w:r>
          </w:p>
          <w:p w14:paraId="787DAE4C" w14:textId="77777777" w:rsidR="00DF1C48" w:rsidRPr="003523C5" w:rsidRDefault="00DF1C48" w:rsidP="00CA7B81">
            <w:pPr>
              <w:contextualSpacing/>
              <w:rPr>
                <w:color w:val="000000"/>
                <w:lang w:val="en-US"/>
              </w:rPr>
            </w:pPr>
            <w:r w:rsidRPr="003523C5">
              <w:rPr>
                <w:color w:val="000000"/>
                <w:lang w:val="en-US"/>
              </w:rPr>
              <w:t>(45%)</w:t>
            </w:r>
          </w:p>
        </w:tc>
        <w:tc>
          <w:tcPr>
            <w:tcW w:w="162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89480B7" w14:textId="77777777" w:rsidR="00DF1C48" w:rsidRPr="003523C5" w:rsidRDefault="00DF1C48" w:rsidP="00CA7B81">
            <w:pPr>
              <w:contextualSpacing/>
              <w:rPr>
                <w:color w:val="000000"/>
                <w:lang w:val="en-US"/>
              </w:rPr>
            </w:pPr>
            <w:r w:rsidRPr="003523C5">
              <w:rPr>
                <w:color w:val="000000"/>
                <w:lang w:val="en-US"/>
              </w:rPr>
              <w:t>290,709</w:t>
            </w:r>
          </w:p>
          <w:p w14:paraId="441A9D8F" w14:textId="77777777" w:rsidR="00DF1C48" w:rsidRPr="003523C5" w:rsidRDefault="00DF1C48" w:rsidP="00CA7B81">
            <w:pPr>
              <w:contextualSpacing/>
              <w:rPr>
                <w:color w:val="000000"/>
                <w:lang w:val="en-US"/>
              </w:rPr>
            </w:pPr>
            <w:r w:rsidRPr="003523C5">
              <w:rPr>
                <w:color w:val="000000"/>
                <w:lang w:val="en-US"/>
              </w:rPr>
              <w:t>(38%)</w:t>
            </w:r>
          </w:p>
        </w:tc>
      </w:tr>
      <w:tr w:rsidR="00DF1C48" w:rsidRPr="003523C5" w14:paraId="5024F05E" w14:textId="77777777" w:rsidTr="005236E5">
        <w:trPr>
          <w:trHeight w:val="290"/>
        </w:trPr>
        <w:tc>
          <w:tcPr>
            <w:tcW w:w="495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D0649F6" w14:textId="77777777" w:rsidR="00DF1C48" w:rsidRPr="003523C5" w:rsidRDefault="00DF1C48" w:rsidP="00CA7B81">
            <w:pPr>
              <w:contextualSpacing/>
              <w:rPr>
                <w:color w:val="000000"/>
                <w:lang w:val="en-US"/>
              </w:rPr>
            </w:pPr>
            <w:r w:rsidRPr="003523C5">
              <w:rPr>
                <w:color w:val="000000"/>
                <w:lang w:val="en-US"/>
              </w:rPr>
              <w:t> Total Loan per capita</w:t>
            </w:r>
          </w:p>
        </w:tc>
        <w:tc>
          <w:tcPr>
            <w:tcW w:w="1487"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5505BF9" w14:textId="77777777" w:rsidR="00DF1C48" w:rsidRPr="003523C5" w:rsidRDefault="00DF1C48" w:rsidP="00CA7B81">
            <w:pPr>
              <w:contextualSpacing/>
              <w:rPr>
                <w:color w:val="000000"/>
                <w:lang w:val="en-US"/>
              </w:rPr>
            </w:pPr>
            <w:r w:rsidRPr="003523C5">
              <w:rPr>
                <w:color w:val="000000"/>
                <w:lang w:val="en-US"/>
              </w:rPr>
              <w:t>75.7</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6E5582B" w14:textId="77777777" w:rsidR="00DF1C48" w:rsidRPr="003523C5" w:rsidRDefault="00DF1C48" w:rsidP="00CA7B81">
            <w:pPr>
              <w:contextualSpacing/>
              <w:rPr>
                <w:color w:val="000000"/>
                <w:lang w:val="en-US"/>
              </w:rPr>
            </w:pPr>
            <w:r w:rsidRPr="003523C5">
              <w:rPr>
                <w:color w:val="000000"/>
                <w:lang w:val="en-US"/>
              </w:rPr>
              <w:t>80.8</w:t>
            </w:r>
          </w:p>
        </w:tc>
        <w:tc>
          <w:tcPr>
            <w:tcW w:w="162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7743513" w14:textId="77777777" w:rsidR="00DF1C48" w:rsidRPr="003523C5" w:rsidRDefault="00DF1C48" w:rsidP="00CA7B81">
            <w:pPr>
              <w:contextualSpacing/>
              <w:rPr>
                <w:color w:val="000000"/>
                <w:lang w:val="en-US"/>
              </w:rPr>
            </w:pPr>
            <w:r w:rsidRPr="003523C5">
              <w:rPr>
                <w:color w:val="000000"/>
                <w:lang w:val="en-US"/>
              </w:rPr>
              <w:t>144.1</w:t>
            </w:r>
          </w:p>
        </w:tc>
      </w:tr>
      <w:tr w:rsidR="00DF1C48" w:rsidRPr="003523C5" w14:paraId="61BB6143" w14:textId="77777777" w:rsidTr="005236E5">
        <w:trPr>
          <w:trHeight w:val="290"/>
        </w:trPr>
        <w:tc>
          <w:tcPr>
            <w:tcW w:w="4955" w:type="dxa"/>
            <w:tcBorders>
              <w:top w:val="single" w:sz="4" w:space="0" w:color="000000"/>
              <w:left w:val="nil"/>
              <w:bottom w:val="nil"/>
            </w:tcBorders>
            <w:shd w:val="clear" w:color="auto" w:fill="auto"/>
            <w:vAlign w:val="bottom"/>
          </w:tcPr>
          <w:p w14:paraId="34263784" w14:textId="5896FFFA" w:rsidR="00DF1C48" w:rsidRPr="003523C5" w:rsidRDefault="00DF1C48" w:rsidP="00CA7B81">
            <w:pPr>
              <w:contextualSpacing/>
              <w:rPr>
                <w:lang w:val="en-US"/>
              </w:rPr>
            </w:pPr>
            <w:r w:rsidRPr="003523C5">
              <w:rPr>
                <w:lang w:val="en-US"/>
              </w:rPr>
              <w:t xml:space="preserve">Source: EIB, </w:t>
            </w:r>
            <w:r w:rsidR="00C94182" w:rsidRPr="003523C5">
              <w:rPr>
                <w:lang w:val="en-US"/>
              </w:rPr>
              <w:t>a</w:t>
            </w:r>
            <w:r w:rsidRPr="003523C5">
              <w:rPr>
                <w:lang w:val="en-US"/>
              </w:rPr>
              <w:t>uthors’ own calculation</w:t>
            </w:r>
            <w:r w:rsidR="00C94182" w:rsidRPr="003523C5">
              <w:rPr>
                <w:lang w:val="en-US"/>
              </w:rPr>
              <w:t>.</w:t>
            </w:r>
          </w:p>
        </w:tc>
        <w:tc>
          <w:tcPr>
            <w:tcW w:w="1487" w:type="dxa"/>
            <w:tcBorders>
              <w:top w:val="single" w:sz="4" w:space="0" w:color="000000"/>
              <w:bottom w:val="nil"/>
              <w:right w:val="nil"/>
            </w:tcBorders>
            <w:shd w:val="clear" w:color="auto" w:fill="auto"/>
            <w:vAlign w:val="bottom"/>
          </w:tcPr>
          <w:p w14:paraId="392C95F9" w14:textId="77777777" w:rsidR="00DF1C48" w:rsidRPr="003523C5" w:rsidRDefault="00DF1C48" w:rsidP="00CA7B81">
            <w:pPr>
              <w:contextualSpacing/>
              <w:rPr>
                <w:color w:val="000000"/>
                <w:lang w:val="en-US"/>
              </w:rPr>
            </w:pPr>
            <w:r w:rsidRPr="003523C5">
              <w:rPr>
                <w:color w:val="000000"/>
                <w:lang w:val="en-US"/>
              </w:rPr>
              <w:t> </w:t>
            </w:r>
          </w:p>
        </w:tc>
        <w:tc>
          <w:tcPr>
            <w:tcW w:w="1005" w:type="dxa"/>
            <w:tcBorders>
              <w:top w:val="single" w:sz="4" w:space="0" w:color="000000"/>
              <w:left w:val="nil"/>
              <w:bottom w:val="nil"/>
              <w:right w:val="nil"/>
            </w:tcBorders>
            <w:shd w:val="clear" w:color="auto" w:fill="FFFFFF"/>
            <w:vAlign w:val="bottom"/>
          </w:tcPr>
          <w:p w14:paraId="7E82552F" w14:textId="77777777" w:rsidR="00DF1C48" w:rsidRPr="003523C5" w:rsidRDefault="00DF1C48" w:rsidP="00CA7B81">
            <w:pPr>
              <w:contextualSpacing/>
              <w:rPr>
                <w:color w:val="000000"/>
                <w:lang w:val="en-US"/>
              </w:rPr>
            </w:pPr>
            <w:r w:rsidRPr="003523C5">
              <w:rPr>
                <w:color w:val="000000"/>
                <w:lang w:val="en-US"/>
              </w:rPr>
              <w:t> </w:t>
            </w:r>
          </w:p>
        </w:tc>
        <w:tc>
          <w:tcPr>
            <w:tcW w:w="1625" w:type="dxa"/>
            <w:tcBorders>
              <w:top w:val="single" w:sz="4" w:space="0" w:color="000000"/>
              <w:left w:val="nil"/>
              <w:bottom w:val="nil"/>
              <w:right w:val="nil"/>
            </w:tcBorders>
            <w:shd w:val="clear" w:color="auto" w:fill="FFFFFF"/>
            <w:vAlign w:val="bottom"/>
          </w:tcPr>
          <w:p w14:paraId="690AE335" w14:textId="77777777" w:rsidR="00DF1C48" w:rsidRPr="003523C5" w:rsidRDefault="00DF1C48" w:rsidP="00CA7B81">
            <w:pPr>
              <w:contextualSpacing/>
              <w:rPr>
                <w:color w:val="000000"/>
                <w:lang w:val="en-US"/>
              </w:rPr>
            </w:pPr>
            <w:r w:rsidRPr="003523C5">
              <w:rPr>
                <w:color w:val="000000"/>
                <w:lang w:val="en-US"/>
              </w:rPr>
              <w:t> </w:t>
            </w:r>
          </w:p>
        </w:tc>
      </w:tr>
      <w:tr w:rsidR="00DF1C48" w:rsidRPr="003523C5" w14:paraId="7504E831" w14:textId="77777777" w:rsidTr="005236E5">
        <w:trPr>
          <w:trHeight w:val="290"/>
        </w:trPr>
        <w:tc>
          <w:tcPr>
            <w:tcW w:w="4955" w:type="dxa"/>
            <w:tcBorders>
              <w:top w:val="nil"/>
              <w:left w:val="nil"/>
              <w:right w:val="nil"/>
            </w:tcBorders>
            <w:shd w:val="clear" w:color="auto" w:fill="FFFFFF"/>
            <w:vAlign w:val="bottom"/>
          </w:tcPr>
          <w:p w14:paraId="6C8F2E97" w14:textId="77777777" w:rsidR="00DF1C48" w:rsidRPr="003523C5" w:rsidRDefault="00DF1C48" w:rsidP="00CA7B81">
            <w:pPr>
              <w:contextualSpacing/>
              <w:rPr>
                <w:color w:val="000000"/>
                <w:lang w:val="en-US"/>
              </w:rPr>
            </w:pPr>
            <w:r w:rsidRPr="003523C5">
              <w:rPr>
                <w:color w:val="000000"/>
                <w:lang w:val="en-US"/>
              </w:rPr>
              <w:t> </w:t>
            </w:r>
          </w:p>
        </w:tc>
        <w:tc>
          <w:tcPr>
            <w:tcW w:w="1487" w:type="dxa"/>
            <w:tcBorders>
              <w:top w:val="nil"/>
              <w:left w:val="nil"/>
              <w:right w:val="nil"/>
            </w:tcBorders>
            <w:shd w:val="clear" w:color="auto" w:fill="FFFFFF"/>
            <w:vAlign w:val="bottom"/>
          </w:tcPr>
          <w:p w14:paraId="4BFB3C3C" w14:textId="77777777" w:rsidR="00DF1C48" w:rsidRPr="003523C5" w:rsidRDefault="00DF1C48" w:rsidP="00CA7B81">
            <w:pPr>
              <w:contextualSpacing/>
              <w:rPr>
                <w:color w:val="000000"/>
                <w:lang w:val="en-US"/>
              </w:rPr>
            </w:pPr>
            <w:r w:rsidRPr="003523C5">
              <w:rPr>
                <w:color w:val="000000"/>
                <w:lang w:val="en-US"/>
              </w:rPr>
              <w:t> </w:t>
            </w:r>
          </w:p>
        </w:tc>
        <w:tc>
          <w:tcPr>
            <w:tcW w:w="1005" w:type="dxa"/>
            <w:tcBorders>
              <w:top w:val="nil"/>
              <w:left w:val="nil"/>
              <w:right w:val="nil"/>
            </w:tcBorders>
            <w:shd w:val="clear" w:color="auto" w:fill="FFFFFF"/>
            <w:vAlign w:val="bottom"/>
          </w:tcPr>
          <w:p w14:paraId="00429A80" w14:textId="77777777" w:rsidR="00DF1C48" w:rsidRPr="003523C5" w:rsidRDefault="00DF1C48" w:rsidP="00CA7B81">
            <w:pPr>
              <w:contextualSpacing/>
              <w:rPr>
                <w:color w:val="000000"/>
                <w:lang w:val="en-US"/>
              </w:rPr>
            </w:pPr>
            <w:r w:rsidRPr="003523C5">
              <w:rPr>
                <w:color w:val="000000"/>
                <w:lang w:val="en-US"/>
              </w:rPr>
              <w:t> </w:t>
            </w:r>
          </w:p>
        </w:tc>
        <w:tc>
          <w:tcPr>
            <w:tcW w:w="1625" w:type="dxa"/>
            <w:tcBorders>
              <w:top w:val="nil"/>
              <w:left w:val="nil"/>
              <w:right w:val="nil"/>
            </w:tcBorders>
            <w:shd w:val="clear" w:color="auto" w:fill="FFFFFF"/>
            <w:vAlign w:val="bottom"/>
          </w:tcPr>
          <w:p w14:paraId="162DC5AB" w14:textId="77777777" w:rsidR="00DF1C48" w:rsidRPr="003523C5" w:rsidRDefault="00DF1C48" w:rsidP="00CA7B81">
            <w:pPr>
              <w:contextualSpacing/>
              <w:rPr>
                <w:color w:val="000000"/>
                <w:lang w:val="en-US"/>
              </w:rPr>
            </w:pPr>
            <w:r w:rsidRPr="003523C5">
              <w:rPr>
                <w:color w:val="000000"/>
                <w:lang w:val="en-US"/>
              </w:rPr>
              <w:t> </w:t>
            </w:r>
          </w:p>
        </w:tc>
      </w:tr>
      <w:tr w:rsidR="00DF1C48" w:rsidRPr="003523C5" w14:paraId="7207336A" w14:textId="77777777" w:rsidTr="005236E5">
        <w:trPr>
          <w:trHeight w:val="290"/>
        </w:trPr>
        <w:tc>
          <w:tcPr>
            <w:tcW w:w="4955" w:type="dxa"/>
            <w:tcBorders>
              <w:top w:val="nil"/>
              <w:left w:val="nil"/>
              <w:bottom w:val="single" w:sz="4" w:space="0" w:color="000000"/>
            </w:tcBorders>
            <w:shd w:val="clear" w:color="auto" w:fill="FFFFFF"/>
            <w:vAlign w:val="bottom"/>
          </w:tcPr>
          <w:p w14:paraId="584C9B6A" w14:textId="33E6F9E1" w:rsidR="00DF1C48" w:rsidRPr="003523C5" w:rsidRDefault="00DF1C48" w:rsidP="00CA7B81">
            <w:pPr>
              <w:contextualSpacing/>
              <w:rPr>
                <w:b/>
                <w:color w:val="000000"/>
                <w:lang w:val="en-US"/>
              </w:rPr>
            </w:pPr>
            <w:r w:rsidRPr="003523C5">
              <w:rPr>
                <w:b/>
                <w:color w:val="000000"/>
                <w:lang w:val="en-US"/>
              </w:rPr>
              <w:t>Table 2. Aggregate data for EFSI financing in different EU regions </w:t>
            </w:r>
            <w:r w:rsidR="00C94182" w:rsidRPr="003523C5">
              <w:rPr>
                <w:b/>
                <w:color w:val="000000"/>
                <w:lang w:val="en-US"/>
              </w:rPr>
              <w:t>(</w:t>
            </w:r>
            <w:r w:rsidRPr="003523C5">
              <w:rPr>
                <w:b/>
                <w:color w:val="000000"/>
                <w:lang w:val="en-US"/>
              </w:rPr>
              <w:t>2015</w:t>
            </w:r>
            <w:r w:rsidR="00C94182" w:rsidRPr="003523C5">
              <w:rPr>
                <w:b/>
                <w:color w:val="000000"/>
                <w:lang w:val="en-US"/>
              </w:rPr>
              <w:t>–</w:t>
            </w:r>
            <w:r w:rsidRPr="003523C5">
              <w:rPr>
                <w:b/>
                <w:color w:val="000000"/>
                <w:lang w:val="en-US"/>
              </w:rPr>
              <w:t>2019</w:t>
            </w:r>
            <w:r w:rsidR="00C94182" w:rsidRPr="003523C5">
              <w:rPr>
                <w:b/>
                <w:color w:val="000000"/>
                <w:lang w:val="en-US"/>
              </w:rPr>
              <w:t>)</w:t>
            </w:r>
            <w:r w:rsidRPr="003523C5">
              <w:rPr>
                <w:b/>
                <w:color w:val="000000"/>
                <w:lang w:val="en-US"/>
              </w:rPr>
              <w:t> </w:t>
            </w:r>
          </w:p>
        </w:tc>
        <w:tc>
          <w:tcPr>
            <w:tcW w:w="1487" w:type="dxa"/>
            <w:tcBorders>
              <w:top w:val="nil"/>
              <w:bottom w:val="single" w:sz="4" w:space="0" w:color="000000"/>
            </w:tcBorders>
            <w:shd w:val="clear" w:color="auto" w:fill="FFFFFF"/>
            <w:vAlign w:val="bottom"/>
          </w:tcPr>
          <w:p w14:paraId="0DF3080E" w14:textId="77777777" w:rsidR="00DF1C48" w:rsidRPr="003523C5" w:rsidRDefault="00DF1C48" w:rsidP="00CA7B81">
            <w:pPr>
              <w:contextualSpacing/>
              <w:rPr>
                <w:color w:val="000000"/>
                <w:lang w:val="en-US"/>
              </w:rPr>
            </w:pPr>
            <w:r w:rsidRPr="003523C5">
              <w:rPr>
                <w:color w:val="000000"/>
                <w:lang w:val="en-US"/>
              </w:rPr>
              <w:t> </w:t>
            </w:r>
          </w:p>
        </w:tc>
        <w:tc>
          <w:tcPr>
            <w:tcW w:w="1005" w:type="dxa"/>
            <w:tcBorders>
              <w:top w:val="nil"/>
              <w:bottom w:val="single" w:sz="4" w:space="0" w:color="000000"/>
            </w:tcBorders>
            <w:shd w:val="clear" w:color="auto" w:fill="FFFFFF"/>
            <w:vAlign w:val="bottom"/>
          </w:tcPr>
          <w:p w14:paraId="3F88ACB2" w14:textId="77777777" w:rsidR="00DF1C48" w:rsidRPr="003523C5" w:rsidRDefault="00DF1C48" w:rsidP="00CA7B81">
            <w:pPr>
              <w:contextualSpacing/>
              <w:rPr>
                <w:color w:val="000000"/>
                <w:lang w:val="en-US"/>
              </w:rPr>
            </w:pPr>
            <w:r w:rsidRPr="003523C5">
              <w:rPr>
                <w:color w:val="000000"/>
                <w:lang w:val="en-US"/>
              </w:rPr>
              <w:t> </w:t>
            </w:r>
          </w:p>
        </w:tc>
        <w:tc>
          <w:tcPr>
            <w:tcW w:w="1625" w:type="dxa"/>
            <w:tcBorders>
              <w:top w:val="nil"/>
              <w:bottom w:val="single" w:sz="4" w:space="0" w:color="000000"/>
              <w:right w:val="nil"/>
            </w:tcBorders>
            <w:shd w:val="clear" w:color="auto" w:fill="FFFFFF"/>
            <w:vAlign w:val="bottom"/>
          </w:tcPr>
          <w:p w14:paraId="7955F78F" w14:textId="77777777" w:rsidR="00DF1C48" w:rsidRPr="003523C5" w:rsidRDefault="00DF1C48" w:rsidP="00CA7B81">
            <w:pPr>
              <w:contextualSpacing/>
              <w:rPr>
                <w:color w:val="000000"/>
                <w:lang w:val="en-US"/>
              </w:rPr>
            </w:pPr>
            <w:r w:rsidRPr="003523C5">
              <w:rPr>
                <w:color w:val="000000"/>
                <w:lang w:val="en-US"/>
              </w:rPr>
              <w:t> </w:t>
            </w:r>
          </w:p>
        </w:tc>
      </w:tr>
      <w:tr w:rsidR="00DF1C48" w:rsidRPr="003523C5" w14:paraId="51BDD07F" w14:textId="77777777" w:rsidTr="005236E5">
        <w:trPr>
          <w:trHeight w:val="290"/>
        </w:trPr>
        <w:tc>
          <w:tcPr>
            <w:tcW w:w="4955" w:type="dxa"/>
            <w:tcBorders>
              <w:top w:val="single" w:sz="4" w:space="0" w:color="000000"/>
              <w:left w:val="single" w:sz="4" w:space="0" w:color="000000"/>
              <w:bottom w:val="single" w:sz="4" w:space="0" w:color="000000"/>
              <w:right w:val="single" w:sz="4" w:space="0" w:color="000000"/>
            </w:tcBorders>
            <w:shd w:val="clear" w:color="auto" w:fill="F8CBAD"/>
            <w:vAlign w:val="bottom"/>
          </w:tcPr>
          <w:p w14:paraId="194C5D20" w14:textId="77777777" w:rsidR="00DF1C48" w:rsidRPr="003523C5" w:rsidRDefault="00DF1C48" w:rsidP="00CA7B81">
            <w:pPr>
              <w:contextualSpacing/>
              <w:rPr>
                <w:b/>
                <w:color w:val="000000"/>
                <w:lang w:val="en-US"/>
              </w:rPr>
            </w:pPr>
            <w:r w:rsidRPr="003523C5">
              <w:rPr>
                <w:b/>
                <w:color w:val="000000"/>
                <w:lang w:val="en-US"/>
              </w:rPr>
              <w:t> </w:t>
            </w:r>
          </w:p>
        </w:tc>
        <w:tc>
          <w:tcPr>
            <w:tcW w:w="1487" w:type="dxa"/>
            <w:tcBorders>
              <w:top w:val="single" w:sz="4" w:space="0" w:color="000000"/>
              <w:left w:val="single" w:sz="4" w:space="0" w:color="000000"/>
              <w:bottom w:val="single" w:sz="4" w:space="0" w:color="000000"/>
              <w:right w:val="single" w:sz="4" w:space="0" w:color="000000"/>
            </w:tcBorders>
            <w:shd w:val="clear" w:color="auto" w:fill="FFC000"/>
            <w:vAlign w:val="bottom"/>
          </w:tcPr>
          <w:p w14:paraId="219D5298" w14:textId="77777777" w:rsidR="00DF1C48" w:rsidRPr="003523C5" w:rsidRDefault="00DF1C48" w:rsidP="00CA7B81">
            <w:pPr>
              <w:contextualSpacing/>
              <w:rPr>
                <w:b/>
                <w:color w:val="000000"/>
                <w:lang w:val="en-US"/>
              </w:rPr>
            </w:pPr>
            <w:r w:rsidRPr="003523C5">
              <w:rPr>
                <w:b/>
                <w:color w:val="000000"/>
                <w:lang w:val="en-US"/>
              </w:rPr>
              <w:t>Eastern Periphery</w:t>
            </w:r>
          </w:p>
        </w:tc>
        <w:tc>
          <w:tcPr>
            <w:tcW w:w="1005" w:type="dxa"/>
            <w:tcBorders>
              <w:top w:val="single" w:sz="4" w:space="0" w:color="000000"/>
              <w:left w:val="single" w:sz="4" w:space="0" w:color="000000"/>
              <w:bottom w:val="single" w:sz="4" w:space="0" w:color="000000"/>
              <w:right w:val="single" w:sz="4" w:space="0" w:color="000000"/>
            </w:tcBorders>
            <w:shd w:val="clear" w:color="auto" w:fill="FFC000"/>
            <w:vAlign w:val="bottom"/>
          </w:tcPr>
          <w:p w14:paraId="2B764D03" w14:textId="77777777" w:rsidR="00DF1C48" w:rsidRPr="003523C5" w:rsidRDefault="00DF1C48" w:rsidP="00CA7B81">
            <w:pPr>
              <w:contextualSpacing/>
              <w:rPr>
                <w:b/>
                <w:color w:val="000000"/>
                <w:lang w:val="en-US"/>
              </w:rPr>
            </w:pPr>
            <w:r w:rsidRPr="003523C5">
              <w:rPr>
                <w:b/>
                <w:color w:val="000000"/>
                <w:lang w:val="en-US"/>
              </w:rPr>
              <w:t>Core</w:t>
            </w:r>
          </w:p>
        </w:tc>
        <w:tc>
          <w:tcPr>
            <w:tcW w:w="1625" w:type="dxa"/>
            <w:tcBorders>
              <w:top w:val="single" w:sz="4" w:space="0" w:color="000000"/>
              <w:left w:val="single" w:sz="4" w:space="0" w:color="000000"/>
              <w:bottom w:val="single" w:sz="4" w:space="0" w:color="000000"/>
              <w:right w:val="single" w:sz="4" w:space="0" w:color="000000"/>
            </w:tcBorders>
            <w:shd w:val="clear" w:color="auto" w:fill="FFC000"/>
            <w:vAlign w:val="bottom"/>
          </w:tcPr>
          <w:p w14:paraId="747543FA" w14:textId="77777777" w:rsidR="00DF1C48" w:rsidRPr="003523C5" w:rsidRDefault="00DF1C48" w:rsidP="00CA7B81">
            <w:pPr>
              <w:contextualSpacing/>
              <w:rPr>
                <w:b/>
                <w:color w:val="000000"/>
                <w:lang w:val="en-US"/>
              </w:rPr>
            </w:pPr>
            <w:r w:rsidRPr="003523C5">
              <w:rPr>
                <w:b/>
                <w:color w:val="000000"/>
                <w:lang w:val="en-US"/>
              </w:rPr>
              <w:t>Southern Periphery</w:t>
            </w:r>
          </w:p>
        </w:tc>
      </w:tr>
      <w:tr w:rsidR="00DF1C48" w:rsidRPr="003523C5" w14:paraId="0B1A8B58" w14:textId="77777777" w:rsidTr="005236E5">
        <w:trPr>
          <w:trHeight w:val="290"/>
        </w:trPr>
        <w:tc>
          <w:tcPr>
            <w:tcW w:w="495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9F46995" w14:textId="77777777" w:rsidR="00DF1C48" w:rsidRPr="003523C5" w:rsidRDefault="00DF1C48" w:rsidP="00CA7B81">
            <w:pPr>
              <w:contextualSpacing/>
              <w:rPr>
                <w:color w:val="000000"/>
                <w:lang w:val="en-US"/>
              </w:rPr>
            </w:pPr>
            <w:r w:rsidRPr="003523C5">
              <w:rPr>
                <w:color w:val="000000"/>
                <w:lang w:val="en-US"/>
              </w:rPr>
              <w:t> Total Loan (in million 2005 Euros) </w:t>
            </w:r>
          </w:p>
        </w:tc>
        <w:tc>
          <w:tcPr>
            <w:tcW w:w="1487"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08363FA" w14:textId="77777777" w:rsidR="00DF1C48" w:rsidRPr="003523C5" w:rsidRDefault="00DF1C48" w:rsidP="00CA7B81">
            <w:pPr>
              <w:contextualSpacing/>
              <w:rPr>
                <w:color w:val="000000"/>
                <w:lang w:val="en-US"/>
              </w:rPr>
            </w:pPr>
            <w:r w:rsidRPr="003523C5">
              <w:rPr>
                <w:color w:val="000000"/>
                <w:lang w:val="en-US"/>
              </w:rPr>
              <w:t>8,037</w:t>
            </w:r>
          </w:p>
          <w:p w14:paraId="3B9F488F" w14:textId="77777777" w:rsidR="00DF1C48" w:rsidRPr="003523C5" w:rsidRDefault="00DF1C48" w:rsidP="00CA7B81">
            <w:pPr>
              <w:contextualSpacing/>
              <w:rPr>
                <w:color w:val="000000"/>
                <w:lang w:val="en-US"/>
              </w:rPr>
            </w:pPr>
            <w:r w:rsidRPr="003523C5">
              <w:rPr>
                <w:color w:val="000000"/>
                <w:lang w:val="en-US"/>
              </w:rPr>
              <w:t>(20%)</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8AF6E83" w14:textId="77777777" w:rsidR="00DF1C48" w:rsidRPr="003523C5" w:rsidRDefault="00DF1C48" w:rsidP="00CA7B81">
            <w:pPr>
              <w:contextualSpacing/>
              <w:rPr>
                <w:color w:val="000000"/>
                <w:lang w:val="en-US"/>
              </w:rPr>
            </w:pPr>
            <w:r w:rsidRPr="003523C5">
              <w:rPr>
                <w:color w:val="000000"/>
                <w:lang w:val="en-US"/>
              </w:rPr>
              <w:t>19,505</w:t>
            </w:r>
          </w:p>
          <w:p w14:paraId="2D2F8C41" w14:textId="77777777" w:rsidR="00DF1C48" w:rsidRPr="003523C5" w:rsidRDefault="00DF1C48" w:rsidP="00CA7B81">
            <w:pPr>
              <w:contextualSpacing/>
              <w:rPr>
                <w:color w:val="000000"/>
                <w:lang w:val="en-US"/>
              </w:rPr>
            </w:pPr>
            <w:r w:rsidRPr="003523C5">
              <w:rPr>
                <w:color w:val="000000"/>
                <w:lang w:val="en-US"/>
              </w:rPr>
              <w:t>(50%)</w:t>
            </w:r>
          </w:p>
        </w:tc>
        <w:tc>
          <w:tcPr>
            <w:tcW w:w="162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4246C56" w14:textId="77777777" w:rsidR="00DF1C48" w:rsidRPr="003523C5" w:rsidRDefault="00DF1C48" w:rsidP="00CA7B81">
            <w:pPr>
              <w:contextualSpacing/>
              <w:rPr>
                <w:color w:val="000000"/>
                <w:lang w:val="en-US"/>
              </w:rPr>
            </w:pPr>
            <w:r w:rsidRPr="003523C5">
              <w:rPr>
                <w:color w:val="000000"/>
                <w:lang w:val="en-US"/>
              </w:rPr>
              <w:t>11,707</w:t>
            </w:r>
          </w:p>
          <w:p w14:paraId="545CE719" w14:textId="77777777" w:rsidR="00DF1C48" w:rsidRPr="003523C5" w:rsidRDefault="00DF1C48" w:rsidP="00CA7B81">
            <w:pPr>
              <w:contextualSpacing/>
              <w:rPr>
                <w:color w:val="000000"/>
                <w:lang w:val="en-US"/>
              </w:rPr>
            </w:pPr>
            <w:r w:rsidRPr="003523C5">
              <w:rPr>
                <w:color w:val="000000"/>
                <w:lang w:val="en-US"/>
              </w:rPr>
              <w:t>(30%)</w:t>
            </w:r>
          </w:p>
        </w:tc>
      </w:tr>
      <w:tr w:rsidR="00DF1C48" w:rsidRPr="003523C5" w14:paraId="4D58AD9C" w14:textId="77777777" w:rsidTr="005236E5">
        <w:trPr>
          <w:trHeight w:val="290"/>
        </w:trPr>
        <w:tc>
          <w:tcPr>
            <w:tcW w:w="495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F3BF9A8" w14:textId="77777777" w:rsidR="00DF1C48" w:rsidRPr="003523C5" w:rsidRDefault="00DF1C48" w:rsidP="00CA7B81">
            <w:pPr>
              <w:contextualSpacing/>
              <w:rPr>
                <w:color w:val="000000"/>
                <w:lang w:val="en-US"/>
              </w:rPr>
            </w:pPr>
            <w:r w:rsidRPr="003523C5">
              <w:rPr>
                <w:color w:val="000000"/>
                <w:lang w:val="en-US"/>
              </w:rPr>
              <w:t> Total Loan per capita</w:t>
            </w:r>
          </w:p>
        </w:tc>
        <w:tc>
          <w:tcPr>
            <w:tcW w:w="1487"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AE59306" w14:textId="77777777" w:rsidR="00DF1C48" w:rsidRPr="003523C5" w:rsidRDefault="00DF1C48" w:rsidP="00CA7B81">
            <w:pPr>
              <w:contextualSpacing/>
              <w:rPr>
                <w:color w:val="000000"/>
                <w:lang w:val="en-US"/>
              </w:rPr>
            </w:pPr>
            <w:r w:rsidRPr="003523C5">
              <w:rPr>
                <w:color w:val="000000"/>
                <w:lang w:val="en-US"/>
              </w:rPr>
              <w:t>4.8</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44623BA" w14:textId="77777777" w:rsidR="00DF1C48" w:rsidRPr="003523C5" w:rsidRDefault="00DF1C48" w:rsidP="00CA7B81">
            <w:pPr>
              <w:contextualSpacing/>
              <w:rPr>
                <w:color w:val="000000"/>
                <w:lang w:val="en-US"/>
              </w:rPr>
            </w:pPr>
            <w:r w:rsidRPr="003523C5">
              <w:rPr>
                <w:color w:val="000000"/>
                <w:lang w:val="en-US"/>
              </w:rPr>
              <w:t>4.6</w:t>
            </w:r>
          </w:p>
        </w:tc>
        <w:tc>
          <w:tcPr>
            <w:tcW w:w="162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1D5422D" w14:textId="77777777" w:rsidR="00DF1C48" w:rsidRPr="003523C5" w:rsidRDefault="00DF1C48" w:rsidP="00CA7B81">
            <w:pPr>
              <w:contextualSpacing/>
              <w:rPr>
                <w:color w:val="000000"/>
                <w:lang w:val="en-US"/>
              </w:rPr>
            </w:pPr>
            <w:r w:rsidRPr="003523C5">
              <w:rPr>
                <w:color w:val="000000"/>
                <w:lang w:val="en-US"/>
              </w:rPr>
              <w:t>5.8</w:t>
            </w:r>
          </w:p>
        </w:tc>
      </w:tr>
    </w:tbl>
    <w:p w14:paraId="5E091DC6" w14:textId="13E412F3" w:rsidR="00DF1C48" w:rsidRPr="003523C5" w:rsidRDefault="00DF1C48" w:rsidP="00CA7B81">
      <w:pPr>
        <w:contextualSpacing/>
        <w:rPr>
          <w:lang w:val="en-US"/>
        </w:rPr>
      </w:pPr>
      <w:r w:rsidRPr="003523C5">
        <w:rPr>
          <w:lang w:val="en-US"/>
        </w:rPr>
        <w:t>Source: EIB, authors’ own calculation</w:t>
      </w:r>
      <w:r w:rsidR="00C94182" w:rsidRPr="003523C5">
        <w:rPr>
          <w:lang w:val="en-US"/>
        </w:rPr>
        <w:t>.</w:t>
      </w:r>
    </w:p>
    <w:p w14:paraId="0A509D9D" w14:textId="77777777" w:rsidR="00DF1C48" w:rsidRPr="003523C5" w:rsidRDefault="00DF1C48" w:rsidP="00CA7B81">
      <w:pPr>
        <w:contextualSpacing/>
        <w:rPr>
          <w:lang w:val="en-US"/>
        </w:rPr>
      </w:pPr>
    </w:p>
    <w:p w14:paraId="7FC840BF" w14:textId="33B00E60" w:rsidR="00DF1C48" w:rsidRPr="003523C5" w:rsidRDefault="00DF1C48" w:rsidP="00CA7B81">
      <w:pPr>
        <w:contextualSpacing/>
        <w:rPr>
          <w:lang w:val="en-US"/>
        </w:rPr>
      </w:pPr>
      <w:r w:rsidRPr="003523C5">
        <w:rPr>
          <w:lang w:val="en-US"/>
        </w:rPr>
        <w:t xml:space="preserve">Looking at the EIB loans’ sectoral distribution, we see an additional skew </w:t>
      </w:r>
      <w:r w:rsidR="00C94182" w:rsidRPr="003523C5">
        <w:rPr>
          <w:lang w:val="en-US"/>
        </w:rPr>
        <w:t xml:space="preserve">in </w:t>
      </w:r>
      <w:r w:rsidRPr="003523C5">
        <w:rPr>
          <w:lang w:val="en-US"/>
        </w:rPr>
        <w:t xml:space="preserve">the EIB targets in terms of their market upgrading impact. </w:t>
      </w:r>
      <w:r w:rsidR="00C94182" w:rsidRPr="003523C5">
        <w:rPr>
          <w:lang w:val="en-US"/>
        </w:rPr>
        <w:t xml:space="preserve">The </w:t>
      </w:r>
      <w:r w:rsidRPr="003523C5">
        <w:rPr>
          <w:lang w:val="en-US"/>
        </w:rPr>
        <w:t xml:space="preserve">EIB’s lending targets in the last 15 years differed significantly among the three regions. Core countries received </w:t>
      </w:r>
      <w:r w:rsidR="00C94182" w:rsidRPr="003523C5">
        <w:rPr>
          <w:lang w:val="en-US"/>
        </w:rPr>
        <w:t xml:space="preserve">much greater </w:t>
      </w:r>
      <w:r w:rsidRPr="003523C5">
        <w:rPr>
          <w:lang w:val="en-US"/>
        </w:rPr>
        <w:t xml:space="preserve">funding </w:t>
      </w:r>
      <w:r w:rsidR="00C94182" w:rsidRPr="003523C5">
        <w:rPr>
          <w:lang w:val="en-US"/>
        </w:rPr>
        <w:t>for</w:t>
      </w:r>
      <w:r w:rsidRPr="003523C5">
        <w:rPr>
          <w:lang w:val="en-US"/>
        </w:rPr>
        <w:t xml:space="preserve"> R&amp;D </w:t>
      </w:r>
      <w:r w:rsidR="00C94182" w:rsidRPr="003523C5">
        <w:rPr>
          <w:lang w:val="en-US"/>
        </w:rPr>
        <w:t>investment</w:t>
      </w:r>
      <w:r w:rsidRPr="003523C5">
        <w:rPr>
          <w:lang w:val="en-US"/>
        </w:rPr>
        <w:t xml:space="preserve">, </w:t>
      </w:r>
      <w:r w:rsidR="00C94182" w:rsidRPr="003523C5">
        <w:rPr>
          <w:lang w:val="en-US"/>
        </w:rPr>
        <w:t xml:space="preserve">while the </w:t>
      </w:r>
      <w:r w:rsidRPr="003523C5">
        <w:rPr>
          <w:lang w:val="en-US"/>
        </w:rPr>
        <w:t xml:space="preserve">Eastern periphery and the Southern periphery </w:t>
      </w:r>
      <w:r w:rsidR="00C94182" w:rsidRPr="003523C5">
        <w:rPr>
          <w:lang w:val="en-US"/>
        </w:rPr>
        <w:t xml:space="preserve">received </w:t>
      </w:r>
      <w:r w:rsidRPr="003523C5">
        <w:rPr>
          <w:lang w:val="en-US"/>
        </w:rPr>
        <w:t xml:space="preserve">less than their share from all sectors combined (Figure 5) </w:t>
      </w:r>
    </w:p>
    <w:p w14:paraId="058CF60B" w14:textId="77777777" w:rsidR="00DF1C48" w:rsidRPr="003523C5" w:rsidRDefault="00DF1C48" w:rsidP="00CA7B81">
      <w:pPr>
        <w:contextualSpacing/>
        <w:rPr>
          <w:b/>
          <w:lang w:val="en-US"/>
        </w:rPr>
      </w:pPr>
    </w:p>
    <w:p w14:paraId="40353B9A" w14:textId="04243592" w:rsidR="00DF1C48" w:rsidRPr="003523C5" w:rsidRDefault="00DF1C48" w:rsidP="00CA7B81">
      <w:pPr>
        <w:contextualSpacing/>
        <w:rPr>
          <w:b/>
          <w:lang w:val="en-US"/>
        </w:rPr>
      </w:pPr>
      <w:r w:rsidRPr="003523C5">
        <w:rPr>
          <w:b/>
          <w:lang w:val="en-US"/>
        </w:rPr>
        <w:t xml:space="preserve">Figure 5. Share of different EU regions in various parts of EIB financing </w:t>
      </w:r>
      <w:r w:rsidR="00C94182" w:rsidRPr="003523C5">
        <w:rPr>
          <w:b/>
          <w:lang w:val="en-US"/>
        </w:rPr>
        <w:t>(</w:t>
      </w:r>
      <w:r w:rsidRPr="003523C5">
        <w:rPr>
          <w:b/>
          <w:lang w:val="en-US"/>
        </w:rPr>
        <w:t>2004</w:t>
      </w:r>
      <w:r w:rsidR="00C94182" w:rsidRPr="003523C5">
        <w:rPr>
          <w:b/>
          <w:lang w:val="en-US"/>
        </w:rPr>
        <w:t>–</w:t>
      </w:r>
      <w:r w:rsidRPr="003523C5">
        <w:rPr>
          <w:b/>
          <w:lang w:val="en-US"/>
        </w:rPr>
        <w:t>2019</w:t>
      </w:r>
      <w:r w:rsidR="00C94182" w:rsidRPr="003523C5">
        <w:rPr>
          <w:b/>
          <w:lang w:val="en-US"/>
        </w:rPr>
        <w:t>)</w:t>
      </w:r>
    </w:p>
    <w:p w14:paraId="4068E0F0" w14:textId="1E2D0568" w:rsidR="00DF1C48" w:rsidRPr="003523C5" w:rsidRDefault="00DF1C48" w:rsidP="00CA7B81">
      <w:pPr>
        <w:contextualSpacing/>
        <w:rPr>
          <w:b/>
          <w:lang w:val="en-US"/>
        </w:rPr>
      </w:pPr>
      <w:r w:rsidRPr="003523C5">
        <w:rPr>
          <w:noProof/>
          <w:lang w:eastAsia="hu-HU"/>
        </w:rPr>
        <w:drawing>
          <wp:inline distT="0" distB="0" distL="0" distR="0" wp14:anchorId="410937E1" wp14:editId="19B19319">
            <wp:extent cx="4328795" cy="2184400"/>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28A3347" w14:textId="658D3ADB" w:rsidR="00DF1C48" w:rsidRPr="003523C5" w:rsidRDefault="00DF1C48" w:rsidP="00CA7B81">
      <w:pPr>
        <w:contextualSpacing/>
        <w:rPr>
          <w:lang w:val="en-US"/>
        </w:rPr>
      </w:pPr>
      <w:r w:rsidRPr="003523C5">
        <w:rPr>
          <w:lang w:val="en-US"/>
        </w:rPr>
        <w:t>Source: EIB, authors’ own calculation</w:t>
      </w:r>
      <w:r w:rsidR="00C94182" w:rsidRPr="003523C5">
        <w:rPr>
          <w:lang w:val="en-US"/>
        </w:rPr>
        <w:t>.</w:t>
      </w:r>
    </w:p>
    <w:p w14:paraId="7CF6F55E" w14:textId="77777777" w:rsidR="00DF1C48" w:rsidRPr="003523C5" w:rsidRDefault="00DF1C48" w:rsidP="00CA7B81">
      <w:pPr>
        <w:contextualSpacing/>
        <w:rPr>
          <w:lang w:val="en-US"/>
        </w:rPr>
      </w:pPr>
    </w:p>
    <w:p w14:paraId="5ADDE755" w14:textId="25061C3F" w:rsidR="00DF1C48" w:rsidRPr="003523C5" w:rsidRDefault="00DF1C48" w:rsidP="00CA7B81">
      <w:pPr>
        <w:contextualSpacing/>
        <w:rPr>
          <w:lang w:val="en-US"/>
        </w:rPr>
      </w:pPr>
      <w:r w:rsidRPr="003523C5">
        <w:rPr>
          <w:lang w:val="en-US"/>
        </w:rPr>
        <w:t xml:space="preserve">Considering the distribution of loans in the case of EFSI financing, we see a similar or even more pronounced skewness towards the Core region for R&amp;D investments, while Eastern periphery countries receive more than the sectoral average in Small and Targeted Investment (Figure 6). </w:t>
      </w:r>
    </w:p>
    <w:p w14:paraId="66961EAF" w14:textId="77777777" w:rsidR="00DF1C48" w:rsidRPr="003523C5" w:rsidRDefault="00DF1C48" w:rsidP="00CA7B81">
      <w:pPr>
        <w:contextualSpacing/>
        <w:rPr>
          <w:lang w:val="en-US"/>
        </w:rPr>
      </w:pPr>
    </w:p>
    <w:p w14:paraId="0E009F18" w14:textId="7C27DA75" w:rsidR="00DF1C48" w:rsidRPr="003523C5" w:rsidRDefault="00DF1C48" w:rsidP="00CA7B81">
      <w:pPr>
        <w:contextualSpacing/>
        <w:rPr>
          <w:b/>
          <w:lang w:val="en-US"/>
        </w:rPr>
      </w:pPr>
      <w:r w:rsidRPr="003523C5">
        <w:rPr>
          <w:b/>
          <w:lang w:val="en-US"/>
        </w:rPr>
        <w:lastRenderedPageBreak/>
        <w:t>Figure 6. Share of different EU regions in various funding goals of EFSI </w:t>
      </w:r>
      <w:r w:rsidR="00C94182" w:rsidRPr="003523C5">
        <w:rPr>
          <w:b/>
          <w:lang w:val="en-US"/>
        </w:rPr>
        <w:t>(</w:t>
      </w:r>
      <w:r w:rsidRPr="003523C5">
        <w:rPr>
          <w:b/>
          <w:lang w:val="en-US"/>
        </w:rPr>
        <w:t>2015-2019</w:t>
      </w:r>
      <w:r w:rsidR="00C94182" w:rsidRPr="003523C5">
        <w:rPr>
          <w:b/>
          <w:lang w:val="en-US"/>
        </w:rPr>
        <w:t>)</w:t>
      </w:r>
      <w:r w:rsidR="00C94182" w:rsidRPr="003523C5">
        <w:rPr>
          <w:rStyle w:val="FootnoteReference"/>
          <w:b/>
          <w:lang w:val="en-US"/>
        </w:rPr>
        <w:footnoteReference w:id="77"/>
      </w:r>
      <w:r w:rsidR="00C94182" w:rsidRPr="003523C5" w:rsidDel="00C94182">
        <w:rPr>
          <w:b/>
          <w:vertAlign w:val="superscript"/>
          <w:lang w:val="en-US"/>
        </w:rPr>
        <w:t xml:space="preserve"> </w:t>
      </w:r>
      <w:r w:rsidRPr="003523C5">
        <w:rPr>
          <w:noProof/>
          <w:lang w:eastAsia="hu-HU"/>
        </w:rPr>
        <w:drawing>
          <wp:inline distT="0" distB="0" distL="0" distR="0" wp14:anchorId="4C64F030" wp14:editId="79904EA5">
            <wp:extent cx="4164037" cy="2405575"/>
            <wp:effectExtent l="0" t="0" r="8255" b="1397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8E40ED2" w14:textId="05EEAB5A" w:rsidR="00DF1C48" w:rsidRPr="003523C5" w:rsidRDefault="00DF1C48" w:rsidP="00CA7B81">
      <w:pPr>
        <w:contextualSpacing/>
        <w:rPr>
          <w:lang w:val="en-US"/>
        </w:rPr>
      </w:pPr>
      <w:r w:rsidRPr="003523C5">
        <w:rPr>
          <w:lang w:val="en-US"/>
        </w:rPr>
        <w:t>Source: EIB, authors’ own calculation</w:t>
      </w:r>
      <w:r w:rsidR="00C94182" w:rsidRPr="003523C5">
        <w:rPr>
          <w:lang w:val="en-US"/>
        </w:rPr>
        <w:t>.</w:t>
      </w:r>
    </w:p>
    <w:p w14:paraId="70481BC8" w14:textId="77777777" w:rsidR="00DF1C48" w:rsidRPr="003523C5" w:rsidRDefault="00DF1C48" w:rsidP="00CA7B81">
      <w:pPr>
        <w:contextualSpacing/>
        <w:rPr>
          <w:color w:val="000000"/>
          <w:lang w:val="en-US"/>
        </w:rPr>
      </w:pPr>
    </w:p>
    <w:p w14:paraId="7019637B" w14:textId="36FFBD53" w:rsidR="00DF1C48" w:rsidRPr="003523C5" w:rsidRDefault="00DF1C48" w:rsidP="00CA7B81">
      <w:pPr>
        <w:contextualSpacing/>
        <w:rPr>
          <w:color w:val="000000"/>
          <w:lang w:val="en-US"/>
        </w:rPr>
      </w:pPr>
      <w:r w:rsidRPr="003523C5">
        <w:rPr>
          <w:color w:val="000000"/>
          <w:lang w:val="en-US"/>
        </w:rPr>
        <w:t xml:space="preserve">Finally, while we see limitations in the pursuit of </w:t>
      </w:r>
      <w:r w:rsidR="00F55D89" w:rsidRPr="003523C5">
        <w:rPr>
          <w:color w:val="000000"/>
          <w:lang w:val="en-US"/>
        </w:rPr>
        <w:t xml:space="preserve">the </w:t>
      </w:r>
      <w:r w:rsidRPr="003523C5">
        <w:rPr>
          <w:color w:val="000000"/>
          <w:lang w:val="en-US"/>
        </w:rPr>
        <w:t xml:space="preserve">‘reduction of territorial disparities’ in the actual distribution of EIB resources, we find </w:t>
      </w:r>
      <w:r w:rsidR="00F55D89" w:rsidRPr="003523C5">
        <w:rPr>
          <w:color w:val="000000"/>
          <w:lang w:val="en-US"/>
        </w:rPr>
        <w:t xml:space="preserve">it to be </w:t>
      </w:r>
      <w:r w:rsidRPr="003523C5">
        <w:rPr>
          <w:color w:val="000000"/>
          <w:lang w:val="en-US"/>
        </w:rPr>
        <w:t xml:space="preserve">at least as problematic that the EIB or the EFSI finances only a minimal </w:t>
      </w:r>
      <w:proofErr w:type="gramStart"/>
      <w:r w:rsidRPr="003523C5">
        <w:rPr>
          <w:color w:val="000000"/>
          <w:lang w:val="en-US"/>
        </w:rPr>
        <w:t>amount</w:t>
      </w:r>
      <w:proofErr w:type="gramEnd"/>
      <w:r w:rsidRPr="003523C5">
        <w:rPr>
          <w:color w:val="000000"/>
          <w:lang w:val="en-US"/>
        </w:rPr>
        <w:t xml:space="preserve"> of cross-country investments</w:t>
      </w:r>
      <w:r w:rsidR="00367F09">
        <w:rPr>
          <w:color w:val="000000"/>
          <w:lang w:val="en-US"/>
        </w:rPr>
        <w:t xml:space="preserve"> that would involve recipients from at least one core and one peripheral country</w:t>
      </w:r>
      <w:r w:rsidRPr="003523C5">
        <w:rPr>
          <w:color w:val="000000"/>
          <w:lang w:val="en-US"/>
        </w:rPr>
        <w:t>. The distribution of loans between one region</w:t>
      </w:r>
      <w:r w:rsidR="00367F09">
        <w:rPr>
          <w:color w:val="000000"/>
          <w:lang w:val="en-US"/>
        </w:rPr>
        <w:t xml:space="preserve"> from a member state</w:t>
      </w:r>
      <w:r w:rsidRPr="003523C5">
        <w:rPr>
          <w:color w:val="000000"/>
          <w:lang w:val="en-US"/>
        </w:rPr>
        <w:t xml:space="preserve"> and multiple regions is stunningly unequal (Figure 7).</w:t>
      </w:r>
    </w:p>
    <w:p w14:paraId="3E7A673B" w14:textId="77777777" w:rsidR="00B77236" w:rsidRDefault="00B77236" w:rsidP="00CA7B81">
      <w:pPr>
        <w:contextualSpacing/>
        <w:rPr>
          <w:color w:val="000000"/>
          <w:lang w:val="en-US"/>
        </w:rPr>
      </w:pPr>
    </w:p>
    <w:p w14:paraId="3C390690" w14:textId="1FF4B217" w:rsidR="00DF1C48" w:rsidRPr="003523C5" w:rsidRDefault="00DF1C48" w:rsidP="00CA7B81">
      <w:pPr>
        <w:contextualSpacing/>
        <w:rPr>
          <w:b/>
          <w:lang w:val="en-US"/>
        </w:rPr>
      </w:pPr>
      <w:r w:rsidRPr="003523C5">
        <w:rPr>
          <w:b/>
          <w:lang w:val="en-US"/>
        </w:rPr>
        <w:t xml:space="preserve">Figure 7. Distribution of loan amounts by beneficiaries </w:t>
      </w:r>
      <w:r w:rsidR="00F55D89" w:rsidRPr="003523C5">
        <w:rPr>
          <w:b/>
          <w:lang w:val="en-US"/>
        </w:rPr>
        <w:t>(</w:t>
      </w:r>
      <w:r w:rsidRPr="003523C5">
        <w:rPr>
          <w:b/>
          <w:lang w:val="en-US"/>
        </w:rPr>
        <w:t>2004</w:t>
      </w:r>
      <w:r w:rsidR="00F55D89" w:rsidRPr="003523C5">
        <w:rPr>
          <w:b/>
          <w:lang w:val="en-US"/>
        </w:rPr>
        <w:t>–</w:t>
      </w:r>
      <w:r w:rsidRPr="003523C5">
        <w:rPr>
          <w:b/>
          <w:lang w:val="en-US"/>
        </w:rPr>
        <w:t>2019</w:t>
      </w:r>
      <w:r w:rsidR="00F55D89" w:rsidRPr="003523C5">
        <w:rPr>
          <w:b/>
          <w:lang w:val="en-US"/>
        </w:rPr>
        <w:t>)</w:t>
      </w:r>
    </w:p>
    <w:p w14:paraId="21A202D3" w14:textId="77777777" w:rsidR="00F55D89" w:rsidRPr="003523C5" w:rsidRDefault="00F55D89" w:rsidP="00CA7B81">
      <w:pPr>
        <w:contextualSpacing/>
        <w:rPr>
          <w:b/>
          <w:lang w:val="en-US"/>
        </w:rPr>
      </w:pPr>
    </w:p>
    <w:p w14:paraId="72BD9FAC" w14:textId="77777777" w:rsidR="00DF1C48" w:rsidRPr="003523C5" w:rsidRDefault="00DF1C48" w:rsidP="00CA7B81">
      <w:pPr>
        <w:contextualSpacing/>
        <w:rPr>
          <w:lang w:val="en-US"/>
        </w:rPr>
      </w:pPr>
      <w:r w:rsidRPr="003523C5">
        <w:rPr>
          <w:noProof/>
          <w:lang w:eastAsia="hu-HU"/>
        </w:rPr>
        <w:drawing>
          <wp:inline distT="0" distB="0" distL="0" distR="0" wp14:anchorId="7963DC21" wp14:editId="4832046D">
            <wp:extent cx="4276579" cy="2335237"/>
            <wp:effectExtent l="0" t="0" r="10160" b="825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FA36FC2" w14:textId="565BCA12" w:rsidR="00DF1C48" w:rsidRPr="003523C5" w:rsidRDefault="00DF1C48" w:rsidP="00CA7B81">
      <w:pPr>
        <w:contextualSpacing/>
        <w:rPr>
          <w:lang w:val="en-US"/>
        </w:rPr>
      </w:pPr>
      <w:r w:rsidRPr="003523C5">
        <w:rPr>
          <w:lang w:val="en-US"/>
        </w:rPr>
        <w:t>Source: EIB, authors’ own calculation</w:t>
      </w:r>
      <w:r w:rsidR="00F55D89" w:rsidRPr="003523C5">
        <w:rPr>
          <w:lang w:val="en-US"/>
        </w:rPr>
        <w:t>.</w:t>
      </w:r>
    </w:p>
    <w:p w14:paraId="6476910C" w14:textId="77777777" w:rsidR="00DF1C48" w:rsidRPr="003523C5" w:rsidRDefault="00DF1C48" w:rsidP="00CA7B81">
      <w:pPr>
        <w:contextualSpacing/>
        <w:rPr>
          <w:lang w:val="en-US"/>
        </w:rPr>
      </w:pPr>
    </w:p>
    <w:p w14:paraId="6C03636E" w14:textId="0B8CD83F" w:rsidR="00DF1C48" w:rsidRPr="003523C5" w:rsidRDefault="00F55D89" w:rsidP="00CA7B81">
      <w:pPr>
        <w:contextualSpacing/>
        <w:rPr>
          <w:lang w:val="en-US"/>
        </w:rPr>
      </w:pPr>
      <w:r w:rsidRPr="003523C5">
        <w:rPr>
          <w:lang w:val="en-US"/>
        </w:rPr>
        <w:lastRenderedPageBreak/>
        <w:t>As of February 2020, t</w:t>
      </w:r>
      <w:r w:rsidR="00DF1C48" w:rsidRPr="003523C5">
        <w:rPr>
          <w:lang w:val="en-US"/>
        </w:rPr>
        <w:t>he EIB’s self-defined C</w:t>
      </w:r>
      <w:r w:rsidRPr="003523C5">
        <w:rPr>
          <w:lang w:val="en-US"/>
        </w:rPr>
        <w:t>OVID</w:t>
      </w:r>
      <w:r w:rsidR="00DF1C48" w:rsidRPr="003523C5">
        <w:rPr>
          <w:lang w:val="en-US"/>
        </w:rPr>
        <w:t xml:space="preserve"> crisis</w:t>
      </w:r>
      <w:r w:rsidRPr="003523C5">
        <w:rPr>
          <w:lang w:val="en-US"/>
        </w:rPr>
        <w:t>-</w:t>
      </w:r>
      <w:r w:rsidR="00DF1C48" w:rsidRPr="003523C5">
        <w:rPr>
          <w:lang w:val="en-US"/>
        </w:rPr>
        <w:t>related funding show a skew towards the Southern periphery</w:t>
      </w:r>
      <w:r w:rsidRPr="003523C5">
        <w:rPr>
          <w:lang w:val="en-US"/>
        </w:rPr>
        <w:t xml:space="preserve">, which receives </w:t>
      </w:r>
      <w:r w:rsidR="00DF1C48" w:rsidRPr="003523C5">
        <w:rPr>
          <w:lang w:val="en-US"/>
        </w:rPr>
        <w:t xml:space="preserve">65%, the Core 18% and the Eastern Periphery 17% of </w:t>
      </w:r>
      <w:r w:rsidRPr="003523C5">
        <w:rPr>
          <w:lang w:val="en-US"/>
        </w:rPr>
        <w:t>COVID-</w:t>
      </w:r>
      <w:r w:rsidR="00DF1C48" w:rsidRPr="003523C5">
        <w:rPr>
          <w:lang w:val="en-US"/>
        </w:rPr>
        <w:t>dedicated funds</w:t>
      </w:r>
      <w:r w:rsidRPr="003523C5">
        <w:rPr>
          <w:lang w:val="en-US"/>
        </w:rPr>
        <w:t>.</w:t>
      </w:r>
      <w:r w:rsidRPr="003523C5">
        <w:rPr>
          <w:rStyle w:val="FootnoteReference"/>
          <w:lang w:val="en-US"/>
        </w:rPr>
        <w:footnoteReference w:id="78"/>
      </w:r>
    </w:p>
    <w:p w14:paraId="34B2C16B" w14:textId="77777777" w:rsidR="00CA7B81" w:rsidRPr="003523C5" w:rsidRDefault="00CA7B81" w:rsidP="00CA7B81">
      <w:pPr>
        <w:contextualSpacing/>
        <w:rPr>
          <w:lang w:val="en-US"/>
        </w:rPr>
      </w:pPr>
    </w:p>
    <w:p w14:paraId="590A59D6" w14:textId="6F5B53A1" w:rsidR="00DF1C48" w:rsidRPr="003523C5" w:rsidRDefault="00DF1C48" w:rsidP="00CA7B81">
      <w:pPr>
        <w:contextualSpacing/>
        <w:rPr>
          <w:lang w:val="en-US"/>
        </w:rPr>
      </w:pPr>
      <w:r w:rsidRPr="003523C5">
        <w:rPr>
          <w:lang w:val="en-US"/>
        </w:rPr>
        <w:t>In sum</w:t>
      </w:r>
      <w:r w:rsidR="00F55D89" w:rsidRPr="003523C5">
        <w:rPr>
          <w:lang w:val="en-US"/>
        </w:rPr>
        <w:t>,</w:t>
      </w:r>
      <w:r w:rsidRPr="003523C5">
        <w:rPr>
          <w:lang w:val="en-US"/>
        </w:rPr>
        <w:t xml:space="preserve"> and against the EIB’s mandate, we find it puzzling that (1) the EIB’s and EFSI’s l</w:t>
      </w:r>
      <w:r w:rsidR="00086ED1" w:rsidRPr="003523C5">
        <w:rPr>
          <w:lang w:val="en-US"/>
        </w:rPr>
        <w:t>oan and guarantee profiles</w:t>
      </w:r>
      <w:r w:rsidRPr="003523C5">
        <w:rPr>
          <w:lang w:val="en-US"/>
        </w:rPr>
        <w:t xml:space="preserve"> a</w:t>
      </w:r>
      <w:r w:rsidR="00086ED1" w:rsidRPr="003523C5">
        <w:rPr>
          <w:lang w:val="en-US"/>
        </w:rPr>
        <w:t>re</w:t>
      </w:r>
      <w:r w:rsidRPr="003523C5">
        <w:rPr>
          <w:lang w:val="en-US"/>
        </w:rPr>
        <w:t xml:space="preserve"> skewed </w:t>
      </w:r>
      <w:r w:rsidR="00F55D89" w:rsidRPr="003523C5">
        <w:rPr>
          <w:lang w:val="en-US"/>
        </w:rPr>
        <w:t xml:space="preserve">among </w:t>
      </w:r>
      <w:r w:rsidRPr="003523C5">
        <w:rPr>
          <w:lang w:val="en-US"/>
        </w:rPr>
        <w:t>geographic targets within the EU, (2) the EIB’s and EFSI’s loan and guarantee profile</w:t>
      </w:r>
      <w:r w:rsidR="00086ED1" w:rsidRPr="003523C5">
        <w:rPr>
          <w:lang w:val="en-US"/>
        </w:rPr>
        <w:t>s</w:t>
      </w:r>
      <w:r w:rsidRPr="003523C5">
        <w:rPr>
          <w:lang w:val="en-US"/>
        </w:rPr>
        <w:t xml:space="preserve"> support industrial upgrading largely in </w:t>
      </w:r>
      <w:r w:rsidR="00F55D89" w:rsidRPr="003523C5">
        <w:rPr>
          <w:lang w:val="en-US"/>
        </w:rPr>
        <w:t>c</w:t>
      </w:r>
      <w:r w:rsidRPr="003523C5">
        <w:rPr>
          <w:lang w:val="en-US"/>
        </w:rPr>
        <w:t>ore countries</w:t>
      </w:r>
      <w:r w:rsidR="00F55D89" w:rsidRPr="003523C5">
        <w:rPr>
          <w:lang w:val="en-US"/>
        </w:rPr>
        <w:t>,</w:t>
      </w:r>
      <w:r w:rsidRPr="003523C5">
        <w:rPr>
          <w:lang w:val="en-US"/>
        </w:rPr>
        <w:t xml:space="preserve"> and (3) the EIB and EFSI only minimally support cross</w:t>
      </w:r>
      <w:r w:rsidR="00086ED1" w:rsidRPr="003523C5">
        <w:rPr>
          <w:lang w:val="en-US"/>
        </w:rPr>
        <w:t>-</w:t>
      </w:r>
      <w:r w:rsidR="00F55D89" w:rsidRPr="003523C5">
        <w:rPr>
          <w:lang w:val="en-US"/>
        </w:rPr>
        <w:t>c</w:t>
      </w:r>
      <w:r w:rsidRPr="003523C5">
        <w:rPr>
          <w:lang w:val="en-US"/>
        </w:rPr>
        <w:t xml:space="preserve">ore and </w:t>
      </w:r>
      <w:r w:rsidR="00F55D89" w:rsidRPr="003523C5">
        <w:rPr>
          <w:lang w:val="en-US"/>
        </w:rPr>
        <w:t>p</w:t>
      </w:r>
      <w:r w:rsidRPr="003523C5">
        <w:rPr>
          <w:lang w:val="en-US"/>
        </w:rPr>
        <w:t xml:space="preserve">eriphery projects or cross-country projects. </w:t>
      </w:r>
    </w:p>
    <w:p w14:paraId="35AEE16D" w14:textId="77777777" w:rsidR="00DF1C48" w:rsidRPr="003523C5" w:rsidRDefault="00DF1C48" w:rsidP="00CA7B81">
      <w:pPr>
        <w:contextualSpacing/>
        <w:rPr>
          <w:lang w:val="en-US"/>
        </w:rPr>
      </w:pPr>
    </w:p>
    <w:p w14:paraId="7D254FB7" w14:textId="5193A52C" w:rsidR="00DF1C48" w:rsidRPr="003523C5" w:rsidRDefault="00DF1C48" w:rsidP="00CA7B81">
      <w:pPr>
        <w:pBdr>
          <w:top w:val="nil"/>
          <w:left w:val="nil"/>
          <w:bottom w:val="nil"/>
          <w:right w:val="nil"/>
          <w:between w:val="nil"/>
        </w:pBdr>
        <w:contextualSpacing/>
        <w:rPr>
          <w:b/>
          <w:color w:val="000000"/>
          <w:lang w:val="en-US"/>
        </w:rPr>
      </w:pPr>
      <w:r w:rsidRPr="003523C5">
        <w:rPr>
          <w:b/>
          <w:color w:val="000000"/>
          <w:lang w:val="en-US"/>
        </w:rPr>
        <w:t xml:space="preserve">4.1. The </w:t>
      </w:r>
      <w:r w:rsidR="00086ED1" w:rsidRPr="003523C5">
        <w:rPr>
          <w:b/>
          <w:color w:val="000000"/>
          <w:lang w:val="en-US"/>
        </w:rPr>
        <w:t>trap of confederalism</w:t>
      </w:r>
      <w:r w:rsidRPr="003523C5">
        <w:rPr>
          <w:b/>
          <w:color w:val="000000"/>
          <w:lang w:val="en-US"/>
        </w:rPr>
        <w:t>: EIB’s organizational resources</w:t>
      </w:r>
      <w:r w:rsidR="00086ED1" w:rsidRPr="003523C5">
        <w:rPr>
          <w:b/>
          <w:color w:val="000000"/>
          <w:lang w:val="en-US"/>
        </w:rPr>
        <w:t>, lending,</w:t>
      </w:r>
      <w:r w:rsidRPr="003523C5">
        <w:rPr>
          <w:b/>
          <w:color w:val="000000"/>
          <w:lang w:val="en-US"/>
        </w:rPr>
        <w:t xml:space="preserve"> </w:t>
      </w:r>
      <w:r w:rsidR="00086ED1" w:rsidRPr="003523C5">
        <w:rPr>
          <w:b/>
          <w:color w:val="000000"/>
          <w:lang w:val="en-US"/>
        </w:rPr>
        <w:t xml:space="preserve">and </w:t>
      </w:r>
      <w:r w:rsidRPr="003523C5">
        <w:rPr>
          <w:b/>
          <w:color w:val="000000"/>
          <w:lang w:val="en-US"/>
        </w:rPr>
        <w:t xml:space="preserve">decision-making bias </w:t>
      </w:r>
    </w:p>
    <w:p w14:paraId="1B700BAE" w14:textId="77777777" w:rsidR="00DF1C48" w:rsidRPr="003523C5" w:rsidRDefault="00DF1C48" w:rsidP="00CA7B81">
      <w:pPr>
        <w:pBdr>
          <w:top w:val="nil"/>
          <w:left w:val="nil"/>
          <w:bottom w:val="nil"/>
          <w:right w:val="nil"/>
          <w:between w:val="nil"/>
        </w:pBdr>
        <w:contextualSpacing/>
        <w:rPr>
          <w:b/>
          <w:color w:val="000000"/>
          <w:lang w:val="en-US"/>
        </w:rPr>
      </w:pPr>
    </w:p>
    <w:p w14:paraId="347CD0C7" w14:textId="0C0EF252" w:rsidR="00DF1C48" w:rsidRPr="003523C5" w:rsidRDefault="00DF1C48" w:rsidP="00CA7B81">
      <w:pPr>
        <w:contextualSpacing/>
        <w:rPr>
          <w:bCs/>
          <w:lang w:val="en-US"/>
        </w:rPr>
      </w:pPr>
      <w:r w:rsidRPr="003523C5">
        <w:rPr>
          <w:lang w:val="en-US"/>
        </w:rPr>
        <w:t xml:space="preserve">EIB’s and EFSI’s </w:t>
      </w:r>
      <w:r w:rsidR="00086ED1" w:rsidRPr="003523C5">
        <w:rPr>
          <w:lang w:val="en-US"/>
        </w:rPr>
        <w:t xml:space="preserve">current </w:t>
      </w:r>
      <w:r w:rsidRPr="003523C5">
        <w:rPr>
          <w:lang w:val="en-US"/>
        </w:rPr>
        <w:t xml:space="preserve">lending patterns among the EU’s three geographic regions reflects </w:t>
      </w:r>
      <w:r w:rsidR="00086ED1" w:rsidRPr="003523C5">
        <w:rPr>
          <w:lang w:val="en-US"/>
        </w:rPr>
        <w:t xml:space="preserve">the </w:t>
      </w:r>
      <w:r w:rsidRPr="003523C5">
        <w:rPr>
          <w:lang w:val="en-US"/>
        </w:rPr>
        <w:t xml:space="preserve">long-lasting historical </w:t>
      </w:r>
      <w:r w:rsidR="00086ED1" w:rsidRPr="003523C5">
        <w:rPr>
          <w:lang w:val="en-US"/>
        </w:rPr>
        <w:t xml:space="preserve">work </w:t>
      </w:r>
      <w:r w:rsidRPr="003523C5">
        <w:rPr>
          <w:lang w:val="en-US"/>
        </w:rPr>
        <w:t xml:space="preserve">of the </w:t>
      </w:r>
      <w:r w:rsidR="00086ED1" w:rsidRPr="003523C5">
        <w:rPr>
          <w:lang w:val="en-US"/>
        </w:rPr>
        <w:t xml:space="preserve">trap of confederalism </w:t>
      </w:r>
      <w:r w:rsidRPr="003523C5">
        <w:rPr>
          <w:lang w:val="en-US"/>
        </w:rPr>
        <w:t xml:space="preserve">in </w:t>
      </w:r>
      <w:r w:rsidR="00086ED1" w:rsidRPr="003523C5">
        <w:rPr>
          <w:lang w:val="en-US"/>
        </w:rPr>
        <w:t xml:space="preserve">these </w:t>
      </w:r>
      <w:r w:rsidRPr="003523C5">
        <w:rPr>
          <w:lang w:val="en-US"/>
        </w:rPr>
        <w:t>EU institution</w:t>
      </w:r>
      <w:r w:rsidR="00086ED1" w:rsidRPr="003523C5">
        <w:rPr>
          <w:lang w:val="en-US"/>
        </w:rPr>
        <w:t>s</w:t>
      </w:r>
      <w:r w:rsidRPr="003523C5">
        <w:rPr>
          <w:lang w:val="en-US"/>
        </w:rPr>
        <w:t>. Although</w:t>
      </w:r>
      <w:r w:rsidR="00B97637" w:rsidRPr="003523C5">
        <w:rPr>
          <w:lang w:val="en-US"/>
        </w:rPr>
        <w:t xml:space="preserve"> </w:t>
      </w:r>
      <w:r w:rsidRPr="003523C5">
        <w:rPr>
          <w:lang w:val="en-US"/>
        </w:rPr>
        <w:t xml:space="preserve">the EIB was founded </w:t>
      </w:r>
      <w:r w:rsidR="00B97637" w:rsidRPr="003523C5">
        <w:rPr>
          <w:lang w:val="en-US"/>
        </w:rPr>
        <w:t xml:space="preserve">in 1958 </w:t>
      </w:r>
      <w:r w:rsidRPr="003523C5">
        <w:rPr>
          <w:lang w:val="en-US"/>
        </w:rPr>
        <w:t xml:space="preserve">with a purpose to compensate Italy, then the poorest member, for the negative distributional consequences of the common market, over time a drift in the EIB’s lending target has occurred </w:t>
      </w:r>
      <w:r w:rsidR="00B97637" w:rsidRPr="003523C5">
        <w:rPr>
          <w:lang w:val="en-US"/>
        </w:rPr>
        <w:t>which</w:t>
      </w:r>
      <w:r w:rsidRPr="003523C5">
        <w:rPr>
          <w:lang w:val="en-US"/>
        </w:rPr>
        <w:t xml:space="preserve">, we argue, reflects the institutionalization of the </w:t>
      </w:r>
      <w:r w:rsidR="00B97637" w:rsidRPr="003523C5">
        <w:rPr>
          <w:lang w:val="en-US"/>
        </w:rPr>
        <w:t xml:space="preserve">trap of </w:t>
      </w:r>
      <w:r w:rsidRPr="003523C5">
        <w:rPr>
          <w:lang w:val="en-US"/>
        </w:rPr>
        <w:t>confederal</w:t>
      </w:r>
      <w:r w:rsidR="00B97637" w:rsidRPr="003523C5">
        <w:rPr>
          <w:lang w:val="en-US"/>
        </w:rPr>
        <w:t xml:space="preserve">ism </w:t>
      </w:r>
      <w:r w:rsidRPr="003523C5">
        <w:rPr>
          <w:lang w:val="en-US"/>
        </w:rPr>
        <w:t xml:space="preserve">in </w:t>
      </w:r>
      <w:r w:rsidR="00B97637" w:rsidRPr="003523C5">
        <w:rPr>
          <w:lang w:val="en-US"/>
        </w:rPr>
        <w:t xml:space="preserve">the </w:t>
      </w:r>
      <w:r w:rsidRPr="003523C5">
        <w:rPr>
          <w:lang w:val="en-US"/>
        </w:rPr>
        <w:t>EIB’s organization and procedural features. Although initially</w:t>
      </w:r>
      <w:r w:rsidR="00B97637" w:rsidRPr="003523C5">
        <w:rPr>
          <w:lang w:val="en-US"/>
        </w:rPr>
        <w:t xml:space="preserve"> </w:t>
      </w:r>
      <w:r w:rsidRPr="003523C5">
        <w:rPr>
          <w:bCs/>
          <w:lang w:val="en-US"/>
        </w:rPr>
        <w:t>the EIB lent the most to Italy on nominal terms (77%)</w:t>
      </w:r>
      <w:r w:rsidR="00B97637" w:rsidRPr="003523C5">
        <w:rPr>
          <w:bCs/>
          <w:lang w:val="en-US"/>
        </w:rPr>
        <w:t xml:space="preserve"> between 1958 and 1966</w:t>
      </w:r>
      <w:r w:rsidRPr="003523C5">
        <w:rPr>
          <w:bCs/>
          <w:lang w:val="en-US"/>
        </w:rPr>
        <w:t>, both the number of recipient countries and lending volume increased</w:t>
      </w:r>
      <w:r w:rsidR="00B97637" w:rsidRPr="003523C5">
        <w:rPr>
          <w:bCs/>
          <w:lang w:val="en-US"/>
        </w:rPr>
        <w:t xml:space="preserve"> between 1967 and 1973</w:t>
      </w:r>
      <w:r w:rsidRPr="003523C5">
        <w:rPr>
          <w:bCs/>
          <w:lang w:val="en-US"/>
        </w:rPr>
        <w:t>.</w:t>
      </w:r>
      <w:r w:rsidR="00B97637" w:rsidRPr="003523C5">
        <w:rPr>
          <w:rStyle w:val="FootnoteReference"/>
          <w:bCs/>
          <w:lang w:val="en-US"/>
        </w:rPr>
        <w:footnoteReference w:id="79"/>
      </w:r>
      <w:r w:rsidRPr="003523C5">
        <w:rPr>
          <w:bCs/>
          <w:lang w:val="en-US"/>
        </w:rPr>
        <w:t xml:space="preserve"> The EIB’s nominal lending share </w:t>
      </w:r>
      <w:r w:rsidR="00B97637" w:rsidRPr="003523C5">
        <w:rPr>
          <w:bCs/>
          <w:lang w:val="en-US"/>
        </w:rPr>
        <w:t xml:space="preserve">to </w:t>
      </w:r>
      <w:r w:rsidRPr="003523C5">
        <w:rPr>
          <w:bCs/>
          <w:lang w:val="en-US"/>
        </w:rPr>
        <w:t>France (25%), Germany (15%), and the Benelux countries (4%) increased substantially, although Italy remained the main beneficiary of lending (52%)</w:t>
      </w:r>
      <w:r w:rsidR="00B97637" w:rsidRPr="003523C5">
        <w:rPr>
          <w:bCs/>
          <w:lang w:val="en-US"/>
        </w:rPr>
        <w:t>.</w:t>
      </w:r>
      <w:r w:rsidR="00B97637" w:rsidRPr="003523C5">
        <w:rPr>
          <w:rStyle w:val="FootnoteReference"/>
          <w:bCs/>
          <w:lang w:val="en-US"/>
        </w:rPr>
        <w:footnoteReference w:id="80"/>
      </w:r>
      <w:r w:rsidRPr="003523C5">
        <w:rPr>
          <w:bCs/>
          <w:lang w:val="en-US"/>
        </w:rPr>
        <w:t xml:space="preserve"> This trend to redistribute an increasing share of EIB resources to </w:t>
      </w:r>
      <w:r w:rsidR="00B97637" w:rsidRPr="003523C5">
        <w:rPr>
          <w:bCs/>
          <w:lang w:val="en-US"/>
        </w:rPr>
        <w:t>c</w:t>
      </w:r>
      <w:r w:rsidRPr="003523C5">
        <w:rPr>
          <w:bCs/>
          <w:lang w:val="en-US"/>
        </w:rPr>
        <w:t xml:space="preserve">ore countries accelerated over the next few decades. </w:t>
      </w:r>
    </w:p>
    <w:p w14:paraId="74884D56" w14:textId="77777777" w:rsidR="00CA7B81" w:rsidRPr="003523C5" w:rsidRDefault="00CA7B81" w:rsidP="00CA7B81">
      <w:pPr>
        <w:contextualSpacing/>
        <w:rPr>
          <w:bCs/>
          <w:lang w:val="en-US"/>
        </w:rPr>
      </w:pPr>
    </w:p>
    <w:p w14:paraId="33622F78" w14:textId="1CC6D698" w:rsidR="00DF1C48" w:rsidRPr="003523C5" w:rsidRDefault="00DF1C48" w:rsidP="00CA7B81">
      <w:pPr>
        <w:contextualSpacing/>
        <w:rPr>
          <w:lang w:val="en-US"/>
        </w:rPr>
      </w:pPr>
      <w:r w:rsidRPr="003523C5">
        <w:rPr>
          <w:lang w:val="en-US"/>
        </w:rPr>
        <w:t>In this section, we reveal that the changing distributional pattern of EIB lending targets from</w:t>
      </w:r>
      <w:r w:rsidR="00B97637" w:rsidRPr="003523C5">
        <w:rPr>
          <w:lang w:val="en-US"/>
        </w:rPr>
        <w:t xml:space="preserve"> the</w:t>
      </w:r>
      <w:r w:rsidRPr="003523C5">
        <w:rPr>
          <w:lang w:val="en-US"/>
        </w:rPr>
        <w:t xml:space="preserve"> Southern periphery to the </w:t>
      </w:r>
      <w:r w:rsidR="00B97637" w:rsidRPr="003523C5">
        <w:rPr>
          <w:lang w:val="en-US"/>
        </w:rPr>
        <w:t>c</w:t>
      </w:r>
      <w:r w:rsidRPr="003523C5">
        <w:rPr>
          <w:lang w:val="en-US"/>
        </w:rPr>
        <w:t xml:space="preserve">ore over time may be explained by the institutionalization of the </w:t>
      </w:r>
      <w:r w:rsidR="00B97637" w:rsidRPr="003523C5">
        <w:rPr>
          <w:lang w:val="en-US"/>
        </w:rPr>
        <w:t xml:space="preserve">trap of </w:t>
      </w:r>
      <w:r w:rsidRPr="003523C5">
        <w:rPr>
          <w:lang w:val="en-US"/>
        </w:rPr>
        <w:t>confederal</w:t>
      </w:r>
      <w:r w:rsidR="00B97637" w:rsidRPr="003523C5">
        <w:rPr>
          <w:lang w:val="en-US"/>
        </w:rPr>
        <w:t xml:space="preserve">ism </w:t>
      </w:r>
      <w:r w:rsidRPr="003523C5">
        <w:rPr>
          <w:lang w:val="en-US"/>
        </w:rPr>
        <w:t xml:space="preserve">in the EIB’s organizational and procedural features. In particular, we point out the importance of </w:t>
      </w:r>
      <w:r w:rsidR="00D55FA0">
        <w:rPr>
          <w:lang w:val="en-US"/>
        </w:rPr>
        <w:t xml:space="preserve">the </w:t>
      </w:r>
      <w:r w:rsidRPr="003523C5">
        <w:rPr>
          <w:lang w:val="en-US"/>
        </w:rPr>
        <w:t xml:space="preserve">dominance </w:t>
      </w:r>
      <w:r w:rsidR="00D55FA0">
        <w:rPr>
          <w:lang w:val="en-US"/>
        </w:rPr>
        <w:t xml:space="preserve">of a small number of countries </w:t>
      </w:r>
      <w:r w:rsidRPr="003523C5">
        <w:rPr>
          <w:lang w:val="en-US"/>
        </w:rPr>
        <w:t xml:space="preserve">in </w:t>
      </w:r>
      <w:r w:rsidR="003523C5" w:rsidRPr="003523C5">
        <w:rPr>
          <w:lang w:val="en-US"/>
        </w:rPr>
        <w:t xml:space="preserve">the </w:t>
      </w:r>
      <w:r w:rsidRPr="003523C5">
        <w:rPr>
          <w:lang w:val="en-US"/>
        </w:rPr>
        <w:t>EIB’s decision-making structure</w:t>
      </w:r>
      <w:r w:rsidR="00D55FA0">
        <w:rPr>
          <w:lang w:val="en-US"/>
        </w:rPr>
        <w:t xml:space="preserve"> </w:t>
      </w:r>
      <w:r w:rsidR="00403060">
        <w:rPr>
          <w:lang w:val="en-US"/>
        </w:rPr>
        <w:t xml:space="preserve">by </w:t>
      </w:r>
      <w:r w:rsidR="00D55FA0">
        <w:rPr>
          <w:lang w:val="en-US"/>
        </w:rPr>
        <w:t>exploring the</w:t>
      </w:r>
      <w:r w:rsidRPr="003523C5">
        <w:rPr>
          <w:lang w:val="en-US"/>
        </w:rPr>
        <w:t xml:space="preserve"> voting shares of member states, the composition of the Board of Directors, and aspects of the EIB</w:t>
      </w:r>
      <w:r w:rsidR="003523C5" w:rsidRPr="003523C5">
        <w:rPr>
          <w:lang w:val="en-US"/>
        </w:rPr>
        <w:t>’</w:t>
      </w:r>
      <w:r w:rsidRPr="003523C5">
        <w:rPr>
          <w:lang w:val="en-US"/>
        </w:rPr>
        <w:t>s regulatory set-up.</w:t>
      </w:r>
    </w:p>
    <w:p w14:paraId="684BD6D1" w14:textId="77777777" w:rsidR="00DF1C48" w:rsidRPr="003523C5" w:rsidRDefault="00DF1C48" w:rsidP="00CA7B81">
      <w:pPr>
        <w:contextualSpacing/>
        <w:rPr>
          <w:lang w:val="en-US"/>
        </w:rPr>
      </w:pPr>
    </w:p>
    <w:p w14:paraId="58C3EBE1" w14:textId="6798F512" w:rsidR="00DF1C48" w:rsidRPr="003523C5" w:rsidRDefault="00DF1C48" w:rsidP="00CA7B81">
      <w:pPr>
        <w:contextualSpacing/>
        <w:rPr>
          <w:lang w:val="en-US"/>
        </w:rPr>
      </w:pPr>
      <w:r w:rsidRPr="003523C5">
        <w:rPr>
          <w:lang w:val="en-US"/>
        </w:rPr>
        <w:t xml:space="preserve">First, </w:t>
      </w:r>
      <w:r w:rsidR="003523C5" w:rsidRPr="003523C5">
        <w:rPr>
          <w:lang w:val="en-US"/>
        </w:rPr>
        <w:t>c</w:t>
      </w:r>
      <w:r w:rsidRPr="003523C5">
        <w:rPr>
          <w:lang w:val="en-US"/>
        </w:rPr>
        <w:t>ore countries have an overwhelming voting majority in EIB’s decision-making</w:t>
      </w:r>
      <w:r w:rsidR="003523C5" w:rsidRPr="003523C5">
        <w:rPr>
          <w:lang w:val="en-US"/>
        </w:rPr>
        <w:t xml:space="preserve"> set-up</w:t>
      </w:r>
      <w:r w:rsidRPr="003523C5">
        <w:rPr>
          <w:lang w:val="en-US"/>
        </w:rPr>
        <w:t xml:space="preserve">. Although the EIB is often referred to as the </w:t>
      </w:r>
      <w:r w:rsidR="003523C5">
        <w:rPr>
          <w:lang w:val="en-US"/>
        </w:rPr>
        <w:t>“</w:t>
      </w:r>
      <w:r w:rsidRPr="003523C5">
        <w:rPr>
          <w:lang w:val="en-US"/>
        </w:rPr>
        <w:t>Bank of the EU,</w:t>
      </w:r>
      <w:r w:rsidR="003523C5">
        <w:rPr>
          <w:lang w:val="en-US"/>
        </w:rPr>
        <w:t>”</w:t>
      </w:r>
      <w:r w:rsidRPr="003523C5">
        <w:rPr>
          <w:lang w:val="en-US"/>
        </w:rPr>
        <w:t xml:space="preserve"> the EIB is significantly different from other EU institutions such as the Commission, the European Central Bank (ECB)</w:t>
      </w:r>
      <w:r w:rsidR="003523C5">
        <w:rPr>
          <w:lang w:val="en-US"/>
        </w:rPr>
        <w:t>,</w:t>
      </w:r>
      <w:r w:rsidRPr="003523C5">
        <w:rPr>
          <w:lang w:val="en-US"/>
        </w:rPr>
        <w:t xml:space="preserve"> or the European Court of Justice (ECJ) in terms of its relation to member states. The EIB shares a core feature of its legal statute</w:t>
      </w:r>
      <w:r w:rsidR="003523C5">
        <w:rPr>
          <w:lang w:val="en-US"/>
        </w:rPr>
        <w:t xml:space="preserve"> </w:t>
      </w:r>
      <w:r w:rsidR="003523C5" w:rsidRPr="003523C5">
        <w:rPr>
          <w:lang w:val="en-US"/>
        </w:rPr>
        <w:t>with these institutions</w:t>
      </w:r>
      <w:r w:rsidRPr="003523C5">
        <w:rPr>
          <w:lang w:val="en-US"/>
        </w:rPr>
        <w:t xml:space="preserve">, namely </w:t>
      </w:r>
      <w:r w:rsidR="003523C5">
        <w:rPr>
          <w:lang w:val="en-US"/>
        </w:rPr>
        <w:t xml:space="preserve">that </w:t>
      </w:r>
      <w:r w:rsidRPr="003523C5">
        <w:rPr>
          <w:lang w:val="en-US"/>
        </w:rPr>
        <w:t>the EIB</w:t>
      </w:r>
      <w:r w:rsidR="003523C5">
        <w:rPr>
          <w:lang w:val="en-US"/>
        </w:rPr>
        <w:t>’</w:t>
      </w:r>
      <w:r w:rsidRPr="003523C5">
        <w:rPr>
          <w:lang w:val="en-US"/>
        </w:rPr>
        <w:t>s statute has primacy over the national law of EU member states and can be enforced through the ECJ.</w:t>
      </w:r>
      <w:r w:rsidR="003523C5">
        <w:rPr>
          <w:rStyle w:val="FootnoteReference"/>
          <w:lang w:val="en-US"/>
        </w:rPr>
        <w:footnoteReference w:id="81"/>
      </w:r>
      <w:r w:rsidRPr="003523C5">
        <w:rPr>
          <w:lang w:val="en-US"/>
        </w:rPr>
        <w:t xml:space="preserve"> However, the EIB is more of a hybrid between an EU institution and an intergovernmental development bank</w:t>
      </w:r>
      <w:r w:rsidR="003523C5">
        <w:rPr>
          <w:lang w:val="en-US"/>
        </w:rPr>
        <w:t>,</w:t>
      </w:r>
      <w:r w:rsidRPr="003523C5">
        <w:rPr>
          <w:lang w:val="en-US"/>
        </w:rPr>
        <w:t xml:space="preserve"> solely </w:t>
      </w:r>
      <w:r w:rsidR="003523C5">
        <w:rPr>
          <w:lang w:val="en-US"/>
        </w:rPr>
        <w:t>responsible</w:t>
      </w:r>
      <w:r w:rsidR="003523C5" w:rsidRPr="003523C5">
        <w:rPr>
          <w:lang w:val="en-US"/>
        </w:rPr>
        <w:t xml:space="preserve"> </w:t>
      </w:r>
      <w:r w:rsidRPr="003523C5">
        <w:rPr>
          <w:lang w:val="en-US"/>
        </w:rPr>
        <w:t>to member states who do not have equal voting rights. The EIB’s highest oversight body, the Board of Governors</w:t>
      </w:r>
      <w:r w:rsidR="003523C5">
        <w:rPr>
          <w:lang w:val="en-US"/>
        </w:rPr>
        <w:t>,</w:t>
      </w:r>
      <w:r w:rsidRPr="003523C5">
        <w:rPr>
          <w:lang w:val="en-US"/>
        </w:rPr>
        <w:t xml:space="preserve"> consist</w:t>
      </w:r>
      <w:r w:rsidR="003523C5">
        <w:rPr>
          <w:lang w:val="en-US"/>
        </w:rPr>
        <w:t>s</w:t>
      </w:r>
      <w:r w:rsidRPr="003523C5">
        <w:rPr>
          <w:lang w:val="en-US"/>
        </w:rPr>
        <w:t xml:space="preserve"> of the Finance or Treasury Ministers from the 27 EU Member States. The EIB’s most important decision-making body</w:t>
      </w:r>
      <w:r w:rsidR="003523C5">
        <w:rPr>
          <w:lang w:val="en-US"/>
        </w:rPr>
        <w:t xml:space="preserve"> is</w:t>
      </w:r>
      <w:r w:rsidR="00403060">
        <w:rPr>
          <w:lang w:val="en-US"/>
        </w:rPr>
        <w:t>,</w:t>
      </w:r>
      <w:r w:rsidRPr="003523C5">
        <w:rPr>
          <w:lang w:val="en-US"/>
        </w:rPr>
        <w:t xml:space="preserve"> </w:t>
      </w:r>
      <w:r w:rsidR="00403060">
        <w:rPr>
          <w:lang w:val="en-US"/>
        </w:rPr>
        <w:t xml:space="preserve">however, </w:t>
      </w:r>
      <w:r w:rsidRPr="003523C5">
        <w:rPr>
          <w:lang w:val="en-US"/>
        </w:rPr>
        <w:t>the Board of Directors</w:t>
      </w:r>
      <w:r w:rsidR="003523C5">
        <w:rPr>
          <w:lang w:val="en-US"/>
        </w:rPr>
        <w:t>,</w:t>
      </w:r>
      <w:r w:rsidRPr="003523C5">
        <w:rPr>
          <w:lang w:val="en-US"/>
        </w:rPr>
        <w:t xml:space="preserve"> where larger member states have </w:t>
      </w:r>
      <w:r w:rsidRPr="003523C5">
        <w:rPr>
          <w:lang w:val="en-US"/>
        </w:rPr>
        <w:lastRenderedPageBreak/>
        <w:t xml:space="preserve">permanent members, smaller member states delegate members on a rotating basis, and the European Commission delegates one permanent representative. </w:t>
      </w:r>
    </w:p>
    <w:p w14:paraId="1898B6E5" w14:textId="77777777" w:rsidR="00DF1C48" w:rsidRPr="003523C5" w:rsidRDefault="00DF1C48" w:rsidP="00CA7B81">
      <w:pPr>
        <w:contextualSpacing/>
        <w:rPr>
          <w:lang w:val="en-US"/>
        </w:rPr>
      </w:pPr>
    </w:p>
    <w:p w14:paraId="6F3CF60B" w14:textId="0F04CE69" w:rsidR="00DF1C48" w:rsidRPr="003523C5" w:rsidRDefault="00DF1C48" w:rsidP="00CA7B81">
      <w:pPr>
        <w:contextualSpacing/>
        <w:rPr>
          <w:lang w:val="en-US"/>
        </w:rPr>
      </w:pPr>
      <w:r w:rsidRPr="003523C5">
        <w:rPr>
          <w:lang w:val="en-US"/>
        </w:rPr>
        <w:t>Here, member states’ voting share</w:t>
      </w:r>
      <w:r w:rsidR="003523C5">
        <w:rPr>
          <w:lang w:val="en-US"/>
        </w:rPr>
        <w:t>s</w:t>
      </w:r>
      <w:r w:rsidRPr="003523C5">
        <w:rPr>
          <w:lang w:val="en-US"/>
        </w:rPr>
        <w:t xml:space="preserve"> depends on their share in the </w:t>
      </w:r>
      <w:r w:rsidR="003523C5">
        <w:rPr>
          <w:lang w:val="en-US"/>
        </w:rPr>
        <w:t xml:space="preserve">EIB’s </w:t>
      </w:r>
      <w:r w:rsidRPr="003523C5">
        <w:rPr>
          <w:lang w:val="en-US"/>
        </w:rPr>
        <w:t>subscribed capital. Germany, France, and Italy</w:t>
      </w:r>
      <w:r w:rsidR="003523C5">
        <w:rPr>
          <w:lang w:val="en-US"/>
        </w:rPr>
        <w:t xml:space="preserve"> </w:t>
      </w:r>
      <w:r w:rsidRPr="003523C5">
        <w:rPr>
          <w:lang w:val="en-US"/>
        </w:rPr>
        <w:t>control 19.21</w:t>
      </w:r>
      <w:r w:rsidR="00A32F34">
        <w:rPr>
          <w:lang w:val="en-US"/>
        </w:rPr>
        <w:t xml:space="preserve">% </w:t>
      </w:r>
      <w:r w:rsidRPr="003523C5">
        <w:rPr>
          <w:lang w:val="en-US"/>
        </w:rPr>
        <w:t>each. Spain 11.52</w:t>
      </w:r>
      <w:r w:rsidR="00A32F34">
        <w:rPr>
          <w:lang w:val="en-US"/>
        </w:rPr>
        <w:t>%</w:t>
      </w:r>
      <w:r w:rsidRPr="003523C5">
        <w:rPr>
          <w:lang w:val="en-US"/>
        </w:rPr>
        <w:t>, Belgium and the Netherlands 5.32</w:t>
      </w:r>
      <w:r w:rsidR="00A32F34">
        <w:rPr>
          <w:lang w:val="en-US"/>
        </w:rPr>
        <w:t xml:space="preserve">% </w:t>
      </w:r>
      <w:r w:rsidRPr="003523C5">
        <w:rPr>
          <w:lang w:val="en-US"/>
        </w:rPr>
        <w:t>each, Sweden 3.53</w:t>
      </w:r>
      <w:r w:rsidR="00A32F34">
        <w:rPr>
          <w:lang w:val="en-US"/>
        </w:rPr>
        <w:t>%</w:t>
      </w:r>
      <w:r w:rsidRPr="003523C5">
        <w:rPr>
          <w:lang w:val="en-US"/>
        </w:rPr>
        <w:t>, Denmark 2.7</w:t>
      </w:r>
      <w:r w:rsidR="00A32F34">
        <w:rPr>
          <w:lang w:val="en-US"/>
        </w:rPr>
        <w:t>%</w:t>
      </w:r>
      <w:r w:rsidRPr="003523C5">
        <w:rPr>
          <w:lang w:val="en-US"/>
        </w:rPr>
        <w:t>, Austria 2.64</w:t>
      </w:r>
      <w:r w:rsidR="00A32F34">
        <w:rPr>
          <w:lang w:val="en-US"/>
        </w:rPr>
        <w:t>%</w:t>
      </w:r>
      <w:r w:rsidRPr="003523C5">
        <w:rPr>
          <w:lang w:val="en-US"/>
        </w:rPr>
        <w:t>, Poland 2.46</w:t>
      </w:r>
      <w:r w:rsidR="00A32F34">
        <w:rPr>
          <w:lang w:val="en-US"/>
        </w:rPr>
        <w:t>%</w:t>
      </w:r>
      <w:r w:rsidR="003523C5">
        <w:rPr>
          <w:lang w:val="en-US"/>
        </w:rPr>
        <w:t>, and</w:t>
      </w:r>
      <w:r w:rsidRPr="003523C5">
        <w:rPr>
          <w:lang w:val="en-US"/>
        </w:rPr>
        <w:t xml:space="preserve"> all other member states share the remaining voting rights.</w:t>
      </w:r>
      <w:r w:rsidR="003523C5">
        <w:rPr>
          <w:rStyle w:val="FootnoteReference"/>
          <w:lang w:val="en-US"/>
        </w:rPr>
        <w:footnoteReference w:id="82"/>
      </w:r>
      <w:r w:rsidRPr="003523C5">
        <w:rPr>
          <w:lang w:val="en-US"/>
        </w:rPr>
        <w:t xml:space="preserve"> Taking into consideration that a simple majority of the subscribed capital must support a decision taken by the EIB in most cases, we can see that Germany, France, and Italy together can veto decisions.</w:t>
      </w:r>
      <w:r w:rsidR="00BB58C1">
        <w:rPr>
          <w:rStyle w:val="FootnoteReference"/>
          <w:lang w:val="en-US"/>
        </w:rPr>
        <w:footnoteReference w:id="83"/>
      </w:r>
      <w:r w:rsidRPr="003523C5">
        <w:rPr>
          <w:lang w:val="en-US"/>
        </w:rPr>
        <w:t xml:space="preserve"> In other words, the</w:t>
      </w:r>
      <w:r w:rsidR="00403060">
        <w:rPr>
          <w:lang w:val="en-US"/>
        </w:rPr>
        <w:t>se three</w:t>
      </w:r>
      <w:r w:rsidRPr="003523C5">
        <w:rPr>
          <w:lang w:val="en-US"/>
        </w:rPr>
        <w:t xml:space="preserve"> EU</w:t>
      </w:r>
      <w:r w:rsidR="00403060">
        <w:rPr>
          <w:lang w:val="en-US"/>
        </w:rPr>
        <w:t xml:space="preserve"> member states</w:t>
      </w:r>
      <w:r w:rsidRPr="003523C5">
        <w:rPr>
          <w:lang w:val="en-US"/>
        </w:rPr>
        <w:t xml:space="preserve"> yield overwhelming decision-making power </w:t>
      </w:r>
      <w:r w:rsidR="00403060">
        <w:rPr>
          <w:lang w:val="en-US"/>
        </w:rPr>
        <w:t xml:space="preserve">over the remaining 24 countries, including the </w:t>
      </w:r>
      <w:r w:rsidRPr="003523C5">
        <w:rPr>
          <w:lang w:val="en-US"/>
        </w:rPr>
        <w:t xml:space="preserve">countries from the periphery. </w:t>
      </w:r>
    </w:p>
    <w:p w14:paraId="4F32563A" w14:textId="77777777" w:rsidR="00DF1C48" w:rsidRPr="003523C5" w:rsidRDefault="00DF1C48" w:rsidP="00CA7B81">
      <w:pPr>
        <w:contextualSpacing/>
        <w:rPr>
          <w:lang w:val="en-US"/>
        </w:rPr>
      </w:pPr>
    </w:p>
    <w:p w14:paraId="10B80600" w14:textId="6C0B3C79" w:rsidR="00DF1C48" w:rsidRPr="003523C5" w:rsidRDefault="00DF1C48" w:rsidP="00CA7B81">
      <w:pPr>
        <w:contextualSpacing/>
        <w:rPr>
          <w:lang w:val="en-US"/>
        </w:rPr>
      </w:pPr>
      <w:r w:rsidRPr="003523C5">
        <w:rPr>
          <w:lang w:val="en-US"/>
        </w:rPr>
        <w:t xml:space="preserve">Moreover, representatives of </w:t>
      </w:r>
      <w:r w:rsidR="00305035">
        <w:rPr>
          <w:lang w:val="en-US"/>
        </w:rPr>
        <w:t>c</w:t>
      </w:r>
      <w:r w:rsidRPr="003523C5">
        <w:rPr>
          <w:lang w:val="en-US"/>
        </w:rPr>
        <w:t xml:space="preserve">ore countries dominate the Management Committee, the chief agenda-setting body within the EIB where permanent EIB staff works. Just like at other large international organizations, such as the IMF or the World Bank, decision-making by Board members </w:t>
      </w:r>
      <w:r w:rsidR="00305035">
        <w:rPr>
          <w:lang w:val="en-US"/>
        </w:rPr>
        <w:t xml:space="preserve">at the EIB </w:t>
      </w:r>
      <w:r w:rsidRPr="003523C5">
        <w:rPr>
          <w:lang w:val="en-US"/>
        </w:rPr>
        <w:t>is often influenced by permanent staff, with project-specific technical skills and expertise.</w:t>
      </w:r>
      <w:r w:rsidR="00A32F34">
        <w:rPr>
          <w:rStyle w:val="FootnoteReference"/>
          <w:lang w:val="en-US"/>
        </w:rPr>
        <w:footnoteReference w:id="84"/>
      </w:r>
      <w:r w:rsidRPr="003523C5">
        <w:rPr>
          <w:lang w:val="en-US"/>
        </w:rPr>
        <w:t xml:space="preserve"> Legally there are obvious obstacles </w:t>
      </w:r>
      <w:r w:rsidR="00A32F34">
        <w:rPr>
          <w:lang w:val="en-US"/>
        </w:rPr>
        <w:t>that keep</w:t>
      </w:r>
      <w:r w:rsidR="00A32F34" w:rsidRPr="003523C5">
        <w:rPr>
          <w:lang w:val="en-US"/>
        </w:rPr>
        <w:t xml:space="preserve"> </w:t>
      </w:r>
      <w:r w:rsidRPr="003523C5">
        <w:rPr>
          <w:lang w:val="en-US"/>
        </w:rPr>
        <w:t xml:space="preserve">member states </w:t>
      </w:r>
      <w:r w:rsidR="00A32F34">
        <w:rPr>
          <w:lang w:val="en-US"/>
        </w:rPr>
        <w:t>from</w:t>
      </w:r>
      <w:r w:rsidR="00A32F34" w:rsidRPr="003523C5">
        <w:rPr>
          <w:lang w:val="en-US"/>
        </w:rPr>
        <w:t xml:space="preserve"> </w:t>
      </w:r>
      <w:r w:rsidRPr="003523C5">
        <w:rPr>
          <w:lang w:val="en-US"/>
        </w:rPr>
        <w:t>influenc</w:t>
      </w:r>
      <w:r w:rsidR="00A32F34">
        <w:rPr>
          <w:lang w:val="en-US"/>
        </w:rPr>
        <w:t>ing</w:t>
      </w:r>
      <w:r w:rsidRPr="003523C5">
        <w:rPr>
          <w:lang w:val="en-US"/>
        </w:rPr>
        <w:t xml:space="preserve"> EIB staff. However, the Management Committee has only nine members and larger member states delegate members more often than smaller member states. </w:t>
      </w:r>
      <w:r w:rsidR="00A32F34">
        <w:rPr>
          <w:lang w:val="en-US"/>
        </w:rPr>
        <w:t xml:space="preserve">Further, </w:t>
      </w:r>
      <w:r w:rsidRPr="003523C5">
        <w:rPr>
          <w:lang w:val="en-US"/>
        </w:rPr>
        <w:t>Management Committee members are often responsible for projects coming from their home countries</w:t>
      </w:r>
      <w:r w:rsidR="00A32F34">
        <w:rPr>
          <w:lang w:val="en-US"/>
        </w:rPr>
        <w:t>.</w:t>
      </w:r>
      <w:r w:rsidR="00A32F34">
        <w:rPr>
          <w:rStyle w:val="FootnoteReference"/>
          <w:lang w:val="en-US"/>
        </w:rPr>
        <w:footnoteReference w:id="85"/>
      </w:r>
    </w:p>
    <w:p w14:paraId="7ECAE72B" w14:textId="77777777" w:rsidR="00DF1C48" w:rsidRPr="003523C5" w:rsidRDefault="00DF1C48" w:rsidP="00CA7B81">
      <w:pPr>
        <w:pBdr>
          <w:top w:val="nil"/>
          <w:left w:val="nil"/>
          <w:bottom w:val="nil"/>
          <w:right w:val="nil"/>
          <w:between w:val="nil"/>
        </w:pBdr>
        <w:contextualSpacing/>
        <w:rPr>
          <w:color w:val="000000"/>
          <w:lang w:val="en-US"/>
        </w:rPr>
      </w:pPr>
    </w:p>
    <w:p w14:paraId="49134D2A" w14:textId="38F951F7" w:rsidR="00DF1C48" w:rsidRPr="003523C5" w:rsidRDefault="00DF1C48" w:rsidP="00CA7B81">
      <w:pPr>
        <w:contextualSpacing/>
        <w:rPr>
          <w:vertAlign w:val="superscript"/>
          <w:lang w:val="en-US"/>
        </w:rPr>
      </w:pPr>
      <w:r w:rsidRPr="003523C5">
        <w:rPr>
          <w:lang w:val="en-US"/>
        </w:rPr>
        <w:t>Finally, the EIB</w:t>
      </w:r>
      <w:r w:rsidR="00A32F34">
        <w:rPr>
          <w:lang w:val="en-US"/>
        </w:rPr>
        <w:t>’</w:t>
      </w:r>
      <w:r w:rsidRPr="003523C5">
        <w:rPr>
          <w:lang w:val="en-US"/>
        </w:rPr>
        <w:t>s regulatory set</w:t>
      </w:r>
      <w:r w:rsidR="00A32F34">
        <w:rPr>
          <w:lang w:val="en-US"/>
        </w:rPr>
        <w:t>-</w:t>
      </w:r>
      <w:r w:rsidRPr="003523C5">
        <w:rPr>
          <w:lang w:val="en-US"/>
        </w:rPr>
        <w:t xml:space="preserve">up creates a bias for larger and safer projects that are more often found in </w:t>
      </w:r>
      <w:r w:rsidR="00A32F34">
        <w:rPr>
          <w:lang w:val="en-US"/>
        </w:rPr>
        <w:t>c</w:t>
      </w:r>
      <w:r w:rsidRPr="003523C5">
        <w:rPr>
          <w:lang w:val="en-US"/>
        </w:rPr>
        <w:t xml:space="preserve">ore countries than in </w:t>
      </w:r>
      <w:r w:rsidR="00A32F34">
        <w:rPr>
          <w:lang w:val="en-US"/>
        </w:rPr>
        <w:t xml:space="preserve">the </w:t>
      </w:r>
      <w:r w:rsidRPr="003523C5">
        <w:rPr>
          <w:lang w:val="en-US"/>
        </w:rPr>
        <w:t xml:space="preserve">poorer </w:t>
      </w:r>
      <w:r w:rsidR="00A32F34">
        <w:rPr>
          <w:lang w:val="en-US"/>
        </w:rPr>
        <w:t>p</w:t>
      </w:r>
      <w:r w:rsidRPr="003523C5">
        <w:rPr>
          <w:lang w:val="en-US"/>
        </w:rPr>
        <w:t>eripher</w:t>
      </w:r>
      <w:r w:rsidR="00A32F34">
        <w:rPr>
          <w:lang w:val="en-US"/>
        </w:rPr>
        <w:t>y</w:t>
      </w:r>
      <w:r w:rsidRPr="003523C5">
        <w:rPr>
          <w:lang w:val="en-US"/>
        </w:rPr>
        <w:t>. To see this, consider that the EIB must operate as a financial enterprise, i.e., it collects funding on capital markets and distributes investment</w:t>
      </w:r>
      <w:r w:rsidR="00A32F34">
        <w:rPr>
          <w:lang w:val="en-US"/>
        </w:rPr>
        <w:t>s</w:t>
      </w:r>
      <w:r w:rsidRPr="003523C5">
        <w:rPr>
          <w:lang w:val="en-US"/>
        </w:rPr>
        <w:t xml:space="preserve"> according to an organizationally set risk-return profile. The </w:t>
      </w:r>
      <w:r w:rsidR="00A32F34">
        <w:rPr>
          <w:lang w:val="en-US"/>
        </w:rPr>
        <w:t>specific</w:t>
      </w:r>
      <w:r w:rsidR="00A32F34" w:rsidRPr="003523C5">
        <w:rPr>
          <w:lang w:val="en-US"/>
        </w:rPr>
        <w:t xml:space="preserve"> </w:t>
      </w:r>
      <w:r w:rsidRPr="003523C5">
        <w:rPr>
          <w:lang w:val="en-US"/>
        </w:rPr>
        <w:t>way in which EIB sets</w:t>
      </w:r>
      <w:r w:rsidR="00A32F34">
        <w:rPr>
          <w:lang w:val="en-US"/>
        </w:rPr>
        <w:t xml:space="preserve"> its</w:t>
      </w:r>
      <w:r w:rsidRPr="003523C5">
        <w:rPr>
          <w:lang w:val="en-US"/>
        </w:rPr>
        <w:t xml:space="preserve"> risk-return profile </w:t>
      </w:r>
      <w:r w:rsidR="00403060" w:rsidRPr="003523C5">
        <w:rPr>
          <w:lang w:val="en-US"/>
        </w:rPr>
        <w:t>favors</w:t>
      </w:r>
      <w:r w:rsidRPr="003523C5">
        <w:rPr>
          <w:lang w:val="en-US"/>
        </w:rPr>
        <w:t xml:space="preserve"> </w:t>
      </w:r>
      <w:r w:rsidR="00A32F34">
        <w:rPr>
          <w:lang w:val="en-US"/>
        </w:rPr>
        <w:t>c</w:t>
      </w:r>
      <w:r w:rsidRPr="003523C5">
        <w:rPr>
          <w:lang w:val="en-US"/>
        </w:rPr>
        <w:t>ore countries, because it is set</w:t>
      </w:r>
      <w:r w:rsidR="00A32F34">
        <w:rPr>
          <w:lang w:val="en-US"/>
        </w:rPr>
        <w:t>—</w:t>
      </w:r>
      <w:r w:rsidRPr="003523C5">
        <w:rPr>
          <w:lang w:val="en-US"/>
        </w:rPr>
        <w:t>for a development bank</w:t>
      </w:r>
      <w:r w:rsidR="00A32F34">
        <w:rPr>
          <w:lang w:val="en-US"/>
        </w:rPr>
        <w:t>—</w:t>
      </w:r>
      <w:r w:rsidRPr="003523C5">
        <w:rPr>
          <w:lang w:val="en-US"/>
        </w:rPr>
        <w:t>at a surprisingly prudent level.</w:t>
      </w:r>
      <w:r w:rsidR="00A32F34">
        <w:rPr>
          <w:rStyle w:val="FootnoteReference"/>
          <w:lang w:val="en-US"/>
        </w:rPr>
        <w:footnoteReference w:id="86"/>
      </w:r>
      <w:r w:rsidR="002768A6">
        <w:rPr>
          <w:lang w:val="en-US"/>
        </w:rPr>
        <w:t xml:space="preserve"> </w:t>
      </w:r>
      <w:r w:rsidRPr="003523C5">
        <w:rPr>
          <w:lang w:val="en-US"/>
        </w:rPr>
        <w:t>As Moody’s evaluate</w:t>
      </w:r>
      <w:r w:rsidR="002768A6">
        <w:rPr>
          <w:lang w:val="en-US"/>
        </w:rPr>
        <w:t>d,</w:t>
      </w:r>
      <w:r w:rsidRPr="003523C5">
        <w:rPr>
          <w:lang w:val="en-US"/>
        </w:rPr>
        <w:t xml:space="preserve"> “The EIB has a long track record of very low levels of nonperforming loans, </w:t>
      </w:r>
      <w:r w:rsidR="00471061" w:rsidRPr="00471061">
        <w:rPr>
          <w:lang w:val="en-US"/>
        </w:rPr>
        <w:t>which reflects its very prudent project selection as well as effective monitoring and risk management capabilities</w:t>
      </w:r>
      <w:r w:rsidRPr="003523C5">
        <w:rPr>
          <w:lang w:val="en-US"/>
        </w:rPr>
        <w:t>.”</w:t>
      </w:r>
      <w:r w:rsidR="002768A6">
        <w:rPr>
          <w:rStyle w:val="FootnoteReference"/>
          <w:lang w:val="en-US"/>
        </w:rPr>
        <w:footnoteReference w:id="87"/>
      </w:r>
      <w:r w:rsidRPr="003523C5">
        <w:rPr>
          <w:lang w:val="en-US"/>
        </w:rPr>
        <w:t xml:space="preserve"> This </w:t>
      </w:r>
      <w:r w:rsidR="002768A6">
        <w:rPr>
          <w:lang w:val="en-US"/>
        </w:rPr>
        <w:t>implies</w:t>
      </w:r>
      <w:r w:rsidR="002768A6" w:rsidRPr="003523C5">
        <w:rPr>
          <w:lang w:val="en-US"/>
        </w:rPr>
        <w:t xml:space="preserve"> </w:t>
      </w:r>
      <w:r w:rsidRPr="003523C5">
        <w:rPr>
          <w:lang w:val="en-US"/>
        </w:rPr>
        <w:t xml:space="preserve">that the selection criteria for projects is skewed towards projects that present very low risk and high probability of success at the outset. These kinds of projects are obviously more abundant in </w:t>
      </w:r>
      <w:r w:rsidR="002768A6">
        <w:rPr>
          <w:lang w:val="en-US"/>
        </w:rPr>
        <w:t>c</w:t>
      </w:r>
      <w:r w:rsidRPr="003523C5">
        <w:rPr>
          <w:lang w:val="en-US"/>
        </w:rPr>
        <w:t xml:space="preserve">ore countries than in countries on the </w:t>
      </w:r>
      <w:r w:rsidR="002768A6">
        <w:rPr>
          <w:lang w:val="en-US"/>
        </w:rPr>
        <w:t>p</w:t>
      </w:r>
      <w:r w:rsidRPr="003523C5">
        <w:rPr>
          <w:lang w:val="en-US"/>
        </w:rPr>
        <w:t>eripher</w:t>
      </w:r>
      <w:r w:rsidR="002768A6">
        <w:rPr>
          <w:lang w:val="en-US"/>
        </w:rPr>
        <w:t>y</w:t>
      </w:r>
      <w:r w:rsidRPr="003523C5">
        <w:rPr>
          <w:lang w:val="en-US"/>
        </w:rPr>
        <w:t xml:space="preserve">. From a market correction institution, one would actually expect that it would be willing to take more risk than market actors, just as other multilateral development banks such as the World Bank, the European Bank for </w:t>
      </w:r>
      <w:r w:rsidR="007A5154" w:rsidRPr="003523C5">
        <w:rPr>
          <w:lang w:val="en-US"/>
        </w:rPr>
        <w:t>Re</w:t>
      </w:r>
      <w:r w:rsidR="007A5154">
        <w:rPr>
          <w:lang w:val="en-US"/>
        </w:rPr>
        <w:t>construction</w:t>
      </w:r>
      <w:r w:rsidR="007A5154" w:rsidRPr="003523C5">
        <w:rPr>
          <w:lang w:val="en-US"/>
        </w:rPr>
        <w:t xml:space="preserve"> </w:t>
      </w:r>
      <w:r w:rsidRPr="003523C5">
        <w:rPr>
          <w:lang w:val="en-US"/>
        </w:rPr>
        <w:t>and Development, and the Inter-American Development Bank do. All of these institutions have worse Non-Performing-Loan ratios than the EIB.</w:t>
      </w:r>
      <w:r w:rsidR="002768A6">
        <w:rPr>
          <w:rStyle w:val="FootnoteReference"/>
          <w:lang w:val="en-US"/>
        </w:rPr>
        <w:footnoteReference w:id="88"/>
      </w:r>
    </w:p>
    <w:p w14:paraId="51F77F2D" w14:textId="77777777" w:rsidR="00DF1C48" w:rsidRPr="003523C5" w:rsidRDefault="00DF1C48" w:rsidP="00CA7B81">
      <w:pPr>
        <w:contextualSpacing/>
        <w:rPr>
          <w:lang w:val="en-US"/>
        </w:rPr>
      </w:pPr>
    </w:p>
    <w:p w14:paraId="04841782" w14:textId="2ED719AE" w:rsidR="00DF1C48" w:rsidRPr="003523C5" w:rsidRDefault="00DF1C48" w:rsidP="00CA7B81">
      <w:pPr>
        <w:contextualSpacing/>
        <w:rPr>
          <w:b/>
          <w:lang w:val="en-US"/>
        </w:rPr>
      </w:pPr>
      <w:r w:rsidRPr="003523C5">
        <w:rPr>
          <w:b/>
          <w:lang w:val="en-US"/>
        </w:rPr>
        <w:lastRenderedPageBreak/>
        <w:t xml:space="preserve">4.2. Post-GFC reforms: the </w:t>
      </w:r>
      <w:r w:rsidR="002768A6">
        <w:rPr>
          <w:b/>
          <w:lang w:val="en-US"/>
        </w:rPr>
        <w:t xml:space="preserve">trap of </w:t>
      </w:r>
      <w:r w:rsidRPr="003523C5">
        <w:rPr>
          <w:b/>
          <w:lang w:val="en-US"/>
        </w:rPr>
        <w:t>confederal</w:t>
      </w:r>
      <w:r w:rsidR="002768A6">
        <w:rPr>
          <w:b/>
          <w:lang w:val="en-US"/>
        </w:rPr>
        <w:t xml:space="preserve">ism </w:t>
      </w:r>
      <w:r w:rsidRPr="003523C5">
        <w:rPr>
          <w:b/>
          <w:lang w:val="en-US"/>
        </w:rPr>
        <w:t xml:space="preserve">reloaded </w:t>
      </w:r>
    </w:p>
    <w:p w14:paraId="2E6D96E5" w14:textId="77777777" w:rsidR="00DF1C48" w:rsidRPr="003523C5" w:rsidRDefault="00DF1C48" w:rsidP="00CA7B81">
      <w:pPr>
        <w:contextualSpacing/>
        <w:rPr>
          <w:b/>
          <w:lang w:val="en-US"/>
        </w:rPr>
      </w:pPr>
    </w:p>
    <w:p w14:paraId="5A868222" w14:textId="1D2495A4" w:rsidR="00DF1C48" w:rsidRPr="003523C5" w:rsidRDefault="00E9630D" w:rsidP="00CA7B81">
      <w:pPr>
        <w:autoSpaceDE w:val="0"/>
        <w:autoSpaceDN w:val="0"/>
        <w:adjustRightInd w:val="0"/>
        <w:contextualSpacing/>
        <w:rPr>
          <w:lang w:val="en-US"/>
        </w:rPr>
      </w:pPr>
      <w:r>
        <w:rPr>
          <w:lang w:val="en-US"/>
        </w:rPr>
        <w:t xml:space="preserve">Our analysis of the </w:t>
      </w:r>
      <w:r w:rsidR="00DF1C48" w:rsidRPr="003523C5">
        <w:rPr>
          <w:lang w:val="en-US"/>
        </w:rPr>
        <w:t xml:space="preserve">EIB’s lending profile leads us to expect no change in the distributive logic of </w:t>
      </w:r>
      <w:r w:rsidR="00DB0D41">
        <w:rPr>
          <w:lang w:val="en-US"/>
        </w:rPr>
        <w:t xml:space="preserve">the </w:t>
      </w:r>
      <w:r w:rsidR="00DF1C48" w:rsidRPr="003523C5">
        <w:rPr>
          <w:lang w:val="en-US"/>
        </w:rPr>
        <w:t>EFSI</w:t>
      </w:r>
      <w:r>
        <w:rPr>
          <w:lang w:val="en-US"/>
        </w:rPr>
        <w:t xml:space="preserve">, </w:t>
      </w:r>
      <w:r w:rsidR="00DF1C48" w:rsidRPr="003523C5">
        <w:rPr>
          <w:lang w:val="en-US"/>
        </w:rPr>
        <w:t>launch</w:t>
      </w:r>
      <w:r>
        <w:rPr>
          <w:lang w:val="en-US"/>
        </w:rPr>
        <w:t>ed</w:t>
      </w:r>
      <w:r w:rsidR="00DF1C48" w:rsidRPr="003523C5">
        <w:rPr>
          <w:lang w:val="en-US"/>
        </w:rPr>
        <w:t xml:space="preserve"> in 2014. The Juncker Plan, </w:t>
      </w:r>
      <w:r w:rsidR="002768A6">
        <w:rPr>
          <w:lang w:val="en-US"/>
        </w:rPr>
        <w:t>the</w:t>
      </w:r>
      <w:r w:rsidR="002768A6" w:rsidRPr="003523C5">
        <w:rPr>
          <w:lang w:val="en-US"/>
        </w:rPr>
        <w:t xml:space="preserve"> </w:t>
      </w:r>
      <w:r w:rsidR="00DF1C48" w:rsidRPr="003523C5">
        <w:rPr>
          <w:lang w:val="en-US"/>
        </w:rPr>
        <w:t xml:space="preserve">accompanying decision by EIB’s shareholders to increase </w:t>
      </w:r>
      <w:r w:rsidR="002768A6">
        <w:rPr>
          <w:lang w:val="en-US"/>
        </w:rPr>
        <w:t>its</w:t>
      </w:r>
      <w:r w:rsidR="002768A6" w:rsidRPr="003523C5">
        <w:rPr>
          <w:lang w:val="en-US"/>
        </w:rPr>
        <w:t xml:space="preserve"> </w:t>
      </w:r>
      <w:r w:rsidR="00DF1C48" w:rsidRPr="003523C5">
        <w:rPr>
          <w:lang w:val="en-US"/>
        </w:rPr>
        <w:t>paid-in capital by 10 billion EUR</w:t>
      </w:r>
      <w:r w:rsidR="002768A6">
        <w:rPr>
          <w:lang w:val="en-US"/>
        </w:rPr>
        <w:t>,</w:t>
      </w:r>
      <w:r w:rsidR="00DF1C48" w:rsidRPr="003523C5">
        <w:rPr>
          <w:lang w:val="en-US"/>
        </w:rPr>
        <w:t xml:space="preserve"> and </w:t>
      </w:r>
      <w:r w:rsidR="002768A6">
        <w:rPr>
          <w:lang w:val="en-US"/>
        </w:rPr>
        <w:t xml:space="preserve">the </w:t>
      </w:r>
      <w:r w:rsidR="00DF1C48" w:rsidRPr="003523C5">
        <w:rPr>
          <w:lang w:val="en-US"/>
        </w:rPr>
        <w:t xml:space="preserve">EFSI’s design as a co-financing instrument </w:t>
      </w:r>
      <w:r w:rsidR="00DB0D41">
        <w:rPr>
          <w:lang w:val="en-US"/>
        </w:rPr>
        <w:t>where</w:t>
      </w:r>
      <w:r w:rsidR="00DF1C48" w:rsidRPr="003523C5">
        <w:rPr>
          <w:lang w:val="en-US"/>
        </w:rPr>
        <w:t xml:space="preserve"> national development banks pledge their own resources </w:t>
      </w:r>
      <w:r w:rsidR="00DB0D41">
        <w:rPr>
          <w:lang w:val="en-US"/>
        </w:rPr>
        <w:t>for</w:t>
      </w:r>
      <w:r w:rsidR="00DB0D41" w:rsidRPr="003523C5">
        <w:rPr>
          <w:lang w:val="en-US"/>
        </w:rPr>
        <w:t xml:space="preserve"> </w:t>
      </w:r>
      <w:r w:rsidR="00DF1C48" w:rsidRPr="003523C5">
        <w:rPr>
          <w:lang w:val="en-US"/>
        </w:rPr>
        <w:t xml:space="preserve">investment purposes did not change EIB’s redistributive logic. The EFSI’s preamble declared that it </w:t>
      </w:r>
      <w:r w:rsidR="00DB0D41">
        <w:rPr>
          <w:lang w:val="en-US"/>
        </w:rPr>
        <w:t>“</w:t>
      </w:r>
      <w:r w:rsidR="00DF1C48" w:rsidRPr="003523C5">
        <w:rPr>
          <w:lang w:val="en-US"/>
        </w:rPr>
        <w:t>should boost competitiveness and economic recovery and should be complementary to the objective of economic, social, and territorial cohesion across the Union.</w:t>
      </w:r>
      <w:r w:rsidR="00DB0D41">
        <w:rPr>
          <w:lang w:val="en-US"/>
        </w:rPr>
        <w:t>”</w:t>
      </w:r>
      <w:r w:rsidR="00DB0D41">
        <w:rPr>
          <w:rStyle w:val="FootnoteReference"/>
          <w:lang w:val="en-US"/>
        </w:rPr>
        <w:footnoteReference w:id="89"/>
      </w:r>
      <w:r w:rsidR="00DF1C48" w:rsidRPr="003523C5">
        <w:rPr>
          <w:lang w:val="en-US"/>
        </w:rPr>
        <w:t xml:space="preserve"> However, the EFSI’s decision-making process essentially mimicked that of the EIB. Therefore, we find </w:t>
      </w:r>
      <w:r w:rsidR="00DB0D41">
        <w:rPr>
          <w:lang w:val="en-US"/>
        </w:rPr>
        <w:t>c</w:t>
      </w:r>
      <w:r w:rsidR="00DF1C48" w:rsidRPr="003523C5">
        <w:rPr>
          <w:lang w:val="en-US"/>
        </w:rPr>
        <w:t>ore countries’ dominance achieved through overt dominance in the decision-making structure, and through covert dominance through built-in institutional</w:t>
      </w:r>
      <w:r w:rsidR="00DB0D41">
        <w:rPr>
          <w:lang w:val="en-US"/>
        </w:rPr>
        <w:t xml:space="preserve"> </w:t>
      </w:r>
      <w:r w:rsidR="00DF1C48" w:rsidRPr="003523C5">
        <w:rPr>
          <w:lang w:val="en-US"/>
        </w:rPr>
        <w:t>bias</w:t>
      </w:r>
      <w:r w:rsidR="00DB0D41">
        <w:rPr>
          <w:lang w:val="en-US"/>
        </w:rPr>
        <w:t>es</w:t>
      </w:r>
      <w:r w:rsidR="007C4E6F">
        <w:rPr>
          <w:lang w:val="en-US"/>
        </w:rPr>
        <w:t xml:space="preserve">. The latter are </w:t>
      </w:r>
      <w:r w:rsidR="00DF1C48" w:rsidRPr="003523C5">
        <w:rPr>
          <w:lang w:val="en-US"/>
        </w:rPr>
        <w:t xml:space="preserve">manifested in the </w:t>
      </w:r>
      <w:r w:rsidR="007C4E6F">
        <w:rPr>
          <w:lang w:val="en-US"/>
        </w:rPr>
        <w:t xml:space="preserve">involvement </w:t>
      </w:r>
      <w:r w:rsidR="00DF1C48" w:rsidRPr="003523C5">
        <w:rPr>
          <w:lang w:val="en-US"/>
        </w:rPr>
        <w:t>criteria</w:t>
      </w:r>
      <w:r w:rsidR="007C4E6F">
        <w:rPr>
          <w:lang w:val="en-US"/>
        </w:rPr>
        <w:t xml:space="preserve"> </w:t>
      </w:r>
      <w:r w:rsidR="00DF1C48" w:rsidRPr="003523C5">
        <w:rPr>
          <w:lang w:val="en-US"/>
        </w:rPr>
        <w:t xml:space="preserve">of differently positioned national development banks and in </w:t>
      </w:r>
      <w:r w:rsidR="007C4E6F">
        <w:rPr>
          <w:lang w:val="en-US"/>
        </w:rPr>
        <w:t xml:space="preserve">the </w:t>
      </w:r>
      <w:r w:rsidR="00DF1C48" w:rsidRPr="003523C5">
        <w:rPr>
          <w:lang w:val="en-US"/>
        </w:rPr>
        <w:t>lending criteria</w:t>
      </w:r>
      <w:r w:rsidR="007C4E6F">
        <w:rPr>
          <w:lang w:val="en-US"/>
        </w:rPr>
        <w:t>,</w:t>
      </w:r>
      <w:r w:rsidR="00DF1C48" w:rsidRPr="003523C5">
        <w:rPr>
          <w:lang w:val="en-US"/>
        </w:rPr>
        <w:t xml:space="preserve"> </w:t>
      </w:r>
      <w:r w:rsidR="00DB0D41">
        <w:rPr>
          <w:lang w:val="en-US"/>
        </w:rPr>
        <w:t>which</w:t>
      </w:r>
      <w:r w:rsidR="00DB0D41" w:rsidRPr="003523C5">
        <w:rPr>
          <w:lang w:val="en-US"/>
        </w:rPr>
        <w:t xml:space="preserve"> </w:t>
      </w:r>
      <w:r w:rsidR="00DF1C48" w:rsidRPr="003523C5">
        <w:rPr>
          <w:lang w:val="en-US"/>
        </w:rPr>
        <w:t>clearly favor projects in larger and more developed countries.</w:t>
      </w:r>
    </w:p>
    <w:p w14:paraId="753B3D1F" w14:textId="77777777" w:rsidR="00DF1C48" w:rsidRPr="003523C5" w:rsidRDefault="00DF1C48" w:rsidP="00CA7B81">
      <w:pPr>
        <w:contextualSpacing/>
        <w:rPr>
          <w:lang w:val="en-US"/>
        </w:rPr>
      </w:pPr>
    </w:p>
    <w:p w14:paraId="7CA4C83E" w14:textId="26F5ED1E" w:rsidR="00DF1C48" w:rsidRPr="003523C5" w:rsidRDefault="00DF1C48" w:rsidP="00CA7B81">
      <w:pPr>
        <w:autoSpaceDE w:val="0"/>
        <w:autoSpaceDN w:val="0"/>
        <w:adjustRightInd w:val="0"/>
        <w:contextualSpacing/>
        <w:rPr>
          <w:lang w:val="en-US"/>
        </w:rPr>
      </w:pPr>
      <w:r w:rsidRPr="003523C5">
        <w:rPr>
          <w:lang w:val="en-US"/>
        </w:rPr>
        <w:t xml:space="preserve">Differences between EFSI funds directed to the </w:t>
      </w:r>
      <w:r w:rsidR="007C4E6F">
        <w:rPr>
          <w:lang w:val="en-US"/>
        </w:rPr>
        <w:t>c</w:t>
      </w:r>
      <w:r w:rsidRPr="003523C5">
        <w:rPr>
          <w:lang w:val="en-US"/>
        </w:rPr>
        <w:t xml:space="preserve">ore and the </w:t>
      </w:r>
      <w:r w:rsidR="007C4E6F">
        <w:rPr>
          <w:lang w:val="en-US"/>
        </w:rPr>
        <w:t>p</w:t>
      </w:r>
      <w:r w:rsidRPr="003523C5">
        <w:rPr>
          <w:lang w:val="en-US"/>
        </w:rPr>
        <w:t xml:space="preserve">eriphery are especially puzzling since the EFSI contains a number of features that should have allowed for a more equitable distribution of resources: (1) </w:t>
      </w:r>
      <w:r w:rsidR="007C4E6F">
        <w:rPr>
          <w:lang w:val="en-US"/>
        </w:rPr>
        <w:t>a</w:t>
      </w:r>
      <w:r w:rsidRPr="003523C5">
        <w:rPr>
          <w:lang w:val="en-US"/>
        </w:rPr>
        <w:t xml:space="preserve"> higher risk-return profile is allowed under EFSI projects than under standard EIB financed constructions, (2) the pricing policy may also be different (cheaper) than under </w:t>
      </w:r>
      <w:r w:rsidR="007C4E6F">
        <w:rPr>
          <w:lang w:val="en-US"/>
        </w:rPr>
        <w:t xml:space="preserve">the </w:t>
      </w:r>
      <w:r w:rsidRPr="003523C5">
        <w:rPr>
          <w:lang w:val="en-US"/>
        </w:rPr>
        <w:t>EIB due to EFSI</w:t>
      </w:r>
      <w:r w:rsidR="007C4E6F">
        <w:rPr>
          <w:lang w:val="en-US"/>
        </w:rPr>
        <w:t>-</w:t>
      </w:r>
      <w:r w:rsidRPr="003523C5">
        <w:rPr>
          <w:lang w:val="en-US"/>
        </w:rPr>
        <w:t>provided guarantees</w:t>
      </w:r>
      <w:r w:rsidR="007C4E6F">
        <w:rPr>
          <w:lang w:val="en-US"/>
        </w:rPr>
        <w:t>,</w:t>
      </w:r>
      <w:r w:rsidRPr="003523C5">
        <w:rPr>
          <w:lang w:val="en-US"/>
        </w:rPr>
        <w:t xml:space="preserve"> (3) </w:t>
      </w:r>
      <w:r w:rsidR="007C4E6F">
        <w:rPr>
          <w:lang w:val="en-US"/>
        </w:rPr>
        <w:t>the EFSI</w:t>
      </w:r>
      <w:r w:rsidR="007C4E6F" w:rsidRPr="003523C5">
        <w:rPr>
          <w:lang w:val="en-US"/>
        </w:rPr>
        <w:t xml:space="preserve"> </w:t>
      </w:r>
      <w:r w:rsidRPr="003523C5">
        <w:rPr>
          <w:lang w:val="en-US"/>
        </w:rPr>
        <w:t xml:space="preserve">is granted higher operational and procedural flexibility, and (4) it has an explicit capability to mobilize funding from national </w:t>
      </w:r>
      <w:r w:rsidR="007A5154">
        <w:rPr>
          <w:lang w:val="en-US"/>
        </w:rPr>
        <w:t>development</w:t>
      </w:r>
      <w:r w:rsidR="007A5154" w:rsidRPr="003523C5">
        <w:rPr>
          <w:lang w:val="en-US"/>
        </w:rPr>
        <w:t xml:space="preserve"> </w:t>
      </w:r>
      <w:r w:rsidRPr="003523C5">
        <w:rPr>
          <w:lang w:val="en-US"/>
        </w:rPr>
        <w:t>banks.</w:t>
      </w:r>
      <w:r w:rsidR="007C4E6F">
        <w:rPr>
          <w:rStyle w:val="FootnoteReference"/>
          <w:lang w:val="en-US"/>
        </w:rPr>
        <w:footnoteReference w:id="90"/>
      </w:r>
      <w:r w:rsidRPr="003523C5">
        <w:rPr>
          <w:lang w:val="en-US"/>
        </w:rPr>
        <w:t xml:space="preserve"> Nevertheless, there are a number of organizational characteristics of </w:t>
      </w:r>
      <w:r w:rsidR="001E228D">
        <w:rPr>
          <w:lang w:val="en-US"/>
        </w:rPr>
        <w:t xml:space="preserve">the </w:t>
      </w:r>
      <w:r w:rsidRPr="003523C5">
        <w:rPr>
          <w:lang w:val="en-US"/>
        </w:rPr>
        <w:t>EFSI that greatly counterbalance these advantageous features and cater for a skewed distribution</w:t>
      </w:r>
      <w:r w:rsidR="007C4E6F">
        <w:rPr>
          <w:lang w:val="en-US"/>
        </w:rPr>
        <w:t xml:space="preserve"> </w:t>
      </w:r>
      <w:r w:rsidRPr="003523C5">
        <w:rPr>
          <w:lang w:val="en-US"/>
        </w:rPr>
        <w:t>of resources.</w:t>
      </w:r>
    </w:p>
    <w:p w14:paraId="58A2E7A3" w14:textId="77777777" w:rsidR="00DF1C48" w:rsidRPr="003523C5" w:rsidRDefault="00DF1C48" w:rsidP="00CA7B81">
      <w:pPr>
        <w:autoSpaceDE w:val="0"/>
        <w:autoSpaceDN w:val="0"/>
        <w:adjustRightInd w:val="0"/>
        <w:contextualSpacing/>
        <w:rPr>
          <w:lang w:val="en-US"/>
        </w:rPr>
      </w:pPr>
    </w:p>
    <w:p w14:paraId="7C9D2E74" w14:textId="28768022" w:rsidR="00DF1C48" w:rsidRPr="003523C5" w:rsidRDefault="00DF1C48" w:rsidP="00CA7B81">
      <w:pPr>
        <w:contextualSpacing/>
        <w:rPr>
          <w:color w:val="000000"/>
          <w:lang w:val="en-US"/>
        </w:rPr>
      </w:pPr>
      <w:r w:rsidRPr="003523C5">
        <w:rPr>
          <w:lang w:val="en-US"/>
        </w:rPr>
        <w:t>First, the EFSI framework hinges upon the participation of national development banks. In this scheme, NDBs not only channel member states</w:t>
      </w:r>
      <w:r w:rsidR="007C4E6F">
        <w:rPr>
          <w:lang w:val="en-US"/>
        </w:rPr>
        <w:t>’</w:t>
      </w:r>
      <w:r w:rsidRPr="003523C5">
        <w:rPr>
          <w:lang w:val="en-US"/>
        </w:rPr>
        <w:t xml:space="preserve"> pledges to </w:t>
      </w:r>
      <w:r w:rsidR="001E228D">
        <w:rPr>
          <w:lang w:val="en-US"/>
        </w:rPr>
        <w:t xml:space="preserve">the </w:t>
      </w:r>
      <w:r w:rsidRPr="003523C5">
        <w:rPr>
          <w:lang w:val="en-US"/>
        </w:rPr>
        <w:t xml:space="preserve">EFSI, but also design and implement investments in relation to </w:t>
      </w:r>
      <w:r w:rsidR="001E228D">
        <w:rPr>
          <w:lang w:val="en-US"/>
        </w:rPr>
        <w:t xml:space="preserve">the </w:t>
      </w:r>
      <w:r w:rsidRPr="003523C5">
        <w:rPr>
          <w:lang w:val="en-US"/>
        </w:rPr>
        <w:t>EFSI</w:t>
      </w:r>
      <w:r w:rsidR="007C4E6F">
        <w:rPr>
          <w:lang w:val="en-US"/>
        </w:rPr>
        <w:t>.</w:t>
      </w:r>
      <w:r w:rsidR="007C4E6F">
        <w:rPr>
          <w:rStyle w:val="FootnoteReference"/>
          <w:lang w:val="en-US"/>
        </w:rPr>
        <w:footnoteReference w:id="91"/>
      </w:r>
      <w:r w:rsidRPr="003523C5">
        <w:rPr>
          <w:lang w:val="en-US"/>
        </w:rPr>
        <w:t xml:space="preserve"> A major disadvantage of this feature is that it effectively diverts European funds towards a member state</w:t>
      </w:r>
      <w:r w:rsidR="007C4E6F">
        <w:rPr>
          <w:lang w:val="en-US"/>
        </w:rPr>
        <w:t>’</w:t>
      </w:r>
      <w:r w:rsidRPr="003523C5">
        <w:rPr>
          <w:lang w:val="en-US"/>
        </w:rPr>
        <w:t xml:space="preserve">s economic policy goals as opposed to EU integration. This is because NDBs are mandated with the promotion of the national economy only, whereas EFSI funds should, in principle, be used to promote common goals. In addition, </w:t>
      </w:r>
      <w:r w:rsidR="00966427">
        <w:rPr>
          <w:lang w:val="en-US"/>
        </w:rPr>
        <w:t xml:space="preserve">in </w:t>
      </w:r>
      <w:r w:rsidRPr="003523C5">
        <w:rPr>
          <w:lang w:val="en-US"/>
        </w:rPr>
        <w:t xml:space="preserve">those countries where </w:t>
      </w:r>
      <w:r w:rsidR="007A5154">
        <w:rPr>
          <w:lang w:val="en-US"/>
        </w:rPr>
        <w:t>development</w:t>
      </w:r>
      <w:r w:rsidR="007A5154" w:rsidRPr="003523C5">
        <w:rPr>
          <w:lang w:val="en-US"/>
        </w:rPr>
        <w:t xml:space="preserve"> </w:t>
      </w:r>
      <w:r w:rsidRPr="003523C5">
        <w:rPr>
          <w:lang w:val="en-US"/>
        </w:rPr>
        <w:t>banks are less developed</w:t>
      </w:r>
      <w:r w:rsidR="007C4E6F">
        <w:rPr>
          <w:lang w:val="en-US"/>
        </w:rPr>
        <w:t xml:space="preserve"> and </w:t>
      </w:r>
      <w:r w:rsidRPr="003523C5">
        <w:rPr>
          <w:lang w:val="en-US"/>
        </w:rPr>
        <w:t xml:space="preserve">manage smaller funds, </w:t>
      </w:r>
      <w:r w:rsidR="00966427">
        <w:rPr>
          <w:lang w:val="en-US"/>
        </w:rPr>
        <w:t xml:space="preserve">there is </w:t>
      </w:r>
      <w:r w:rsidRPr="003523C5">
        <w:rPr>
          <w:lang w:val="en-US"/>
        </w:rPr>
        <w:t>less capab</w:t>
      </w:r>
      <w:r w:rsidR="00966427">
        <w:rPr>
          <w:lang w:val="en-US"/>
        </w:rPr>
        <w:t>ility</w:t>
      </w:r>
      <w:r w:rsidRPr="003523C5">
        <w:rPr>
          <w:lang w:val="en-US"/>
        </w:rPr>
        <w:t xml:space="preserve"> of attracting European funding designated to balance economic disparities</w:t>
      </w:r>
      <w:r w:rsidR="00966427">
        <w:rPr>
          <w:lang w:val="en-US"/>
        </w:rPr>
        <w:t xml:space="preserve">, </w:t>
      </w:r>
      <w:r w:rsidR="00966427" w:rsidRPr="003523C5">
        <w:rPr>
          <w:lang w:val="en-US"/>
        </w:rPr>
        <w:t>per EFSI design</w:t>
      </w:r>
      <w:r w:rsidRPr="003523C5">
        <w:rPr>
          <w:lang w:val="en-US"/>
        </w:rPr>
        <w:t xml:space="preserve">. </w:t>
      </w:r>
      <w:r w:rsidRPr="003523C5">
        <w:rPr>
          <w:color w:val="000000"/>
          <w:lang w:val="en-US"/>
        </w:rPr>
        <w:t>Based on data collected by Mertens et al. (2021) for the total assets of NDBs in different member states</w:t>
      </w:r>
      <w:r w:rsidR="00966427">
        <w:rPr>
          <w:color w:val="000000"/>
          <w:lang w:val="en-US"/>
        </w:rPr>
        <w:t>,</w:t>
      </w:r>
      <w:r w:rsidRPr="003523C5">
        <w:rPr>
          <w:color w:val="000000"/>
          <w:lang w:val="en-US"/>
        </w:rPr>
        <w:t xml:space="preserve"> we see that the NDBs in the core controlled 1</w:t>
      </w:r>
      <w:r w:rsidR="00966427">
        <w:rPr>
          <w:color w:val="000000"/>
          <w:lang w:val="en-US"/>
        </w:rPr>
        <w:t>,</w:t>
      </w:r>
      <w:r w:rsidRPr="003523C5">
        <w:rPr>
          <w:color w:val="000000"/>
          <w:lang w:val="en-US"/>
        </w:rPr>
        <w:t>047</w:t>
      </w:r>
      <w:r w:rsidR="00966427">
        <w:rPr>
          <w:color w:val="000000"/>
          <w:lang w:val="en-US"/>
        </w:rPr>
        <w:t>,</w:t>
      </w:r>
      <w:r w:rsidRPr="003523C5">
        <w:rPr>
          <w:color w:val="000000"/>
          <w:lang w:val="en-US"/>
        </w:rPr>
        <w:t xml:space="preserve">249 million EUR or 59% of total NDB assets, </w:t>
      </w:r>
      <w:r w:rsidR="00966427">
        <w:rPr>
          <w:color w:val="000000"/>
          <w:lang w:val="en-US"/>
        </w:rPr>
        <w:t xml:space="preserve">the </w:t>
      </w:r>
      <w:r w:rsidRPr="003523C5">
        <w:rPr>
          <w:color w:val="000000"/>
          <w:lang w:val="en-US"/>
        </w:rPr>
        <w:t xml:space="preserve">Southern </w:t>
      </w:r>
      <w:r w:rsidR="00966427">
        <w:rPr>
          <w:color w:val="000000"/>
          <w:lang w:val="en-US"/>
        </w:rPr>
        <w:t>p</w:t>
      </w:r>
      <w:r w:rsidRPr="003523C5">
        <w:rPr>
          <w:color w:val="000000"/>
          <w:lang w:val="en-US"/>
        </w:rPr>
        <w:t>eriphery 461</w:t>
      </w:r>
      <w:r w:rsidR="00966427">
        <w:rPr>
          <w:color w:val="000000"/>
          <w:lang w:val="en-US"/>
        </w:rPr>
        <w:t>,</w:t>
      </w:r>
      <w:r w:rsidRPr="003523C5">
        <w:rPr>
          <w:color w:val="000000"/>
          <w:lang w:val="en-US"/>
        </w:rPr>
        <w:t xml:space="preserve">733 million EUR or 26% of total NDB assets, while </w:t>
      </w:r>
      <w:r w:rsidR="00966427">
        <w:rPr>
          <w:color w:val="000000"/>
          <w:lang w:val="en-US"/>
        </w:rPr>
        <w:t xml:space="preserve">NDBs in </w:t>
      </w:r>
      <w:r w:rsidRPr="003523C5">
        <w:rPr>
          <w:color w:val="000000"/>
          <w:lang w:val="en-US"/>
        </w:rPr>
        <w:t xml:space="preserve">the Eastern </w:t>
      </w:r>
      <w:r w:rsidR="00966427">
        <w:rPr>
          <w:color w:val="000000"/>
          <w:lang w:val="en-US"/>
        </w:rPr>
        <w:t>p</w:t>
      </w:r>
      <w:r w:rsidRPr="003523C5">
        <w:rPr>
          <w:color w:val="000000"/>
          <w:lang w:val="en-US"/>
        </w:rPr>
        <w:t xml:space="preserve">eriphery only </w:t>
      </w:r>
      <w:r w:rsidR="00966427">
        <w:rPr>
          <w:color w:val="000000"/>
          <w:lang w:val="en-US"/>
        </w:rPr>
        <w:t xml:space="preserve">controlled </w:t>
      </w:r>
      <w:r w:rsidRPr="003523C5">
        <w:rPr>
          <w:color w:val="000000"/>
          <w:lang w:val="en-US"/>
        </w:rPr>
        <w:t>255</w:t>
      </w:r>
      <w:r w:rsidR="00966427">
        <w:rPr>
          <w:color w:val="000000"/>
          <w:lang w:val="en-US"/>
        </w:rPr>
        <w:t>,</w:t>
      </w:r>
      <w:r w:rsidRPr="003523C5">
        <w:rPr>
          <w:color w:val="000000"/>
          <w:lang w:val="en-US"/>
        </w:rPr>
        <w:t xml:space="preserve">203 million EUR or 14% of total NDB assets. </w:t>
      </w:r>
      <w:r w:rsidRPr="003523C5">
        <w:rPr>
          <w:lang w:val="en-US"/>
        </w:rPr>
        <w:t>This is no coincidence</w:t>
      </w:r>
      <w:r w:rsidR="00966427">
        <w:rPr>
          <w:lang w:val="en-US"/>
        </w:rPr>
        <w:t>.</w:t>
      </w:r>
      <w:r w:rsidRPr="003523C5">
        <w:rPr>
          <w:lang w:val="en-US"/>
        </w:rPr>
        <w:t xml:space="preserve"> </w:t>
      </w:r>
      <w:r w:rsidR="00966427">
        <w:rPr>
          <w:lang w:val="en-US"/>
        </w:rPr>
        <w:t>O</w:t>
      </w:r>
      <w:r w:rsidRPr="003523C5">
        <w:rPr>
          <w:lang w:val="en-US"/>
        </w:rPr>
        <w:t xml:space="preserve">n the contrary, </w:t>
      </w:r>
      <w:r w:rsidR="00966427">
        <w:rPr>
          <w:lang w:val="en-US"/>
        </w:rPr>
        <w:t>c</w:t>
      </w:r>
      <w:r w:rsidRPr="003523C5">
        <w:rPr>
          <w:lang w:val="en-US"/>
        </w:rPr>
        <w:t>ore countrie</w:t>
      </w:r>
      <w:r w:rsidR="00966427">
        <w:rPr>
          <w:lang w:val="en-US"/>
        </w:rPr>
        <w:t>s—</w:t>
      </w:r>
      <w:r w:rsidRPr="003523C5">
        <w:rPr>
          <w:lang w:val="en-US"/>
        </w:rPr>
        <w:t xml:space="preserve">and especially NDBs in </w:t>
      </w:r>
      <w:r w:rsidR="00966427">
        <w:rPr>
          <w:lang w:val="en-US"/>
        </w:rPr>
        <w:t>c</w:t>
      </w:r>
      <w:r w:rsidRPr="003523C5">
        <w:rPr>
          <w:lang w:val="en-US"/>
        </w:rPr>
        <w:t>ore countries</w:t>
      </w:r>
      <w:r w:rsidR="00966427">
        <w:rPr>
          <w:lang w:val="en-US"/>
        </w:rPr>
        <w:t>—</w:t>
      </w:r>
      <w:r w:rsidRPr="003523C5">
        <w:rPr>
          <w:lang w:val="en-US"/>
        </w:rPr>
        <w:t xml:space="preserve">pressured the Commission and the EIB into this direction. </w:t>
      </w:r>
    </w:p>
    <w:p w14:paraId="350C1AF7" w14:textId="77777777" w:rsidR="00DF1C48" w:rsidRPr="003523C5" w:rsidRDefault="00DF1C48" w:rsidP="00CA7B81">
      <w:pPr>
        <w:contextualSpacing/>
        <w:rPr>
          <w:lang w:val="en-US"/>
        </w:rPr>
      </w:pPr>
    </w:p>
    <w:p w14:paraId="2C735544" w14:textId="7BDD0938" w:rsidR="00DF1C48" w:rsidRPr="003523C5" w:rsidRDefault="00DF1C48" w:rsidP="00CA7B81">
      <w:pPr>
        <w:contextualSpacing/>
        <w:rPr>
          <w:lang w:val="en-US"/>
        </w:rPr>
      </w:pPr>
      <w:r w:rsidRPr="003523C5">
        <w:rPr>
          <w:lang w:val="en-US"/>
        </w:rPr>
        <w:t xml:space="preserve">Second, the chosen EFSI Global Multiplier Effect </w:t>
      </w:r>
      <w:r w:rsidR="00966427">
        <w:rPr>
          <w:lang w:val="en-US"/>
        </w:rPr>
        <w:t>(</w:t>
      </w:r>
      <w:r w:rsidRPr="003523C5">
        <w:rPr>
          <w:lang w:val="en-US"/>
        </w:rPr>
        <w:t>15x</w:t>
      </w:r>
      <w:r w:rsidR="00966427">
        <w:rPr>
          <w:lang w:val="en-US"/>
        </w:rPr>
        <w:t>)</w:t>
      </w:r>
      <w:r w:rsidRPr="003523C5">
        <w:rPr>
          <w:lang w:val="en-US"/>
        </w:rPr>
        <w:t xml:space="preserve"> also </w:t>
      </w:r>
      <w:r w:rsidR="00907EBD" w:rsidRPr="003523C5">
        <w:rPr>
          <w:lang w:val="en-US"/>
        </w:rPr>
        <w:t>favors</w:t>
      </w:r>
      <w:r w:rsidRPr="003523C5">
        <w:rPr>
          <w:lang w:val="en-US"/>
        </w:rPr>
        <w:t xml:space="preserve"> projects in </w:t>
      </w:r>
      <w:r w:rsidR="00966427">
        <w:rPr>
          <w:lang w:val="en-US"/>
        </w:rPr>
        <w:t>c</w:t>
      </w:r>
      <w:r w:rsidRPr="003523C5">
        <w:rPr>
          <w:lang w:val="en-US"/>
        </w:rPr>
        <w:t>ore countries.</w:t>
      </w:r>
      <w:r w:rsidR="00966427">
        <w:rPr>
          <w:rStyle w:val="FootnoteReference"/>
          <w:lang w:val="en-US"/>
        </w:rPr>
        <w:footnoteReference w:id="92"/>
      </w:r>
      <w:r w:rsidR="00B47894">
        <w:rPr>
          <w:lang w:val="en-US"/>
        </w:rPr>
        <w:t xml:space="preserve"> </w:t>
      </w:r>
      <w:r w:rsidRPr="003523C5">
        <w:rPr>
          <w:lang w:val="en-US"/>
        </w:rPr>
        <w:t xml:space="preserve">The </w:t>
      </w:r>
      <w:r w:rsidR="00B47894">
        <w:rPr>
          <w:lang w:val="en-US"/>
        </w:rPr>
        <w:t>G</w:t>
      </w:r>
      <w:r w:rsidRPr="003523C5">
        <w:rPr>
          <w:lang w:val="en-US"/>
        </w:rPr>
        <w:t xml:space="preserve">lobal </w:t>
      </w:r>
      <w:r w:rsidR="00B47894">
        <w:rPr>
          <w:lang w:val="en-US"/>
        </w:rPr>
        <w:t>M</w:t>
      </w:r>
      <w:r w:rsidRPr="003523C5">
        <w:rPr>
          <w:lang w:val="en-US"/>
        </w:rPr>
        <w:t>ultiplier is the relation between EFSI</w:t>
      </w:r>
      <w:r w:rsidR="00B47894">
        <w:rPr>
          <w:lang w:val="en-US"/>
        </w:rPr>
        <w:t>-</w:t>
      </w:r>
      <w:r w:rsidRPr="003523C5">
        <w:rPr>
          <w:lang w:val="en-US"/>
        </w:rPr>
        <w:t>provided public fund</w:t>
      </w:r>
      <w:r w:rsidR="00B47894">
        <w:rPr>
          <w:lang w:val="en-US"/>
        </w:rPr>
        <w:t>s</w:t>
      </w:r>
      <w:r w:rsidRPr="003523C5">
        <w:rPr>
          <w:lang w:val="en-US"/>
        </w:rPr>
        <w:t xml:space="preserve"> and </w:t>
      </w:r>
      <w:r w:rsidRPr="003523C5">
        <w:rPr>
          <w:lang w:val="en-US"/>
        </w:rPr>
        <w:lastRenderedPageBreak/>
        <w:t>additional private investment</w:t>
      </w:r>
      <w:r w:rsidR="00B47894">
        <w:rPr>
          <w:lang w:val="en-US"/>
        </w:rPr>
        <w:t xml:space="preserve">, that is, </w:t>
      </w:r>
      <w:r w:rsidRPr="003523C5">
        <w:rPr>
          <w:lang w:val="en-US"/>
        </w:rPr>
        <w:t>EFSI funds</w:t>
      </w:r>
      <w:r w:rsidR="00B47894">
        <w:rPr>
          <w:lang w:val="en-US"/>
        </w:rPr>
        <w:t xml:space="preserve"> comprise</w:t>
      </w:r>
      <w:r w:rsidRPr="003523C5">
        <w:rPr>
          <w:lang w:val="en-US"/>
        </w:rPr>
        <w:t xml:space="preserve"> 1/15 of the total investment. </w:t>
      </w:r>
      <w:r w:rsidR="001E228D">
        <w:rPr>
          <w:lang w:val="en-US"/>
        </w:rPr>
        <w:t>Since</w:t>
      </w:r>
      <w:r w:rsidR="001E228D" w:rsidRPr="003523C5">
        <w:rPr>
          <w:lang w:val="en-US"/>
        </w:rPr>
        <w:t xml:space="preserve"> </w:t>
      </w:r>
      <w:r w:rsidRPr="003523C5">
        <w:rPr>
          <w:lang w:val="en-US"/>
        </w:rPr>
        <w:t xml:space="preserve">this multiplier is set very high, it means that EFSI funding is only available for projects which can attract extra funding </w:t>
      </w:r>
      <w:r w:rsidR="001E228D">
        <w:rPr>
          <w:lang w:val="en-US"/>
        </w:rPr>
        <w:t>at</w:t>
      </w:r>
      <w:r w:rsidR="001E228D" w:rsidRPr="003523C5">
        <w:rPr>
          <w:lang w:val="en-US"/>
        </w:rPr>
        <w:t xml:space="preserve"> </w:t>
      </w:r>
      <w:r w:rsidRPr="003523C5">
        <w:rPr>
          <w:lang w:val="en-US"/>
        </w:rPr>
        <w:t xml:space="preserve">this magnitude. A high multiplier directs EFSI investment to core countries for two reasons: (1) </w:t>
      </w:r>
      <w:r w:rsidR="001E228D">
        <w:rPr>
          <w:lang w:val="en-US"/>
        </w:rPr>
        <w:t>e</w:t>
      </w:r>
      <w:r w:rsidRPr="003523C5">
        <w:rPr>
          <w:lang w:val="en-US"/>
        </w:rPr>
        <w:t xml:space="preserve">xtra financing is more abundant in </w:t>
      </w:r>
      <w:r w:rsidR="001E228D">
        <w:rPr>
          <w:lang w:val="en-US"/>
        </w:rPr>
        <w:t>c</w:t>
      </w:r>
      <w:r w:rsidRPr="003523C5">
        <w:rPr>
          <w:lang w:val="en-US"/>
        </w:rPr>
        <w:t xml:space="preserve">ore countries than </w:t>
      </w:r>
      <w:r w:rsidR="001E228D">
        <w:rPr>
          <w:lang w:val="en-US"/>
        </w:rPr>
        <w:t>in</w:t>
      </w:r>
      <w:r w:rsidR="001E228D" w:rsidRPr="003523C5">
        <w:rPr>
          <w:lang w:val="en-US"/>
        </w:rPr>
        <w:t xml:space="preserve"> </w:t>
      </w:r>
      <w:r w:rsidRPr="003523C5">
        <w:rPr>
          <w:lang w:val="en-US"/>
        </w:rPr>
        <w:t xml:space="preserve">the </w:t>
      </w:r>
      <w:r w:rsidR="001E228D">
        <w:rPr>
          <w:lang w:val="en-US"/>
        </w:rPr>
        <w:t>p</w:t>
      </w:r>
      <w:r w:rsidRPr="003523C5">
        <w:rPr>
          <w:lang w:val="en-US"/>
        </w:rPr>
        <w:t>eriphery,</w:t>
      </w:r>
      <w:r w:rsidR="001E228D">
        <w:rPr>
          <w:lang w:val="en-US"/>
        </w:rPr>
        <w:t xml:space="preserve"> and</w:t>
      </w:r>
      <w:r w:rsidRPr="003523C5">
        <w:rPr>
          <w:lang w:val="en-US"/>
        </w:rPr>
        <w:t xml:space="preserve"> (2) extra financing will prefer less risky investments, which are again to be found in higher numbers in </w:t>
      </w:r>
      <w:r w:rsidR="001E228D">
        <w:rPr>
          <w:lang w:val="en-US"/>
        </w:rPr>
        <w:t>c</w:t>
      </w:r>
      <w:r w:rsidRPr="003523C5">
        <w:rPr>
          <w:lang w:val="en-US"/>
        </w:rPr>
        <w:t xml:space="preserve">ore countries than in the </w:t>
      </w:r>
      <w:r w:rsidR="001E228D">
        <w:rPr>
          <w:lang w:val="en-US"/>
        </w:rPr>
        <w:t>p</w:t>
      </w:r>
      <w:r w:rsidRPr="003523C5">
        <w:rPr>
          <w:lang w:val="en-US"/>
        </w:rPr>
        <w:t>eriphery.</w:t>
      </w:r>
    </w:p>
    <w:p w14:paraId="5F9ADBE1" w14:textId="77777777" w:rsidR="00DF1C48" w:rsidRPr="003523C5" w:rsidRDefault="00DF1C48" w:rsidP="00CA7B81">
      <w:pPr>
        <w:contextualSpacing/>
        <w:rPr>
          <w:lang w:val="en-US"/>
        </w:rPr>
      </w:pPr>
    </w:p>
    <w:p w14:paraId="52F24032" w14:textId="30503571" w:rsidR="00DF1C48" w:rsidRPr="003523C5" w:rsidRDefault="00DF1C48" w:rsidP="00CA7B81">
      <w:pPr>
        <w:contextualSpacing/>
        <w:rPr>
          <w:lang w:val="en-US"/>
        </w:rPr>
      </w:pPr>
      <w:r w:rsidRPr="003523C5">
        <w:rPr>
          <w:lang w:val="en-US"/>
        </w:rPr>
        <w:t xml:space="preserve">Third, </w:t>
      </w:r>
      <w:r w:rsidR="001E228D">
        <w:rPr>
          <w:lang w:val="en-US"/>
        </w:rPr>
        <w:t>a</w:t>
      </w:r>
      <w:r w:rsidR="001E228D" w:rsidRPr="003523C5">
        <w:rPr>
          <w:lang w:val="en-US"/>
        </w:rPr>
        <w:t xml:space="preserve"> </w:t>
      </w:r>
      <w:r w:rsidRPr="003523C5">
        <w:rPr>
          <w:lang w:val="en-US"/>
        </w:rPr>
        <w:t xml:space="preserve">new financial instrument developed by the EFSI and </w:t>
      </w:r>
      <w:r w:rsidR="001E228D">
        <w:rPr>
          <w:lang w:val="en-US"/>
        </w:rPr>
        <w:t>NDBs</w:t>
      </w:r>
      <w:r w:rsidRPr="003523C5">
        <w:rPr>
          <w:lang w:val="en-US"/>
        </w:rPr>
        <w:t xml:space="preserve">, the Investment Platform, </w:t>
      </w:r>
      <w:r w:rsidR="001E228D">
        <w:rPr>
          <w:lang w:val="en-US"/>
        </w:rPr>
        <w:t>would</w:t>
      </w:r>
      <w:r w:rsidR="001E228D" w:rsidRPr="003523C5">
        <w:rPr>
          <w:lang w:val="en-US"/>
        </w:rPr>
        <w:t xml:space="preserve"> </w:t>
      </w:r>
      <w:r w:rsidRPr="003523C5">
        <w:rPr>
          <w:lang w:val="en-US"/>
        </w:rPr>
        <w:t>in principle be very suitable for financing smaller or riskier projects because of its capacity to combine financing from several sources and optimiz</w:t>
      </w:r>
      <w:r w:rsidR="001E228D">
        <w:rPr>
          <w:lang w:val="en-US"/>
        </w:rPr>
        <w:t>e</w:t>
      </w:r>
      <w:r w:rsidRPr="003523C5">
        <w:rPr>
          <w:lang w:val="en-US"/>
        </w:rPr>
        <w:t xml:space="preserve"> the allocation of risk between various investors</w:t>
      </w:r>
      <w:r w:rsidR="001E228D">
        <w:rPr>
          <w:lang w:val="en-US"/>
        </w:rPr>
        <w:t xml:space="preserve">. But it </w:t>
      </w:r>
      <w:r w:rsidRPr="003523C5">
        <w:rPr>
          <w:lang w:val="en-US"/>
        </w:rPr>
        <w:t>did not live up to its potential</w:t>
      </w:r>
      <w:r w:rsidR="001E228D">
        <w:rPr>
          <w:lang w:val="en-US"/>
        </w:rPr>
        <w:t>.</w:t>
      </w:r>
      <w:r w:rsidR="001E228D">
        <w:rPr>
          <w:rStyle w:val="FootnoteReference"/>
          <w:lang w:val="en-US"/>
        </w:rPr>
        <w:footnoteReference w:id="93"/>
      </w:r>
      <w:r w:rsidRPr="003523C5">
        <w:rPr>
          <w:lang w:val="en-US"/>
        </w:rPr>
        <w:t>According to the EFSI audit report, Investment Platform</w:t>
      </w:r>
      <w:r w:rsidR="001E228D">
        <w:rPr>
          <w:lang w:val="en-US"/>
        </w:rPr>
        <w:t>s</w:t>
      </w:r>
      <w:r w:rsidRPr="003523C5">
        <w:rPr>
          <w:lang w:val="en-US"/>
        </w:rPr>
        <w:t xml:space="preserve"> developed slowly</w:t>
      </w:r>
      <w:r w:rsidR="001E228D">
        <w:rPr>
          <w:lang w:val="en-US"/>
        </w:rPr>
        <w:t>:</w:t>
      </w:r>
      <w:r w:rsidRPr="003523C5">
        <w:rPr>
          <w:lang w:val="en-US"/>
        </w:rPr>
        <w:t xml:space="preserve"> only one </w:t>
      </w:r>
      <w:r w:rsidR="001E228D">
        <w:rPr>
          <w:lang w:val="en-US"/>
        </w:rPr>
        <w:t xml:space="preserve">existed </w:t>
      </w:r>
      <w:r w:rsidRPr="003523C5">
        <w:rPr>
          <w:lang w:val="en-US"/>
        </w:rPr>
        <w:t xml:space="preserve">in Italy </w:t>
      </w:r>
      <w:r w:rsidR="001E228D">
        <w:rPr>
          <w:lang w:val="en-US"/>
        </w:rPr>
        <w:t>by the end of</w:t>
      </w:r>
      <w:r w:rsidRPr="003523C5">
        <w:rPr>
          <w:lang w:val="en-US"/>
        </w:rPr>
        <w:t xml:space="preserve"> 2016, and only 35 </w:t>
      </w:r>
      <w:r w:rsidR="001E228D">
        <w:rPr>
          <w:lang w:val="en-US"/>
        </w:rPr>
        <w:t>had been created by</w:t>
      </w:r>
      <w:r w:rsidR="001E228D" w:rsidRPr="003523C5">
        <w:rPr>
          <w:lang w:val="en-US"/>
        </w:rPr>
        <w:t xml:space="preserve"> </w:t>
      </w:r>
      <w:r w:rsidRPr="003523C5">
        <w:rPr>
          <w:lang w:val="en-US"/>
        </w:rPr>
        <w:t xml:space="preserve">the end of 2017. Moreover, most of these Investment Platforms </w:t>
      </w:r>
      <w:r w:rsidR="001E228D">
        <w:rPr>
          <w:lang w:val="en-US"/>
        </w:rPr>
        <w:t>have been</w:t>
      </w:r>
      <w:r w:rsidR="001E228D" w:rsidRPr="003523C5">
        <w:rPr>
          <w:lang w:val="en-US"/>
        </w:rPr>
        <w:t xml:space="preserve"> </w:t>
      </w:r>
      <w:r w:rsidR="001E228D">
        <w:rPr>
          <w:lang w:val="en-US"/>
        </w:rPr>
        <w:t>established</w:t>
      </w:r>
      <w:r w:rsidR="001E228D" w:rsidRPr="003523C5">
        <w:rPr>
          <w:lang w:val="en-US"/>
        </w:rPr>
        <w:t xml:space="preserve"> </w:t>
      </w:r>
      <w:r w:rsidRPr="003523C5">
        <w:rPr>
          <w:lang w:val="en-US"/>
        </w:rPr>
        <w:t>in France, Italy, Germany, and Spain</w:t>
      </w:r>
      <w:r w:rsidR="001E228D">
        <w:rPr>
          <w:lang w:val="en-US"/>
        </w:rPr>
        <w:t>,</w:t>
      </w:r>
      <w:r w:rsidRPr="003523C5">
        <w:rPr>
          <w:lang w:val="en-US"/>
        </w:rPr>
        <w:t xml:space="preserve"> </w:t>
      </w:r>
      <w:r w:rsidR="001E228D">
        <w:rPr>
          <w:lang w:val="en-US"/>
        </w:rPr>
        <w:t>by</w:t>
      </w:r>
      <w:r w:rsidR="001E228D" w:rsidRPr="003523C5">
        <w:rPr>
          <w:lang w:val="en-US"/>
        </w:rPr>
        <w:t xml:space="preserve"> </w:t>
      </w:r>
      <w:r w:rsidRPr="003523C5">
        <w:rPr>
          <w:lang w:val="en-US"/>
        </w:rPr>
        <w:t xml:space="preserve">highly active and well-established </w:t>
      </w:r>
      <w:r w:rsidR="007A5154">
        <w:rPr>
          <w:lang w:val="en-US"/>
        </w:rPr>
        <w:t>NDBs</w:t>
      </w:r>
      <w:r w:rsidR="001E228D">
        <w:rPr>
          <w:lang w:val="en-US"/>
        </w:rPr>
        <w:t>. Further, t</w:t>
      </w:r>
      <w:r w:rsidRPr="003523C5">
        <w:rPr>
          <w:lang w:val="en-US"/>
        </w:rPr>
        <w:t xml:space="preserve">hese countries </w:t>
      </w:r>
      <w:r w:rsidR="001E228D">
        <w:rPr>
          <w:lang w:val="en-US"/>
        </w:rPr>
        <w:t>already</w:t>
      </w:r>
      <w:r w:rsidR="001E228D" w:rsidRPr="003523C5">
        <w:rPr>
          <w:lang w:val="en-US"/>
        </w:rPr>
        <w:t xml:space="preserve"> </w:t>
      </w:r>
      <w:r w:rsidRPr="003523C5">
        <w:rPr>
          <w:lang w:val="en-US"/>
        </w:rPr>
        <w:t>account for the most significant volume of EFSI financing and the highest number of operations.</w:t>
      </w:r>
      <w:r w:rsidR="001E228D">
        <w:rPr>
          <w:rStyle w:val="FootnoteReference"/>
          <w:lang w:val="en-US"/>
        </w:rPr>
        <w:footnoteReference w:id="94"/>
      </w:r>
    </w:p>
    <w:p w14:paraId="3295A8DD" w14:textId="77777777" w:rsidR="005E4B82" w:rsidRPr="003523C5" w:rsidRDefault="005E4B82" w:rsidP="00CA7B81">
      <w:pPr>
        <w:contextualSpacing/>
        <w:rPr>
          <w:lang w:val="en-US"/>
        </w:rPr>
      </w:pPr>
    </w:p>
    <w:p w14:paraId="327BF2F0" w14:textId="355BA1B9" w:rsidR="005E4B82" w:rsidRPr="003523C5" w:rsidRDefault="005E4B82" w:rsidP="00CA7B81">
      <w:pPr>
        <w:contextualSpacing/>
        <w:rPr>
          <w:lang w:val="en-US"/>
        </w:rPr>
      </w:pPr>
      <w:r w:rsidRPr="003523C5">
        <w:rPr>
          <w:lang w:val="en-US"/>
        </w:rPr>
        <w:t>Fourth, although the EFSI was created to supplement existing EU transfers aimed at market</w:t>
      </w:r>
      <w:r w:rsidR="00173AA9" w:rsidRPr="003523C5">
        <w:rPr>
          <w:lang w:val="en-US"/>
        </w:rPr>
        <w:t xml:space="preserve"> </w:t>
      </w:r>
      <w:r w:rsidRPr="003523C5">
        <w:rPr>
          <w:lang w:val="en-US"/>
        </w:rPr>
        <w:t>correcti</w:t>
      </w:r>
      <w:r w:rsidR="00173AA9" w:rsidRPr="003523C5">
        <w:rPr>
          <w:lang w:val="en-US"/>
        </w:rPr>
        <w:t>on</w:t>
      </w:r>
      <w:r w:rsidRPr="003523C5">
        <w:rPr>
          <w:lang w:val="en-US"/>
        </w:rPr>
        <w:t xml:space="preserve"> and investment boosting, </w:t>
      </w:r>
      <w:r w:rsidR="00D14793">
        <w:rPr>
          <w:lang w:val="en-US"/>
        </w:rPr>
        <w:t xml:space="preserve">it is difficult to combine different sources of funding </w:t>
      </w:r>
      <w:r w:rsidRPr="003523C5">
        <w:rPr>
          <w:lang w:val="en-US"/>
        </w:rPr>
        <w:t>due to the EFSI’s difference in set</w:t>
      </w:r>
      <w:r w:rsidR="00D14793">
        <w:rPr>
          <w:lang w:val="en-US"/>
        </w:rPr>
        <w:t>-</w:t>
      </w:r>
      <w:r w:rsidRPr="003523C5">
        <w:rPr>
          <w:lang w:val="en-US"/>
        </w:rPr>
        <w:t>up and rules compared to other EU instruments or national developmental fund</w:t>
      </w:r>
      <w:r w:rsidR="00D14793">
        <w:rPr>
          <w:lang w:val="en-US"/>
        </w:rPr>
        <w:t>s.</w:t>
      </w:r>
      <w:r w:rsidR="00D14793">
        <w:rPr>
          <w:rStyle w:val="FootnoteReference"/>
          <w:lang w:val="en-US"/>
        </w:rPr>
        <w:footnoteReference w:id="95"/>
      </w:r>
      <w:r w:rsidR="00D14793">
        <w:rPr>
          <w:lang w:val="en-US"/>
        </w:rPr>
        <w:t xml:space="preserve"> </w:t>
      </w:r>
      <w:r w:rsidRPr="003523C5">
        <w:rPr>
          <w:lang w:val="en-US"/>
        </w:rPr>
        <w:t>Because of the high</w:t>
      </w:r>
      <w:r w:rsidR="00D14793">
        <w:rPr>
          <w:lang w:val="en-US"/>
        </w:rPr>
        <w:t>ly</w:t>
      </w:r>
      <w:r w:rsidRPr="003523C5">
        <w:rPr>
          <w:lang w:val="en-US"/>
        </w:rPr>
        <w:t xml:space="preserve"> bureaucratic nature of EFSI financing, member states’ capacit</w:t>
      </w:r>
      <w:r w:rsidR="00D14793">
        <w:rPr>
          <w:lang w:val="en-US"/>
        </w:rPr>
        <w:t>ies</w:t>
      </w:r>
      <w:r w:rsidRPr="003523C5">
        <w:rPr>
          <w:lang w:val="en-US"/>
        </w:rPr>
        <w:t xml:space="preserve"> to write fundable projects also determines their capability </w:t>
      </w:r>
      <w:r w:rsidR="00D14793">
        <w:rPr>
          <w:lang w:val="en-US"/>
        </w:rPr>
        <w:t>to</w:t>
      </w:r>
      <w:r w:rsidR="00D14793" w:rsidRPr="003523C5">
        <w:rPr>
          <w:lang w:val="en-US"/>
        </w:rPr>
        <w:t xml:space="preserve"> </w:t>
      </w:r>
      <w:r w:rsidRPr="003523C5">
        <w:rPr>
          <w:lang w:val="en-US"/>
        </w:rPr>
        <w:t>gain EFSI approval. This was the case despite the availability of EFSI advisory services aimed at building up project preparation capacity.</w:t>
      </w:r>
    </w:p>
    <w:p w14:paraId="5823B40F" w14:textId="77777777" w:rsidR="005E4B82" w:rsidRPr="003523C5" w:rsidRDefault="005E4B82" w:rsidP="00CA7B81">
      <w:pPr>
        <w:contextualSpacing/>
        <w:rPr>
          <w:lang w:val="en-US"/>
        </w:rPr>
      </w:pPr>
    </w:p>
    <w:p w14:paraId="6CBF793D" w14:textId="15A7DEFD" w:rsidR="005E4B82" w:rsidRPr="003523C5" w:rsidRDefault="005E4B82" w:rsidP="00CA7B81">
      <w:pPr>
        <w:contextualSpacing/>
        <w:rPr>
          <w:lang w:val="en-US"/>
        </w:rPr>
      </w:pPr>
      <w:r w:rsidRPr="003523C5">
        <w:rPr>
          <w:lang w:val="en-US"/>
        </w:rPr>
        <w:t xml:space="preserve">Finally, </w:t>
      </w:r>
      <w:r w:rsidR="00D14793">
        <w:rPr>
          <w:lang w:val="en-US"/>
        </w:rPr>
        <w:t xml:space="preserve">the </w:t>
      </w:r>
      <w:r w:rsidRPr="003523C5">
        <w:rPr>
          <w:lang w:val="en-US"/>
        </w:rPr>
        <w:t>EFSI’s design disregards the different public institutional and private financial market conditions among the three EU regions, which showcase</w:t>
      </w:r>
      <w:r w:rsidR="00D14793">
        <w:rPr>
          <w:lang w:val="en-US"/>
        </w:rPr>
        <w:t>s</w:t>
      </w:r>
      <w:r w:rsidRPr="003523C5">
        <w:rPr>
          <w:lang w:val="en-US"/>
        </w:rPr>
        <w:t xml:space="preserve"> the low degree of securitization and shallow capital markets in the Eastern periphery</w:t>
      </w:r>
      <w:r w:rsidR="00D14793">
        <w:rPr>
          <w:lang w:val="en-US"/>
        </w:rPr>
        <w:t>.</w:t>
      </w:r>
      <w:r w:rsidR="00D14793">
        <w:rPr>
          <w:rStyle w:val="FootnoteReference"/>
          <w:lang w:val="en-US"/>
        </w:rPr>
        <w:footnoteReference w:id="96"/>
      </w:r>
      <w:r w:rsidR="00D14793">
        <w:rPr>
          <w:lang w:val="en-US"/>
        </w:rPr>
        <w:t xml:space="preserve"> </w:t>
      </w:r>
      <w:r w:rsidRPr="003523C5">
        <w:rPr>
          <w:lang w:val="en-US"/>
        </w:rPr>
        <w:t xml:space="preserve">Considering that </w:t>
      </w:r>
      <w:r w:rsidR="00D14793">
        <w:rPr>
          <w:lang w:val="en-US"/>
        </w:rPr>
        <w:t xml:space="preserve">the </w:t>
      </w:r>
      <w:r w:rsidRPr="003523C5">
        <w:rPr>
          <w:lang w:val="en-US"/>
        </w:rPr>
        <w:t>EFSI</w:t>
      </w:r>
      <w:r w:rsidR="00D14793">
        <w:rPr>
          <w:lang w:val="en-US"/>
        </w:rPr>
        <w:t xml:space="preserve"> had </w:t>
      </w:r>
      <w:r w:rsidRPr="003523C5">
        <w:rPr>
          <w:lang w:val="en-US"/>
        </w:rPr>
        <w:t xml:space="preserve">designed securitized co-financing with NDBs </w:t>
      </w:r>
      <w:r w:rsidR="00D14793">
        <w:rPr>
          <w:lang w:val="en-US"/>
        </w:rPr>
        <w:t>as</w:t>
      </w:r>
      <w:r w:rsidR="00D14793" w:rsidRPr="003523C5">
        <w:rPr>
          <w:lang w:val="en-US"/>
        </w:rPr>
        <w:t xml:space="preserve"> </w:t>
      </w:r>
      <w:r w:rsidRPr="003523C5">
        <w:rPr>
          <w:lang w:val="en-US"/>
        </w:rPr>
        <w:t xml:space="preserve">a way </w:t>
      </w:r>
      <w:r w:rsidR="00D14793">
        <w:rPr>
          <w:lang w:val="en-US"/>
        </w:rPr>
        <w:t>toward the</w:t>
      </w:r>
      <w:r w:rsidRPr="003523C5">
        <w:rPr>
          <w:lang w:val="en-US"/>
        </w:rPr>
        <w:t xml:space="preserve"> financialization of development finance</w:t>
      </w:r>
      <w:r w:rsidR="00D14793">
        <w:rPr>
          <w:lang w:val="en-US"/>
        </w:rPr>
        <w:t>,</w:t>
      </w:r>
      <w:r w:rsidRPr="003523C5">
        <w:rPr>
          <w:lang w:val="en-US"/>
        </w:rPr>
        <w:t xml:space="preserve"> we may see </w:t>
      </w:r>
      <w:r w:rsidR="00D14793">
        <w:rPr>
          <w:lang w:val="en-US"/>
        </w:rPr>
        <w:t xml:space="preserve">an </w:t>
      </w:r>
      <w:r w:rsidRPr="003523C5">
        <w:rPr>
          <w:lang w:val="en-US"/>
        </w:rPr>
        <w:t>increas</w:t>
      </w:r>
      <w:r w:rsidR="00D14793">
        <w:rPr>
          <w:lang w:val="en-US"/>
        </w:rPr>
        <w:t>e in</w:t>
      </w:r>
      <w:r w:rsidR="00970954">
        <w:rPr>
          <w:lang w:val="en-US"/>
        </w:rPr>
        <w:t xml:space="preserve"> </w:t>
      </w:r>
      <w:r w:rsidRPr="003523C5">
        <w:rPr>
          <w:lang w:val="en-US"/>
        </w:rPr>
        <w:t>difference</w:t>
      </w:r>
      <w:r w:rsidR="00970954">
        <w:rPr>
          <w:lang w:val="en-US"/>
        </w:rPr>
        <w:t>s</w:t>
      </w:r>
      <w:r w:rsidRPr="003523C5">
        <w:rPr>
          <w:lang w:val="en-US"/>
        </w:rPr>
        <w:t xml:space="preserve"> </w:t>
      </w:r>
      <w:r w:rsidR="00970954">
        <w:rPr>
          <w:lang w:val="en-US"/>
        </w:rPr>
        <w:t>in</w:t>
      </w:r>
      <w:r w:rsidR="00970954" w:rsidRPr="003523C5">
        <w:rPr>
          <w:lang w:val="en-US"/>
        </w:rPr>
        <w:t xml:space="preserve"> </w:t>
      </w:r>
      <w:r w:rsidR="00970954">
        <w:rPr>
          <w:lang w:val="en-US"/>
        </w:rPr>
        <w:t xml:space="preserve">the </w:t>
      </w:r>
      <w:r w:rsidRPr="003523C5">
        <w:rPr>
          <w:lang w:val="en-US"/>
        </w:rPr>
        <w:t xml:space="preserve">speed and scope of </w:t>
      </w:r>
      <w:r w:rsidR="00970954">
        <w:rPr>
          <w:lang w:val="en-US"/>
        </w:rPr>
        <w:t xml:space="preserve">the </w:t>
      </w:r>
      <w:r w:rsidRPr="003523C5">
        <w:rPr>
          <w:lang w:val="en-US"/>
        </w:rPr>
        <w:t>development fund’s financialization between Western and Eastern markets.</w:t>
      </w:r>
      <w:r w:rsidR="00970954">
        <w:rPr>
          <w:rStyle w:val="FootnoteReference"/>
          <w:lang w:val="en-US"/>
        </w:rPr>
        <w:footnoteReference w:id="97"/>
      </w:r>
      <w:r w:rsidRPr="003523C5">
        <w:rPr>
          <w:lang w:val="en-US"/>
        </w:rPr>
        <w:t xml:space="preserve"> A difference which in itself may create differences in access to development finance.</w:t>
      </w:r>
    </w:p>
    <w:p w14:paraId="12A5FF4D" w14:textId="77777777" w:rsidR="00936101" w:rsidRPr="003523C5" w:rsidRDefault="00936101" w:rsidP="00CA7B81">
      <w:pPr>
        <w:autoSpaceDE w:val="0"/>
        <w:autoSpaceDN w:val="0"/>
        <w:adjustRightInd w:val="0"/>
        <w:contextualSpacing/>
        <w:rPr>
          <w:lang w:val="en-US"/>
        </w:rPr>
      </w:pPr>
    </w:p>
    <w:p w14:paraId="45E74204" w14:textId="77777777" w:rsidR="00E536D0" w:rsidRDefault="00E536D0" w:rsidP="00CA7B81">
      <w:pPr>
        <w:autoSpaceDE w:val="0"/>
        <w:autoSpaceDN w:val="0"/>
        <w:adjustRightInd w:val="0"/>
        <w:contextualSpacing/>
        <w:rPr>
          <w:b/>
          <w:lang w:val="en-US"/>
        </w:rPr>
      </w:pPr>
    </w:p>
    <w:p w14:paraId="55CF01DE" w14:textId="74824D95" w:rsidR="00936101" w:rsidRPr="003523C5" w:rsidRDefault="00936101" w:rsidP="00CA7B81">
      <w:pPr>
        <w:autoSpaceDE w:val="0"/>
        <w:autoSpaceDN w:val="0"/>
        <w:adjustRightInd w:val="0"/>
        <w:contextualSpacing/>
        <w:rPr>
          <w:b/>
          <w:bCs/>
          <w:lang w:val="en-US"/>
        </w:rPr>
      </w:pPr>
      <w:r w:rsidRPr="003523C5">
        <w:rPr>
          <w:b/>
          <w:lang w:val="en-US"/>
        </w:rPr>
        <w:t xml:space="preserve">5. </w:t>
      </w:r>
      <w:r w:rsidR="006A7A32" w:rsidRPr="003523C5">
        <w:rPr>
          <w:b/>
          <w:bCs/>
          <w:lang w:val="en-US"/>
        </w:rPr>
        <w:t>Conclusions</w:t>
      </w:r>
    </w:p>
    <w:p w14:paraId="1A61C766" w14:textId="342B4DD3" w:rsidR="0014267E" w:rsidRPr="003523C5" w:rsidRDefault="0014267E" w:rsidP="00CA7B81">
      <w:pPr>
        <w:autoSpaceDE w:val="0"/>
        <w:autoSpaceDN w:val="0"/>
        <w:adjustRightInd w:val="0"/>
        <w:contextualSpacing/>
        <w:rPr>
          <w:b/>
          <w:bCs/>
          <w:lang w:val="en-US"/>
        </w:rPr>
      </w:pPr>
    </w:p>
    <w:p w14:paraId="7531DD78" w14:textId="1A0FF7E2" w:rsidR="0014267E" w:rsidRPr="003523C5" w:rsidRDefault="00907EBD" w:rsidP="00CA7B81">
      <w:pPr>
        <w:contextualSpacing/>
        <w:rPr>
          <w:lang w:val="en-US"/>
        </w:rPr>
      </w:pPr>
      <w:r>
        <w:rPr>
          <w:lang w:val="en-US"/>
        </w:rPr>
        <w:t>R</w:t>
      </w:r>
      <w:r w:rsidRPr="003523C5">
        <w:rPr>
          <w:lang w:val="en-US"/>
        </w:rPr>
        <w:t xml:space="preserve">egulatory protectionism and </w:t>
      </w:r>
      <w:r>
        <w:rPr>
          <w:lang w:val="en-US"/>
        </w:rPr>
        <w:t xml:space="preserve">its opposite, the </w:t>
      </w:r>
      <w:r w:rsidRPr="003523C5">
        <w:rPr>
          <w:lang w:val="en-US"/>
        </w:rPr>
        <w:t>integration of markets</w:t>
      </w:r>
      <w:r w:rsidRPr="003523C5">
        <w:rPr>
          <w:lang w:val="en-US"/>
        </w:rPr>
        <w:t xml:space="preserve"> </w:t>
      </w:r>
      <w:r>
        <w:rPr>
          <w:lang w:val="en-US"/>
        </w:rPr>
        <w:t xml:space="preserve">via uniform rules are both </w:t>
      </w:r>
      <w:r w:rsidRPr="003523C5">
        <w:rPr>
          <w:lang w:val="en-US"/>
        </w:rPr>
        <w:t xml:space="preserve">intimately interlinked </w:t>
      </w:r>
      <w:r>
        <w:rPr>
          <w:lang w:val="en-US"/>
        </w:rPr>
        <w:t>with t</w:t>
      </w:r>
      <w:r w:rsidR="0014267E" w:rsidRPr="003523C5">
        <w:rPr>
          <w:lang w:val="en-US"/>
        </w:rPr>
        <w:t>he idea of accountability and representation.</w:t>
      </w:r>
      <w:r w:rsidR="00970954">
        <w:rPr>
          <w:rStyle w:val="FootnoteReference"/>
          <w:lang w:val="en-US"/>
        </w:rPr>
        <w:footnoteReference w:id="98"/>
      </w:r>
      <w:r w:rsidR="0014267E" w:rsidRPr="003523C5">
        <w:rPr>
          <w:lang w:val="en-US"/>
        </w:rPr>
        <w:t xml:space="preserve"> Both integration and protectionism can create negative externalities </w:t>
      </w:r>
      <w:r w:rsidR="00970954">
        <w:rPr>
          <w:lang w:val="en-US"/>
        </w:rPr>
        <w:t>which need to be handled</w:t>
      </w:r>
      <w:r w:rsidR="0014267E" w:rsidRPr="003523C5">
        <w:rPr>
          <w:lang w:val="en-US"/>
        </w:rPr>
        <w:t xml:space="preserve"> </w:t>
      </w:r>
      <w:r w:rsidR="000D5A2C">
        <w:rPr>
          <w:lang w:val="en-US"/>
        </w:rPr>
        <w:t xml:space="preserve">within the multilevel polity </w:t>
      </w:r>
      <w:r w:rsidR="0014267E" w:rsidRPr="003523C5">
        <w:rPr>
          <w:lang w:val="en-US"/>
        </w:rPr>
        <w:t xml:space="preserve">in the common interests of states participating in the integration process. </w:t>
      </w:r>
      <w:r w:rsidR="00970954">
        <w:rPr>
          <w:lang w:val="en-US"/>
        </w:rPr>
        <w:t>R</w:t>
      </w:r>
      <w:r w:rsidR="0014267E" w:rsidRPr="003523C5">
        <w:rPr>
          <w:lang w:val="en-US"/>
        </w:rPr>
        <w:t>estriction</w:t>
      </w:r>
      <w:r w:rsidR="00970954">
        <w:rPr>
          <w:lang w:val="en-US"/>
        </w:rPr>
        <w:t>s</w:t>
      </w:r>
      <w:r w:rsidR="0014267E" w:rsidRPr="003523C5">
        <w:rPr>
          <w:lang w:val="en-US"/>
        </w:rPr>
        <w:t xml:space="preserve"> </w:t>
      </w:r>
      <w:r w:rsidR="00970954">
        <w:rPr>
          <w:lang w:val="en-US"/>
        </w:rPr>
        <w:t>on</w:t>
      </w:r>
      <w:r w:rsidR="00970954" w:rsidRPr="003523C5">
        <w:rPr>
          <w:lang w:val="en-US"/>
        </w:rPr>
        <w:t xml:space="preserve"> </w:t>
      </w:r>
      <w:r w:rsidR="0014267E" w:rsidRPr="003523C5">
        <w:rPr>
          <w:lang w:val="en-US"/>
        </w:rPr>
        <w:t xml:space="preserve">market freedoms </w:t>
      </w:r>
      <w:r>
        <w:rPr>
          <w:lang w:val="en-US"/>
        </w:rPr>
        <w:t xml:space="preserve">via discriminatory national regulations </w:t>
      </w:r>
      <w:r w:rsidR="0014267E" w:rsidRPr="003523C5">
        <w:rPr>
          <w:lang w:val="en-US"/>
        </w:rPr>
        <w:t xml:space="preserve">might harm people </w:t>
      </w:r>
      <w:r w:rsidR="000D5A2C">
        <w:rPr>
          <w:lang w:val="en-US"/>
        </w:rPr>
        <w:t xml:space="preserve">from other member states </w:t>
      </w:r>
      <w:r w:rsidR="0014267E" w:rsidRPr="003523C5">
        <w:rPr>
          <w:lang w:val="en-US"/>
        </w:rPr>
        <w:t>who have no voice in the legislature of the country</w:t>
      </w:r>
      <w:r>
        <w:rPr>
          <w:lang w:val="en-US"/>
        </w:rPr>
        <w:t xml:space="preserve"> of the beneficiaries</w:t>
      </w:r>
      <w:r w:rsidR="0014267E" w:rsidRPr="003523C5">
        <w:rPr>
          <w:lang w:val="en-US"/>
        </w:rPr>
        <w:t xml:space="preserve">. </w:t>
      </w:r>
      <w:r w:rsidR="00970954">
        <w:rPr>
          <w:lang w:val="en-US"/>
        </w:rPr>
        <w:t>Conversely, t</w:t>
      </w:r>
      <w:r w:rsidR="0014267E" w:rsidRPr="003523C5">
        <w:rPr>
          <w:lang w:val="en-US"/>
        </w:rPr>
        <w:t xml:space="preserve">he extension of markets might negatively </w:t>
      </w:r>
      <w:r w:rsidR="00816D2D" w:rsidRPr="003523C5">
        <w:rPr>
          <w:lang w:val="en-US"/>
        </w:rPr>
        <w:t>a</w:t>
      </w:r>
      <w:r w:rsidR="0014267E" w:rsidRPr="003523C5">
        <w:rPr>
          <w:lang w:val="en-US"/>
        </w:rPr>
        <w:t xml:space="preserve">ffect people in member </w:t>
      </w:r>
      <w:r w:rsidR="0014267E" w:rsidRPr="003523C5">
        <w:rPr>
          <w:lang w:val="en-US"/>
        </w:rPr>
        <w:lastRenderedPageBreak/>
        <w:t>states who</w:t>
      </w:r>
      <w:r>
        <w:rPr>
          <w:lang w:val="en-US"/>
        </w:rPr>
        <w:t xml:space="preserve">se interests </w:t>
      </w:r>
      <w:r w:rsidR="0014267E" w:rsidRPr="003523C5">
        <w:rPr>
          <w:lang w:val="en-US"/>
        </w:rPr>
        <w:t xml:space="preserve">cannot </w:t>
      </w:r>
      <w:r>
        <w:rPr>
          <w:lang w:val="en-US"/>
        </w:rPr>
        <w:t>gain adequate representation</w:t>
      </w:r>
      <w:r w:rsidR="0014267E" w:rsidRPr="003523C5">
        <w:rPr>
          <w:lang w:val="en-US"/>
        </w:rPr>
        <w:t xml:space="preserve"> </w:t>
      </w:r>
      <w:r w:rsidR="00970954">
        <w:rPr>
          <w:lang w:val="en-US"/>
        </w:rPr>
        <w:t xml:space="preserve">through </w:t>
      </w:r>
      <w:r w:rsidR="0014267E" w:rsidRPr="003523C5">
        <w:rPr>
          <w:lang w:val="en-US"/>
        </w:rPr>
        <w:t xml:space="preserve">intergovernmental </w:t>
      </w:r>
      <w:r>
        <w:rPr>
          <w:lang w:val="en-US"/>
        </w:rPr>
        <w:t>decision-making that under-represents weaker member states and</w:t>
      </w:r>
      <w:r w:rsidR="000D5A2C">
        <w:rPr>
          <w:lang w:val="en-US"/>
        </w:rPr>
        <w:t>/or</w:t>
      </w:r>
      <w:r>
        <w:rPr>
          <w:lang w:val="en-US"/>
        </w:rPr>
        <w:t xml:space="preserve"> </w:t>
      </w:r>
      <w:r w:rsidR="0014267E" w:rsidRPr="003523C5">
        <w:rPr>
          <w:lang w:val="en-US"/>
        </w:rPr>
        <w:t>gives blocking powers to the beneficiaries</w:t>
      </w:r>
      <w:r w:rsidR="002A282B" w:rsidRPr="003523C5">
        <w:rPr>
          <w:lang w:val="en-US"/>
        </w:rPr>
        <w:t xml:space="preserve"> of the extended markets.</w:t>
      </w:r>
    </w:p>
    <w:p w14:paraId="1298B5BB" w14:textId="77777777" w:rsidR="00CA7B81" w:rsidRPr="003523C5" w:rsidRDefault="00CA7B81" w:rsidP="00CA7B81">
      <w:pPr>
        <w:contextualSpacing/>
        <w:rPr>
          <w:lang w:val="en-US"/>
        </w:rPr>
      </w:pPr>
    </w:p>
    <w:p w14:paraId="325367BB" w14:textId="63831872" w:rsidR="0014267E" w:rsidRPr="003523C5" w:rsidRDefault="00C57480" w:rsidP="00CA7B81">
      <w:pPr>
        <w:contextualSpacing/>
        <w:rPr>
          <w:lang w:val="en-US"/>
        </w:rPr>
      </w:pPr>
      <w:r w:rsidRPr="003523C5">
        <w:rPr>
          <w:lang w:val="en-US"/>
        </w:rPr>
        <w:t>Multilevel</w:t>
      </w:r>
      <w:r w:rsidR="0014267E" w:rsidRPr="003523C5">
        <w:rPr>
          <w:lang w:val="en-US"/>
        </w:rPr>
        <w:t xml:space="preserve"> polities can manage such problems in different ways</w:t>
      </w:r>
      <w:r w:rsidR="00970954">
        <w:rPr>
          <w:lang w:val="en-US"/>
        </w:rPr>
        <w:t>,</w:t>
      </w:r>
      <w:r w:rsidR="0014267E" w:rsidRPr="003523C5">
        <w:rPr>
          <w:lang w:val="en-US"/>
        </w:rPr>
        <w:t xml:space="preserve"> and the literature on comparative federalism provides a rich terrain </w:t>
      </w:r>
      <w:r w:rsidR="00970954">
        <w:rPr>
          <w:lang w:val="en-US"/>
        </w:rPr>
        <w:t xml:space="preserve">on which </w:t>
      </w:r>
      <w:r w:rsidR="0014267E" w:rsidRPr="003523C5">
        <w:rPr>
          <w:lang w:val="en-US"/>
        </w:rPr>
        <w:t xml:space="preserve">to compare diverse ways </w:t>
      </w:r>
      <w:r w:rsidR="00970954">
        <w:rPr>
          <w:lang w:val="en-US"/>
        </w:rPr>
        <w:t>of</w:t>
      </w:r>
      <w:r w:rsidR="00970954" w:rsidRPr="003523C5">
        <w:rPr>
          <w:lang w:val="en-US"/>
        </w:rPr>
        <w:t xml:space="preserve"> </w:t>
      </w:r>
      <w:r w:rsidR="0014267E" w:rsidRPr="003523C5">
        <w:rPr>
          <w:color w:val="212121"/>
          <w:lang w:val="en-US" w:eastAsia="hu-HU"/>
        </w:rPr>
        <w:t>organizing integration among heterogeneous economies and societies</w:t>
      </w:r>
      <w:r w:rsidR="00970954">
        <w:rPr>
          <w:color w:val="212121"/>
          <w:lang w:val="en-US" w:eastAsia="hu-HU"/>
        </w:rPr>
        <w:t>.</w:t>
      </w:r>
      <w:r w:rsidR="0014267E" w:rsidRPr="003523C5">
        <w:rPr>
          <w:color w:val="212121"/>
          <w:lang w:val="en-US" w:eastAsia="hu-HU"/>
        </w:rPr>
        <w:t xml:space="preserve"> </w:t>
      </w:r>
      <w:r w:rsidR="0014267E" w:rsidRPr="003523C5">
        <w:rPr>
          <w:lang w:val="en-US"/>
        </w:rPr>
        <w:t xml:space="preserve">At one extreme, </w:t>
      </w:r>
      <w:r w:rsidR="000D5A2C">
        <w:rPr>
          <w:lang w:val="en-US"/>
        </w:rPr>
        <w:t xml:space="preserve">a </w:t>
      </w:r>
      <w:r w:rsidRPr="003523C5">
        <w:rPr>
          <w:lang w:val="en-US"/>
        </w:rPr>
        <w:t>multilevel</w:t>
      </w:r>
      <w:r w:rsidR="0014267E" w:rsidRPr="003523C5">
        <w:rPr>
          <w:lang w:val="en-US"/>
        </w:rPr>
        <w:t xml:space="preserve"> polit</w:t>
      </w:r>
      <w:r w:rsidR="000D5A2C">
        <w:rPr>
          <w:lang w:val="en-US"/>
        </w:rPr>
        <w:t>y</w:t>
      </w:r>
      <w:r w:rsidR="0014267E" w:rsidRPr="003523C5">
        <w:rPr>
          <w:lang w:val="en-US"/>
        </w:rPr>
        <w:t xml:space="preserve"> can embed market</w:t>
      </w:r>
      <w:r w:rsidR="00970954">
        <w:rPr>
          <w:lang w:val="en-US"/>
        </w:rPr>
        <w:t>-</w:t>
      </w:r>
      <w:r w:rsidR="0014267E" w:rsidRPr="003523C5">
        <w:rPr>
          <w:lang w:val="en-US"/>
        </w:rPr>
        <w:t xml:space="preserve">making in a system of </w:t>
      </w:r>
      <w:r w:rsidR="00970954">
        <w:rPr>
          <w:lang w:val="en-US"/>
        </w:rPr>
        <w:t xml:space="preserve">political </w:t>
      </w:r>
      <w:r w:rsidR="0014267E" w:rsidRPr="003523C5">
        <w:rPr>
          <w:lang w:val="en-US"/>
        </w:rPr>
        <w:t xml:space="preserve">representation and accountability that combines </w:t>
      </w:r>
      <w:r w:rsidR="00970954">
        <w:rPr>
          <w:lang w:val="en-US"/>
        </w:rPr>
        <w:t xml:space="preserve">the political </w:t>
      </w:r>
      <w:r w:rsidR="0014267E" w:rsidRPr="003523C5">
        <w:rPr>
          <w:lang w:val="en-US"/>
        </w:rPr>
        <w:t>representation of member states’</w:t>
      </w:r>
      <w:r w:rsidR="00970954">
        <w:rPr>
          <w:lang w:val="en-US"/>
        </w:rPr>
        <w:t xml:space="preserve"> </w:t>
      </w:r>
      <w:r w:rsidR="0014267E" w:rsidRPr="003523C5">
        <w:rPr>
          <w:lang w:val="en-US"/>
        </w:rPr>
        <w:t xml:space="preserve">diverse interests with </w:t>
      </w:r>
      <w:r w:rsidR="00970954">
        <w:rPr>
          <w:lang w:val="en-US"/>
        </w:rPr>
        <w:t xml:space="preserve">political </w:t>
      </w:r>
      <w:r w:rsidR="0014267E" w:rsidRPr="003523C5">
        <w:rPr>
          <w:lang w:val="en-US"/>
        </w:rPr>
        <w:t xml:space="preserve">representations of the common interests of the peoples of the member states. </w:t>
      </w:r>
      <w:r w:rsidR="000D5A2C">
        <w:rPr>
          <w:lang w:val="en-US"/>
        </w:rPr>
        <w:t>Fortified</w:t>
      </w:r>
      <w:r w:rsidR="0014267E" w:rsidRPr="003523C5">
        <w:rPr>
          <w:lang w:val="en-US"/>
        </w:rPr>
        <w:t xml:space="preserve"> with </w:t>
      </w:r>
      <w:r w:rsidR="000D5A2C">
        <w:rPr>
          <w:lang w:val="en-US"/>
        </w:rPr>
        <w:t xml:space="preserve">a </w:t>
      </w:r>
      <w:r w:rsidR="0014267E" w:rsidRPr="003523C5">
        <w:rPr>
          <w:lang w:val="en-US"/>
        </w:rPr>
        <w:t xml:space="preserve">system of checks and balances, such a </w:t>
      </w:r>
      <w:r w:rsidR="002168B9">
        <w:rPr>
          <w:lang w:val="en-US"/>
        </w:rPr>
        <w:t xml:space="preserve">federal </w:t>
      </w:r>
      <w:r w:rsidR="0014267E" w:rsidRPr="003523C5">
        <w:rPr>
          <w:lang w:val="en-US"/>
        </w:rPr>
        <w:t>polit</w:t>
      </w:r>
      <w:r w:rsidR="0065118B">
        <w:rPr>
          <w:lang w:val="en-US"/>
        </w:rPr>
        <w:t>ical system</w:t>
      </w:r>
      <w:r w:rsidR="0014267E" w:rsidRPr="003523C5">
        <w:rPr>
          <w:lang w:val="en-US"/>
        </w:rPr>
        <w:t xml:space="preserve"> might allow for larger regulatory autonomy (</w:t>
      </w:r>
      <w:r w:rsidR="00970954">
        <w:rPr>
          <w:lang w:val="en-US"/>
        </w:rPr>
        <w:t>i.e.,</w:t>
      </w:r>
      <w:r w:rsidR="0014267E" w:rsidRPr="003523C5">
        <w:rPr>
          <w:lang w:val="en-US"/>
        </w:rPr>
        <w:t xml:space="preserve"> protectionism) </w:t>
      </w:r>
      <w:r w:rsidR="00AD0EB2">
        <w:rPr>
          <w:lang w:val="en-US"/>
        </w:rPr>
        <w:t>of</w:t>
      </w:r>
      <w:r w:rsidR="00AD0EB2" w:rsidRPr="003523C5">
        <w:rPr>
          <w:lang w:val="en-US"/>
        </w:rPr>
        <w:t xml:space="preserve"> </w:t>
      </w:r>
      <w:r w:rsidR="0014267E" w:rsidRPr="003523C5">
        <w:rPr>
          <w:lang w:val="en-US"/>
        </w:rPr>
        <w:t>the member states and combine it with policies that provide compensation for the negative externalities of integration. The US, Canada</w:t>
      </w:r>
      <w:r w:rsidR="00AD0EB2">
        <w:rPr>
          <w:lang w:val="en-US"/>
        </w:rPr>
        <w:t>,</w:t>
      </w:r>
      <w:r w:rsidR="0014267E" w:rsidRPr="003523C5">
        <w:rPr>
          <w:lang w:val="en-US"/>
        </w:rPr>
        <w:t xml:space="preserve"> or Germany represent different variants </w:t>
      </w:r>
      <w:r w:rsidR="00AD0EB2">
        <w:rPr>
          <w:lang w:val="en-US"/>
        </w:rPr>
        <w:t>on</w:t>
      </w:r>
      <w:r w:rsidR="00AD0EB2" w:rsidRPr="003523C5">
        <w:rPr>
          <w:lang w:val="en-US"/>
        </w:rPr>
        <w:t xml:space="preserve"> </w:t>
      </w:r>
      <w:r w:rsidR="0014267E" w:rsidRPr="003523C5">
        <w:rPr>
          <w:lang w:val="en-US"/>
        </w:rPr>
        <w:t>such a system</w:t>
      </w:r>
      <w:r w:rsidR="00AD0EB2">
        <w:rPr>
          <w:lang w:val="en-US"/>
        </w:rPr>
        <w:t>.</w:t>
      </w:r>
      <w:r w:rsidR="00AD0EB2">
        <w:rPr>
          <w:rStyle w:val="FootnoteReference"/>
          <w:lang w:val="en-US"/>
        </w:rPr>
        <w:footnoteReference w:id="99"/>
      </w:r>
      <w:r w:rsidR="000D5A2C" w:rsidRPr="000D5A2C">
        <w:rPr>
          <w:lang w:val="en-US"/>
        </w:rPr>
        <w:t xml:space="preserve"> </w:t>
      </w:r>
    </w:p>
    <w:p w14:paraId="786EAC5B" w14:textId="77777777" w:rsidR="00CA7B81" w:rsidRPr="003523C5" w:rsidRDefault="00CA7B81" w:rsidP="00CA7B81">
      <w:pPr>
        <w:contextualSpacing/>
        <w:rPr>
          <w:lang w:val="en-US"/>
        </w:rPr>
      </w:pPr>
    </w:p>
    <w:p w14:paraId="150A325E" w14:textId="03BC2C7B" w:rsidR="0014267E" w:rsidRPr="003523C5" w:rsidRDefault="0014267E" w:rsidP="00CA7B81">
      <w:pPr>
        <w:contextualSpacing/>
        <w:rPr>
          <w:lang w:val="en-US"/>
        </w:rPr>
      </w:pPr>
      <w:r w:rsidRPr="003523C5">
        <w:rPr>
          <w:lang w:val="en-US"/>
        </w:rPr>
        <w:t xml:space="preserve">The EU represents another extreme: </w:t>
      </w:r>
      <w:r w:rsidR="002168B9">
        <w:rPr>
          <w:lang w:val="en-US"/>
        </w:rPr>
        <w:t xml:space="preserve">it does not have built-in mechanisms that could force representatives at different levels to internalize the distributive consequences of market integration. The confederal system of representation </w:t>
      </w:r>
      <w:r w:rsidRPr="003523C5">
        <w:rPr>
          <w:lang w:val="en-US"/>
        </w:rPr>
        <w:t xml:space="preserve">drastically limits the </w:t>
      </w:r>
      <w:r w:rsidR="002168B9">
        <w:rPr>
          <w:lang w:val="en-US"/>
        </w:rPr>
        <w:t xml:space="preserve">representation of the common interests of the citizens of the member states, </w:t>
      </w:r>
      <w:r w:rsidRPr="003523C5">
        <w:rPr>
          <w:lang w:val="en-US"/>
        </w:rPr>
        <w:t xml:space="preserve">it has a system of </w:t>
      </w:r>
      <w:r w:rsidR="00AD0EB2">
        <w:rPr>
          <w:lang w:val="en-US"/>
        </w:rPr>
        <w:t xml:space="preserve">political </w:t>
      </w:r>
      <w:r w:rsidRPr="003523C5">
        <w:rPr>
          <w:lang w:val="en-US"/>
        </w:rPr>
        <w:t>representation that hinders making integration a positive sum game. As systemic frictions cannot be managed in the framework of the intergovernmental decision-making system, parties often shift their conflicts to the European Court of Justice (ECJ)</w:t>
      </w:r>
      <w:r w:rsidR="00AD0EB2">
        <w:rPr>
          <w:lang w:val="en-US"/>
        </w:rPr>
        <w:t>, which,</w:t>
      </w:r>
      <w:r w:rsidRPr="003523C5">
        <w:rPr>
          <w:lang w:val="en-US"/>
        </w:rPr>
        <w:t xml:space="preserve"> as a rule, takes the further extension of the market as </w:t>
      </w:r>
      <w:r w:rsidR="00AD0EB2">
        <w:rPr>
          <w:lang w:val="en-US"/>
        </w:rPr>
        <w:t>the</w:t>
      </w:r>
      <w:r w:rsidRPr="003523C5">
        <w:rPr>
          <w:lang w:val="en-US"/>
        </w:rPr>
        <w:t xml:space="preserve"> default interpretation of the </w:t>
      </w:r>
      <w:r w:rsidR="00AD0EB2">
        <w:rPr>
          <w:lang w:val="en-US"/>
        </w:rPr>
        <w:t xml:space="preserve">EU </w:t>
      </w:r>
      <w:r w:rsidRPr="003523C5">
        <w:rPr>
          <w:lang w:val="en-US"/>
        </w:rPr>
        <w:t>Treaties</w:t>
      </w:r>
      <w:r w:rsidR="00EE32A2" w:rsidRPr="003523C5">
        <w:rPr>
          <w:lang w:val="en-US"/>
        </w:rPr>
        <w:t xml:space="preserve"> and yields a configuration of freedoms and prohibitions that </w:t>
      </w:r>
      <w:r w:rsidR="002168B9" w:rsidRPr="003523C5">
        <w:rPr>
          <w:lang w:val="en-US"/>
        </w:rPr>
        <w:t>favors</w:t>
      </w:r>
      <w:r w:rsidR="00EE32A2" w:rsidRPr="003523C5">
        <w:rPr>
          <w:lang w:val="en-US"/>
        </w:rPr>
        <w:t xml:space="preserve"> the </w:t>
      </w:r>
      <w:r w:rsidR="00AD0EB2">
        <w:rPr>
          <w:lang w:val="en-US"/>
        </w:rPr>
        <w:t>core</w:t>
      </w:r>
      <w:r w:rsidR="00AD0EB2" w:rsidRPr="003523C5">
        <w:rPr>
          <w:lang w:val="en-US"/>
        </w:rPr>
        <w:t xml:space="preserve"> </w:t>
      </w:r>
      <w:r w:rsidR="00EE32A2" w:rsidRPr="003523C5">
        <w:rPr>
          <w:lang w:val="en-US"/>
        </w:rPr>
        <w:t>and disadvantages the periphery</w:t>
      </w:r>
      <w:r w:rsidR="00AD0EB2">
        <w:rPr>
          <w:lang w:val="en-US"/>
        </w:rPr>
        <w:t>.</w:t>
      </w:r>
      <w:r w:rsidR="00AD0EB2">
        <w:rPr>
          <w:rStyle w:val="FootnoteReference"/>
          <w:lang w:val="en-US"/>
        </w:rPr>
        <w:footnoteReference w:id="100"/>
      </w:r>
      <w:r w:rsidR="00EE32A2" w:rsidRPr="003523C5">
        <w:rPr>
          <w:lang w:val="en-US"/>
        </w:rPr>
        <w:t xml:space="preserve"> </w:t>
      </w:r>
      <w:r w:rsidRPr="003523C5">
        <w:rPr>
          <w:lang w:val="en-US"/>
        </w:rPr>
        <w:t>It constitutionalizes economic freedoms, drastically narrowing the room for market</w:t>
      </w:r>
      <w:r w:rsidR="00173AA9" w:rsidRPr="003523C5">
        <w:rPr>
          <w:lang w:val="en-US"/>
        </w:rPr>
        <w:t xml:space="preserve"> </w:t>
      </w:r>
      <w:r w:rsidRPr="003523C5">
        <w:rPr>
          <w:lang w:val="en-US"/>
        </w:rPr>
        <w:t>correcti</w:t>
      </w:r>
      <w:r w:rsidR="00173AA9" w:rsidRPr="003523C5">
        <w:rPr>
          <w:lang w:val="en-US"/>
        </w:rPr>
        <w:t>on</w:t>
      </w:r>
      <w:r w:rsidRPr="003523C5">
        <w:rPr>
          <w:lang w:val="en-US"/>
        </w:rPr>
        <w:t xml:space="preserve"> policies both at the level of </w:t>
      </w:r>
      <w:r w:rsidR="00AD0EB2">
        <w:rPr>
          <w:lang w:val="en-US"/>
        </w:rPr>
        <w:t xml:space="preserve">the </w:t>
      </w:r>
      <w:r w:rsidRPr="003523C5">
        <w:rPr>
          <w:lang w:val="en-US"/>
        </w:rPr>
        <w:t>EU and the level of the member states</w:t>
      </w:r>
      <w:r w:rsidR="00AD0EB2">
        <w:rPr>
          <w:lang w:val="en-US"/>
        </w:rPr>
        <w:t>.</w:t>
      </w:r>
      <w:r w:rsidR="00AD0EB2">
        <w:rPr>
          <w:rStyle w:val="FootnoteReference"/>
          <w:lang w:val="en-US"/>
        </w:rPr>
        <w:footnoteReference w:id="101"/>
      </w:r>
      <w:r w:rsidRPr="003523C5">
        <w:rPr>
          <w:lang w:val="en-US"/>
        </w:rPr>
        <w:t xml:space="preserve"> Democratic choices are thus locked into an over</w:t>
      </w:r>
      <w:r w:rsidR="00AD0EB2">
        <w:rPr>
          <w:lang w:val="en-US"/>
        </w:rPr>
        <w:t xml:space="preserve">ly </w:t>
      </w:r>
      <w:r w:rsidRPr="003523C5">
        <w:rPr>
          <w:lang w:val="en-US"/>
        </w:rPr>
        <w:t>precise market constitution, leaving whoever is in power limited room to move against the entrenched basics</w:t>
      </w:r>
      <w:r w:rsidR="00AD0EB2">
        <w:rPr>
          <w:lang w:val="en-US"/>
        </w:rPr>
        <w:t>.</w:t>
      </w:r>
      <w:r w:rsidR="00AD0EB2">
        <w:rPr>
          <w:rStyle w:val="FootnoteReference"/>
          <w:lang w:val="en-US"/>
        </w:rPr>
        <w:footnoteReference w:id="102"/>
      </w:r>
    </w:p>
    <w:p w14:paraId="103AB6A6" w14:textId="7F49B336" w:rsidR="006A7A32" w:rsidRPr="003523C5" w:rsidRDefault="006A7A32" w:rsidP="00CA7B81">
      <w:pPr>
        <w:contextualSpacing/>
        <w:rPr>
          <w:bCs/>
          <w:lang w:val="en-US"/>
        </w:rPr>
      </w:pPr>
    </w:p>
    <w:p w14:paraId="0AF59CD0" w14:textId="551B8156" w:rsidR="00A0423A" w:rsidRDefault="006A7A32" w:rsidP="00CA7B81">
      <w:pPr>
        <w:contextualSpacing/>
        <w:rPr>
          <w:lang w:val="en-US"/>
        </w:rPr>
      </w:pPr>
      <w:r w:rsidRPr="003523C5">
        <w:rPr>
          <w:bCs/>
          <w:lang w:val="en-US"/>
        </w:rPr>
        <w:t xml:space="preserve">We </w:t>
      </w:r>
      <w:r w:rsidR="00AD0EB2">
        <w:rPr>
          <w:bCs/>
          <w:lang w:val="en-US"/>
        </w:rPr>
        <w:t xml:space="preserve">have </w:t>
      </w:r>
      <w:r w:rsidRPr="003523C5">
        <w:rPr>
          <w:bCs/>
          <w:lang w:val="en-US"/>
        </w:rPr>
        <w:t xml:space="preserve">argued that the </w:t>
      </w:r>
      <w:r w:rsidR="004E295F" w:rsidRPr="003523C5">
        <w:rPr>
          <w:bCs/>
          <w:lang w:val="en-US"/>
        </w:rPr>
        <w:t xml:space="preserve">confederal system </w:t>
      </w:r>
      <w:r w:rsidRPr="003523C5">
        <w:rPr>
          <w:bCs/>
          <w:lang w:val="en-US"/>
        </w:rPr>
        <w:t xml:space="preserve">of </w:t>
      </w:r>
      <w:r w:rsidR="00AD0EB2">
        <w:rPr>
          <w:bCs/>
          <w:lang w:val="en-US"/>
        </w:rPr>
        <w:t xml:space="preserve">political </w:t>
      </w:r>
      <w:r w:rsidRPr="003523C5">
        <w:rPr>
          <w:bCs/>
          <w:lang w:val="en-US"/>
        </w:rPr>
        <w:t xml:space="preserve">representation combined with </w:t>
      </w:r>
      <w:r w:rsidR="00244D04" w:rsidRPr="003523C5">
        <w:rPr>
          <w:bCs/>
          <w:lang w:val="en-US"/>
        </w:rPr>
        <w:t xml:space="preserve">the </w:t>
      </w:r>
      <w:r w:rsidR="004E295F" w:rsidRPr="003523C5">
        <w:rPr>
          <w:bCs/>
          <w:lang w:val="en-US"/>
        </w:rPr>
        <w:t>EU’s</w:t>
      </w:r>
      <w:r w:rsidRPr="003523C5">
        <w:rPr>
          <w:bCs/>
          <w:lang w:val="en-US"/>
        </w:rPr>
        <w:t xml:space="preserve"> primarily intergovernmental decision-making structure constitute a permanent institutional bias that feeds short-term political interests</w:t>
      </w:r>
      <w:r w:rsidR="00AD0EB2">
        <w:rPr>
          <w:bCs/>
          <w:lang w:val="en-US"/>
        </w:rPr>
        <w:t>, which are in turn</w:t>
      </w:r>
      <w:r w:rsidRPr="003523C5">
        <w:rPr>
          <w:bCs/>
          <w:lang w:val="en-US"/>
        </w:rPr>
        <w:t xml:space="preserve"> tied to domestic </w:t>
      </w:r>
      <w:r w:rsidR="005236E5" w:rsidRPr="003523C5">
        <w:rPr>
          <w:bCs/>
          <w:lang w:val="en-US"/>
        </w:rPr>
        <w:t xml:space="preserve">political factors in the member </w:t>
      </w:r>
      <w:r w:rsidR="002168B9" w:rsidRPr="003523C5">
        <w:rPr>
          <w:bCs/>
          <w:lang w:val="en-US"/>
        </w:rPr>
        <w:t>states</w:t>
      </w:r>
      <w:r w:rsidR="002168B9">
        <w:rPr>
          <w:bCs/>
          <w:lang w:val="en-US"/>
        </w:rPr>
        <w:t xml:space="preserve"> and</w:t>
      </w:r>
      <w:r w:rsidRPr="003523C5">
        <w:rPr>
          <w:bCs/>
          <w:lang w:val="en-US"/>
        </w:rPr>
        <w:t xml:space="preserve"> </w:t>
      </w:r>
      <w:r w:rsidR="00827753" w:rsidRPr="003523C5">
        <w:rPr>
          <w:bCs/>
          <w:lang w:val="en-US"/>
        </w:rPr>
        <w:t>hinders</w:t>
      </w:r>
      <w:r w:rsidRPr="003523C5">
        <w:rPr>
          <w:bCs/>
          <w:lang w:val="en-US"/>
        </w:rPr>
        <w:t xml:space="preserve"> credible commitment to common European interests. </w:t>
      </w:r>
      <w:r w:rsidR="002D5391" w:rsidRPr="003523C5">
        <w:rPr>
          <w:bCs/>
          <w:lang w:val="en-US"/>
        </w:rPr>
        <w:t>The</w:t>
      </w:r>
      <w:r w:rsidR="00514214" w:rsidRPr="003523C5">
        <w:rPr>
          <w:bCs/>
          <w:lang w:val="en-US"/>
        </w:rPr>
        <w:t xml:space="preserve"> market</w:t>
      </w:r>
      <w:r w:rsidR="00173AA9" w:rsidRPr="003523C5">
        <w:rPr>
          <w:bCs/>
          <w:lang w:val="en-US"/>
        </w:rPr>
        <w:t xml:space="preserve"> </w:t>
      </w:r>
      <w:r w:rsidR="00514214" w:rsidRPr="003523C5">
        <w:rPr>
          <w:bCs/>
          <w:lang w:val="en-US"/>
        </w:rPr>
        <w:t>correcti</w:t>
      </w:r>
      <w:r w:rsidR="00173AA9" w:rsidRPr="003523C5">
        <w:rPr>
          <w:bCs/>
          <w:lang w:val="en-US"/>
        </w:rPr>
        <w:t xml:space="preserve">on </w:t>
      </w:r>
      <w:r w:rsidR="00514214" w:rsidRPr="003523C5">
        <w:rPr>
          <w:bCs/>
          <w:lang w:val="en-US"/>
        </w:rPr>
        <w:t xml:space="preserve">policies of the EU </w:t>
      </w:r>
      <w:r w:rsidR="0014267E" w:rsidRPr="003523C5">
        <w:rPr>
          <w:bCs/>
          <w:lang w:val="en-US"/>
        </w:rPr>
        <w:t>that we have explore</w:t>
      </w:r>
      <w:r w:rsidR="00EE32A2" w:rsidRPr="003523C5">
        <w:rPr>
          <w:bCs/>
          <w:lang w:val="en-US"/>
        </w:rPr>
        <w:t>d</w:t>
      </w:r>
      <w:r w:rsidR="0014267E" w:rsidRPr="003523C5">
        <w:rPr>
          <w:bCs/>
          <w:lang w:val="en-US"/>
        </w:rPr>
        <w:t xml:space="preserve"> in this paper </w:t>
      </w:r>
      <w:r w:rsidR="00527F5F" w:rsidRPr="003523C5">
        <w:rPr>
          <w:bCs/>
          <w:lang w:val="en-US"/>
        </w:rPr>
        <w:t xml:space="preserve">were all in one way or </w:t>
      </w:r>
      <w:r w:rsidR="002168B9" w:rsidRPr="003523C5">
        <w:rPr>
          <w:bCs/>
          <w:lang w:val="en-US"/>
        </w:rPr>
        <w:t>other</w:t>
      </w:r>
      <w:r w:rsidR="00527F5F" w:rsidRPr="003523C5">
        <w:rPr>
          <w:bCs/>
          <w:lang w:val="en-US"/>
        </w:rPr>
        <w:t xml:space="preserve"> substitutes for </w:t>
      </w:r>
      <w:r w:rsidR="002168B9">
        <w:rPr>
          <w:bCs/>
          <w:lang w:val="en-US"/>
        </w:rPr>
        <w:t xml:space="preserve">the </w:t>
      </w:r>
      <w:r w:rsidR="00DE2AEF" w:rsidRPr="003523C5">
        <w:rPr>
          <w:bCs/>
          <w:lang w:val="en-US"/>
        </w:rPr>
        <w:t xml:space="preserve">politically unattainable </w:t>
      </w:r>
      <w:r w:rsidR="00527F5F" w:rsidRPr="003523C5">
        <w:rPr>
          <w:bCs/>
          <w:lang w:val="en-US"/>
        </w:rPr>
        <w:t xml:space="preserve">common fiscal and economic policies, </w:t>
      </w:r>
      <w:r w:rsidR="00AD0EB2">
        <w:rPr>
          <w:bCs/>
          <w:lang w:val="en-US"/>
        </w:rPr>
        <w:t xml:space="preserve">that is, </w:t>
      </w:r>
      <w:r w:rsidR="00527F5F" w:rsidRPr="003523C5">
        <w:rPr>
          <w:bCs/>
          <w:lang w:val="en-US"/>
        </w:rPr>
        <w:t>“cost-effective”</w:t>
      </w:r>
      <w:r w:rsidR="00AA6C97" w:rsidRPr="003523C5">
        <w:rPr>
          <w:bCs/>
          <w:lang w:val="en-US"/>
        </w:rPr>
        <w:t xml:space="preserve"> </w:t>
      </w:r>
      <w:r w:rsidR="00527F5F" w:rsidRPr="003523C5">
        <w:rPr>
          <w:bCs/>
          <w:lang w:val="en-US"/>
        </w:rPr>
        <w:t>settlements giving some increase in political capital for incumbents in all member states</w:t>
      </w:r>
      <w:r w:rsidR="00A0423A" w:rsidRPr="003523C5">
        <w:rPr>
          <w:bCs/>
          <w:lang w:val="en-US"/>
        </w:rPr>
        <w:t xml:space="preserve">. </w:t>
      </w:r>
      <w:r w:rsidR="00527F5F" w:rsidRPr="003523C5">
        <w:rPr>
          <w:bCs/>
          <w:lang w:val="en-US"/>
        </w:rPr>
        <w:t>Neither of the</w:t>
      </w:r>
      <w:r w:rsidR="0014267E" w:rsidRPr="003523C5">
        <w:rPr>
          <w:bCs/>
          <w:lang w:val="en-US"/>
        </w:rPr>
        <w:t>se policies</w:t>
      </w:r>
      <w:r w:rsidR="00527F5F" w:rsidRPr="003523C5">
        <w:rPr>
          <w:bCs/>
          <w:lang w:val="en-US"/>
        </w:rPr>
        <w:t xml:space="preserve"> ha</w:t>
      </w:r>
      <w:r w:rsidR="00AD0EB2">
        <w:rPr>
          <w:bCs/>
          <w:lang w:val="en-US"/>
        </w:rPr>
        <w:t>ve</w:t>
      </w:r>
      <w:r w:rsidR="00527F5F" w:rsidRPr="003523C5">
        <w:rPr>
          <w:bCs/>
          <w:lang w:val="en-US"/>
        </w:rPr>
        <w:t xml:space="preserve"> considerably alleviated the problems</w:t>
      </w:r>
      <w:r w:rsidR="00F73A60" w:rsidRPr="003523C5">
        <w:rPr>
          <w:bCs/>
          <w:lang w:val="en-US"/>
        </w:rPr>
        <w:t xml:space="preserve"> that they were supposed to address</w:t>
      </w:r>
      <w:r w:rsidR="0014267E" w:rsidRPr="003523C5">
        <w:rPr>
          <w:bCs/>
          <w:lang w:val="en-US"/>
        </w:rPr>
        <w:t>.</w:t>
      </w:r>
      <w:r w:rsidR="00166FC3" w:rsidRPr="003523C5">
        <w:rPr>
          <w:i/>
          <w:iCs/>
          <w:lang w:val="en-US"/>
        </w:rPr>
        <w:t xml:space="preserve"> </w:t>
      </w:r>
      <w:r w:rsidR="0014267E" w:rsidRPr="003523C5">
        <w:rPr>
          <w:lang w:val="en-US"/>
        </w:rPr>
        <w:t>The</w:t>
      </w:r>
      <w:r w:rsidR="00166FC3" w:rsidRPr="003523C5">
        <w:rPr>
          <w:lang w:val="en-US"/>
        </w:rPr>
        <w:t xml:space="preserve"> </w:t>
      </w:r>
      <w:r w:rsidR="0014267E" w:rsidRPr="003523C5">
        <w:rPr>
          <w:lang w:val="en-US"/>
        </w:rPr>
        <w:t xml:space="preserve">EU system of </w:t>
      </w:r>
      <w:r w:rsidR="00AD0EB2">
        <w:rPr>
          <w:lang w:val="en-US"/>
        </w:rPr>
        <w:t xml:space="preserve">political </w:t>
      </w:r>
      <w:r w:rsidR="0014267E" w:rsidRPr="003523C5">
        <w:rPr>
          <w:lang w:val="en-US"/>
        </w:rPr>
        <w:t xml:space="preserve">representation </w:t>
      </w:r>
      <w:r w:rsidR="00166FC3" w:rsidRPr="003523C5">
        <w:rPr>
          <w:lang w:val="en-US"/>
        </w:rPr>
        <w:t xml:space="preserve">provided the member states </w:t>
      </w:r>
      <w:r w:rsidR="00A20C63" w:rsidRPr="003523C5">
        <w:rPr>
          <w:lang w:val="en-US"/>
        </w:rPr>
        <w:t>with i</w:t>
      </w:r>
      <w:r w:rsidR="00166FC3" w:rsidRPr="003523C5">
        <w:rPr>
          <w:lang w:val="en-US"/>
        </w:rPr>
        <w:t>ncentives and opportunities to further soften these policies</w:t>
      </w:r>
      <w:r w:rsidR="00AA6C97" w:rsidRPr="003523C5">
        <w:rPr>
          <w:lang w:val="en-US"/>
        </w:rPr>
        <w:t>.</w:t>
      </w:r>
      <w:r w:rsidR="00166FC3" w:rsidRPr="003523C5">
        <w:rPr>
          <w:lang w:val="en-US"/>
        </w:rPr>
        <w:t xml:space="preserve"> The recipients of EU transfer</w:t>
      </w:r>
      <w:r w:rsidR="007623F6" w:rsidRPr="003523C5">
        <w:rPr>
          <w:lang w:val="en-US"/>
        </w:rPr>
        <w:t>s</w:t>
      </w:r>
      <w:r w:rsidR="00166FC3" w:rsidRPr="003523C5">
        <w:rPr>
          <w:lang w:val="en-US"/>
        </w:rPr>
        <w:t xml:space="preserve"> could increase their autonomy in spending EU </w:t>
      </w:r>
      <w:r w:rsidR="0014267E" w:rsidRPr="003523C5">
        <w:rPr>
          <w:lang w:val="en-US"/>
        </w:rPr>
        <w:t>money</w:t>
      </w:r>
      <w:r w:rsidR="002C2A36" w:rsidRPr="003523C5">
        <w:rPr>
          <w:lang w:val="en-US"/>
        </w:rPr>
        <w:t xml:space="preserve">, </w:t>
      </w:r>
      <w:r w:rsidR="00166FC3" w:rsidRPr="003523C5">
        <w:rPr>
          <w:lang w:val="en-US"/>
        </w:rPr>
        <w:t>the core countries could increase their share from the pie</w:t>
      </w:r>
      <w:r w:rsidR="00AD0EB2">
        <w:rPr>
          <w:lang w:val="en-US"/>
        </w:rPr>
        <w:t>,</w:t>
      </w:r>
      <w:r w:rsidR="002C2A36" w:rsidRPr="003523C5">
        <w:rPr>
          <w:lang w:val="en-US"/>
        </w:rPr>
        <w:t xml:space="preserve"> and meanwhile disparities between the North and </w:t>
      </w:r>
      <w:r w:rsidR="00AA6C97" w:rsidRPr="003523C5">
        <w:rPr>
          <w:lang w:val="en-US"/>
        </w:rPr>
        <w:t xml:space="preserve">the </w:t>
      </w:r>
      <w:r w:rsidR="002C2A36" w:rsidRPr="003523C5">
        <w:rPr>
          <w:lang w:val="en-US"/>
        </w:rPr>
        <w:t>South have increased while they have declined unevenly between the Eastern and the Western member states</w:t>
      </w:r>
      <w:r w:rsidR="00166FC3" w:rsidRPr="003523C5">
        <w:rPr>
          <w:lang w:val="en-US"/>
        </w:rPr>
        <w:t>.</w:t>
      </w:r>
    </w:p>
    <w:p w14:paraId="5EBBB775" w14:textId="77777777" w:rsidR="0007086C" w:rsidRDefault="0007086C" w:rsidP="00CA7B81">
      <w:pPr>
        <w:contextualSpacing/>
        <w:rPr>
          <w:lang w:val="en-US"/>
        </w:rPr>
      </w:pPr>
    </w:p>
    <w:p w14:paraId="336ABB26" w14:textId="77777777" w:rsidR="0007086C" w:rsidRPr="00CC4C7E" w:rsidRDefault="0007086C" w:rsidP="0007086C">
      <w:pPr>
        <w:contextualSpacing/>
        <w:rPr>
          <w:lang w:val="en-US"/>
        </w:rPr>
      </w:pPr>
      <w:r w:rsidRPr="00CC4C7E">
        <w:rPr>
          <w:lang w:val="en-US"/>
        </w:rPr>
        <w:lastRenderedPageBreak/>
        <w:t>Decades of market-correcting policies should have improved the relative position of peripheral EU members to the core by narrowing the gap between them. However, as Figure 8 shows, there is a persistent gap between core and periphery in investment into fields (research and development, education and health care) that constitute key drivers of future economic growth and that market-correcting policies were supposed to promote, especially in the periphery. The lack of any notable convergence of the periphery to the core is an empirical illustration of market-correcting policies exposed to the trap of confederalism.</w:t>
      </w:r>
    </w:p>
    <w:p w14:paraId="6279E98E" w14:textId="77777777" w:rsidR="0007086C" w:rsidRDefault="0007086C" w:rsidP="00CA7B81">
      <w:pPr>
        <w:contextualSpacing/>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7086C" w:rsidRPr="00CC4C7E" w14:paraId="7EEDDCB6" w14:textId="77777777" w:rsidTr="006A45D2">
        <w:tc>
          <w:tcPr>
            <w:tcW w:w="9062" w:type="dxa"/>
          </w:tcPr>
          <w:p w14:paraId="665FA946" w14:textId="77777777" w:rsidR="0007086C" w:rsidRPr="00CC4C7E" w:rsidRDefault="0007086C" w:rsidP="006A45D2">
            <w:pPr>
              <w:rPr>
                <w:b/>
                <w:lang w:val="en-GB"/>
              </w:rPr>
            </w:pPr>
            <w:r w:rsidRPr="00CC4C7E">
              <w:rPr>
                <w:b/>
                <w:lang w:val="en-GB"/>
              </w:rPr>
              <w:t>Figure 8: Investment in the future: total per capita spending on R&amp;D, education and health care in 2004 and 2019 in the EU core and periphery</w:t>
            </w:r>
          </w:p>
        </w:tc>
      </w:tr>
      <w:tr w:rsidR="0007086C" w:rsidRPr="00CC4C7E" w14:paraId="58106AC8" w14:textId="77777777" w:rsidTr="006A45D2">
        <w:tblPrEx>
          <w:tblCellMar>
            <w:left w:w="70" w:type="dxa"/>
            <w:right w:w="70" w:type="dxa"/>
          </w:tblCellMar>
        </w:tblPrEx>
        <w:tc>
          <w:tcPr>
            <w:tcW w:w="9062" w:type="dxa"/>
          </w:tcPr>
          <w:p w14:paraId="06391CBE" w14:textId="77777777" w:rsidR="0007086C" w:rsidRPr="00CC4C7E" w:rsidRDefault="0007086C" w:rsidP="006A45D2">
            <w:pPr>
              <w:jc w:val="center"/>
              <w:rPr>
                <w:lang w:val="en-GB"/>
              </w:rPr>
            </w:pPr>
            <w:r w:rsidRPr="00CC4C7E">
              <w:rPr>
                <w:noProof/>
                <w:lang w:eastAsia="hu-HU"/>
              </w:rPr>
              <w:drawing>
                <wp:inline distT="0" distB="0" distL="0" distR="0" wp14:anchorId="3A95553C" wp14:editId="0DF3A8AE">
                  <wp:extent cx="4357869" cy="4109682"/>
                  <wp:effectExtent l="0" t="0" r="5080" b="5715"/>
                  <wp:docPr id="7" name="Kép 5"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ép 5" descr="Chart, scatter char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376002" cy="4126782"/>
                          </a:xfrm>
                          <a:prstGeom prst="rect">
                            <a:avLst/>
                          </a:prstGeom>
                        </pic:spPr>
                      </pic:pic>
                    </a:graphicData>
                  </a:graphic>
                </wp:inline>
              </w:drawing>
            </w:r>
          </w:p>
        </w:tc>
      </w:tr>
      <w:tr w:rsidR="0007086C" w:rsidRPr="003D34BE" w14:paraId="69DF6793" w14:textId="77777777" w:rsidTr="006A45D2">
        <w:tc>
          <w:tcPr>
            <w:tcW w:w="9062" w:type="dxa"/>
          </w:tcPr>
          <w:p w14:paraId="08DD589F" w14:textId="77777777" w:rsidR="0007086C" w:rsidRPr="00CC4C7E" w:rsidRDefault="0007086C" w:rsidP="006A45D2">
            <w:pPr>
              <w:rPr>
                <w:lang w:val="en-GB"/>
              </w:rPr>
            </w:pPr>
            <w:r w:rsidRPr="00CC4C7E">
              <w:rPr>
                <w:lang w:val="en-GB"/>
              </w:rPr>
              <w:t>Note: Spending on R&amp;D, education and health care is the aggregate of total R&amp;D expenditure, and general government expenditure on health care and education per capita in constant 2010 EUR, adjusted with price levels</w:t>
            </w:r>
          </w:p>
          <w:p w14:paraId="2E9D76B2" w14:textId="77777777" w:rsidR="0007086C" w:rsidRPr="003D34BE" w:rsidRDefault="0007086C" w:rsidP="006A45D2">
            <w:pPr>
              <w:rPr>
                <w:lang w:val="en-GB"/>
              </w:rPr>
            </w:pPr>
            <w:r w:rsidRPr="00CC4C7E">
              <w:rPr>
                <w:lang w:val="en-GB"/>
              </w:rPr>
              <w:t>Source: own calculation based on Eurostat</w:t>
            </w:r>
          </w:p>
        </w:tc>
      </w:tr>
    </w:tbl>
    <w:p w14:paraId="53AE7231" w14:textId="77777777" w:rsidR="0007086C" w:rsidRPr="003523C5" w:rsidRDefault="0007086C" w:rsidP="00CA7B81">
      <w:pPr>
        <w:contextualSpacing/>
        <w:rPr>
          <w:lang w:val="en-US"/>
        </w:rPr>
      </w:pPr>
    </w:p>
    <w:p w14:paraId="69D05FD4" w14:textId="77777777" w:rsidR="002A282B" w:rsidRPr="003523C5" w:rsidRDefault="002A282B" w:rsidP="00CA7B81">
      <w:pPr>
        <w:contextualSpacing/>
        <w:rPr>
          <w:bCs/>
          <w:i/>
          <w:iCs/>
          <w:lang w:val="en-US"/>
        </w:rPr>
      </w:pPr>
    </w:p>
    <w:p w14:paraId="34696643" w14:textId="1BC4255D" w:rsidR="007819D0" w:rsidRPr="003523C5" w:rsidRDefault="00A0423A" w:rsidP="00CA7B81">
      <w:pPr>
        <w:contextualSpacing/>
        <w:rPr>
          <w:lang w:val="en-US"/>
        </w:rPr>
      </w:pPr>
      <w:r w:rsidRPr="003523C5">
        <w:rPr>
          <w:lang w:val="en-US"/>
        </w:rPr>
        <w:t xml:space="preserve">The treatment of the </w:t>
      </w:r>
      <w:r w:rsidR="00AD0EB2">
        <w:rPr>
          <w:lang w:val="en-US"/>
        </w:rPr>
        <w:t>COVID</w:t>
      </w:r>
      <w:r w:rsidRPr="003523C5">
        <w:rPr>
          <w:lang w:val="en-US"/>
        </w:rPr>
        <w:t xml:space="preserve">-19 crisis, celebrated by some as a step towards </w:t>
      </w:r>
      <w:r w:rsidR="00AD0EB2">
        <w:rPr>
          <w:lang w:val="en-US"/>
        </w:rPr>
        <w:t xml:space="preserve">the </w:t>
      </w:r>
      <w:r w:rsidRPr="003523C5">
        <w:rPr>
          <w:lang w:val="en-US"/>
        </w:rPr>
        <w:t xml:space="preserve">mutualization of the risks and </w:t>
      </w:r>
      <w:r w:rsidR="002C2A36" w:rsidRPr="003523C5">
        <w:rPr>
          <w:lang w:val="en-US"/>
        </w:rPr>
        <w:t xml:space="preserve">gains </w:t>
      </w:r>
      <w:r w:rsidRPr="003523C5">
        <w:rPr>
          <w:lang w:val="en-US"/>
        </w:rPr>
        <w:t>of market integration</w:t>
      </w:r>
      <w:r w:rsidR="00AD0EB2">
        <w:rPr>
          <w:lang w:val="en-US"/>
        </w:rPr>
        <w:t>,</w:t>
      </w:r>
      <w:r w:rsidRPr="003523C5">
        <w:rPr>
          <w:lang w:val="en-US"/>
        </w:rPr>
        <w:t xml:space="preserve"> did not depart from this pattern. The Next</w:t>
      </w:r>
      <w:r w:rsidR="002C2EEF" w:rsidRPr="003523C5">
        <w:rPr>
          <w:lang w:val="en-US"/>
        </w:rPr>
        <w:t xml:space="preserve"> </w:t>
      </w:r>
      <w:r w:rsidRPr="003523C5">
        <w:rPr>
          <w:lang w:val="en-US"/>
        </w:rPr>
        <w:t>Generation</w:t>
      </w:r>
      <w:r w:rsidR="002C2EEF" w:rsidRPr="003523C5">
        <w:rPr>
          <w:lang w:val="en-US"/>
        </w:rPr>
        <w:t xml:space="preserve"> </w:t>
      </w:r>
      <w:r w:rsidRPr="003523C5">
        <w:rPr>
          <w:lang w:val="en-US"/>
        </w:rPr>
        <w:t>EU</w:t>
      </w:r>
      <w:r w:rsidR="00AD0EB2">
        <w:rPr>
          <w:lang w:val="en-US"/>
        </w:rPr>
        <w:t xml:space="preserve"> plan</w:t>
      </w:r>
      <w:r w:rsidRPr="003523C5">
        <w:rPr>
          <w:lang w:val="en-US"/>
        </w:rPr>
        <w:t xml:space="preserve">, distributing EUR 806.9 billion </w:t>
      </w:r>
      <w:r w:rsidR="00AD0EB2">
        <w:rPr>
          <w:lang w:val="en-US"/>
        </w:rPr>
        <w:t>across</w:t>
      </w:r>
      <w:r w:rsidR="00AD0EB2" w:rsidRPr="003523C5">
        <w:rPr>
          <w:lang w:val="en-US"/>
        </w:rPr>
        <w:t xml:space="preserve"> </w:t>
      </w:r>
      <w:r w:rsidRPr="003523C5">
        <w:rPr>
          <w:lang w:val="en-US"/>
        </w:rPr>
        <w:t>the 27 member states</w:t>
      </w:r>
      <w:r w:rsidR="00291B02" w:rsidRPr="003523C5">
        <w:rPr>
          <w:lang w:val="en-US"/>
        </w:rPr>
        <w:t xml:space="preserve"> is, </w:t>
      </w:r>
      <w:r w:rsidRPr="003523C5">
        <w:rPr>
          <w:lang w:val="en-US"/>
        </w:rPr>
        <w:t>to be sure, a significant political achievement</w:t>
      </w:r>
      <w:r w:rsidR="002C2A36" w:rsidRPr="003523C5">
        <w:rPr>
          <w:lang w:val="en-US"/>
        </w:rPr>
        <w:t>. But it has to be seen together with the near simultaneous</w:t>
      </w:r>
      <w:r w:rsidR="00166FC3" w:rsidRPr="003523C5">
        <w:rPr>
          <w:lang w:val="en-US"/>
        </w:rPr>
        <w:t xml:space="preserve"> </w:t>
      </w:r>
      <w:r w:rsidR="002C2A36" w:rsidRPr="003523C5">
        <w:rPr>
          <w:lang w:val="en-US"/>
        </w:rPr>
        <w:t xml:space="preserve">redistribution of </w:t>
      </w:r>
      <w:r w:rsidR="002168B9" w:rsidRPr="003523C5">
        <w:rPr>
          <w:lang w:val="en-US"/>
        </w:rPr>
        <w:t>opportunities</w:t>
      </w:r>
      <w:r w:rsidR="002C2A36" w:rsidRPr="003523C5">
        <w:rPr>
          <w:lang w:val="en-US"/>
        </w:rPr>
        <w:t xml:space="preserve"> </w:t>
      </w:r>
      <w:r w:rsidR="00291B02" w:rsidRPr="003523C5">
        <w:rPr>
          <w:lang w:val="en-US"/>
        </w:rPr>
        <w:t xml:space="preserve">in the EU </w:t>
      </w:r>
      <w:r w:rsidR="002C2A36" w:rsidRPr="003523C5">
        <w:rPr>
          <w:lang w:val="en-US"/>
        </w:rPr>
        <w:t xml:space="preserve">by way of </w:t>
      </w:r>
      <w:r w:rsidR="00166FC3" w:rsidRPr="003523C5">
        <w:rPr>
          <w:lang w:val="en-US"/>
        </w:rPr>
        <w:t>softening the spending rules and state aid regulation</w:t>
      </w:r>
      <w:r w:rsidR="002C2A36" w:rsidRPr="003523C5">
        <w:rPr>
          <w:lang w:val="en-US"/>
        </w:rPr>
        <w:t xml:space="preserve">s </w:t>
      </w:r>
      <w:r w:rsidR="00DE2AEF" w:rsidRPr="003523C5">
        <w:rPr>
          <w:lang w:val="en-US"/>
        </w:rPr>
        <w:t xml:space="preserve">in the member states </w:t>
      </w:r>
      <w:r w:rsidR="00F35247">
        <w:rPr>
          <w:lang w:val="en-US"/>
        </w:rPr>
        <w:t>which has</w:t>
      </w:r>
      <w:r w:rsidR="002C2A36" w:rsidRPr="003523C5">
        <w:rPr>
          <w:lang w:val="en-US"/>
        </w:rPr>
        <w:t xml:space="preserve"> allowed </w:t>
      </w:r>
      <w:r w:rsidR="007623F6" w:rsidRPr="003523C5">
        <w:rPr>
          <w:lang w:val="en-US"/>
        </w:rPr>
        <w:t>Germany</w:t>
      </w:r>
      <w:r w:rsidR="00F35247">
        <w:rPr>
          <w:lang w:val="en-US"/>
        </w:rPr>
        <w:t>,</w:t>
      </w:r>
      <w:r w:rsidR="007623F6" w:rsidRPr="003523C5">
        <w:rPr>
          <w:lang w:val="en-US"/>
        </w:rPr>
        <w:t xml:space="preserve"> </w:t>
      </w:r>
      <w:r w:rsidR="002C2A36" w:rsidRPr="003523C5">
        <w:rPr>
          <w:lang w:val="en-US"/>
        </w:rPr>
        <w:t xml:space="preserve">in 2020 </w:t>
      </w:r>
      <w:r w:rsidR="00166FC3" w:rsidRPr="003523C5">
        <w:rPr>
          <w:lang w:val="en-US"/>
        </w:rPr>
        <w:t>alone</w:t>
      </w:r>
      <w:r w:rsidR="00F35247">
        <w:rPr>
          <w:lang w:val="en-US"/>
        </w:rPr>
        <w:t>,</w:t>
      </w:r>
      <w:r w:rsidR="002C2A36" w:rsidRPr="003523C5">
        <w:rPr>
          <w:lang w:val="en-US"/>
        </w:rPr>
        <w:t xml:space="preserve"> to commit around</w:t>
      </w:r>
      <w:r w:rsidR="00166FC3" w:rsidRPr="003523C5">
        <w:rPr>
          <w:lang w:val="en-US"/>
        </w:rPr>
        <w:t xml:space="preserve"> </w:t>
      </w:r>
      <w:r w:rsidR="002C2A36" w:rsidRPr="003523C5">
        <w:rPr>
          <w:lang w:val="en-US"/>
        </w:rPr>
        <w:t xml:space="preserve">EUR </w:t>
      </w:r>
      <w:r w:rsidR="00166FC3" w:rsidRPr="003523C5">
        <w:rPr>
          <w:lang w:val="en-US"/>
        </w:rPr>
        <w:t xml:space="preserve">1 </w:t>
      </w:r>
      <w:r w:rsidR="00AA6C97" w:rsidRPr="003523C5">
        <w:rPr>
          <w:lang w:val="en-US"/>
        </w:rPr>
        <w:t>t</w:t>
      </w:r>
      <w:r w:rsidR="00166FC3" w:rsidRPr="003523C5">
        <w:rPr>
          <w:lang w:val="en-US"/>
        </w:rPr>
        <w:t>rillion</w:t>
      </w:r>
      <w:r w:rsidR="002C2A36" w:rsidRPr="003523C5">
        <w:rPr>
          <w:lang w:val="en-US"/>
        </w:rPr>
        <w:t xml:space="preserve"> in the form of state aid.</w:t>
      </w:r>
    </w:p>
    <w:p w14:paraId="663E3899" w14:textId="77777777" w:rsidR="002A282B" w:rsidRPr="003523C5" w:rsidRDefault="002A282B" w:rsidP="00CA7B81">
      <w:pPr>
        <w:contextualSpacing/>
        <w:rPr>
          <w:lang w:val="en-US"/>
        </w:rPr>
      </w:pPr>
    </w:p>
    <w:p w14:paraId="64D003FA" w14:textId="15E04914" w:rsidR="002A282B" w:rsidRPr="003523C5" w:rsidRDefault="00000562" w:rsidP="00CA7B81">
      <w:pPr>
        <w:contextualSpacing/>
        <w:rPr>
          <w:bCs/>
          <w:lang w:val="en-US"/>
        </w:rPr>
      </w:pPr>
      <w:r w:rsidRPr="003523C5">
        <w:rPr>
          <w:lang w:val="en-US"/>
        </w:rPr>
        <w:lastRenderedPageBreak/>
        <w:t xml:space="preserve">While the </w:t>
      </w:r>
      <w:r w:rsidR="00AD7254" w:rsidRPr="003523C5">
        <w:rPr>
          <w:bCs/>
          <w:lang w:val="en-US"/>
        </w:rPr>
        <w:t xml:space="preserve">confederal </w:t>
      </w:r>
      <w:r w:rsidRPr="003523C5">
        <w:rPr>
          <w:bCs/>
          <w:lang w:val="en-US"/>
        </w:rPr>
        <w:t xml:space="preserve">organization of </w:t>
      </w:r>
      <w:r w:rsidR="00F35247">
        <w:rPr>
          <w:bCs/>
          <w:lang w:val="en-US"/>
        </w:rPr>
        <w:t xml:space="preserve">political </w:t>
      </w:r>
      <w:r w:rsidRPr="003523C5">
        <w:rPr>
          <w:bCs/>
          <w:lang w:val="en-US"/>
        </w:rPr>
        <w:t>representation</w:t>
      </w:r>
      <w:r w:rsidR="00AD7254" w:rsidRPr="003523C5">
        <w:rPr>
          <w:bCs/>
          <w:lang w:val="en-US"/>
        </w:rPr>
        <w:t xml:space="preserve"> </w:t>
      </w:r>
      <w:r w:rsidR="00287580" w:rsidRPr="003523C5">
        <w:rPr>
          <w:bCs/>
          <w:lang w:val="en-US"/>
        </w:rPr>
        <w:t>contributes to</w:t>
      </w:r>
      <w:r w:rsidR="00AD7254" w:rsidRPr="003523C5">
        <w:rPr>
          <w:bCs/>
          <w:lang w:val="en-US"/>
        </w:rPr>
        <w:t xml:space="preserve"> the </w:t>
      </w:r>
      <w:r w:rsidR="008957A4" w:rsidRPr="003523C5">
        <w:rPr>
          <w:bCs/>
          <w:lang w:val="en-US"/>
        </w:rPr>
        <w:t>recurring</w:t>
      </w:r>
      <w:r w:rsidR="00AD7254" w:rsidRPr="003523C5">
        <w:rPr>
          <w:bCs/>
          <w:lang w:val="en-US"/>
        </w:rPr>
        <w:t xml:space="preserve"> cris</w:t>
      </w:r>
      <w:r w:rsidR="008957A4" w:rsidRPr="003523C5">
        <w:rPr>
          <w:bCs/>
          <w:lang w:val="en-US"/>
        </w:rPr>
        <w:t>es</w:t>
      </w:r>
      <w:r w:rsidR="00AD7254" w:rsidRPr="003523C5">
        <w:rPr>
          <w:bCs/>
          <w:lang w:val="en-US"/>
        </w:rPr>
        <w:t xml:space="preserve"> of European integration</w:t>
      </w:r>
      <w:r w:rsidRPr="003523C5">
        <w:rPr>
          <w:bCs/>
          <w:lang w:val="en-US"/>
        </w:rPr>
        <w:t>, it also hinders the emergence of agency for managing these crises.</w:t>
      </w:r>
      <w:r w:rsidR="00F35247">
        <w:rPr>
          <w:rStyle w:val="FootnoteReference"/>
          <w:bCs/>
          <w:lang w:val="en-US"/>
        </w:rPr>
        <w:footnoteReference w:id="103"/>
      </w:r>
      <w:r w:rsidR="00F35247">
        <w:rPr>
          <w:bCs/>
          <w:lang w:val="en-US"/>
        </w:rPr>
        <w:t xml:space="preserve"> </w:t>
      </w:r>
      <w:r w:rsidR="00801280" w:rsidRPr="003523C5">
        <w:rPr>
          <w:bCs/>
          <w:lang w:val="en-US"/>
        </w:rPr>
        <w:t xml:space="preserve">Eurosceptic parties could not </w:t>
      </w:r>
      <w:r w:rsidR="00AA6C97" w:rsidRPr="003523C5">
        <w:rPr>
          <w:bCs/>
          <w:lang w:val="en-US"/>
        </w:rPr>
        <w:t xml:space="preserve">persistently </w:t>
      </w:r>
      <w:r w:rsidR="00801280" w:rsidRPr="003523C5">
        <w:rPr>
          <w:bCs/>
          <w:lang w:val="en-US"/>
        </w:rPr>
        <w:t xml:space="preserve">dominate the political </w:t>
      </w:r>
      <w:r w:rsidR="00DE2AEF" w:rsidRPr="003523C5">
        <w:rPr>
          <w:bCs/>
          <w:lang w:val="en-US"/>
        </w:rPr>
        <w:t>scene</w:t>
      </w:r>
      <w:r w:rsidRPr="003523C5">
        <w:rPr>
          <w:bCs/>
          <w:lang w:val="en-US"/>
        </w:rPr>
        <w:t xml:space="preserve"> after 2008</w:t>
      </w:r>
      <w:r w:rsidR="00DE2AEF" w:rsidRPr="003523C5">
        <w:rPr>
          <w:bCs/>
          <w:lang w:val="en-US"/>
        </w:rPr>
        <w:t xml:space="preserve"> </w:t>
      </w:r>
      <w:r w:rsidR="002168B9">
        <w:rPr>
          <w:bCs/>
          <w:lang w:val="en-US"/>
        </w:rPr>
        <w:t>largely because v</w:t>
      </w:r>
      <w:r w:rsidR="00AD7254" w:rsidRPr="003523C5">
        <w:rPr>
          <w:bCs/>
          <w:lang w:val="en-US"/>
        </w:rPr>
        <w:t>oter</w:t>
      </w:r>
      <w:r w:rsidR="00801280" w:rsidRPr="003523C5">
        <w:rPr>
          <w:bCs/>
          <w:lang w:val="en-US"/>
        </w:rPr>
        <w:t>s</w:t>
      </w:r>
      <w:r w:rsidR="00B85ED0" w:rsidRPr="003523C5">
        <w:rPr>
          <w:bCs/>
          <w:lang w:val="en-US"/>
        </w:rPr>
        <w:t>’</w:t>
      </w:r>
      <w:r w:rsidR="00AD7254" w:rsidRPr="003523C5">
        <w:rPr>
          <w:bCs/>
          <w:lang w:val="en-US"/>
        </w:rPr>
        <w:t xml:space="preserve"> preferences at the level </w:t>
      </w:r>
      <w:r w:rsidR="002168B9">
        <w:rPr>
          <w:bCs/>
          <w:lang w:val="en-US"/>
        </w:rPr>
        <w:t xml:space="preserve">of member states </w:t>
      </w:r>
      <w:r w:rsidR="00801280" w:rsidRPr="003523C5">
        <w:rPr>
          <w:bCs/>
          <w:lang w:val="en-US"/>
        </w:rPr>
        <w:t xml:space="preserve">have </w:t>
      </w:r>
      <w:r w:rsidR="00AD7254" w:rsidRPr="003523C5">
        <w:rPr>
          <w:bCs/>
          <w:lang w:val="en-US"/>
        </w:rPr>
        <w:t>shift</w:t>
      </w:r>
      <w:r w:rsidR="00801280" w:rsidRPr="003523C5">
        <w:rPr>
          <w:bCs/>
          <w:lang w:val="en-US"/>
        </w:rPr>
        <w:t>ed</w:t>
      </w:r>
      <w:r w:rsidR="00AD7254" w:rsidRPr="003523C5">
        <w:rPr>
          <w:bCs/>
          <w:lang w:val="en-US"/>
        </w:rPr>
        <w:t xml:space="preserve"> towards accepting greater redistribution and the internalization of risks, </w:t>
      </w:r>
      <w:r w:rsidR="00DE2AEF" w:rsidRPr="003523C5">
        <w:rPr>
          <w:bCs/>
          <w:lang w:val="en-US"/>
        </w:rPr>
        <w:t>increasing the</w:t>
      </w:r>
      <w:r w:rsidR="007A6D43" w:rsidRPr="003523C5">
        <w:rPr>
          <w:bCs/>
          <w:lang w:val="en-US"/>
        </w:rPr>
        <w:t xml:space="preserve"> room </w:t>
      </w:r>
      <w:r w:rsidR="00AD7254" w:rsidRPr="003523C5">
        <w:rPr>
          <w:bCs/>
          <w:lang w:val="en-US"/>
        </w:rPr>
        <w:t xml:space="preserve">for </w:t>
      </w:r>
      <w:r w:rsidR="003E42B8" w:rsidRPr="003523C5">
        <w:rPr>
          <w:bCs/>
          <w:lang w:val="en-US"/>
        </w:rPr>
        <w:t xml:space="preserve">cross-member state </w:t>
      </w:r>
      <w:r w:rsidR="00827753" w:rsidRPr="003523C5">
        <w:rPr>
          <w:bCs/>
          <w:lang w:val="en-US"/>
        </w:rPr>
        <w:t>transfers</w:t>
      </w:r>
      <w:r w:rsidR="00F35247">
        <w:rPr>
          <w:bCs/>
          <w:lang w:val="en-US"/>
        </w:rPr>
        <w:t>,</w:t>
      </w:r>
      <w:r w:rsidR="003E42B8" w:rsidRPr="003523C5">
        <w:rPr>
          <w:bCs/>
          <w:lang w:val="en-US"/>
        </w:rPr>
        <w:t xml:space="preserve"> and </w:t>
      </w:r>
      <w:r w:rsidR="00AD7254" w:rsidRPr="003523C5">
        <w:rPr>
          <w:bCs/>
          <w:lang w:val="en-US"/>
        </w:rPr>
        <w:t>further sharing core state powers at the supranational level</w:t>
      </w:r>
      <w:r w:rsidR="00F35247">
        <w:rPr>
          <w:bCs/>
          <w:lang w:val="en-US"/>
        </w:rPr>
        <w:t>.</w:t>
      </w:r>
      <w:r w:rsidR="00F35247">
        <w:rPr>
          <w:rStyle w:val="FootnoteReference"/>
          <w:bCs/>
          <w:lang w:val="en-US"/>
        </w:rPr>
        <w:footnoteReference w:id="104"/>
      </w:r>
      <w:r w:rsidR="00AD7254" w:rsidRPr="003523C5">
        <w:rPr>
          <w:bCs/>
          <w:lang w:val="en-US"/>
        </w:rPr>
        <w:t xml:space="preserve"> </w:t>
      </w:r>
      <w:r w:rsidR="00E374DA" w:rsidRPr="003523C5">
        <w:rPr>
          <w:bCs/>
          <w:lang w:val="en-US"/>
        </w:rPr>
        <w:t>The question thus arises</w:t>
      </w:r>
      <w:r w:rsidR="00F35247">
        <w:rPr>
          <w:bCs/>
          <w:lang w:val="en-US"/>
        </w:rPr>
        <w:t>:</w:t>
      </w:r>
      <w:r w:rsidR="00E374DA" w:rsidRPr="003523C5">
        <w:rPr>
          <w:bCs/>
          <w:lang w:val="en-US"/>
        </w:rPr>
        <w:t xml:space="preserve"> </w:t>
      </w:r>
      <w:r w:rsidR="00F35247">
        <w:rPr>
          <w:bCs/>
          <w:lang w:val="en-US"/>
        </w:rPr>
        <w:t>W</w:t>
      </w:r>
      <w:r w:rsidR="00E374DA" w:rsidRPr="003523C5">
        <w:rPr>
          <w:bCs/>
          <w:lang w:val="en-US"/>
        </w:rPr>
        <w:t xml:space="preserve">hy do political parties not use this room to further longer term reforms that could push </w:t>
      </w:r>
      <w:r w:rsidR="00AA6C97" w:rsidRPr="003523C5">
        <w:rPr>
          <w:bCs/>
          <w:lang w:val="en-US"/>
        </w:rPr>
        <w:t xml:space="preserve">the </w:t>
      </w:r>
      <w:r w:rsidR="00E374DA" w:rsidRPr="003523C5">
        <w:rPr>
          <w:bCs/>
          <w:lang w:val="en-US"/>
        </w:rPr>
        <w:t>EU toward the Pareto frontier and reduce the probability of recurring crises?</w:t>
      </w:r>
    </w:p>
    <w:p w14:paraId="6BA2A6E2" w14:textId="77777777" w:rsidR="002A282B" w:rsidRPr="003523C5" w:rsidRDefault="002A282B" w:rsidP="00CA7B81">
      <w:pPr>
        <w:contextualSpacing/>
        <w:rPr>
          <w:bCs/>
          <w:lang w:val="en-US"/>
        </w:rPr>
      </w:pPr>
    </w:p>
    <w:p w14:paraId="59B4C3D4" w14:textId="30560431" w:rsidR="00507BC9" w:rsidRPr="003523C5" w:rsidRDefault="00E374DA" w:rsidP="00CA7B81">
      <w:pPr>
        <w:contextualSpacing/>
        <w:rPr>
          <w:bCs/>
          <w:lang w:val="en-US"/>
        </w:rPr>
      </w:pPr>
      <w:r w:rsidRPr="003523C5">
        <w:rPr>
          <w:bCs/>
          <w:lang w:val="en-US"/>
        </w:rPr>
        <w:t xml:space="preserve">Based on our exploration of the politics of </w:t>
      </w:r>
      <w:r w:rsidR="003842B4" w:rsidRPr="003523C5">
        <w:rPr>
          <w:bCs/>
          <w:lang w:val="en-US"/>
        </w:rPr>
        <w:t xml:space="preserve">the </w:t>
      </w:r>
      <w:r w:rsidRPr="003523C5">
        <w:rPr>
          <w:bCs/>
          <w:lang w:val="en-US"/>
        </w:rPr>
        <w:t>EU’s market</w:t>
      </w:r>
      <w:r w:rsidR="00173AA9" w:rsidRPr="003523C5">
        <w:rPr>
          <w:bCs/>
          <w:lang w:val="en-US"/>
        </w:rPr>
        <w:t xml:space="preserve"> </w:t>
      </w:r>
      <w:r w:rsidRPr="003523C5">
        <w:rPr>
          <w:bCs/>
          <w:lang w:val="en-US"/>
        </w:rPr>
        <w:t>correcti</w:t>
      </w:r>
      <w:r w:rsidR="00173AA9" w:rsidRPr="003523C5">
        <w:rPr>
          <w:bCs/>
          <w:lang w:val="en-US"/>
        </w:rPr>
        <w:t>on</w:t>
      </w:r>
      <w:r w:rsidRPr="003523C5">
        <w:rPr>
          <w:bCs/>
          <w:lang w:val="en-US"/>
        </w:rPr>
        <w:t xml:space="preserve"> policies</w:t>
      </w:r>
      <w:r w:rsidR="003842B4" w:rsidRPr="003523C5">
        <w:rPr>
          <w:bCs/>
          <w:lang w:val="en-US"/>
        </w:rPr>
        <w:t>,</w:t>
      </w:r>
      <w:r w:rsidRPr="003523C5">
        <w:rPr>
          <w:bCs/>
          <w:lang w:val="en-US"/>
        </w:rPr>
        <w:t xml:space="preserve"> we argue that</w:t>
      </w:r>
      <w:r w:rsidR="003842B4" w:rsidRPr="003523C5">
        <w:rPr>
          <w:bCs/>
          <w:lang w:val="en-US"/>
        </w:rPr>
        <w:t xml:space="preserve"> </w:t>
      </w:r>
      <w:r w:rsidRPr="003523C5">
        <w:rPr>
          <w:bCs/>
          <w:lang w:val="en-US"/>
        </w:rPr>
        <w:t xml:space="preserve">the </w:t>
      </w:r>
      <w:r w:rsidR="003842B4" w:rsidRPr="003523C5">
        <w:rPr>
          <w:bCs/>
          <w:lang w:val="en-US"/>
        </w:rPr>
        <w:t xml:space="preserve">trap of </w:t>
      </w:r>
      <w:r w:rsidR="00AD7254" w:rsidRPr="003523C5">
        <w:rPr>
          <w:bCs/>
          <w:lang w:val="en-US"/>
        </w:rPr>
        <w:t>confederal</w:t>
      </w:r>
      <w:r w:rsidR="003842B4" w:rsidRPr="003523C5">
        <w:rPr>
          <w:bCs/>
          <w:lang w:val="en-US"/>
        </w:rPr>
        <w:t xml:space="preserve">ism </w:t>
      </w:r>
      <w:r w:rsidRPr="003523C5">
        <w:rPr>
          <w:bCs/>
          <w:lang w:val="en-US"/>
        </w:rPr>
        <w:t xml:space="preserve">is still at work, </w:t>
      </w:r>
      <w:r w:rsidR="00454758" w:rsidRPr="003523C5">
        <w:rPr>
          <w:bCs/>
          <w:lang w:val="en-US"/>
        </w:rPr>
        <w:t>hindering</w:t>
      </w:r>
      <w:r w:rsidR="00AD7254" w:rsidRPr="003523C5">
        <w:rPr>
          <w:bCs/>
          <w:lang w:val="en-US"/>
        </w:rPr>
        <w:t xml:space="preserve"> long-term commitments to risk sharing</w:t>
      </w:r>
      <w:r w:rsidR="00EE32A2" w:rsidRPr="003523C5">
        <w:rPr>
          <w:bCs/>
          <w:lang w:val="en-US"/>
        </w:rPr>
        <w:t xml:space="preserve">. In the absence of </w:t>
      </w:r>
      <w:r w:rsidR="00AA6C97" w:rsidRPr="003523C5">
        <w:rPr>
          <w:bCs/>
          <w:lang w:val="en-US"/>
        </w:rPr>
        <w:t xml:space="preserve">a </w:t>
      </w:r>
      <w:r w:rsidR="00EE32A2" w:rsidRPr="003523C5">
        <w:rPr>
          <w:bCs/>
          <w:lang w:val="en-US"/>
        </w:rPr>
        <w:t xml:space="preserve">vertically integrated party system, the economic and social interests of Europeans are underrepresented at the price of territorial interests. </w:t>
      </w:r>
      <w:r w:rsidR="009A69EE" w:rsidRPr="003523C5">
        <w:rPr>
          <w:bCs/>
          <w:lang w:val="en-US"/>
        </w:rPr>
        <w:t xml:space="preserve">Finding </w:t>
      </w:r>
      <w:r w:rsidR="00F35247">
        <w:rPr>
          <w:bCs/>
          <w:lang w:val="en-US"/>
        </w:rPr>
        <w:t xml:space="preserve">a </w:t>
      </w:r>
      <w:r w:rsidR="009A69EE" w:rsidRPr="003523C5">
        <w:rPr>
          <w:bCs/>
          <w:lang w:val="en-US"/>
        </w:rPr>
        <w:t xml:space="preserve">lasting solution to the mutualization of the risks and costs of market integration among diverse economies </w:t>
      </w:r>
      <w:r w:rsidR="002E1DC4" w:rsidRPr="003523C5">
        <w:rPr>
          <w:bCs/>
          <w:lang w:val="en-US"/>
        </w:rPr>
        <w:t>could</w:t>
      </w:r>
      <w:r w:rsidR="009A69EE" w:rsidRPr="003523C5">
        <w:rPr>
          <w:bCs/>
          <w:lang w:val="en-US"/>
        </w:rPr>
        <w:t xml:space="preserve"> in itself </w:t>
      </w:r>
      <w:r w:rsidR="002E1DC4" w:rsidRPr="003523C5">
        <w:rPr>
          <w:bCs/>
          <w:lang w:val="en-US"/>
        </w:rPr>
        <w:t xml:space="preserve">be </w:t>
      </w:r>
      <w:r w:rsidR="009A69EE" w:rsidRPr="003523C5">
        <w:rPr>
          <w:bCs/>
          <w:lang w:val="en-US"/>
        </w:rPr>
        <w:t xml:space="preserve">an </w:t>
      </w:r>
      <w:r w:rsidR="00B677AB" w:rsidRPr="003523C5">
        <w:rPr>
          <w:bCs/>
          <w:lang w:val="en-US"/>
        </w:rPr>
        <w:t>arduous</w:t>
      </w:r>
      <w:r w:rsidR="009A69EE" w:rsidRPr="003523C5">
        <w:rPr>
          <w:bCs/>
          <w:lang w:val="en-US"/>
        </w:rPr>
        <w:t xml:space="preserve"> and lengthy process of trial and error</w:t>
      </w:r>
      <w:r w:rsidR="00F35247">
        <w:rPr>
          <w:bCs/>
          <w:lang w:val="en-US"/>
        </w:rPr>
        <w:t>.</w:t>
      </w:r>
      <w:r w:rsidR="00F35247">
        <w:rPr>
          <w:rStyle w:val="FootnoteReference"/>
          <w:bCs/>
          <w:lang w:val="en-US"/>
        </w:rPr>
        <w:footnoteReference w:id="105"/>
      </w:r>
      <w:r w:rsidR="005030B4" w:rsidRPr="003523C5">
        <w:rPr>
          <w:bCs/>
          <w:lang w:val="en-US"/>
        </w:rPr>
        <w:t xml:space="preserve"> But in the framework of European political institutions</w:t>
      </w:r>
      <w:r w:rsidR="00F35247">
        <w:rPr>
          <w:bCs/>
          <w:lang w:val="en-US"/>
        </w:rPr>
        <w:t>,</w:t>
      </w:r>
      <w:r w:rsidR="005030B4" w:rsidRPr="003523C5">
        <w:rPr>
          <w:bCs/>
          <w:lang w:val="en-US"/>
        </w:rPr>
        <w:t xml:space="preserve"> this </w:t>
      </w:r>
      <w:r w:rsidR="00B85ED0" w:rsidRPr="003523C5">
        <w:rPr>
          <w:bCs/>
          <w:lang w:val="en-US"/>
        </w:rPr>
        <w:t xml:space="preserve">process </w:t>
      </w:r>
      <w:r w:rsidR="005030B4" w:rsidRPr="003523C5">
        <w:rPr>
          <w:bCs/>
          <w:lang w:val="en-US"/>
        </w:rPr>
        <w:t xml:space="preserve">is burdened with a gigantic coordination problem among </w:t>
      </w:r>
      <w:r w:rsidR="00F35247">
        <w:rPr>
          <w:bCs/>
          <w:lang w:val="en-US"/>
        </w:rPr>
        <w:t>twenty-seven</w:t>
      </w:r>
      <w:r w:rsidR="00F35247" w:rsidRPr="003523C5">
        <w:rPr>
          <w:bCs/>
          <w:lang w:val="en-US"/>
        </w:rPr>
        <w:t xml:space="preserve"> </w:t>
      </w:r>
      <w:r w:rsidR="005030B4" w:rsidRPr="003523C5">
        <w:rPr>
          <w:bCs/>
          <w:lang w:val="en-US"/>
        </w:rPr>
        <w:t>member states</w:t>
      </w:r>
      <w:r w:rsidR="002E1DC4" w:rsidRPr="003523C5">
        <w:rPr>
          <w:bCs/>
          <w:lang w:val="en-US"/>
        </w:rPr>
        <w:t>,</w:t>
      </w:r>
      <w:r w:rsidR="005030B4" w:rsidRPr="003523C5">
        <w:rPr>
          <w:bCs/>
          <w:lang w:val="en-US"/>
        </w:rPr>
        <w:t xml:space="preserve"> all limited in their capacity to make lasting credible commitments.</w:t>
      </w:r>
    </w:p>
    <w:p w14:paraId="5DA9884C" w14:textId="77777777" w:rsidR="002A282B" w:rsidRPr="003523C5" w:rsidRDefault="002A282B" w:rsidP="00CA7B81">
      <w:pPr>
        <w:contextualSpacing/>
        <w:rPr>
          <w:bCs/>
          <w:lang w:val="en-US"/>
        </w:rPr>
      </w:pPr>
    </w:p>
    <w:p w14:paraId="1FD7A3D8" w14:textId="17D5451D" w:rsidR="00EE0E11" w:rsidRPr="003523C5" w:rsidRDefault="009E52CB" w:rsidP="00CA7B81">
      <w:pPr>
        <w:contextualSpacing/>
        <w:rPr>
          <w:bCs/>
          <w:lang w:val="en-US"/>
        </w:rPr>
      </w:pPr>
      <w:r w:rsidRPr="003523C5">
        <w:rPr>
          <w:bCs/>
          <w:lang w:val="en-US"/>
        </w:rPr>
        <w:t xml:space="preserve">Transforming economic integration into a workable positive sum game would </w:t>
      </w:r>
      <w:r w:rsidR="00263F4F">
        <w:rPr>
          <w:bCs/>
          <w:lang w:val="en-US"/>
        </w:rPr>
        <w:t>require a decrease in</w:t>
      </w:r>
      <w:r w:rsidRPr="003523C5">
        <w:rPr>
          <w:bCs/>
          <w:lang w:val="en-US"/>
        </w:rPr>
        <w:t xml:space="preserve"> the territorial fragmentation of </w:t>
      </w:r>
      <w:r w:rsidR="00263F4F">
        <w:rPr>
          <w:bCs/>
          <w:lang w:val="en-US"/>
        </w:rPr>
        <w:t xml:space="preserve">European </w:t>
      </w:r>
      <w:r w:rsidRPr="003523C5">
        <w:rPr>
          <w:bCs/>
          <w:lang w:val="en-US"/>
        </w:rPr>
        <w:t>solidarity</w:t>
      </w:r>
      <w:r w:rsidR="00263F4F">
        <w:rPr>
          <w:bCs/>
          <w:lang w:val="en-US"/>
        </w:rPr>
        <w:t xml:space="preserve">, which </w:t>
      </w:r>
      <w:r w:rsidR="00B85ED0" w:rsidRPr="003523C5">
        <w:rPr>
          <w:bCs/>
          <w:lang w:val="en-US"/>
        </w:rPr>
        <w:t xml:space="preserve">would </w:t>
      </w:r>
      <w:r w:rsidR="00263F4F">
        <w:rPr>
          <w:bCs/>
          <w:lang w:val="en-US"/>
        </w:rPr>
        <w:t xml:space="preserve">in turn </w:t>
      </w:r>
      <w:r w:rsidR="00B85ED0" w:rsidRPr="003523C5">
        <w:rPr>
          <w:bCs/>
          <w:lang w:val="en-US"/>
        </w:rPr>
        <w:t>require</w:t>
      </w:r>
      <w:r w:rsidR="00902535" w:rsidRPr="003523C5">
        <w:rPr>
          <w:bCs/>
          <w:lang w:val="en-US"/>
        </w:rPr>
        <w:t xml:space="preserve"> </w:t>
      </w:r>
      <w:r w:rsidRPr="003523C5">
        <w:rPr>
          <w:bCs/>
          <w:lang w:val="en-US"/>
        </w:rPr>
        <w:t>reforming the structure of political representation and decision-making</w:t>
      </w:r>
      <w:r w:rsidR="00F035B0" w:rsidRPr="003523C5">
        <w:rPr>
          <w:bCs/>
          <w:lang w:val="en-US"/>
        </w:rPr>
        <w:t xml:space="preserve"> </w:t>
      </w:r>
      <w:r w:rsidR="00287580" w:rsidRPr="003523C5">
        <w:rPr>
          <w:bCs/>
          <w:lang w:val="en-US"/>
        </w:rPr>
        <w:t>in the EU</w:t>
      </w:r>
      <w:r w:rsidR="000E0833" w:rsidRPr="003523C5">
        <w:rPr>
          <w:bCs/>
          <w:lang w:val="en-US"/>
        </w:rPr>
        <w:t>.</w:t>
      </w:r>
      <w:r w:rsidR="00263F4F">
        <w:rPr>
          <w:rStyle w:val="FootnoteReference"/>
          <w:bCs/>
          <w:lang w:val="en-US"/>
        </w:rPr>
        <w:footnoteReference w:id="106"/>
      </w:r>
      <w:r w:rsidR="000E0833" w:rsidRPr="003523C5">
        <w:rPr>
          <w:bCs/>
          <w:lang w:val="en-US"/>
        </w:rPr>
        <w:t xml:space="preserve"> A</w:t>
      </w:r>
      <w:r w:rsidR="001B541E" w:rsidRPr="003523C5">
        <w:rPr>
          <w:bCs/>
          <w:lang w:val="en-US"/>
        </w:rPr>
        <w:t xml:space="preserve">lternative scenarios for </w:t>
      </w:r>
      <w:r w:rsidR="002E1DC4" w:rsidRPr="003523C5">
        <w:rPr>
          <w:bCs/>
          <w:lang w:val="en-US"/>
        </w:rPr>
        <w:t>such reforms</w:t>
      </w:r>
      <w:r w:rsidR="00F035B0" w:rsidRPr="003523C5">
        <w:rPr>
          <w:bCs/>
          <w:lang w:val="en-US"/>
        </w:rPr>
        <w:t xml:space="preserve"> </w:t>
      </w:r>
      <w:r w:rsidR="00263F4F">
        <w:rPr>
          <w:bCs/>
          <w:lang w:val="en-US"/>
        </w:rPr>
        <w:t>in</w:t>
      </w:r>
      <w:r w:rsidR="00263F4F" w:rsidRPr="003523C5">
        <w:rPr>
          <w:bCs/>
          <w:lang w:val="en-US"/>
        </w:rPr>
        <w:t xml:space="preserve"> </w:t>
      </w:r>
      <w:r w:rsidR="003E72BE" w:rsidRPr="003523C5">
        <w:rPr>
          <w:bCs/>
          <w:lang w:val="en-US"/>
        </w:rPr>
        <w:t xml:space="preserve">the EU </w:t>
      </w:r>
      <w:r w:rsidR="000E0833" w:rsidRPr="003523C5">
        <w:rPr>
          <w:bCs/>
          <w:lang w:val="en-US"/>
        </w:rPr>
        <w:t>do not copy</w:t>
      </w:r>
      <w:r w:rsidR="003E72BE" w:rsidRPr="003523C5">
        <w:rPr>
          <w:bCs/>
          <w:lang w:val="en-US"/>
        </w:rPr>
        <w:t xml:space="preserve"> existing federal solutions. While most of them suggest direct elections </w:t>
      </w:r>
      <w:r w:rsidR="00263F4F">
        <w:rPr>
          <w:bCs/>
          <w:lang w:val="en-US"/>
        </w:rPr>
        <w:t>for</w:t>
      </w:r>
      <w:r w:rsidR="00263F4F" w:rsidRPr="003523C5">
        <w:rPr>
          <w:bCs/>
          <w:lang w:val="en-US"/>
        </w:rPr>
        <w:t xml:space="preserve"> </w:t>
      </w:r>
      <w:r w:rsidR="003E72BE" w:rsidRPr="003523C5">
        <w:rPr>
          <w:bCs/>
          <w:lang w:val="en-US"/>
        </w:rPr>
        <w:t xml:space="preserve">the head of </w:t>
      </w:r>
      <w:r w:rsidR="00263F4F">
        <w:rPr>
          <w:bCs/>
          <w:lang w:val="en-US"/>
        </w:rPr>
        <w:t xml:space="preserve">the </w:t>
      </w:r>
      <w:r w:rsidR="003E72BE" w:rsidRPr="003523C5">
        <w:rPr>
          <w:bCs/>
          <w:lang w:val="en-US"/>
        </w:rPr>
        <w:t xml:space="preserve">EU executive, they differ </w:t>
      </w:r>
      <w:r w:rsidR="00AA6C97" w:rsidRPr="003523C5">
        <w:rPr>
          <w:bCs/>
          <w:lang w:val="en-US"/>
        </w:rPr>
        <w:t xml:space="preserve">in </w:t>
      </w:r>
      <w:r w:rsidR="00263F4F">
        <w:rPr>
          <w:bCs/>
          <w:lang w:val="en-US"/>
        </w:rPr>
        <w:t>their suggestions of</w:t>
      </w:r>
      <w:r w:rsidR="00263F4F" w:rsidRPr="003523C5">
        <w:rPr>
          <w:bCs/>
          <w:lang w:val="en-US"/>
        </w:rPr>
        <w:t xml:space="preserve"> </w:t>
      </w:r>
      <w:r w:rsidR="003E72BE" w:rsidRPr="003523C5">
        <w:rPr>
          <w:bCs/>
          <w:lang w:val="en-US"/>
        </w:rPr>
        <w:t xml:space="preserve">institutionalizing checks and balances in the system so that the reformed polity </w:t>
      </w:r>
      <w:r w:rsidR="00B833A1" w:rsidRPr="003523C5">
        <w:rPr>
          <w:bCs/>
          <w:lang w:val="en-US"/>
        </w:rPr>
        <w:t xml:space="preserve">could </w:t>
      </w:r>
      <w:r w:rsidR="00AA6C97" w:rsidRPr="003523C5">
        <w:rPr>
          <w:bCs/>
          <w:lang w:val="en-US"/>
        </w:rPr>
        <w:t xml:space="preserve">simultaneously </w:t>
      </w:r>
      <w:r w:rsidR="00B677AB" w:rsidRPr="003523C5">
        <w:rPr>
          <w:bCs/>
          <w:lang w:val="en-US"/>
        </w:rPr>
        <w:t>accommodate</w:t>
      </w:r>
      <w:r w:rsidR="00B833A1" w:rsidRPr="003523C5">
        <w:rPr>
          <w:bCs/>
          <w:lang w:val="en-US"/>
        </w:rPr>
        <w:t xml:space="preserve"> the diverse interests of the peoples of the member states and the common interests of European voters and</w:t>
      </w:r>
      <w:r w:rsidR="00263F4F">
        <w:rPr>
          <w:bCs/>
          <w:lang w:val="en-US"/>
        </w:rPr>
        <w:t xml:space="preserve"> </w:t>
      </w:r>
      <w:r w:rsidR="003E72BE" w:rsidRPr="003523C5">
        <w:rPr>
          <w:bCs/>
          <w:lang w:val="en-US"/>
        </w:rPr>
        <w:t xml:space="preserve">would </w:t>
      </w:r>
      <w:r w:rsidR="00EE32A2" w:rsidRPr="003523C5">
        <w:rPr>
          <w:bCs/>
          <w:lang w:val="en-US"/>
        </w:rPr>
        <w:t xml:space="preserve">force </w:t>
      </w:r>
      <w:r w:rsidR="00FB4153" w:rsidRPr="003523C5">
        <w:rPr>
          <w:bCs/>
          <w:lang w:val="en-US"/>
        </w:rPr>
        <w:t>policy</w:t>
      </w:r>
      <w:r w:rsidR="00EE32A2" w:rsidRPr="003523C5">
        <w:rPr>
          <w:bCs/>
          <w:lang w:val="en-US"/>
        </w:rPr>
        <w:t xml:space="preserve">-makers to form </w:t>
      </w:r>
      <w:r w:rsidR="003E72BE" w:rsidRPr="003523C5">
        <w:rPr>
          <w:bCs/>
          <w:lang w:val="en-US"/>
        </w:rPr>
        <w:t xml:space="preserve">much broader coalitions </w:t>
      </w:r>
      <w:r w:rsidR="00263F4F">
        <w:rPr>
          <w:bCs/>
          <w:lang w:val="en-US"/>
        </w:rPr>
        <w:t>to make</w:t>
      </w:r>
      <w:r w:rsidR="003E72BE" w:rsidRPr="003523C5">
        <w:rPr>
          <w:bCs/>
          <w:lang w:val="en-US"/>
        </w:rPr>
        <w:t xml:space="preserve"> EU</w:t>
      </w:r>
      <w:r w:rsidR="00263F4F">
        <w:rPr>
          <w:bCs/>
          <w:lang w:val="en-US"/>
        </w:rPr>
        <w:t>-</w:t>
      </w:r>
      <w:r w:rsidR="003E72BE" w:rsidRPr="003523C5">
        <w:rPr>
          <w:bCs/>
          <w:lang w:val="en-US"/>
        </w:rPr>
        <w:t>level policies</w:t>
      </w:r>
      <w:r w:rsidR="00263F4F">
        <w:rPr>
          <w:bCs/>
          <w:lang w:val="en-US"/>
        </w:rPr>
        <w:t>.</w:t>
      </w:r>
      <w:r w:rsidR="00263F4F">
        <w:rPr>
          <w:rStyle w:val="FootnoteReference"/>
          <w:bCs/>
          <w:lang w:val="en-US"/>
        </w:rPr>
        <w:footnoteReference w:id="107"/>
      </w:r>
    </w:p>
    <w:p w14:paraId="0FDB8813" w14:textId="77777777" w:rsidR="00FC5BB8" w:rsidRPr="003523C5" w:rsidRDefault="00FC5BB8" w:rsidP="00CA7B81">
      <w:pPr>
        <w:contextualSpacing/>
        <w:rPr>
          <w:b/>
          <w:lang w:val="en-US"/>
        </w:rPr>
      </w:pPr>
    </w:p>
    <w:p w14:paraId="370EC06B" w14:textId="77777777" w:rsidR="00E536D0" w:rsidRDefault="00E536D0">
      <w:pPr>
        <w:spacing w:after="160" w:line="259" w:lineRule="auto"/>
        <w:rPr>
          <w:b/>
          <w:lang w:val="en-US"/>
        </w:rPr>
      </w:pPr>
      <w:r>
        <w:rPr>
          <w:b/>
          <w:lang w:val="en-US"/>
        </w:rPr>
        <w:br w:type="page"/>
      </w:r>
    </w:p>
    <w:p w14:paraId="03D1B542" w14:textId="757F7DEC" w:rsidR="001A1C63" w:rsidRPr="003523C5" w:rsidRDefault="00DC64C5" w:rsidP="00EC5F9D">
      <w:pPr>
        <w:contextualSpacing/>
        <w:rPr>
          <w:lang w:val="en-US"/>
        </w:rPr>
      </w:pPr>
      <w:r w:rsidRPr="003523C5">
        <w:rPr>
          <w:b/>
          <w:lang w:val="en-US"/>
        </w:rPr>
        <w:lastRenderedPageBreak/>
        <w:t>References</w:t>
      </w:r>
    </w:p>
    <w:p w14:paraId="1F23468C" w14:textId="06457A5D" w:rsidR="001A1C63" w:rsidRPr="003523C5" w:rsidRDefault="001A1C63" w:rsidP="00CA7B81">
      <w:pPr>
        <w:pStyle w:val="Bibliography"/>
        <w:spacing w:after="0"/>
        <w:ind w:left="0" w:firstLine="0"/>
        <w:contextualSpacing/>
        <w:rPr>
          <w:lang w:val="en-US"/>
        </w:rPr>
      </w:pPr>
    </w:p>
    <w:p w14:paraId="4C2CB649" w14:textId="77777777" w:rsidR="002358FA" w:rsidRPr="003523C5" w:rsidRDefault="002358FA" w:rsidP="00CA7B81">
      <w:pPr>
        <w:contextualSpacing/>
        <w:rPr>
          <w:lang w:val="en-US"/>
        </w:rPr>
      </w:pPr>
      <w:proofErr w:type="spellStart"/>
      <w:r w:rsidRPr="003523C5">
        <w:rPr>
          <w:lang w:val="en-US"/>
        </w:rPr>
        <w:t>Abdelal</w:t>
      </w:r>
      <w:proofErr w:type="spellEnd"/>
      <w:r w:rsidRPr="003523C5">
        <w:rPr>
          <w:lang w:val="en-US"/>
        </w:rPr>
        <w:t xml:space="preserve">, </w:t>
      </w:r>
      <w:proofErr w:type="spellStart"/>
      <w:r w:rsidRPr="003523C5">
        <w:rPr>
          <w:lang w:val="en-US"/>
        </w:rPr>
        <w:t>Rawi</w:t>
      </w:r>
      <w:proofErr w:type="spellEnd"/>
      <w:r w:rsidRPr="003523C5">
        <w:rPr>
          <w:lang w:val="en-US"/>
        </w:rPr>
        <w:t xml:space="preserve">, and Sophie Meunier. 2010. ‘Managed Globalization: Doctrine, Practice and Promise’. Journal of European Public Policy 17(3):350. </w:t>
      </w:r>
      <w:proofErr w:type="spellStart"/>
      <w:r w:rsidRPr="003523C5">
        <w:rPr>
          <w:lang w:val="en-US"/>
        </w:rPr>
        <w:t>doi</w:t>
      </w:r>
      <w:proofErr w:type="spellEnd"/>
      <w:r w:rsidRPr="003523C5">
        <w:rPr>
          <w:lang w:val="en-US"/>
        </w:rPr>
        <w:t>: 10.1080/13501761003662040.</w:t>
      </w:r>
    </w:p>
    <w:p w14:paraId="6A59DC98" w14:textId="77777777" w:rsidR="002358FA" w:rsidRPr="003523C5" w:rsidRDefault="002358FA" w:rsidP="00CA7B81">
      <w:pPr>
        <w:contextualSpacing/>
        <w:rPr>
          <w:lang w:val="en-US"/>
        </w:rPr>
      </w:pPr>
    </w:p>
    <w:p w14:paraId="14709767" w14:textId="77777777" w:rsidR="002358FA" w:rsidRPr="003523C5" w:rsidRDefault="002358FA" w:rsidP="00CA7B81">
      <w:pPr>
        <w:contextualSpacing/>
        <w:rPr>
          <w:lang w:val="en-US"/>
        </w:rPr>
      </w:pPr>
      <w:proofErr w:type="spellStart"/>
      <w:r w:rsidRPr="003523C5">
        <w:rPr>
          <w:lang w:val="en-US"/>
        </w:rPr>
        <w:t>Alcidi</w:t>
      </w:r>
      <w:proofErr w:type="spellEnd"/>
      <w:r w:rsidRPr="003523C5">
        <w:rPr>
          <w:lang w:val="en-US"/>
        </w:rPr>
        <w:t xml:space="preserve">, </w:t>
      </w:r>
      <w:proofErr w:type="spellStart"/>
      <w:r w:rsidRPr="003523C5">
        <w:rPr>
          <w:lang w:val="en-US"/>
        </w:rPr>
        <w:t>Cinzia</w:t>
      </w:r>
      <w:proofErr w:type="spellEnd"/>
      <w:r w:rsidRPr="003523C5">
        <w:rPr>
          <w:lang w:val="en-US"/>
        </w:rPr>
        <w:t xml:space="preserve">. 2019. ‘Economic Integration and Income Convergence in the EU’. </w:t>
      </w:r>
      <w:proofErr w:type="spellStart"/>
      <w:r w:rsidRPr="003523C5">
        <w:rPr>
          <w:lang w:val="en-US"/>
        </w:rPr>
        <w:t>Intereconomics</w:t>
      </w:r>
      <w:proofErr w:type="spellEnd"/>
      <w:r w:rsidRPr="003523C5">
        <w:rPr>
          <w:lang w:val="en-US"/>
        </w:rPr>
        <w:t xml:space="preserve"> 2019(1):5–11.</w:t>
      </w:r>
    </w:p>
    <w:p w14:paraId="3E6CF846" w14:textId="77777777" w:rsidR="002358FA" w:rsidRPr="003523C5" w:rsidRDefault="002358FA" w:rsidP="00CA7B81">
      <w:pPr>
        <w:contextualSpacing/>
        <w:rPr>
          <w:lang w:val="en-US"/>
        </w:rPr>
      </w:pPr>
    </w:p>
    <w:p w14:paraId="757D758F" w14:textId="77777777" w:rsidR="002358FA" w:rsidRPr="003523C5" w:rsidRDefault="002358FA" w:rsidP="00CA7B81">
      <w:pPr>
        <w:contextualSpacing/>
        <w:rPr>
          <w:lang w:val="en-US"/>
        </w:rPr>
      </w:pPr>
      <w:proofErr w:type="spellStart"/>
      <w:r w:rsidRPr="003523C5">
        <w:rPr>
          <w:lang w:val="en-US"/>
        </w:rPr>
        <w:t>Ardanaz</w:t>
      </w:r>
      <w:proofErr w:type="spellEnd"/>
      <w:r w:rsidRPr="003523C5">
        <w:rPr>
          <w:lang w:val="en-US"/>
        </w:rPr>
        <w:t xml:space="preserve">, Martín, Marcelo </w:t>
      </w:r>
      <w:proofErr w:type="spellStart"/>
      <w:r w:rsidRPr="003523C5">
        <w:rPr>
          <w:lang w:val="en-US"/>
        </w:rPr>
        <w:t>Leiras</w:t>
      </w:r>
      <w:proofErr w:type="spellEnd"/>
      <w:r w:rsidRPr="003523C5">
        <w:rPr>
          <w:lang w:val="en-US"/>
        </w:rPr>
        <w:t xml:space="preserve">, and Mariano </w:t>
      </w:r>
      <w:proofErr w:type="spellStart"/>
      <w:r w:rsidRPr="003523C5">
        <w:rPr>
          <w:lang w:val="en-US"/>
        </w:rPr>
        <w:t>Tommasi</w:t>
      </w:r>
      <w:proofErr w:type="spellEnd"/>
      <w:r w:rsidRPr="003523C5">
        <w:rPr>
          <w:lang w:val="en-US"/>
        </w:rPr>
        <w:t xml:space="preserve">. 2014. ‘The Politics of Federalism in Argentina and Its Implications for Governance and Accountability’. World Development 53:26–45. </w:t>
      </w:r>
      <w:proofErr w:type="spellStart"/>
      <w:r w:rsidRPr="003523C5">
        <w:rPr>
          <w:lang w:val="en-US"/>
        </w:rPr>
        <w:t>doi</w:t>
      </w:r>
      <w:proofErr w:type="spellEnd"/>
      <w:r w:rsidRPr="003523C5">
        <w:rPr>
          <w:lang w:val="en-US"/>
        </w:rPr>
        <w:t>: 10.1016/j.worlddev.2013.01.004.</w:t>
      </w:r>
    </w:p>
    <w:p w14:paraId="6913F0DF" w14:textId="77777777" w:rsidR="002358FA" w:rsidRPr="003523C5" w:rsidRDefault="002358FA" w:rsidP="00CA7B81">
      <w:pPr>
        <w:contextualSpacing/>
        <w:rPr>
          <w:lang w:val="en-US"/>
        </w:rPr>
      </w:pPr>
    </w:p>
    <w:p w14:paraId="3D0C9A04" w14:textId="77777777" w:rsidR="002358FA" w:rsidRPr="003523C5" w:rsidRDefault="002358FA" w:rsidP="00CA7B81">
      <w:pPr>
        <w:contextualSpacing/>
        <w:rPr>
          <w:lang w:val="en-US"/>
        </w:rPr>
      </w:pPr>
      <w:proofErr w:type="spellStart"/>
      <w:r w:rsidRPr="003523C5">
        <w:rPr>
          <w:lang w:val="en-US"/>
        </w:rPr>
        <w:t>Avdikos</w:t>
      </w:r>
      <w:proofErr w:type="spellEnd"/>
      <w:r w:rsidRPr="003523C5">
        <w:rPr>
          <w:lang w:val="en-US"/>
        </w:rPr>
        <w:t xml:space="preserve">, Vasilis, and </w:t>
      </w:r>
      <w:proofErr w:type="spellStart"/>
      <w:r w:rsidRPr="003523C5">
        <w:rPr>
          <w:lang w:val="en-US"/>
        </w:rPr>
        <w:t>Anastassios</w:t>
      </w:r>
      <w:proofErr w:type="spellEnd"/>
      <w:r w:rsidRPr="003523C5">
        <w:rPr>
          <w:lang w:val="en-US"/>
        </w:rPr>
        <w:t xml:space="preserve"> </w:t>
      </w:r>
      <w:proofErr w:type="spellStart"/>
      <w:r w:rsidRPr="003523C5">
        <w:rPr>
          <w:lang w:val="en-US"/>
        </w:rPr>
        <w:t>Chardas</w:t>
      </w:r>
      <w:proofErr w:type="spellEnd"/>
      <w:r w:rsidRPr="003523C5">
        <w:rPr>
          <w:lang w:val="en-US"/>
        </w:rPr>
        <w:t xml:space="preserve">. 2016. ‘European Union Cohesion Policy Post 2014: More (Place-Based and Conditional) Growth – Less Redistribution and Cohesion’. Territory, Politics, Governance 4(1):97–117. </w:t>
      </w:r>
      <w:proofErr w:type="spellStart"/>
      <w:r w:rsidRPr="003523C5">
        <w:rPr>
          <w:lang w:val="en-US"/>
        </w:rPr>
        <w:t>doi</w:t>
      </w:r>
      <w:proofErr w:type="spellEnd"/>
      <w:r w:rsidRPr="003523C5">
        <w:rPr>
          <w:lang w:val="en-US"/>
        </w:rPr>
        <w:t>: 10.1080/21622671.2014.992460.</w:t>
      </w:r>
    </w:p>
    <w:p w14:paraId="277D60B9" w14:textId="77777777" w:rsidR="002358FA" w:rsidRPr="003523C5" w:rsidRDefault="002358FA" w:rsidP="00CA7B81">
      <w:pPr>
        <w:contextualSpacing/>
        <w:rPr>
          <w:lang w:val="en-US"/>
        </w:rPr>
      </w:pPr>
    </w:p>
    <w:p w14:paraId="0FF467CF" w14:textId="77777777" w:rsidR="002358FA" w:rsidRPr="003523C5" w:rsidRDefault="002358FA" w:rsidP="00CA7B81">
      <w:pPr>
        <w:contextualSpacing/>
        <w:rPr>
          <w:lang w:val="en-US"/>
        </w:rPr>
      </w:pPr>
      <w:r w:rsidRPr="003523C5">
        <w:rPr>
          <w:lang w:val="en-US"/>
        </w:rPr>
        <w:t xml:space="preserve">Aydin, </w:t>
      </w:r>
      <w:proofErr w:type="spellStart"/>
      <w:r w:rsidRPr="003523C5">
        <w:rPr>
          <w:lang w:val="en-US"/>
        </w:rPr>
        <w:t>Umut</w:t>
      </w:r>
      <w:proofErr w:type="spellEnd"/>
      <w:r w:rsidRPr="003523C5">
        <w:rPr>
          <w:lang w:val="en-US"/>
        </w:rPr>
        <w:t xml:space="preserve">. 2014. ‘Issue Framing in the European Commission: State Aid Policy and the Single Market’. Comparative European Politics 12(2):141–59. </w:t>
      </w:r>
      <w:proofErr w:type="spellStart"/>
      <w:r w:rsidRPr="003523C5">
        <w:rPr>
          <w:lang w:val="en-US"/>
        </w:rPr>
        <w:t>doi</w:t>
      </w:r>
      <w:proofErr w:type="spellEnd"/>
      <w:r w:rsidRPr="003523C5">
        <w:rPr>
          <w:lang w:val="en-US"/>
        </w:rPr>
        <w:t>: 10.1057/cep.2012.36.</w:t>
      </w:r>
    </w:p>
    <w:p w14:paraId="2E3F386E" w14:textId="77777777" w:rsidR="002358FA" w:rsidRPr="003523C5" w:rsidRDefault="002358FA" w:rsidP="00CA7B81">
      <w:pPr>
        <w:contextualSpacing/>
        <w:rPr>
          <w:lang w:val="en-US"/>
        </w:rPr>
      </w:pPr>
    </w:p>
    <w:p w14:paraId="4A64B1B2" w14:textId="77777777" w:rsidR="002358FA" w:rsidRPr="003523C5" w:rsidRDefault="002358FA" w:rsidP="00CA7B81">
      <w:pPr>
        <w:contextualSpacing/>
        <w:rPr>
          <w:lang w:val="en-US"/>
        </w:rPr>
      </w:pPr>
      <w:proofErr w:type="spellStart"/>
      <w:r w:rsidRPr="003523C5">
        <w:rPr>
          <w:lang w:val="en-US"/>
        </w:rPr>
        <w:t>Baccaro</w:t>
      </w:r>
      <w:proofErr w:type="spellEnd"/>
      <w:r w:rsidRPr="003523C5">
        <w:rPr>
          <w:lang w:val="en-US"/>
        </w:rPr>
        <w:t xml:space="preserve">, Lucio, Björn Bremer, and Erik </w:t>
      </w:r>
      <w:proofErr w:type="spellStart"/>
      <w:r w:rsidRPr="003523C5">
        <w:rPr>
          <w:lang w:val="en-US"/>
        </w:rPr>
        <w:t>Neimanns</w:t>
      </w:r>
      <w:proofErr w:type="spellEnd"/>
      <w:r w:rsidRPr="003523C5">
        <w:rPr>
          <w:lang w:val="en-US"/>
        </w:rPr>
        <w:t>. 2021. ‘Getting Closer by Moving Apart? Strategic Interdependence and Preferences for Debt Mutualization in the Eurozone’.</w:t>
      </w:r>
    </w:p>
    <w:p w14:paraId="1401DC6C" w14:textId="77777777" w:rsidR="002358FA" w:rsidRPr="003523C5" w:rsidRDefault="002358FA" w:rsidP="00CA7B81">
      <w:pPr>
        <w:contextualSpacing/>
        <w:rPr>
          <w:lang w:val="en-US"/>
        </w:rPr>
      </w:pPr>
    </w:p>
    <w:p w14:paraId="2671DE26" w14:textId="77777777" w:rsidR="002358FA" w:rsidRPr="003523C5" w:rsidRDefault="002358FA" w:rsidP="00CA7B81">
      <w:pPr>
        <w:contextualSpacing/>
        <w:rPr>
          <w:lang w:val="en-US"/>
        </w:rPr>
      </w:pPr>
      <w:proofErr w:type="spellStart"/>
      <w:r w:rsidRPr="003523C5">
        <w:rPr>
          <w:lang w:val="en-US"/>
        </w:rPr>
        <w:t>Bachtler</w:t>
      </w:r>
      <w:proofErr w:type="spellEnd"/>
      <w:r w:rsidRPr="003523C5">
        <w:rPr>
          <w:lang w:val="en-US"/>
        </w:rPr>
        <w:t xml:space="preserve">, John, and Fiona </w:t>
      </w:r>
      <w:proofErr w:type="spellStart"/>
      <w:r w:rsidRPr="003523C5">
        <w:rPr>
          <w:lang w:val="en-US"/>
        </w:rPr>
        <w:t>Wishlade</w:t>
      </w:r>
      <w:proofErr w:type="spellEnd"/>
      <w:r w:rsidRPr="003523C5">
        <w:rPr>
          <w:lang w:val="en-US"/>
        </w:rPr>
        <w:t xml:space="preserve">. 2015. Prospects for Cohesion Policy in 2014-20 and </w:t>
      </w:r>
      <w:proofErr w:type="gramStart"/>
      <w:r w:rsidRPr="003523C5">
        <w:rPr>
          <w:lang w:val="en-US"/>
        </w:rPr>
        <w:t>Beyond :</w:t>
      </w:r>
      <w:proofErr w:type="gramEnd"/>
      <w:r w:rsidRPr="003523C5">
        <w:rPr>
          <w:lang w:val="en-US"/>
        </w:rPr>
        <w:t xml:space="preserve"> Progress with Programming and Reflections on the Future. Report. Glasgow: University of Strathclyde.</w:t>
      </w:r>
    </w:p>
    <w:p w14:paraId="79641325" w14:textId="77777777" w:rsidR="002358FA" w:rsidRPr="003523C5" w:rsidRDefault="002358FA" w:rsidP="00CA7B81">
      <w:pPr>
        <w:contextualSpacing/>
        <w:rPr>
          <w:lang w:val="en-US"/>
        </w:rPr>
      </w:pPr>
    </w:p>
    <w:p w14:paraId="0F3F6D41" w14:textId="77777777" w:rsidR="002358FA" w:rsidRPr="003523C5" w:rsidRDefault="002358FA" w:rsidP="00CA7B81">
      <w:pPr>
        <w:contextualSpacing/>
        <w:rPr>
          <w:lang w:val="en-US"/>
        </w:rPr>
      </w:pPr>
      <w:r w:rsidRPr="003523C5">
        <w:rPr>
          <w:lang w:val="en-US"/>
        </w:rPr>
        <w:t xml:space="preserve">Balassa, Bela. 1961. ‘Towards a Theory of Economic Integration’. </w:t>
      </w:r>
      <w:proofErr w:type="spellStart"/>
      <w:r w:rsidRPr="003523C5">
        <w:rPr>
          <w:lang w:val="en-US"/>
        </w:rPr>
        <w:t>Kyklos</w:t>
      </w:r>
      <w:proofErr w:type="spellEnd"/>
      <w:r w:rsidRPr="003523C5">
        <w:rPr>
          <w:lang w:val="en-US"/>
        </w:rPr>
        <w:t xml:space="preserve"> 14(1):1–17. </w:t>
      </w:r>
      <w:proofErr w:type="spellStart"/>
      <w:r w:rsidRPr="003523C5">
        <w:rPr>
          <w:lang w:val="en-US"/>
        </w:rPr>
        <w:t>doi</w:t>
      </w:r>
      <w:proofErr w:type="spellEnd"/>
      <w:r w:rsidRPr="003523C5">
        <w:rPr>
          <w:lang w:val="en-US"/>
        </w:rPr>
        <w:t>: 10.1111/j.1467-</w:t>
      </w:r>
      <w:proofErr w:type="gramStart"/>
      <w:r w:rsidRPr="003523C5">
        <w:rPr>
          <w:lang w:val="en-US"/>
        </w:rPr>
        <w:t>6435.1961.tb</w:t>
      </w:r>
      <w:proofErr w:type="gramEnd"/>
      <w:r w:rsidRPr="003523C5">
        <w:rPr>
          <w:lang w:val="en-US"/>
        </w:rPr>
        <w:t>02365.x.</w:t>
      </w:r>
    </w:p>
    <w:p w14:paraId="0F4EFF01" w14:textId="77777777" w:rsidR="002358FA" w:rsidRPr="003523C5" w:rsidRDefault="002358FA" w:rsidP="00CA7B81">
      <w:pPr>
        <w:contextualSpacing/>
        <w:rPr>
          <w:lang w:val="en-US"/>
        </w:rPr>
      </w:pPr>
    </w:p>
    <w:p w14:paraId="6499792A" w14:textId="77777777" w:rsidR="002358FA" w:rsidRPr="003523C5" w:rsidRDefault="002358FA" w:rsidP="00CA7B81">
      <w:pPr>
        <w:contextualSpacing/>
        <w:rPr>
          <w:lang w:val="en-US"/>
        </w:rPr>
      </w:pPr>
      <w:r w:rsidRPr="003523C5">
        <w:rPr>
          <w:lang w:val="en-US"/>
        </w:rPr>
        <w:t xml:space="preserve">Ban, Cornel. 2020. ‘Emergency Keynesianism 2.0: The Political Economy of Fiscal Policy in Europe during the Corona Crisis’. </w:t>
      </w:r>
      <w:proofErr w:type="spellStart"/>
      <w:r w:rsidRPr="003523C5">
        <w:rPr>
          <w:lang w:val="en-US"/>
        </w:rPr>
        <w:t>Samfundsøkonomen</w:t>
      </w:r>
      <w:proofErr w:type="spellEnd"/>
      <w:r w:rsidRPr="003523C5">
        <w:rPr>
          <w:lang w:val="en-US"/>
        </w:rPr>
        <w:t xml:space="preserve"> (4):16–26. </w:t>
      </w:r>
      <w:proofErr w:type="spellStart"/>
      <w:r w:rsidRPr="003523C5">
        <w:rPr>
          <w:lang w:val="en-US"/>
        </w:rPr>
        <w:t>doi</w:t>
      </w:r>
      <w:proofErr w:type="spellEnd"/>
      <w:r w:rsidRPr="003523C5">
        <w:rPr>
          <w:lang w:val="en-US"/>
        </w:rPr>
        <w:t>: 10.7146/</w:t>
      </w:r>
      <w:proofErr w:type="gramStart"/>
      <w:r w:rsidRPr="003523C5">
        <w:rPr>
          <w:lang w:val="en-US"/>
        </w:rPr>
        <w:t>samfundsokonomen.v</w:t>
      </w:r>
      <w:proofErr w:type="gramEnd"/>
      <w:r w:rsidRPr="003523C5">
        <w:rPr>
          <w:lang w:val="en-US"/>
        </w:rPr>
        <w:t>0i4.123557.</w:t>
      </w:r>
    </w:p>
    <w:p w14:paraId="6ECA3C1D" w14:textId="77777777" w:rsidR="002358FA" w:rsidRPr="003523C5" w:rsidRDefault="002358FA" w:rsidP="00CA7B81">
      <w:pPr>
        <w:contextualSpacing/>
        <w:rPr>
          <w:lang w:val="en-US"/>
        </w:rPr>
      </w:pPr>
    </w:p>
    <w:p w14:paraId="5F71080A" w14:textId="584C0F71" w:rsidR="002358FA" w:rsidRPr="003523C5" w:rsidRDefault="002358FA" w:rsidP="00CA7B81">
      <w:pPr>
        <w:contextualSpacing/>
        <w:rPr>
          <w:lang w:val="en-US"/>
        </w:rPr>
      </w:pPr>
      <w:r w:rsidRPr="003523C5">
        <w:rPr>
          <w:lang w:val="en-US"/>
        </w:rPr>
        <w:t>Barca, Fabrizio. 2009. An Agenda for a Reformed Cohesion Policy. A Place-Based Approach to Meeting European Union Challenges and Expectations. Independent Report</w:t>
      </w:r>
      <w:r w:rsidR="00EA09D2" w:rsidRPr="003523C5">
        <w:rPr>
          <w:lang w:val="en-US"/>
        </w:rPr>
        <w:t xml:space="preserve"> </w:t>
      </w:r>
      <w:r w:rsidRPr="003523C5">
        <w:rPr>
          <w:lang w:val="en-US"/>
        </w:rPr>
        <w:t xml:space="preserve">prepared at the request of Danuta </w:t>
      </w:r>
      <w:proofErr w:type="spellStart"/>
      <w:r w:rsidRPr="003523C5">
        <w:rPr>
          <w:lang w:val="en-US"/>
        </w:rPr>
        <w:t>Hübner</w:t>
      </w:r>
      <w:proofErr w:type="spellEnd"/>
      <w:r w:rsidRPr="003523C5">
        <w:rPr>
          <w:lang w:val="en-US"/>
        </w:rPr>
        <w:t>, Commissioner for Regional Policy.</w:t>
      </w:r>
    </w:p>
    <w:p w14:paraId="0E4E49DE" w14:textId="77777777" w:rsidR="002358FA" w:rsidRPr="003523C5" w:rsidRDefault="002358FA" w:rsidP="00CA7B81">
      <w:pPr>
        <w:contextualSpacing/>
        <w:rPr>
          <w:lang w:val="en-US"/>
        </w:rPr>
      </w:pPr>
    </w:p>
    <w:p w14:paraId="6C748224" w14:textId="77777777" w:rsidR="002358FA" w:rsidRPr="003523C5" w:rsidRDefault="002358FA" w:rsidP="00CA7B81">
      <w:pPr>
        <w:contextualSpacing/>
        <w:rPr>
          <w:lang w:val="en-US"/>
        </w:rPr>
      </w:pPr>
      <w:r w:rsidRPr="003523C5">
        <w:rPr>
          <w:lang w:val="en-US"/>
        </w:rPr>
        <w:t xml:space="preserve">Becker, Peter. 2019. ‘The Reform of European Cohesion Policy or How to Couple the Streams Successfully’. Journal of European Integration 41(2):147–68. </w:t>
      </w:r>
      <w:proofErr w:type="spellStart"/>
      <w:r w:rsidRPr="003523C5">
        <w:rPr>
          <w:lang w:val="en-US"/>
        </w:rPr>
        <w:t>doi</w:t>
      </w:r>
      <w:proofErr w:type="spellEnd"/>
      <w:r w:rsidRPr="003523C5">
        <w:rPr>
          <w:lang w:val="en-US"/>
        </w:rPr>
        <w:t>: 10.1080/07036337.2018.1553964.</w:t>
      </w:r>
    </w:p>
    <w:p w14:paraId="4CB19DA2" w14:textId="77777777" w:rsidR="002358FA" w:rsidRPr="003523C5" w:rsidRDefault="002358FA" w:rsidP="00CA7B81">
      <w:pPr>
        <w:contextualSpacing/>
        <w:rPr>
          <w:lang w:val="en-US"/>
        </w:rPr>
      </w:pPr>
    </w:p>
    <w:p w14:paraId="54F921BF" w14:textId="77777777" w:rsidR="002358FA" w:rsidRPr="003523C5" w:rsidRDefault="002358FA" w:rsidP="00CA7B81">
      <w:pPr>
        <w:contextualSpacing/>
        <w:rPr>
          <w:lang w:val="en-US"/>
        </w:rPr>
      </w:pPr>
      <w:proofErr w:type="spellStart"/>
      <w:r w:rsidRPr="003523C5">
        <w:rPr>
          <w:lang w:val="en-US"/>
        </w:rPr>
        <w:t>Beramendi</w:t>
      </w:r>
      <w:proofErr w:type="spellEnd"/>
      <w:r w:rsidRPr="003523C5">
        <w:rPr>
          <w:lang w:val="en-US"/>
        </w:rPr>
        <w:t xml:space="preserve">, Pablo. 2007. ‘Inequality and the Territorial Fragmentation of Solidarity’. International Organization 61(4):783–820. </w:t>
      </w:r>
      <w:proofErr w:type="spellStart"/>
      <w:r w:rsidRPr="003523C5">
        <w:rPr>
          <w:lang w:val="en-US"/>
        </w:rPr>
        <w:t>doi</w:t>
      </w:r>
      <w:proofErr w:type="spellEnd"/>
      <w:r w:rsidRPr="003523C5">
        <w:rPr>
          <w:lang w:val="en-US"/>
        </w:rPr>
        <w:t>: 10.1017/S0020818307070270.</w:t>
      </w:r>
    </w:p>
    <w:p w14:paraId="74908AAE" w14:textId="77777777" w:rsidR="002358FA" w:rsidRPr="003523C5" w:rsidRDefault="002358FA" w:rsidP="00CA7B81">
      <w:pPr>
        <w:contextualSpacing/>
        <w:rPr>
          <w:lang w:val="en-US"/>
        </w:rPr>
      </w:pPr>
    </w:p>
    <w:p w14:paraId="68251D6F" w14:textId="77777777" w:rsidR="002358FA" w:rsidRPr="003523C5" w:rsidRDefault="002358FA" w:rsidP="00CA7B81">
      <w:pPr>
        <w:contextualSpacing/>
        <w:rPr>
          <w:lang w:val="en-US"/>
        </w:rPr>
      </w:pPr>
      <w:proofErr w:type="spellStart"/>
      <w:r w:rsidRPr="003523C5">
        <w:rPr>
          <w:lang w:val="en-US"/>
        </w:rPr>
        <w:t>Beramendi</w:t>
      </w:r>
      <w:proofErr w:type="spellEnd"/>
      <w:r w:rsidRPr="003523C5">
        <w:rPr>
          <w:lang w:val="en-US"/>
        </w:rPr>
        <w:t>, Pablo, and Sandra León. 2015. ‘Federalism’. in Routledge Handbook of Comparative Political Institutions. Routledge.</w:t>
      </w:r>
    </w:p>
    <w:p w14:paraId="72E71EA3" w14:textId="77777777" w:rsidR="002358FA" w:rsidRPr="003523C5" w:rsidRDefault="002358FA" w:rsidP="00CA7B81">
      <w:pPr>
        <w:contextualSpacing/>
        <w:rPr>
          <w:lang w:val="en-US"/>
        </w:rPr>
      </w:pPr>
    </w:p>
    <w:p w14:paraId="278F41F6" w14:textId="77777777" w:rsidR="002358FA" w:rsidRPr="003523C5" w:rsidRDefault="002358FA" w:rsidP="00CA7B81">
      <w:pPr>
        <w:contextualSpacing/>
        <w:rPr>
          <w:lang w:val="en-US"/>
        </w:rPr>
      </w:pPr>
      <w:proofErr w:type="spellStart"/>
      <w:r w:rsidRPr="003523C5">
        <w:rPr>
          <w:lang w:val="en-US"/>
        </w:rPr>
        <w:t>Blauberger</w:t>
      </w:r>
      <w:proofErr w:type="spellEnd"/>
      <w:r w:rsidRPr="003523C5">
        <w:rPr>
          <w:lang w:val="en-US"/>
        </w:rPr>
        <w:t>, Michael. 2009. ‘Of “Good” and “Bad” Subsidies: European State Aid Control through Soft and Hard Law’. West European Politics 32(4):719–37.</w:t>
      </w:r>
    </w:p>
    <w:p w14:paraId="3DE23FD3" w14:textId="77777777" w:rsidR="002358FA" w:rsidRPr="003523C5" w:rsidRDefault="002358FA" w:rsidP="00CA7B81">
      <w:pPr>
        <w:contextualSpacing/>
        <w:rPr>
          <w:lang w:val="en-US"/>
        </w:rPr>
      </w:pPr>
    </w:p>
    <w:p w14:paraId="2BB76A1B" w14:textId="77777777" w:rsidR="002358FA" w:rsidRPr="003523C5" w:rsidRDefault="002358FA" w:rsidP="00CA7B81">
      <w:pPr>
        <w:contextualSpacing/>
        <w:rPr>
          <w:lang w:val="en-US"/>
        </w:rPr>
      </w:pPr>
      <w:proofErr w:type="spellStart"/>
      <w:r w:rsidRPr="003523C5">
        <w:rPr>
          <w:lang w:val="en-US"/>
        </w:rPr>
        <w:lastRenderedPageBreak/>
        <w:t>Bodewig</w:t>
      </w:r>
      <w:proofErr w:type="spellEnd"/>
      <w:r w:rsidRPr="003523C5">
        <w:rPr>
          <w:lang w:val="en-US"/>
        </w:rPr>
        <w:t xml:space="preserve">, Christian, and Cristobal </w:t>
      </w:r>
      <w:proofErr w:type="spellStart"/>
      <w:r w:rsidRPr="003523C5">
        <w:rPr>
          <w:lang w:val="en-US"/>
        </w:rPr>
        <w:t>Ridao</w:t>
      </w:r>
      <w:proofErr w:type="spellEnd"/>
      <w:r w:rsidRPr="003523C5">
        <w:rPr>
          <w:lang w:val="en-US"/>
        </w:rPr>
        <w:t xml:space="preserve">-Cano. 2019. ‘How Can Europe Upgrade Its “Convergence </w:t>
      </w:r>
      <w:proofErr w:type="gramStart"/>
      <w:r w:rsidRPr="003523C5">
        <w:rPr>
          <w:lang w:val="en-US"/>
        </w:rPr>
        <w:t>Machine“</w:t>
      </w:r>
      <w:proofErr w:type="gramEnd"/>
      <w:r w:rsidRPr="003523C5">
        <w:rPr>
          <w:lang w:val="en-US"/>
        </w:rPr>
        <w:t xml:space="preserve">?’ </w:t>
      </w:r>
      <w:proofErr w:type="spellStart"/>
      <w:r w:rsidRPr="003523C5">
        <w:rPr>
          <w:lang w:val="en-US"/>
        </w:rPr>
        <w:t>Intereconomics</w:t>
      </w:r>
      <w:proofErr w:type="spellEnd"/>
      <w:r w:rsidRPr="003523C5">
        <w:rPr>
          <w:lang w:val="en-US"/>
        </w:rPr>
        <w:t xml:space="preserve"> 2019(1):11–18.</w:t>
      </w:r>
    </w:p>
    <w:p w14:paraId="366E493A" w14:textId="77777777" w:rsidR="002358FA" w:rsidRPr="003523C5" w:rsidRDefault="002358FA" w:rsidP="00CA7B81">
      <w:pPr>
        <w:contextualSpacing/>
        <w:rPr>
          <w:lang w:val="en-US"/>
        </w:rPr>
      </w:pPr>
    </w:p>
    <w:p w14:paraId="3FFC117C" w14:textId="77777777" w:rsidR="002358FA" w:rsidRPr="003523C5" w:rsidRDefault="002358FA" w:rsidP="00CA7B81">
      <w:pPr>
        <w:contextualSpacing/>
        <w:rPr>
          <w:lang w:val="en-US"/>
        </w:rPr>
      </w:pPr>
      <w:proofErr w:type="spellStart"/>
      <w:r w:rsidRPr="003523C5">
        <w:rPr>
          <w:lang w:val="en-US"/>
        </w:rPr>
        <w:t>Boldrin</w:t>
      </w:r>
      <w:proofErr w:type="spellEnd"/>
      <w:r w:rsidRPr="003523C5">
        <w:rPr>
          <w:lang w:val="en-US"/>
        </w:rPr>
        <w:t xml:space="preserve">, Michele, and Fabio Canova. 2003. ‘Regional Policies and EU Enlargement’. Pp. 33–94 in European Integration, Regional Policy and Growth, edited by B. </w:t>
      </w:r>
      <w:proofErr w:type="spellStart"/>
      <w:r w:rsidRPr="003523C5">
        <w:rPr>
          <w:lang w:val="en-US"/>
        </w:rPr>
        <w:t>Funck</w:t>
      </w:r>
      <w:proofErr w:type="spellEnd"/>
      <w:r w:rsidRPr="003523C5">
        <w:rPr>
          <w:lang w:val="en-US"/>
        </w:rPr>
        <w:t xml:space="preserve"> and L. </w:t>
      </w:r>
      <w:proofErr w:type="spellStart"/>
      <w:r w:rsidRPr="003523C5">
        <w:rPr>
          <w:lang w:val="en-US"/>
        </w:rPr>
        <w:t>Pizzati</w:t>
      </w:r>
      <w:proofErr w:type="spellEnd"/>
      <w:r w:rsidRPr="003523C5">
        <w:rPr>
          <w:lang w:val="en-US"/>
        </w:rPr>
        <w:t>. Washington D.C.: The World Bank.</w:t>
      </w:r>
    </w:p>
    <w:p w14:paraId="44378C9A" w14:textId="77777777" w:rsidR="002358FA" w:rsidRPr="003523C5" w:rsidRDefault="002358FA" w:rsidP="00CA7B81">
      <w:pPr>
        <w:contextualSpacing/>
        <w:rPr>
          <w:lang w:val="en-US"/>
        </w:rPr>
      </w:pPr>
    </w:p>
    <w:p w14:paraId="2219BF85" w14:textId="77777777" w:rsidR="002358FA" w:rsidRPr="003523C5" w:rsidRDefault="002358FA" w:rsidP="00CA7B81">
      <w:pPr>
        <w:contextualSpacing/>
        <w:rPr>
          <w:lang w:val="en-US"/>
        </w:rPr>
      </w:pPr>
      <w:proofErr w:type="spellStart"/>
      <w:r w:rsidRPr="003523C5">
        <w:rPr>
          <w:lang w:val="en-US"/>
        </w:rPr>
        <w:t>Börzel</w:t>
      </w:r>
      <w:proofErr w:type="spellEnd"/>
      <w:r w:rsidRPr="003523C5">
        <w:rPr>
          <w:lang w:val="en-US"/>
        </w:rPr>
        <w:t xml:space="preserve">, Tanja A. 2005. ‘What Can Federalism Teach Us about the European Union? The German Experience’. Regional &amp; Federal Studies 15(2):245–57. </w:t>
      </w:r>
      <w:proofErr w:type="spellStart"/>
      <w:r w:rsidRPr="003523C5">
        <w:rPr>
          <w:lang w:val="en-US"/>
        </w:rPr>
        <w:t>doi</w:t>
      </w:r>
      <w:proofErr w:type="spellEnd"/>
      <w:r w:rsidRPr="003523C5">
        <w:rPr>
          <w:lang w:val="en-US"/>
        </w:rPr>
        <w:t>: 10.1080/13597560500115626.</w:t>
      </w:r>
    </w:p>
    <w:p w14:paraId="50D52769" w14:textId="77777777" w:rsidR="002358FA" w:rsidRPr="003523C5" w:rsidRDefault="002358FA" w:rsidP="00CA7B81">
      <w:pPr>
        <w:contextualSpacing/>
        <w:rPr>
          <w:lang w:val="en-US"/>
        </w:rPr>
      </w:pPr>
    </w:p>
    <w:p w14:paraId="1C55B5AC" w14:textId="77777777" w:rsidR="002358FA" w:rsidRPr="003523C5" w:rsidRDefault="002358FA" w:rsidP="00CA7B81">
      <w:pPr>
        <w:contextualSpacing/>
        <w:rPr>
          <w:lang w:val="en-US"/>
        </w:rPr>
      </w:pPr>
      <w:proofErr w:type="spellStart"/>
      <w:r w:rsidRPr="003523C5">
        <w:rPr>
          <w:lang w:val="en-US"/>
        </w:rPr>
        <w:t>Börzel</w:t>
      </w:r>
      <w:proofErr w:type="spellEnd"/>
      <w:r w:rsidRPr="003523C5">
        <w:rPr>
          <w:lang w:val="en-US"/>
        </w:rPr>
        <w:t xml:space="preserve">, Tanja A., and Madeleine O. </w:t>
      </w:r>
      <w:proofErr w:type="spellStart"/>
      <w:r w:rsidRPr="003523C5">
        <w:rPr>
          <w:lang w:val="en-US"/>
        </w:rPr>
        <w:t>Hosli</w:t>
      </w:r>
      <w:proofErr w:type="spellEnd"/>
      <w:r w:rsidRPr="003523C5">
        <w:rPr>
          <w:lang w:val="en-US"/>
        </w:rPr>
        <w:t xml:space="preserve">. 2003. ‘Brussels between Bern and Berlin: Comparative Federalism Meets the European Union’. Governance 16(2):179–202. </w:t>
      </w:r>
      <w:proofErr w:type="spellStart"/>
      <w:r w:rsidRPr="003523C5">
        <w:rPr>
          <w:lang w:val="en-US"/>
        </w:rPr>
        <w:t>doi</w:t>
      </w:r>
      <w:proofErr w:type="spellEnd"/>
      <w:r w:rsidRPr="003523C5">
        <w:rPr>
          <w:lang w:val="en-US"/>
        </w:rPr>
        <w:t>: 10.1111/1468-0491.00213.</w:t>
      </w:r>
    </w:p>
    <w:p w14:paraId="1F2748C0" w14:textId="77777777" w:rsidR="002358FA" w:rsidRPr="003523C5" w:rsidRDefault="002358FA" w:rsidP="00CA7B81">
      <w:pPr>
        <w:contextualSpacing/>
        <w:rPr>
          <w:lang w:val="en-US"/>
        </w:rPr>
      </w:pPr>
    </w:p>
    <w:p w14:paraId="411EA93E" w14:textId="77777777" w:rsidR="002358FA" w:rsidRPr="003523C5" w:rsidRDefault="002358FA" w:rsidP="00CA7B81">
      <w:pPr>
        <w:contextualSpacing/>
        <w:rPr>
          <w:lang w:val="en-US"/>
        </w:rPr>
      </w:pPr>
      <w:proofErr w:type="spellStart"/>
      <w:r w:rsidRPr="003523C5">
        <w:rPr>
          <w:lang w:val="en-US"/>
        </w:rPr>
        <w:t>Börzel</w:t>
      </w:r>
      <w:proofErr w:type="spellEnd"/>
      <w:r w:rsidRPr="003523C5">
        <w:rPr>
          <w:lang w:val="en-US"/>
        </w:rPr>
        <w:t xml:space="preserve">, Tanja A., and Thomas </w:t>
      </w:r>
      <w:proofErr w:type="spellStart"/>
      <w:r w:rsidRPr="003523C5">
        <w:rPr>
          <w:lang w:val="en-US"/>
        </w:rPr>
        <w:t>Risse</w:t>
      </w:r>
      <w:proofErr w:type="spellEnd"/>
      <w:r w:rsidRPr="003523C5">
        <w:rPr>
          <w:lang w:val="en-US"/>
        </w:rPr>
        <w:t xml:space="preserve">. 2000. ‘Who Is Afraid of a European Federation? How to Constitutionalize a Multi-Level Governance System?’ in What Kind of Constitution for What Kind of Polity? Responses to </w:t>
      </w:r>
      <w:proofErr w:type="spellStart"/>
      <w:r w:rsidRPr="003523C5">
        <w:rPr>
          <w:lang w:val="en-US"/>
        </w:rPr>
        <w:t>Joschka</w:t>
      </w:r>
      <w:proofErr w:type="spellEnd"/>
      <w:r w:rsidRPr="003523C5">
        <w:rPr>
          <w:lang w:val="en-US"/>
        </w:rPr>
        <w:t xml:space="preserve"> Fischer, edited by C. </w:t>
      </w:r>
      <w:proofErr w:type="spellStart"/>
      <w:r w:rsidRPr="003523C5">
        <w:rPr>
          <w:lang w:val="en-US"/>
        </w:rPr>
        <w:t>Joerges</w:t>
      </w:r>
      <w:proofErr w:type="spellEnd"/>
      <w:r w:rsidRPr="003523C5">
        <w:rPr>
          <w:lang w:val="en-US"/>
        </w:rPr>
        <w:t xml:space="preserve">, Y. </w:t>
      </w:r>
      <w:proofErr w:type="spellStart"/>
      <w:r w:rsidRPr="003523C5">
        <w:rPr>
          <w:lang w:val="en-US"/>
        </w:rPr>
        <w:t>Mény</w:t>
      </w:r>
      <w:proofErr w:type="spellEnd"/>
      <w:r w:rsidRPr="003523C5">
        <w:rPr>
          <w:lang w:val="en-US"/>
        </w:rPr>
        <w:t xml:space="preserve">, and J. H. H. </w:t>
      </w:r>
      <w:proofErr w:type="spellStart"/>
      <w:r w:rsidRPr="003523C5">
        <w:rPr>
          <w:lang w:val="en-US"/>
        </w:rPr>
        <w:t>Weiler</w:t>
      </w:r>
      <w:proofErr w:type="spellEnd"/>
      <w:r w:rsidRPr="003523C5">
        <w:rPr>
          <w:lang w:val="en-US"/>
        </w:rPr>
        <w:t>. Florence: European University Institute.</w:t>
      </w:r>
    </w:p>
    <w:p w14:paraId="504F91E7" w14:textId="77777777" w:rsidR="002358FA" w:rsidRPr="003523C5" w:rsidRDefault="002358FA" w:rsidP="00CA7B81">
      <w:pPr>
        <w:contextualSpacing/>
        <w:rPr>
          <w:lang w:val="en-US"/>
        </w:rPr>
      </w:pPr>
    </w:p>
    <w:p w14:paraId="179D37B7" w14:textId="77777777" w:rsidR="002358FA" w:rsidRPr="003523C5" w:rsidRDefault="002358FA" w:rsidP="00CA7B81">
      <w:pPr>
        <w:contextualSpacing/>
        <w:rPr>
          <w:lang w:val="en-US"/>
        </w:rPr>
      </w:pPr>
      <w:proofErr w:type="spellStart"/>
      <w:r w:rsidRPr="003523C5">
        <w:rPr>
          <w:lang w:val="en-US"/>
        </w:rPr>
        <w:t>Bruszt</w:t>
      </w:r>
      <w:proofErr w:type="spellEnd"/>
      <w:r w:rsidRPr="003523C5">
        <w:rPr>
          <w:lang w:val="en-US"/>
        </w:rPr>
        <w:t xml:space="preserve">, László. 2002. ‘Market Making as State Making: Constitutions and Economic Development in Post-Communist Eastern Europe’. Constitutional Political Economy 13(1):53–72. </w:t>
      </w:r>
      <w:proofErr w:type="spellStart"/>
      <w:r w:rsidRPr="003523C5">
        <w:rPr>
          <w:lang w:val="en-US"/>
        </w:rPr>
        <w:t>doi</w:t>
      </w:r>
      <w:proofErr w:type="spellEnd"/>
      <w:r w:rsidRPr="003523C5">
        <w:rPr>
          <w:lang w:val="en-US"/>
        </w:rPr>
        <w:t>: 10.1023/A:1013687107792.</w:t>
      </w:r>
    </w:p>
    <w:p w14:paraId="056F376F" w14:textId="77777777" w:rsidR="002358FA" w:rsidRPr="003523C5" w:rsidRDefault="002358FA" w:rsidP="00CA7B81">
      <w:pPr>
        <w:contextualSpacing/>
        <w:rPr>
          <w:lang w:val="en-US"/>
        </w:rPr>
      </w:pPr>
    </w:p>
    <w:p w14:paraId="16AE4989" w14:textId="77777777" w:rsidR="002358FA" w:rsidRPr="003523C5" w:rsidRDefault="002358FA" w:rsidP="00CA7B81">
      <w:pPr>
        <w:contextualSpacing/>
        <w:rPr>
          <w:lang w:val="en-US"/>
        </w:rPr>
      </w:pPr>
      <w:proofErr w:type="spellStart"/>
      <w:r w:rsidRPr="003523C5">
        <w:rPr>
          <w:lang w:val="en-US"/>
        </w:rPr>
        <w:t>Bruszt</w:t>
      </w:r>
      <w:proofErr w:type="spellEnd"/>
      <w:r w:rsidRPr="003523C5">
        <w:rPr>
          <w:lang w:val="en-US"/>
        </w:rPr>
        <w:t xml:space="preserve">, László, and Julia </w:t>
      </w:r>
      <w:proofErr w:type="spellStart"/>
      <w:r w:rsidRPr="003523C5">
        <w:rPr>
          <w:lang w:val="en-US"/>
        </w:rPr>
        <w:t>Langbein</w:t>
      </w:r>
      <w:proofErr w:type="spellEnd"/>
      <w:r w:rsidRPr="003523C5">
        <w:rPr>
          <w:lang w:val="en-US"/>
        </w:rPr>
        <w:t xml:space="preserve">. 2020. ‘Manufacturing Development: How Transnational Market Integration Shapes Opportunities and Capacities for Development in Europe’s Three Peripheries’. Review of International Political Economy 27(5):996–1019. </w:t>
      </w:r>
      <w:proofErr w:type="spellStart"/>
      <w:r w:rsidRPr="003523C5">
        <w:rPr>
          <w:lang w:val="en-US"/>
        </w:rPr>
        <w:t>doi</w:t>
      </w:r>
      <w:proofErr w:type="spellEnd"/>
      <w:r w:rsidRPr="003523C5">
        <w:rPr>
          <w:lang w:val="en-US"/>
        </w:rPr>
        <w:t>: 10.1080/09692290.2020.1726790.</w:t>
      </w:r>
    </w:p>
    <w:p w14:paraId="3747C6B1" w14:textId="77777777" w:rsidR="002358FA" w:rsidRPr="003523C5" w:rsidRDefault="002358FA" w:rsidP="00CA7B81">
      <w:pPr>
        <w:contextualSpacing/>
        <w:rPr>
          <w:lang w:val="en-US"/>
        </w:rPr>
      </w:pPr>
    </w:p>
    <w:p w14:paraId="579E376F" w14:textId="77777777" w:rsidR="002358FA" w:rsidRPr="003523C5" w:rsidRDefault="002358FA" w:rsidP="00CA7B81">
      <w:pPr>
        <w:contextualSpacing/>
        <w:rPr>
          <w:lang w:val="en-US"/>
        </w:rPr>
      </w:pPr>
      <w:proofErr w:type="spellStart"/>
      <w:r w:rsidRPr="003523C5">
        <w:rPr>
          <w:lang w:val="en-US"/>
        </w:rPr>
        <w:t>Bruszt</w:t>
      </w:r>
      <w:proofErr w:type="spellEnd"/>
      <w:r w:rsidRPr="003523C5">
        <w:rPr>
          <w:lang w:val="en-US"/>
        </w:rPr>
        <w:t>, László, and Gerald A. McDermott. 2014. Leveling the Playing Field: Transnational Regulatory Integration and Development. Oxford University Press.</w:t>
      </w:r>
    </w:p>
    <w:p w14:paraId="6BC193EF" w14:textId="77777777" w:rsidR="002358FA" w:rsidRPr="003523C5" w:rsidRDefault="002358FA" w:rsidP="00CA7B81">
      <w:pPr>
        <w:contextualSpacing/>
        <w:rPr>
          <w:lang w:val="en-US"/>
        </w:rPr>
      </w:pPr>
    </w:p>
    <w:p w14:paraId="7C552644" w14:textId="77777777" w:rsidR="002358FA" w:rsidRPr="003523C5" w:rsidRDefault="002358FA" w:rsidP="00CA7B81">
      <w:pPr>
        <w:contextualSpacing/>
        <w:rPr>
          <w:lang w:val="en-US"/>
        </w:rPr>
      </w:pPr>
      <w:proofErr w:type="spellStart"/>
      <w:r w:rsidRPr="003523C5">
        <w:rPr>
          <w:lang w:val="en-US"/>
        </w:rPr>
        <w:t>Bruszt</w:t>
      </w:r>
      <w:proofErr w:type="spellEnd"/>
      <w:r w:rsidRPr="003523C5">
        <w:rPr>
          <w:lang w:val="en-US"/>
        </w:rPr>
        <w:t xml:space="preserve">, László, and Stefano </w:t>
      </w:r>
      <w:proofErr w:type="spellStart"/>
      <w:r w:rsidRPr="003523C5">
        <w:rPr>
          <w:lang w:val="en-US"/>
        </w:rPr>
        <w:t>Palestini</w:t>
      </w:r>
      <w:proofErr w:type="spellEnd"/>
      <w:r w:rsidRPr="003523C5">
        <w:rPr>
          <w:lang w:val="en-US"/>
        </w:rPr>
        <w:t xml:space="preserve">. 2016. ‘Regional Development Governance’. in The Oxford Handbook of Comparative Regionalism, edited by T. A. </w:t>
      </w:r>
      <w:proofErr w:type="spellStart"/>
      <w:r w:rsidRPr="003523C5">
        <w:rPr>
          <w:lang w:val="en-US"/>
        </w:rPr>
        <w:t>Börzel</w:t>
      </w:r>
      <w:proofErr w:type="spellEnd"/>
      <w:r w:rsidRPr="003523C5">
        <w:rPr>
          <w:lang w:val="en-US"/>
        </w:rPr>
        <w:t xml:space="preserve"> and T. </w:t>
      </w:r>
      <w:proofErr w:type="spellStart"/>
      <w:r w:rsidRPr="003523C5">
        <w:rPr>
          <w:lang w:val="en-US"/>
        </w:rPr>
        <w:t>Risse</w:t>
      </w:r>
      <w:proofErr w:type="spellEnd"/>
      <w:r w:rsidRPr="003523C5">
        <w:rPr>
          <w:lang w:val="en-US"/>
        </w:rPr>
        <w:t>. New York: Oxford University Press.</w:t>
      </w:r>
    </w:p>
    <w:p w14:paraId="69A9F503" w14:textId="77777777" w:rsidR="002358FA" w:rsidRPr="003523C5" w:rsidRDefault="002358FA" w:rsidP="00CA7B81">
      <w:pPr>
        <w:contextualSpacing/>
        <w:rPr>
          <w:lang w:val="en-US"/>
        </w:rPr>
      </w:pPr>
    </w:p>
    <w:p w14:paraId="38296D1A" w14:textId="77777777" w:rsidR="002358FA" w:rsidRPr="003523C5" w:rsidRDefault="002358FA" w:rsidP="00CA7B81">
      <w:pPr>
        <w:contextualSpacing/>
        <w:rPr>
          <w:lang w:val="en-US"/>
        </w:rPr>
      </w:pPr>
      <w:proofErr w:type="spellStart"/>
      <w:r w:rsidRPr="003523C5">
        <w:rPr>
          <w:lang w:val="en-US"/>
        </w:rPr>
        <w:t>Bruszt</w:t>
      </w:r>
      <w:proofErr w:type="spellEnd"/>
      <w:r w:rsidRPr="003523C5">
        <w:rPr>
          <w:lang w:val="en-US"/>
        </w:rPr>
        <w:t xml:space="preserve">, László, and </w:t>
      </w:r>
      <w:proofErr w:type="spellStart"/>
      <w:r w:rsidRPr="003523C5">
        <w:rPr>
          <w:lang w:val="en-US"/>
        </w:rPr>
        <w:t>Visnja</w:t>
      </w:r>
      <w:proofErr w:type="spellEnd"/>
      <w:r w:rsidRPr="003523C5">
        <w:rPr>
          <w:lang w:val="en-US"/>
        </w:rPr>
        <w:t xml:space="preserve"> </w:t>
      </w:r>
      <w:proofErr w:type="spellStart"/>
      <w:r w:rsidRPr="003523C5">
        <w:rPr>
          <w:lang w:val="en-US"/>
        </w:rPr>
        <w:t>Vukov</w:t>
      </w:r>
      <w:proofErr w:type="spellEnd"/>
      <w:r w:rsidRPr="003523C5">
        <w:rPr>
          <w:lang w:val="en-US"/>
        </w:rPr>
        <w:t>. 2015. ‘</w:t>
      </w:r>
      <w:proofErr w:type="spellStart"/>
      <w:r w:rsidRPr="003523C5">
        <w:rPr>
          <w:lang w:val="en-US"/>
        </w:rPr>
        <w:t>Transnationalizing</w:t>
      </w:r>
      <w:proofErr w:type="spellEnd"/>
      <w:r w:rsidRPr="003523C5">
        <w:rPr>
          <w:lang w:val="en-US"/>
        </w:rPr>
        <w:t xml:space="preserve"> States in Europe’s Peripheries: European Integration and the Evolution of Economic State Capacities in the Southern and Eastern Peripheries of Europe’. The Journal of Comparative Economic Studies 10:69–92.</w:t>
      </w:r>
    </w:p>
    <w:p w14:paraId="284B3F56" w14:textId="77777777" w:rsidR="002358FA" w:rsidRPr="003523C5" w:rsidRDefault="002358FA" w:rsidP="00CA7B81">
      <w:pPr>
        <w:contextualSpacing/>
        <w:rPr>
          <w:lang w:val="en-US"/>
        </w:rPr>
      </w:pPr>
    </w:p>
    <w:p w14:paraId="69C98541" w14:textId="77777777" w:rsidR="002358FA" w:rsidRPr="003523C5" w:rsidRDefault="002358FA" w:rsidP="00CA7B81">
      <w:pPr>
        <w:contextualSpacing/>
        <w:rPr>
          <w:lang w:val="en-US"/>
        </w:rPr>
      </w:pPr>
      <w:proofErr w:type="spellStart"/>
      <w:r w:rsidRPr="003523C5">
        <w:rPr>
          <w:lang w:val="en-US"/>
        </w:rPr>
        <w:t>Celi</w:t>
      </w:r>
      <w:proofErr w:type="spellEnd"/>
      <w:r w:rsidRPr="003523C5">
        <w:rPr>
          <w:lang w:val="en-US"/>
        </w:rPr>
        <w:t xml:space="preserve">, Giuseppe, Andrea Ginzburg, Dario </w:t>
      </w:r>
      <w:proofErr w:type="spellStart"/>
      <w:r w:rsidRPr="003523C5">
        <w:rPr>
          <w:lang w:val="en-US"/>
        </w:rPr>
        <w:t>Guarascio</w:t>
      </w:r>
      <w:proofErr w:type="spellEnd"/>
      <w:r w:rsidRPr="003523C5">
        <w:rPr>
          <w:lang w:val="en-US"/>
        </w:rPr>
        <w:t xml:space="preserve">, and Annamaria </w:t>
      </w:r>
      <w:proofErr w:type="spellStart"/>
      <w:r w:rsidRPr="003523C5">
        <w:rPr>
          <w:lang w:val="en-US"/>
        </w:rPr>
        <w:t>Simonazzi</w:t>
      </w:r>
      <w:proofErr w:type="spellEnd"/>
      <w:r w:rsidRPr="003523C5">
        <w:rPr>
          <w:lang w:val="en-US"/>
        </w:rPr>
        <w:t>. 2018. Crisis in the European Monetary Union: A Core-Periphery Perspective. London: Routledge.</w:t>
      </w:r>
    </w:p>
    <w:p w14:paraId="730A0599" w14:textId="77777777" w:rsidR="002358FA" w:rsidRPr="003523C5" w:rsidRDefault="002358FA" w:rsidP="00CA7B81">
      <w:pPr>
        <w:contextualSpacing/>
        <w:rPr>
          <w:lang w:val="en-US"/>
        </w:rPr>
      </w:pPr>
    </w:p>
    <w:p w14:paraId="6285A981" w14:textId="77777777" w:rsidR="002358FA" w:rsidRPr="003523C5" w:rsidRDefault="002358FA" w:rsidP="00CA7B81">
      <w:pPr>
        <w:contextualSpacing/>
        <w:rPr>
          <w:lang w:val="en-US"/>
        </w:rPr>
      </w:pPr>
      <w:proofErr w:type="spellStart"/>
      <w:r w:rsidRPr="003523C5">
        <w:rPr>
          <w:lang w:val="en-US"/>
        </w:rPr>
        <w:t>Cini</w:t>
      </w:r>
      <w:proofErr w:type="spellEnd"/>
      <w:r w:rsidRPr="003523C5">
        <w:rPr>
          <w:lang w:val="en-US"/>
        </w:rPr>
        <w:t xml:space="preserve">, Michelle. 2021. ‘State Aid Control from a Political Science Perspective’. Pp. 1–14 in Research Handbook on European State Aid Law, Research Handbooks in European Law, edited by L. </w:t>
      </w:r>
      <w:proofErr w:type="spellStart"/>
      <w:r w:rsidRPr="003523C5">
        <w:rPr>
          <w:lang w:val="en-US"/>
        </w:rPr>
        <w:t>Hancher</w:t>
      </w:r>
      <w:proofErr w:type="spellEnd"/>
      <w:r w:rsidRPr="003523C5">
        <w:rPr>
          <w:lang w:val="en-US"/>
        </w:rPr>
        <w:t xml:space="preserve"> and J. J. </w:t>
      </w:r>
      <w:proofErr w:type="spellStart"/>
      <w:r w:rsidRPr="003523C5">
        <w:rPr>
          <w:lang w:val="en-US"/>
        </w:rPr>
        <w:t>Piernas</w:t>
      </w:r>
      <w:proofErr w:type="spellEnd"/>
      <w:r w:rsidRPr="003523C5">
        <w:rPr>
          <w:lang w:val="en-US"/>
        </w:rPr>
        <w:t xml:space="preserve"> López. Cheltenham, UK and Northampton, USA: Edward Elgar.</w:t>
      </w:r>
    </w:p>
    <w:p w14:paraId="3CC49B7F" w14:textId="77777777" w:rsidR="002358FA" w:rsidRPr="003523C5" w:rsidRDefault="002358FA" w:rsidP="00CA7B81">
      <w:pPr>
        <w:contextualSpacing/>
        <w:rPr>
          <w:lang w:val="en-US"/>
        </w:rPr>
      </w:pPr>
    </w:p>
    <w:p w14:paraId="5D8E249C" w14:textId="77777777" w:rsidR="002358FA" w:rsidRPr="003523C5" w:rsidRDefault="002358FA" w:rsidP="00CA7B81">
      <w:pPr>
        <w:contextualSpacing/>
        <w:rPr>
          <w:lang w:val="en-US"/>
        </w:rPr>
      </w:pPr>
      <w:proofErr w:type="spellStart"/>
      <w:r w:rsidRPr="003523C5">
        <w:rPr>
          <w:lang w:val="en-US"/>
        </w:rPr>
        <w:t>Cini</w:t>
      </w:r>
      <w:proofErr w:type="spellEnd"/>
      <w:r w:rsidRPr="003523C5">
        <w:rPr>
          <w:lang w:val="en-US"/>
        </w:rPr>
        <w:t xml:space="preserve">, Michelle, and Lee McGowan. 1998. Competition Policy in the European Union. </w:t>
      </w:r>
      <w:proofErr w:type="spellStart"/>
      <w:r w:rsidRPr="003523C5">
        <w:rPr>
          <w:lang w:val="en-US"/>
        </w:rPr>
        <w:t>Houndmills</w:t>
      </w:r>
      <w:proofErr w:type="spellEnd"/>
      <w:r w:rsidRPr="003523C5">
        <w:rPr>
          <w:lang w:val="en-US"/>
        </w:rPr>
        <w:t>, Basingstoke, Hampshire and London: Macmillan Press.</w:t>
      </w:r>
    </w:p>
    <w:p w14:paraId="311F6DD5" w14:textId="77777777" w:rsidR="002358FA" w:rsidRPr="003523C5" w:rsidRDefault="002358FA" w:rsidP="00CA7B81">
      <w:pPr>
        <w:contextualSpacing/>
        <w:rPr>
          <w:lang w:val="en-US"/>
        </w:rPr>
      </w:pPr>
    </w:p>
    <w:p w14:paraId="1DC55335" w14:textId="77777777" w:rsidR="002358FA" w:rsidRPr="003523C5" w:rsidRDefault="002358FA" w:rsidP="00CA7B81">
      <w:pPr>
        <w:contextualSpacing/>
        <w:rPr>
          <w:lang w:val="en-US"/>
        </w:rPr>
      </w:pPr>
      <w:r w:rsidRPr="003523C5">
        <w:rPr>
          <w:lang w:val="en-US"/>
        </w:rPr>
        <w:t xml:space="preserve">Clifton, Judith, Daniel Díaz-Fuentes, and Ana Lara Gómez. 2018. ‘The European Investment Bank: Development, Integration, Investment?’ JCMS: Journal of Common Market Studies 56(4):733–50. </w:t>
      </w:r>
      <w:proofErr w:type="spellStart"/>
      <w:r w:rsidRPr="003523C5">
        <w:rPr>
          <w:lang w:val="en-US"/>
        </w:rPr>
        <w:t>doi</w:t>
      </w:r>
      <w:proofErr w:type="spellEnd"/>
      <w:r w:rsidRPr="003523C5">
        <w:rPr>
          <w:lang w:val="en-US"/>
        </w:rPr>
        <w:t>: 10.1111/jcms.12614.</w:t>
      </w:r>
    </w:p>
    <w:p w14:paraId="3615CF07" w14:textId="77777777" w:rsidR="002358FA" w:rsidRPr="003523C5" w:rsidRDefault="002358FA" w:rsidP="00CA7B81">
      <w:pPr>
        <w:contextualSpacing/>
        <w:rPr>
          <w:lang w:val="en-US"/>
        </w:rPr>
      </w:pPr>
    </w:p>
    <w:p w14:paraId="7DB410E9" w14:textId="052C42D9" w:rsidR="002358FA" w:rsidRPr="003523C5" w:rsidRDefault="002358FA" w:rsidP="00CA7B81">
      <w:pPr>
        <w:contextualSpacing/>
        <w:rPr>
          <w:lang w:val="en-US"/>
        </w:rPr>
      </w:pPr>
      <w:r w:rsidRPr="003523C5">
        <w:rPr>
          <w:lang w:val="en-US"/>
        </w:rPr>
        <w:t xml:space="preserve">Colombo, Carlo Maria. 2019. ‘State Aid Control in the </w:t>
      </w:r>
      <w:proofErr w:type="spellStart"/>
      <w:r w:rsidRPr="003523C5">
        <w:rPr>
          <w:lang w:val="en-US"/>
        </w:rPr>
        <w:t>Modernisation</w:t>
      </w:r>
      <w:proofErr w:type="spellEnd"/>
      <w:r w:rsidRPr="003523C5">
        <w:rPr>
          <w:lang w:val="en-US"/>
        </w:rPr>
        <w:t xml:space="preserve"> Era: Moving towards a Differentiated Administrative Integration?’ European Law Journal 25(3):292–316. </w:t>
      </w:r>
      <w:proofErr w:type="spellStart"/>
      <w:r w:rsidRPr="003523C5">
        <w:rPr>
          <w:lang w:val="en-US"/>
        </w:rPr>
        <w:t>doi</w:t>
      </w:r>
      <w:proofErr w:type="spellEnd"/>
      <w:r w:rsidRPr="003523C5">
        <w:rPr>
          <w:lang w:val="en-US"/>
        </w:rPr>
        <w:t xml:space="preserve">: </w:t>
      </w:r>
      <w:r w:rsidRPr="00E536D0">
        <w:rPr>
          <w:lang w:val="en-US"/>
        </w:rPr>
        <w:t>https://doi.org/10.1111/eulj.12324</w:t>
      </w:r>
      <w:r w:rsidRPr="003523C5">
        <w:rPr>
          <w:lang w:val="en-US"/>
        </w:rPr>
        <w:t>.</w:t>
      </w:r>
    </w:p>
    <w:p w14:paraId="7FF9C4E2" w14:textId="77777777" w:rsidR="002358FA" w:rsidRPr="003523C5" w:rsidRDefault="002358FA" w:rsidP="00CA7B81">
      <w:pPr>
        <w:contextualSpacing/>
        <w:rPr>
          <w:lang w:val="en-US"/>
        </w:rPr>
      </w:pPr>
    </w:p>
    <w:p w14:paraId="2C031740" w14:textId="77777777" w:rsidR="002358FA" w:rsidRPr="003523C5" w:rsidRDefault="002358FA" w:rsidP="00CA7B81">
      <w:pPr>
        <w:contextualSpacing/>
        <w:rPr>
          <w:lang w:val="en-US"/>
        </w:rPr>
      </w:pPr>
      <w:proofErr w:type="spellStart"/>
      <w:r w:rsidRPr="003523C5">
        <w:rPr>
          <w:lang w:val="en-US"/>
        </w:rPr>
        <w:t>Delors</w:t>
      </w:r>
      <w:proofErr w:type="spellEnd"/>
      <w:r w:rsidRPr="003523C5">
        <w:rPr>
          <w:lang w:val="en-US"/>
        </w:rPr>
        <w:t>, Jacques. 1989. Report on Economic and Monetary Union in the European Community. Brussels: European Council.</w:t>
      </w:r>
    </w:p>
    <w:p w14:paraId="0D9FC38D" w14:textId="77777777" w:rsidR="002358FA" w:rsidRPr="003523C5" w:rsidRDefault="002358FA" w:rsidP="00CA7B81">
      <w:pPr>
        <w:contextualSpacing/>
        <w:rPr>
          <w:lang w:val="en-US"/>
        </w:rPr>
      </w:pPr>
    </w:p>
    <w:p w14:paraId="451DAEC5" w14:textId="77777777" w:rsidR="002358FA" w:rsidRPr="003523C5" w:rsidRDefault="002358FA" w:rsidP="00CA7B81">
      <w:pPr>
        <w:contextualSpacing/>
        <w:rPr>
          <w:lang w:val="en-US"/>
        </w:rPr>
      </w:pPr>
      <w:proofErr w:type="spellStart"/>
      <w:r w:rsidRPr="003523C5">
        <w:rPr>
          <w:lang w:val="en-US"/>
        </w:rPr>
        <w:t>Dewatripont</w:t>
      </w:r>
      <w:proofErr w:type="spellEnd"/>
      <w:r w:rsidRPr="003523C5">
        <w:rPr>
          <w:lang w:val="en-US"/>
        </w:rPr>
        <w:t xml:space="preserve">, M. and Seabright, P. (2006) Wasteful public spending and public control. Journal of the European Economic Association, 4(2–3), pp. 513–522. </w:t>
      </w:r>
    </w:p>
    <w:p w14:paraId="1EC69E66" w14:textId="77777777" w:rsidR="002358FA" w:rsidRPr="003523C5" w:rsidRDefault="002358FA" w:rsidP="00CA7B81">
      <w:pPr>
        <w:contextualSpacing/>
        <w:rPr>
          <w:lang w:val="en-US"/>
        </w:rPr>
      </w:pPr>
    </w:p>
    <w:p w14:paraId="44B778EF" w14:textId="77777777" w:rsidR="002358FA" w:rsidRPr="003523C5" w:rsidRDefault="002358FA" w:rsidP="00CA7B81">
      <w:pPr>
        <w:contextualSpacing/>
        <w:rPr>
          <w:lang w:val="en-US"/>
        </w:rPr>
      </w:pPr>
      <w:proofErr w:type="spellStart"/>
      <w:r w:rsidRPr="003523C5">
        <w:rPr>
          <w:lang w:val="en-US"/>
        </w:rPr>
        <w:t>Doleys</w:t>
      </w:r>
      <w:proofErr w:type="spellEnd"/>
      <w:r w:rsidRPr="003523C5">
        <w:rPr>
          <w:lang w:val="en-US"/>
        </w:rPr>
        <w:t xml:space="preserve">, Thomas J. 2013. ‘Managing the Dilemma of Discretion: The European Commission and the Development of EU State Aid Policy’. Journal of Industry, Competition and Trade 13(1):23–38. </w:t>
      </w:r>
      <w:proofErr w:type="spellStart"/>
      <w:r w:rsidRPr="003523C5">
        <w:rPr>
          <w:lang w:val="en-US"/>
        </w:rPr>
        <w:t>doi</w:t>
      </w:r>
      <w:proofErr w:type="spellEnd"/>
      <w:r w:rsidRPr="003523C5">
        <w:rPr>
          <w:lang w:val="en-US"/>
        </w:rPr>
        <w:t>: 10.1007/s10842-012-0140-y.</w:t>
      </w:r>
    </w:p>
    <w:p w14:paraId="4DA74669" w14:textId="77777777" w:rsidR="002358FA" w:rsidRPr="003523C5" w:rsidRDefault="002358FA" w:rsidP="00CA7B81">
      <w:pPr>
        <w:contextualSpacing/>
        <w:rPr>
          <w:lang w:val="en-US"/>
        </w:rPr>
      </w:pPr>
    </w:p>
    <w:p w14:paraId="2544FEF7" w14:textId="77777777" w:rsidR="002358FA" w:rsidRPr="003523C5" w:rsidRDefault="002358FA" w:rsidP="00CA7B81">
      <w:pPr>
        <w:contextualSpacing/>
        <w:rPr>
          <w:lang w:val="en-US"/>
        </w:rPr>
      </w:pPr>
      <w:r w:rsidRPr="003523C5">
        <w:rPr>
          <w:lang w:val="en-US"/>
        </w:rPr>
        <w:t>Dombey, Daniel. 2020. ‘Spain Calls for €1.5tn EU Recovery Fund to “Protect Internal Market”’. Financial Times, April 21.</w:t>
      </w:r>
    </w:p>
    <w:p w14:paraId="62F614E2" w14:textId="77777777" w:rsidR="002358FA" w:rsidRPr="003523C5" w:rsidRDefault="002358FA" w:rsidP="00CA7B81">
      <w:pPr>
        <w:contextualSpacing/>
        <w:rPr>
          <w:lang w:val="en-US"/>
        </w:rPr>
      </w:pPr>
    </w:p>
    <w:p w14:paraId="158C0310" w14:textId="77777777" w:rsidR="002358FA" w:rsidRPr="003523C5" w:rsidRDefault="002358FA" w:rsidP="00CA7B81">
      <w:pPr>
        <w:contextualSpacing/>
        <w:rPr>
          <w:lang w:val="en-US"/>
        </w:rPr>
      </w:pPr>
      <w:r w:rsidRPr="003523C5">
        <w:rPr>
          <w:lang w:val="en-US"/>
        </w:rPr>
        <w:t>Egan, Michelle. 2015. Single Markets: Economic Integration in Europe and the United States. Oxford and New York: Oxford University Press.</w:t>
      </w:r>
    </w:p>
    <w:p w14:paraId="375E31F0" w14:textId="77777777" w:rsidR="002358FA" w:rsidRPr="003523C5" w:rsidRDefault="002358FA" w:rsidP="00CA7B81">
      <w:pPr>
        <w:contextualSpacing/>
        <w:rPr>
          <w:lang w:val="en-US"/>
        </w:rPr>
      </w:pPr>
    </w:p>
    <w:p w14:paraId="33AE95B6" w14:textId="77777777" w:rsidR="002358FA" w:rsidRPr="003523C5" w:rsidRDefault="002358FA" w:rsidP="00CA7B81">
      <w:pPr>
        <w:contextualSpacing/>
        <w:rPr>
          <w:lang w:val="en-US"/>
        </w:rPr>
      </w:pPr>
      <w:r w:rsidRPr="003523C5">
        <w:rPr>
          <w:lang w:val="en-US"/>
        </w:rPr>
        <w:t>European Commission. 2010. ‘Europe 2020. A European Strategy for Smart, Sustainable and Inclusive Growth’.</w:t>
      </w:r>
    </w:p>
    <w:p w14:paraId="4BB23292" w14:textId="77777777" w:rsidR="002358FA" w:rsidRPr="003523C5" w:rsidRDefault="002358FA" w:rsidP="00CA7B81">
      <w:pPr>
        <w:contextualSpacing/>
        <w:rPr>
          <w:lang w:val="en-US"/>
        </w:rPr>
      </w:pPr>
    </w:p>
    <w:p w14:paraId="0E4AE182" w14:textId="77777777" w:rsidR="002358FA" w:rsidRPr="003523C5" w:rsidRDefault="002358FA" w:rsidP="00CA7B81">
      <w:pPr>
        <w:contextualSpacing/>
        <w:rPr>
          <w:lang w:val="en-US"/>
        </w:rPr>
      </w:pPr>
      <w:r w:rsidRPr="003523C5">
        <w:rPr>
          <w:lang w:val="en-US"/>
        </w:rPr>
        <w:t>European Commission. 2014. Investment for Jobs and Growth. 6th Report on Economic, Social and Territorial Cohesion. Brussels: European Commission.</w:t>
      </w:r>
    </w:p>
    <w:p w14:paraId="69BA033A" w14:textId="77777777" w:rsidR="002358FA" w:rsidRPr="003523C5" w:rsidRDefault="002358FA" w:rsidP="00CA7B81">
      <w:pPr>
        <w:contextualSpacing/>
        <w:rPr>
          <w:lang w:val="en-US"/>
        </w:rPr>
      </w:pPr>
    </w:p>
    <w:p w14:paraId="201AC175" w14:textId="77777777" w:rsidR="002358FA" w:rsidRPr="003523C5" w:rsidRDefault="002358FA" w:rsidP="00CA7B81">
      <w:pPr>
        <w:contextualSpacing/>
        <w:rPr>
          <w:lang w:val="en-US"/>
        </w:rPr>
      </w:pPr>
      <w:r w:rsidRPr="003523C5">
        <w:rPr>
          <w:lang w:val="en-US"/>
        </w:rPr>
        <w:t xml:space="preserve">Finke, Daniel. 2021. ‘A Guardian in Need of Support: The Enforcement of EU State Aid Rules’. Journal of European Public Policy 0(0):1–18. </w:t>
      </w:r>
      <w:proofErr w:type="spellStart"/>
      <w:r w:rsidRPr="003523C5">
        <w:rPr>
          <w:lang w:val="en-US"/>
        </w:rPr>
        <w:t>doi</w:t>
      </w:r>
      <w:proofErr w:type="spellEnd"/>
      <w:r w:rsidRPr="003523C5">
        <w:rPr>
          <w:lang w:val="en-US"/>
        </w:rPr>
        <w:t>: 10.1080/13501763.2021.1873403.</w:t>
      </w:r>
    </w:p>
    <w:p w14:paraId="3D7C62DF" w14:textId="77777777" w:rsidR="002358FA" w:rsidRPr="003523C5" w:rsidRDefault="002358FA" w:rsidP="00CA7B81">
      <w:pPr>
        <w:contextualSpacing/>
        <w:rPr>
          <w:lang w:val="en-US"/>
        </w:rPr>
      </w:pPr>
    </w:p>
    <w:p w14:paraId="67E9D5C8" w14:textId="77777777" w:rsidR="002358FA" w:rsidRPr="003523C5" w:rsidRDefault="002358FA" w:rsidP="00CA7B81">
      <w:pPr>
        <w:contextualSpacing/>
        <w:rPr>
          <w:lang w:val="en-US"/>
        </w:rPr>
      </w:pPr>
      <w:r w:rsidRPr="003523C5">
        <w:rPr>
          <w:lang w:val="en-US"/>
        </w:rPr>
        <w:t>Fleming, Sam, and Javier Espinoza. 2020. ‘EU Members Clash over State Aid as Richer Countries Inject More Cash’. Financial Times, May 1.</w:t>
      </w:r>
    </w:p>
    <w:p w14:paraId="10BB5285" w14:textId="77777777" w:rsidR="002358FA" w:rsidRPr="003523C5" w:rsidRDefault="002358FA" w:rsidP="00CA7B81">
      <w:pPr>
        <w:contextualSpacing/>
        <w:rPr>
          <w:lang w:val="en-US"/>
        </w:rPr>
      </w:pPr>
    </w:p>
    <w:p w14:paraId="7D596B44" w14:textId="77777777" w:rsidR="002358FA" w:rsidRPr="003523C5" w:rsidRDefault="002358FA" w:rsidP="00CA7B81">
      <w:pPr>
        <w:contextualSpacing/>
        <w:rPr>
          <w:lang w:val="en-US"/>
        </w:rPr>
      </w:pPr>
      <w:proofErr w:type="spellStart"/>
      <w:r w:rsidRPr="003523C5">
        <w:rPr>
          <w:lang w:val="en-US"/>
        </w:rPr>
        <w:t>Fossum</w:t>
      </w:r>
      <w:proofErr w:type="spellEnd"/>
      <w:r w:rsidRPr="003523C5">
        <w:rPr>
          <w:lang w:val="en-US"/>
        </w:rPr>
        <w:t xml:space="preserve">, John Erik, and Markus </w:t>
      </w:r>
      <w:proofErr w:type="spellStart"/>
      <w:r w:rsidRPr="003523C5">
        <w:rPr>
          <w:lang w:val="en-US"/>
        </w:rPr>
        <w:t>Jachtenfuchs</w:t>
      </w:r>
      <w:proofErr w:type="spellEnd"/>
      <w:r w:rsidRPr="003523C5">
        <w:rPr>
          <w:lang w:val="en-US"/>
        </w:rPr>
        <w:t xml:space="preserve">. 2017. ‘Federal Challenges and Challenges to Federalism. Insights from the EU and Federal States’. Journal of European Public Policy 24(4):467–85. </w:t>
      </w:r>
      <w:proofErr w:type="spellStart"/>
      <w:r w:rsidRPr="003523C5">
        <w:rPr>
          <w:lang w:val="en-US"/>
        </w:rPr>
        <w:t>doi</w:t>
      </w:r>
      <w:proofErr w:type="spellEnd"/>
      <w:r w:rsidRPr="003523C5">
        <w:rPr>
          <w:lang w:val="en-US"/>
        </w:rPr>
        <w:t>: 10.1080/13501763.2016.1273965.</w:t>
      </w:r>
    </w:p>
    <w:p w14:paraId="6A74FD52" w14:textId="77777777" w:rsidR="002358FA" w:rsidRPr="003523C5" w:rsidRDefault="002358FA" w:rsidP="00CA7B81">
      <w:pPr>
        <w:contextualSpacing/>
        <w:rPr>
          <w:lang w:val="en-US"/>
        </w:rPr>
      </w:pPr>
    </w:p>
    <w:p w14:paraId="2527291A" w14:textId="77777777" w:rsidR="002358FA" w:rsidRPr="003523C5" w:rsidRDefault="002358FA" w:rsidP="00CA7B81">
      <w:pPr>
        <w:contextualSpacing/>
        <w:rPr>
          <w:lang w:val="en-US"/>
        </w:rPr>
      </w:pPr>
      <w:proofErr w:type="spellStart"/>
      <w:r w:rsidRPr="00471061">
        <w:rPr>
          <w:lang w:val="de-AT"/>
        </w:rPr>
        <w:t>Genschel</w:t>
      </w:r>
      <w:proofErr w:type="spellEnd"/>
      <w:r w:rsidRPr="00471061">
        <w:rPr>
          <w:lang w:val="de-AT"/>
        </w:rPr>
        <w:t xml:space="preserve">, Philipp, </w:t>
      </w:r>
      <w:proofErr w:type="spellStart"/>
      <w:r w:rsidRPr="00471061">
        <w:rPr>
          <w:lang w:val="de-AT"/>
        </w:rPr>
        <w:t>and</w:t>
      </w:r>
      <w:proofErr w:type="spellEnd"/>
      <w:r w:rsidRPr="00471061">
        <w:rPr>
          <w:lang w:val="de-AT"/>
        </w:rPr>
        <w:t xml:space="preserve"> Markus </w:t>
      </w:r>
      <w:proofErr w:type="spellStart"/>
      <w:r w:rsidRPr="00471061">
        <w:rPr>
          <w:lang w:val="de-AT"/>
        </w:rPr>
        <w:t>Jachtenfuchs</w:t>
      </w:r>
      <w:proofErr w:type="spellEnd"/>
      <w:r w:rsidRPr="00471061">
        <w:rPr>
          <w:lang w:val="de-AT"/>
        </w:rPr>
        <w:t xml:space="preserve">. </w:t>
      </w:r>
      <w:r w:rsidRPr="003523C5">
        <w:rPr>
          <w:lang w:val="en-US"/>
        </w:rPr>
        <w:t xml:space="preserve">2018. ‘From Market Integration to Core State Powers: The Eurozone Crisis, the Refugee Crisis and Integration Theory’. JCMS: Journal of Common Market Studies 56(1):178–96. </w:t>
      </w:r>
      <w:proofErr w:type="spellStart"/>
      <w:r w:rsidRPr="003523C5">
        <w:rPr>
          <w:lang w:val="en-US"/>
        </w:rPr>
        <w:t>doi</w:t>
      </w:r>
      <w:proofErr w:type="spellEnd"/>
      <w:r w:rsidRPr="003523C5">
        <w:rPr>
          <w:lang w:val="en-US"/>
        </w:rPr>
        <w:t>: 10.1111/jcms.12654.</w:t>
      </w:r>
    </w:p>
    <w:p w14:paraId="6A609D04" w14:textId="77777777" w:rsidR="002358FA" w:rsidRPr="003523C5" w:rsidRDefault="002358FA" w:rsidP="00CA7B81">
      <w:pPr>
        <w:contextualSpacing/>
        <w:rPr>
          <w:lang w:val="en-US"/>
        </w:rPr>
      </w:pPr>
    </w:p>
    <w:p w14:paraId="177482BD" w14:textId="77777777" w:rsidR="002358FA" w:rsidRPr="003523C5" w:rsidRDefault="002358FA" w:rsidP="00CA7B81">
      <w:pPr>
        <w:contextualSpacing/>
        <w:rPr>
          <w:lang w:val="en-US"/>
        </w:rPr>
      </w:pPr>
      <w:r w:rsidRPr="003523C5">
        <w:rPr>
          <w:lang w:val="en-US"/>
        </w:rPr>
        <w:t>Haas, Ernst B. 1964. Beyond the Nation-State. Functionalism and International Organization. Stanford: Stanford University Press.</w:t>
      </w:r>
    </w:p>
    <w:p w14:paraId="6BC84FCB" w14:textId="77777777" w:rsidR="002358FA" w:rsidRPr="003523C5" w:rsidRDefault="002358FA" w:rsidP="00CA7B81">
      <w:pPr>
        <w:contextualSpacing/>
        <w:rPr>
          <w:lang w:val="en-US"/>
        </w:rPr>
      </w:pPr>
    </w:p>
    <w:p w14:paraId="7EAA155B" w14:textId="77777777" w:rsidR="002358FA" w:rsidRPr="003523C5" w:rsidRDefault="002358FA" w:rsidP="00CA7B81">
      <w:pPr>
        <w:contextualSpacing/>
        <w:rPr>
          <w:lang w:val="en-US"/>
        </w:rPr>
      </w:pPr>
      <w:r w:rsidRPr="003523C5">
        <w:rPr>
          <w:lang w:val="en-US"/>
        </w:rPr>
        <w:t>Hamilton, Alexander, James Madison, and John Jay. 2008. The Federalist Papers [1787]. New York: Oxford University Press.</w:t>
      </w:r>
    </w:p>
    <w:p w14:paraId="5E023294" w14:textId="77777777" w:rsidR="002358FA" w:rsidRPr="003523C5" w:rsidRDefault="002358FA" w:rsidP="00CA7B81">
      <w:pPr>
        <w:contextualSpacing/>
        <w:rPr>
          <w:lang w:val="en-US"/>
        </w:rPr>
      </w:pPr>
    </w:p>
    <w:p w14:paraId="155B2E9C" w14:textId="77777777" w:rsidR="002358FA" w:rsidRPr="003523C5" w:rsidRDefault="002358FA" w:rsidP="00CA7B81">
      <w:pPr>
        <w:contextualSpacing/>
        <w:rPr>
          <w:lang w:val="en-US"/>
        </w:rPr>
      </w:pPr>
      <w:proofErr w:type="spellStart"/>
      <w:r w:rsidRPr="003523C5">
        <w:rPr>
          <w:lang w:val="en-US"/>
        </w:rPr>
        <w:t>Heimler</w:t>
      </w:r>
      <w:proofErr w:type="spellEnd"/>
      <w:r w:rsidRPr="003523C5">
        <w:rPr>
          <w:lang w:val="en-US"/>
        </w:rPr>
        <w:t xml:space="preserve">, Alberto. 2018. ‘State Aid Control: Are the Standards and the Institutional Setting Appropriate?’ Pp. 75–87 in The </w:t>
      </w:r>
      <w:proofErr w:type="spellStart"/>
      <w:r w:rsidRPr="003523C5">
        <w:rPr>
          <w:lang w:val="en-US"/>
        </w:rPr>
        <w:t>Modernisation</w:t>
      </w:r>
      <w:proofErr w:type="spellEnd"/>
      <w:r w:rsidRPr="003523C5">
        <w:rPr>
          <w:lang w:val="en-US"/>
        </w:rPr>
        <w:t xml:space="preserve"> of State Aid for Economic and Social Development, edited by B. </w:t>
      </w:r>
      <w:proofErr w:type="spellStart"/>
      <w:r w:rsidRPr="003523C5">
        <w:rPr>
          <w:lang w:val="en-US"/>
        </w:rPr>
        <w:t>Nascimbene</w:t>
      </w:r>
      <w:proofErr w:type="spellEnd"/>
      <w:r w:rsidRPr="003523C5">
        <w:rPr>
          <w:lang w:val="en-US"/>
        </w:rPr>
        <w:t xml:space="preserve"> and A. Di Pascale. Cham: Springer.</w:t>
      </w:r>
    </w:p>
    <w:p w14:paraId="6617DE27" w14:textId="77777777" w:rsidR="002358FA" w:rsidRPr="003523C5" w:rsidRDefault="002358FA" w:rsidP="00CA7B81">
      <w:pPr>
        <w:contextualSpacing/>
        <w:rPr>
          <w:lang w:val="en-US"/>
        </w:rPr>
      </w:pPr>
    </w:p>
    <w:p w14:paraId="3CB262F2" w14:textId="77777777" w:rsidR="002358FA" w:rsidRPr="003523C5" w:rsidRDefault="002358FA" w:rsidP="00CA7B81">
      <w:pPr>
        <w:contextualSpacing/>
        <w:rPr>
          <w:lang w:val="en-US"/>
        </w:rPr>
      </w:pPr>
      <w:proofErr w:type="spellStart"/>
      <w:r w:rsidRPr="003523C5">
        <w:rPr>
          <w:lang w:val="en-US"/>
        </w:rPr>
        <w:t>Heimler</w:t>
      </w:r>
      <w:proofErr w:type="spellEnd"/>
      <w:r w:rsidRPr="003523C5">
        <w:rPr>
          <w:lang w:val="en-US"/>
        </w:rPr>
        <w:t xml:space="preserve">, Alberto, and Frédéric Jenny. 2012. ‘The Limitations of European Union Control of State Aid’. Oxford Review of Economic Policy 28(2):347–67. </w:t>
      </w:r>
      <w:proofErr w:type="spellStart"/>
      <w:r w:rsidRPr="003523C5">
        <w:rPr>
          <w:lang w:val="en-US"/>
        </w:rPr>
        <w:t>doi</w:t>
      </w:r>
      <w:proofErr w:type="spellEnd"/>
      <w:r w:rsidRPr="003523C5">
        <w:rPr>
          <w:lang w:val="en-US"/>
        </w:rPr>
        <w:t>: 10.1093/</w:t>
      </w:r>
      <w:proofErr w:type="spellStart"/>
      <w:r w:rsidRPr="003523C5">
        <w:rPr>
          <w:lang w:val="en-US"/>
        </w:rPr>
        <w:t>oxrep</w:t>
      </w:r>
      <w:proofErr w:type="spellEnd"/>
      <w:r w:rsidRPr="003523C5">
        <w:rPr>
          <w:lang w:val="en-US"/>
        </w:rPr>
        <w:t>/grs005.</w:t>
      </w:r>
    </w:p>
    <w:p w14:paraId="228AC385" w14:textId="77777777" w:rsidR="002358FA" w:rsidRPr="003523C5" w:rsidRDefault="002358FA" w:rsidP="00CA7B81">
      <w:pPr>
        <w:contextualSpacing/>
        <w:rPr>
          <w:lang w:val="en-US"/>
        </w:rPr>
      </w:pPr>
    </w:p>
    <w:p w14:paraId="407B847B" w14:textId="77777777" w:rsidR="002358FA" w:rsidRPr="003523C5" w:rsidRDefault="002358FA" w:rsidP="00CA7B81">
      <w:pPr>
        <w:contextualSpacing/>
        <w:rPr>
          <w:lang w:val="en-US"/>
        </w:rPr>
      </w:pPr>
      <w:proofErr w:type="spellStart"/>
      <w:r w:rsidRPr="003523C5">
        <w:rPr>
          <w:lang w:val="en-US"/>
        </w:rPr>
        <w:t>Hillion</w:t>
      </w:r>
      <w:proofErr w:type="spellEnd"/>
      <w:r w:rsidRPr="003523C5">
        <w:rPr>
          <w:lang w:val="en-US"/>
        </w:rPr>
        <w:t xml:space="preserve">, Christophe. 2021. ‘Compromising (On) the General Conditionality Mechanism and the Rule of Law’. Common Market Law Review 58:267–84. </w:t>
      </w:r>
      <w:proofErr w:type="spellStart"/>
      <w:r w:rsidRPr="003523C5">
        <w:rPr>
          <w:lang w:val="en-US"/>
        </w:rPr>
        <w:t>doi</w:t>
      </w:r>
      <w:proofErr w:type="spellEnd"/>
      <w:r w:rsidRPr="003523C5">
        <w:rPr>
          <w:lang w:val="en-US"/>
        </w:rPr>
        <w:t>: 10.2139/ssrn.3820897.</w:t>
      </w:r>
    </w:p>
    <w:p w14:paraId="5D96413E" w14:textId="77777777" w:rsidR="002358FA" w:rsidRPr="003523C5" w:rsidRDefault="002358FA" w:rsidP="00CA7B81">
      <w:pPr>
        <w:contextualSpacing/>
        <w:rPr>
          <w:lang w:val="en-US"/>
        </w:rPr>
      </w:pPr>
    </w:p>
    <w:p w14:paraId="6851CA34" w14:textId="77777777" w:rsidR="002358FA" w:rsidRPr="003523C5" w:rsidRDefault="002358FA" w:rsidP="00CA7B81">
      <w:pPr>
        <w:contextualSpacing/>
        <w:rPr>
          <w:lang w:val="en-US"/>
        </w:rPr>
      </w:pPr>
      <w:r w:rsidRPr="003523C5">
        <w:rPr>
          <w:lang w:val="en-US"/>
        </w:rPr>
        <w:t xml:space="preserve">Hix, Simon. 1998. ‘The Study of the European Union II: The “New Governance” Agenda and Its Rival’. Journal of European Public Policy 5(1):38–65. </w:t>
      </w:r>
      <w:proofErr w:type="spellStart"/>
      <w:r w:rsidRPr="003523C5">
        <w:rPr>
          <w:lang w:val="en-US"/>
        </w:rPr>
        <w:t>doi</w:t>
      </w:r>
      <w:proofErr w:type="spellEnd"/>
      <w:r w:rsidRPr="003523C5">
        <w:rPr>
          <w:lang w:val="en-US"/>
        </w:rPr>
        <w:t>: 10.1080/13501768880000031.</w:t>
      </w:r>
    </w:p>
    <w:p w14:paraId="24C70F33" w14:textId="77777777" w:rsidR="002358FA" w:rsidRPr="003523C5" w:rsidRDefault="002358FA" w:rsidP="00CA7B81">
      <w:pPr>
        <w:contextualSpacing/>
        <w:rPr>
          <w:lang w:val="en-US"/>
        </w:rPr>
      </w:pPr>
    </w:p>
    <w:p w14:paraId="039ED6FF" w14:textId="77777777" w:rsidR="002358FA" w:rsidRPr="003523C5" w:rsidRDefault="002358FA" w:rsidP="00CA7B81">
      <w:pPr>
        <w:contextualSpacing/>
        <w:rPr>
          <w:lang w:val="en-US"/>
        </w:rPr>
      </w:pPr>
      <w:r w:rsidRPr="003523C5">
        <w:rPr>
          <w:lang w:val="en-US"/>
        </w:rPr>
        <w:t xml:space="preserve">Hofmann, Herwig C. H. 2016. ‘State Aid Review in a Multi-Level System: Motivations for Aid, Why Control It, and the Evolution of State Aid Law in the EU’. Pp. 3–11 in State Aid Law of the European Union, edited by H. C. H. Hofmann and C. </w:t>
      </w:r>
      <w:proofErr w:type="spellStart"/>
      <w:r w:rsidRPr="003523C5">
        <w:rPr>
          <w:lang w:val="en-US"/>
        </w:rPr>
        <w:t>Micheau</w:t>
      </w:r>
      <w:proofErr w:type="spellEnd"/>
      <w:r w:rsidRPr="003523C5">
        <w:rPr>
          <w:lang w:val="en-US"/>
        </w:rPr>
        <w:t>. Oxford, UK: Oxford University Press.</w:t>
      </w:r>
    </w:p>
    <w:p w14:paraId="7FAAA257" w14:textId="77777777" w:rsidR="002358FA" w:rsidRPr="003523C5" w:rsidRDefault="002358FA" w:rsidP="00CA7B81">
      <w:pPr>
        <w:contextualSpacing/>
        <w:rPr>
          <w:lang w:val="en-US"/>
        </w:rPr>
      </w:pPr>
    </w:p>
    <w:p w14:paraId="5022DC2A" w14:textId="77777777" w:rsidR="002358FA" w:rsidRPr="003523C5" w:rsidRDefault="002358FA" w:rsidP="00CA7B81">
      <w:pPr>
        <w:contextualSpacing/>
        <w:rPr>
          <w:lang w:val="en-US"/>
        </w:rPr>
      </w:pPr>
      <w:proofErr w:type="spellStart"/>
      <w:r w:rsidRPr="003523C5">
        <w:rPr>
          <w:lang w:val="en-US"/>
        </w:rPr>
        <w:t>Hooghe</w:t>
      </w:r>
      <w:proofErr w:type="spellEnd"/>
      <w:r w:rsidRPr="003523C5">
        <w:rPr>
          <w:lang w:val="en-US"/>
        </w:rPr>
        <w:t xml:space="preserve">, </w:t>
      </w:r>
      <w:proofErr w:type="spellStart"/>
      <w:r w:rsidRPr="003523C5">
        <w:rPr>
          <w:lang w:val="en-US"/>
        </w:rPr>
        <w:t>Liesbet</w:t>
      </w:r>
      <w:proofErr w:type="spellEnd"/>
      <w:r w:rsidRPr="003523C5">
        <w:rPr>
          <w:lang w:val="en-US"/>
        </w:rPr>
        <w:t xml:space="preserve">, and Gary Marks. 2009. ‘A </w:t>
      </w:r>
      <w:proofErr w:type="spellStart"/>
      <w:r w:rsidRPr="003523C5">
        <w:rPr>
          <w:lang w:val="en-US"/>
        </w:rPr>
        <w:t>Postfunctionalist</w:t>
      </w:r>
      <w:proofErr w:type="spellEnd"/>
      <w:r w:rsidRPr="003523C5">
        <w:rPr>
          <w:lang w:val="en-US"/>
        </w:rPr>
        <w:t xml:space="preserve"> Theory of European Integration: From Permissive Consensus to Constraining’. British Journal of Political Science 39(1):1–23.</w:t>
      </w:r>
    </w:p>
    <w:p w14:paraId="64651B23" w14:textId="77777777" w:rsidR="002358FA" w:rsidRPr="003523C5" w:rsidRDefault="002358FA" w:rsidP="00CA7B81">
      <w:pPr>
        <w:contextualSpacing/>
        <w:rPr>
          <w:lang w:val="en-US"/>
        </w:rPr>
      </w:pPr>
    </w:p>
    <w:p w14:paraId="15CEEC6D" w14:textId="0B4BF22E" w:rsidR="002358FA" w:rsidRPr="003523C5" w:rsidRDefault="002358FA" w:rsidP="00CA7B81">
      <w:pPr>
        <w:contextualSpacing/>
        <w:rPr>
          <w:lang w:val="en-US"/>
        </w:rPr>
      </w:pPr>
      <w:proofErr w:type="spellStart"/>
      <w:r w:rsidRPr="003523C5">
        <w:rPr>
          <w:lang w:val="en-US"/>
        </w:rPr>
        <w:t>Höpner</w:t>
      </w:r>
      <w:proofErr w:type="spellEnd"/>
      <w:r w:rsidRPr="003523C5">
        <w:rPr>
          <w:lang w:val="en-US"/>
        </w:rPr>
        <w:t xml:space="preserve">, Martin, and Armin Schäfer. 2012. ‘Embeddedness and Regional Integration: Waiting for Polanyi in a Hayekian Setting’. International Organization 66(3):429–55. </w:t>
      </w:r>
      <w:proofErr w:type="spellStart"/>
      <w:r w:rsidRPr="003523C5">
        <w:rPr>
          <w:lang w:val="en-US"/>
        </w:rPr>
        <w:t>doi</w:t>
      </w:r>
      <w:proofErr w:type="spellEnd"/>
      <w:r w:rsidRPr="003523C5">
        <w:rPr>
          <w:lang w:val="en-US"/>
        </w:rPr>
        <w:t>: 10.1017/S002081831200015X.</w:t>
      </w:r>
    </w:p>
    <w:p w14:paraId="3E50DBDA" w14:textId="77777777" w:rsidR="002358FA" w:rsidRPr="003523C5" w:rsidRDefault="002358FA" w:rsidP="00CA7B81">
      <w:pPr>
        <w:contextualSpacing/>
        <w:rPr>
          <w:lang w:val="en-US"/>
        </w:rPr>
      </w:pPr>
    </w:p>
    <w:p w14:paraId="3F0F1442" w14:textId="77777777" w:rsidR="002358FA" w:rsidRPr="003523C5" w:rsidRDefault="002358FA" w:rsidP="00CA7B81">
      <w:pPr>
        <w:contextualSpacing/>
        <w:rPr>
          <w:lang w:val="en-US"/>
        </w:rPr>
      </w:pPr>
      <w:r w:rsidRPr="003523C5">
        <w:rPr>
          <w:lang w:val="en-US"/>
        </w:rPr>
        <w:t xml:space="preserve">Jacoby, Wade, and Sophie Meunier. 2010. ‘Europe and the Management of Globalization’. Journal of European Public Policy 17(3):299–317. </w:t>
      </w:r>
      <w:proofErr w:type="spellStart"/>
      <w:r w:rsidRPr="003523C5">
        <w:rPr>
          <w:lang w:val="en-US"/>
        </w:rPr>
        <w:t>doi</w:t>
      </w:r>
      <w:proofErr w:type="spellEnd"/>
      <w:r w:rsidRPr="003523C5">
        <w:rPr>
          <w:lang w:val="en-US"/>
        </w:rPr>
        <w:t>: 10.1080/13501761003662107.</w:t>
      </w:r>
    </w:p>
    <w:p w14:paraId="40890E8E" w14:textId="77777777" w:rsidR="002358FA" w:rsidRPr="003523C5" w:rsidRDefault="002358FA" w:rsidP="00CA7B81">
      <w:pPr>
        <w:contextualSpacing/>
        <w:rPr>
          <w:lang w:val="en-US"/>
        </w:rPr>
      </w:pPr>
    </w:p>
    <w:p w14:paraId="65002A9C" w14:textId="77777777" w:rsidR="002358FA" w:rsidRPr="003523C5" w:rsidRDefault="002358FA" w:rsidP="00CA7B81">
      <w:pPr>
        <w:contextualSpacing/>
        <w:rPr>
          <w:lang w:val="en-US"/>
        </w:rPr>
      </w:pPr>
      <w:r w:rsidRPr="003523C5">
        <w:rPr>
          <w:lang w:val="en-US"/>
        </w:rPr>
        <w:t xml:space="preserve">Jones, Erik, R. Daniel Kelemen, and Sophie Meunier. 2016. ‘Failing Forward? The Euro Crisis and the Incomplete Nature of European Integration’. Comparative Political Studies 49(7):1010–34. </w:t>
      </w:r>
      <w:proofErr w:type="spellStart"/>
      <w:r w:rsidRPr="003523C5">
        <w:rPr>
          <w:lang w:val="en-US"/>
        </w:rPr>
        <w:t>doi</w:t>
      </w:r>
      <w:proofErr w:type="spellEnd"/>
      <w:r w:rsidRPr="003523C5">
        <w:rPr>
          <w:lang w:val="en-US"/>
        </w:rPr>
        <w:t>: 10.1177/0010414015617966.</w:t>
      </w:r>
    </w:p>
    <w:p w14:paraId="526F9862" w14:textId="77777777" w:rsidR="002358FA" w:rsidRPr="003523C5" w:rsidRDefault="002358FA" w:rsidP="00CA7B81">
      <w:pPr>
        <w:contextualSpacing/>
        <w:rPr>
          <w:lang w:val="en-US"/>
        </w:rPr>
      </w:pPr>
    </w:p>
    <w:p w14:paraId="1E35CF28" w14:textId="77777777" w:rsidR="002358FA" w:rsidRPr="003523C5" w:rsidRDefault="002358FA" w:rsidP="00CA7B81">
      <w:pPr>
        <w:contextualSpacing/>
        <w:rPr>
          <w:lang w:val="en-US"/>
        </w:rPr>
      </w:pPr>
      <w:proofErr w:type="spellStart"/>
      <w:r w:rsidRPr="003523C5">
        <w:rPr>
          <w:lang w:val="en-US"/>
        </w:rPr>
        <w:t>Kassim</w:t>
      </w:r>
      <w:proofErr w:type="spellEnd"/>
      <w:r w:rsidRPr="003523C5">
        <w:rPr>
          <w:lang w:val="en-US"/>
        </w:rPr>
        <w:t xml:space="preserve">, Hussein, and Bruce Lyons. 2013. ‘The New Political Economy of EU State Aid Policy’. Journal of Industry, Competition and Trade 13(1):1–21. </w:t>
      </w:r>
      <w:proofErr w:type="spellStart"/>
      <w:r w:rsidRPr="003523C5">
        <w:rPr>
          <w:lang w:val="en-US"/>
        </w:rPr>
        <w:t>doi</w:t>
      </w:r>
      <w:proofErr w:type="spellEnd"/>
      <w:r w:rsidRPr="003523C5">
        <w:rPr>
          <w:lang w:val="en-US"/>
        </w:rPr>
        <w:t>: 10.1007/s10842-012-0142-9.</w:t>
      </w:r>
    </w:p>
    <w:p w14:paraId="1158E60F" w14:textId="77777777" w:rsidR="002358FA" w:rsidRPr="003523C5" w:rsidRDefault="002358FA" w:rsidP="00CA7B81">
      <w:pPr>
        <w:contextualSpacing/>
        <w:rPr>
          <w:lang w:val="en-US"/>
        </w:rPr>
      </w:pPr>
    </w:p>
    <w:p w14:paraId="1A7E8D97" w14:textId="77777777" w:rsidR="002358FA" w:rsidRPr="003523C5" w:rsidRDefault="002358FA" w:rsidP="00CA7B81">
      <w:pPr>
        <w:contextualSpacing/>
        <w:rPr>
          <w:lang w:val="en-US"/>
        </w:rPr>
      </w:pPr>
      <w:proofErr w:type="spellStart"/>
      <w:r w:rsidRPr="003523C5">
        <w:rPr>
          <w:lang w:val="en-US"/>
        </w:rPr>
        <w:t>Kochenov</w:t>
      </w:r>
      <w:proofErr w:type="spellEnd"/>
      <w:r w:rsidRPr="003523C5">
        <w:rPr>
          <w:lang w:val="en-US"/>
        </w:rPr>
        <w:t xml:space="preserve">, Dimitry, </w:t>
      </w:r>
      <w:proofErr w:type="spellStart"/>
      <w:r w:rsidRPr="003523C5">
        <w:rPr>
          <w:lang w:val="en-US"/>
        </w:rPr>
        <w:t>Gráinne</w:t>
      </w:r>
      <w:proofErr w:type="spellEnd"/>
      <w:r w:rsidRPr="003523C5">
        <w:rPr>
          <w:lang w:val="en-US"/>
        </w:rPr>
        <w:t xml:space="preserve"> de </w:t>
      </w:r>
      <w:proofErr w:type="spellStart"/>
      <w:r w:rsidRPr="003523C5">
        <w:rPr>
          <w:lang w:val="en-US"/>
        </w:rPr>
        <w:t>Búrca</w:t>
      </w:r>
      <w:proofErr w:type="spellEnd"/>
      <w:r w:rsidRPr="003523C5">
        <w:rPr>
          <w:lang w:val="en-US"/>
        </w:rPr>
        <w:t>, and Andrew Williams, eds. 2015. Europe’s Justice Deficit? Oxford and Portland, Oregon: Hart Publishing.</w:t>
      </w:r>
    </w:p>
    <w:p w14:paraId="040A9FEB" w14:textId="77777777" w:rsidR="002358FA" w:rsidRPr="003523C5" w:rsidRDefault="002358FA" w:rsidP="00CA7B81">
      <w:pPr>
        <w:contextualSpacing/>
        <w:rPr>
          <w:lang w:val="en-US"/>
        </w:rPr>
      </w:pPr>
    </w:p>
    <w:p w14:paraId="26A5A77B" w14:textId="77777777" w:rsidR="002358FA" w:rsidRPr="003523C5" w:rsidRDefault="002358FA" w:rsidP="00CA7B81">
      <w:pPr>
        <w:contextualSpacing/>
        <w:rPr>
          <w:lang w:val="en-US"/>
        </w:rPr>
      </w:pPr>
      <w:proofErr w:type="spellStart"/>
      <w:r w:rsidRPr="003523C5">
        <w:rPr>
          <w:lang w:val="en-US"/>
        </w:rPr>
        <w:t>Kukovec</w:t>
      </w:r>
      <w:proofErr w:type="spellEnd"/>
      <w:r w:rsidRPr="003523C5">
        <w:rPr>
          <w:lang w:val="en-US"/>
        </w:rPr>
        <w:t xml:space="preserve">, Damjan. 2015. ‘Law and the Periphery’. European Law Journal 21(3):406–28. </w:t>
      </w:r>
      <w:proofErr w:type="spellStart"/>
      <w:r w:rsidRPr="003523C5">
        <w:rPr>
          <w:lang w:val="en-US"/>
        </w:rPr>
        <w:t>doi</w:t>
      </w:r>
      <w:proofErr w:type="spellEnd"/>
      <w:r w:rsidRPr="003523C5">
        <w:rPr>
          <w:lang w:val="en-US"/>
        </w:rPr>
        <w:t>: 10.1111/eulj.12113.</w:t>
      </w:r>
    </w:p>
    <w:p w14:paraId="3C16DA7F" w14:textId="77777777" w:rsidR="002358FA" w:rsidRPr="003523C5" w:rsidRDefault="002358FA" w:rsidP="00CA7B81">
      <w:pPr>
        <w:contextualSpacing/>
        <w:rPr>
          <w:lang w:val="en-US"/>
        </w:rPr>
      </w:pPr>
    </w:p>
    <w:p w14:paraId="53C9188C" w14:textId="77777777" w:rsidR="002358FA" w:rsidRPr="003523C5" w:rsidRDefault="002358FA" w:rsidP="00CA7B81">
      <w:pPr>
        <w:contextualSpacing/>
        <w:rPr>
          <w:lang w:val="en-US"/>
        </w:rPr>
      </w:pPr>
      <w:r w:rsidRPr="003523C5">
        <w:rPr>
          <w:lang w:val="en-US"/>
        </w:rPr>
        <w:t>Leonardi, Robert. 2005. Cohesion Policy in the European Union: The Building of Europe. New York: Palgrave Macmillan.</w:t>
      </w:r>
    </w:p>
    <w:p w14:paraId="64BF879A" w14:textId="77777777" w:rsidR="002358FA" w:rsidRPr="003523C5" w:rsidRDefault="002358FA" w:rsidP="00CA7B81">
      <w:pPr>
        <w:contextualSpacing/>
        <w:rPr>
          <w:lang w:val="en-US"/>
        </w:rPr>
      </w:pPr>
    </w:p>
    <w:p w14:paraId="22C2097F" w14:textId="77777777" w:rsidR="002358FA" w:rsidRPr="003523C5" w:rsidRDefault="002358FA" w:rsidP="00CA7B81">
      <w:pPr>
        <w:contextualSpacing/>
        <w:rPr>
          <w:lang w:val="en-US"/>
        </w:rPr>
      </w:pPr>
      <w:proofErr w:type="spellStart"/>
      <w:r w:rsidRPr="003523C5">
        <w:rPr>
          <w:lang w:val="en-US"/>
        </w:rPr>
        <w:t>Lepièce</w:t>
      </w:r>
      <w:proofErr w:type="spellEnd"/>
      <w:r w:rsidRPr="003523C5">
        <w:rPr>
          <w:lang w:val="en-US"/>
        </w:rPr>
        <w:t xml:space="preserve">, Annabelle, and Raphaël </w:t>
      </w:r>
      <w:proofErr w:type="spellStart"/>
      <w:r w:rsidRPr="003523C5">
        <w:rPr>
          <w:lang w:val="en-US"/>
        </w:rPr>
        <w:t>Brochier</w:t>
      </w:r>
      <w:proofErr w:type="spellEnd"/>
      <w:r w:rsidRPr="003523C5">
        <w:rPr>
          <w:lang w:val="en-US"/>
        </w:rPr>
        <w:t xml:space="preserve">. 2021. ‘EU General Court Dismisses Ryanair’s Actions against French and Swedish Aid Schemes in </w:t>
      </w:r>
      <w:proofErr w:type="spellStart"/>
      <w:r w:rsidRPr="003523C5">
        <w:rPr>
          <w:lang w:val="en-US"/>
        </w:rPr>
        <w:t>Favour</w:t>
      </w:r>
      <w:proofErr w:type="spellEnd"/>
      <w:r w:rsidRPr="003523C5">
        <w:rPr>
          <w:lang w:val="en-US"/>
        </w:rPr>
        <w:t xml:space="preserve"> of Their Airlines’. CMS Law-Now.</w:t>
      </w:r>
    </w:p>
    <w:p w14:paraId="08F30BDB" w14:textId="77777777" w:rsidR="002358FA" w:rsidRPr="003523C5" w:rsidRDefault="002358FA" w:rsidP="00CA7B81">
      <w:pPr>
        <w:contextualSpacing/>
        <w:rPr>
          <w:lang w:val="en-US"/>
        </w:rPr>
      </w:pPr>
    </w:p>
    <w:p w14:paraId="6F1A854E" w14:textId="77777777" w:rsidR="002358FA" w:rsidRPr="003523C5" w:rsidRDefault="002358FA" w:rsidP="00CA7B81">
      <w:pPr>
        <w:contextualSpacing/>
        <w:rPr>
          <w:lang w:val="en-US"/>
        </w:rPr>
      </w:pPr>
      <w:r w:rsidRPr="003523C5">
        <w:rPr>
          <w:lang w:val="en-US"/>
        </w:rPr>
        <w:t>Linz, J. J., and A. C. Stepan. 1996. Problems of Democratic Transition and Consolidation: Southern Europe, South America, and Post-Communist Europe. Baltimore: Johns Hopkins University Press.</w:t>
      </w:r>
    </w:p>
    <w:p w14:paraId="6778FCBE" w14:textId="77777777" w:rsidR="002358FA" w:rsidRPr="003523C5" w:rsidRDefault="002358FA" w:rsidP="00CA7B81">
      <w:pPr>
        <w:contextualSpacing/>
        <w:rPr>
          <w:lang w:val="en-US"/>
        </w:rPr>
      </w:pPr>
    </w:p>
    <w:p w14:paraId="2784E529" w14:textId="77777777" w:rsidR="002358FA" w:rsidRPr="003523C5" w:rsidRDefault="002358FA" w:rsidP="00CA7B81">
      <w:pPr>
        <w:contextualSpacing/>
        <w:rPr>
          <w:lang w:val="en-US"/>
        </w:rPr>
      </w:pPr>
      <w:proofErr w:type="spellStart"/>
      <w:r w:rsidRPr="003523C5">
        <w:rPr>
          <w:lang w:val="en-US"/>
        </w:rPr>
        <w:t>Manin</w:t>
      </w:r>
      <w:proofErr w:type="spellEnd"/>
      <w:r w:rsidRPr="003523C5">
        <w:rPr>
          <w:lang w:val="en-US"/>
        </w:rPr>
        <w:t>, Bernard. 1994. ‘Checks, Balances and Boundaries: The Separation of Powers in the Constitutional Debate of 1787’. Pp. 27–62 in The Invention of the Modern Republic, edited by B. Fontana. Cambridge University Press.</w:t>
      </w:r>
    </w:p>
    <w:p w14:paraId="30580B18" w14:textId="77777777" w:rsidR="002358FA" w:rsidRPr="003523C5" w:rsidRDefault="002358FA" w:rsidP="00CA7B81">
      <w:pPr>
        <w:contextualSpacing/>
        <w:rPr>
          <w:lang w:val="en-US"/>
        </w:rPr>
      </w:pPr>
    </w:p>
    <w:p w14:paraId="3CAE7036" w14:textId="77777777" w:rsidR="002358FA" w:rsidRPr="003523C5" w:rsidRDefault="002358FA" w:rsidP="00CA7B81">
      <w:pPr>
        <w:contextualSpacing/>
        <w:rPr>
          <w:lang w:val="en-US"/>
        </w:rPr>
      </w:pPr>
      <w:r w:rsidRPr="003523C5">
        <w:rPr>
          <w:lang w:val="en-US"/>
        </w:rPr>
        <w:t xml:space="preserve">Matthijs, Matthias, and Mark Blyth. 2018. ‘When Is It Rational to Learn the Wrong Lessons? Technocratic Authority, Social Learning, and Euro Fragility’. Perspectives on Politics 16(1):110–26. </w:t>
      </w:r>
      <w:proofErr w:type="spellStart"/>
      <w:r w:rsidRPr="003523C5">
        <w:rPr>
          <w:lang w:val="en-US"/>
        </w:rPr>
        <w:t>doi</w:t>
      </w:r>
      <w:proofErr w:type="spellEnd"/>
      <w:r w:rsidRPr="003523C5">
        <w:rPr>
          <w:lang w:val="en-US"/>
        </w:rPr>
        <w:t>: 10.1017/S1537592717002171.</w:t>
      </w:r>
    </w:p>
    <w:p w14:paraId="0B138EF4" w14:textId="77777777" w:rsidR="002358FA" w:rsidRPr="003523C5" w:rsidRDefault="002358FA" w:rsidP="00CA7B81">
      <w:pPr>
        <w:contextualSpacing/>
        <w:rPr>
          <w:lang w:val="en-US"/>
        </w:rPr>
      </w:pPr>
    </w:p>
    <w:p w14:paraId="085FD71F" w14:textId="77777777" w:rsidR="002358FA" w:rsidRPr="003523C5" w:rsidRDefault="002358FA" w:rsidP="00CA7B81">
      <w:pPr>
        <w:contextualSpacing/>
        <w:rPr>
          <w:lang w:val="en-US"/>
        </w:rPr>
      </w:pPr>
      <w:r w:rsidRPr="00471061">
        <w:rPr>
          <w:lang w:val="de-AT"/>
        </w:rPr>
        <w:t xml:space="preserve">Mause, Karsten, </w:t>
      </w:r>
      <w:proofErr w:type="spellStart"/>
      <w:r w:rsidRPr="00471061">
        <w:rPr>
          <w:lang w:val="de-AT"/>
        </w:rPr>
        <w:t>and</w:t>
      </w:r>
      <w:proofErr w:type="spellEnd"/>
      <w:r w:rsidRPr="00471061">
        <w:rPr>
          <w:lang w:val="de-AT"/>
        </w:rPr>
        <w:t xml:space="preserve"> Friedrich </w:t>
      </w:r>
      <w:proofErr w:type="spellStart"/>
      <w:r w:rsidRPr="00471061">
        <w:rPr>
          <w:lang w:val="de-AT"/>
        </w:rPr>
        <w:t>Gröteke</w:t>
      </w:r>
      <w:proofErr w:type="spellEnd"/>
      <w:r w:rsidRPr="00471061">
        <w:rPr>
          <w:lang w:val="de-AT"/>
        </w:rPr>
        <w:t xml:space="preserve">. </w:t>
      </w:r>
      <w:r w:rsidRPr="003523C5">
        <w:rPr>
          <w:lang w:val="en-US"/>
        </w:rPr>
        <w:t xml:space="preserve">2017. ‘The Economic Approach to European State Aid Control: A Politico-Economic Analysis’. Journal of Industry, Competition and Trade 17(2):185–201. </w:t>
      </w:r>
      <w:proofErr w:type="spellStart"/>
      <w:r w:rsidRPr="003523C5">
        <w:rPr>
          <w:lang w:val="en-US"/>
        </w:rPr>
        <w:t>doi</w:t>
      </w:r>
      <w:proofErr w:type="spellEnd"/>
      <w:r w:rsidRPr="003523C5">
        <w:rPr>
          <w:lang w:val="en-US"/>
        </w:rPr>
        <w:t>: 10.1007/s10842-016-0230-3.</w:t>
      </w:r>
    </w:p>
    <w:p w14:paraId="5FCC87BE" w14:textId="77777777" w:rsidR="002358FA" w:rsidRPr="003523C5" w:rsidRDefault="002358FA" w:rsidP="00CA7B81">
      <w:pPr>
        <w:contextualSpacing/>
        <w:rPr>
          <w:lang w:val="en-US"/>
        </w:rPr>
      </w:pPr>
    </w:p>
    <w:p w14:paraId="448068CD" w14:textId="77777777" w:rsidR="002358FA" w:rsidRPr="003523C5" w:rsidRDefault="002358FA" w:rsidP="00CA7B81">
      <w:pPr>
        <w:contextualSpacing/>
        <w:rPr>
          <w:lang w:val="en-US"/>
        </w:rPr>
      </w:pPr>
      <w:proofErr w:type="spellStart"/>
      <w:r w:rsidRPr="003523C5">
        <w:rPr>
          <w:lang w:val="en-US"/>
        </w:rPr>
        <w:t>Medve-Bálint</w:t>
      </w:r>
      <w:proofErr w:type="spellEnd"/>
      <w:r w:rsidRPr="003523C5">
        <w:rPr>
          <w:lang w:val="en-US"/>
        </w:rPr>
        <w:t xml:space="preserve">, </w:t>
      </w:r>
      <w:proofErr w:type="spellStart"/>
      <w:r w:rsidRPr="003523C5">
        <w:rPr>
          <w:lang w:val="en-US"/>
        </w:rPr>
        <w:t>Gergő</w:t>
      </w:r>
      <w:proofErr w:type="spellEnd"/>
      <w:r w:rsidRPr="003523C5">
        <w:rPr>
          <w:lang w:val="en-US"/>
        </w:rPr>
        <w:t>. 2015. Converging on Divergence: The Political Economy of Uneven Regional Development in East Central Europe After the Change of Regime (1990-2014). Vol. PhD Dissertation. Budapest: Central European University.</w:t>
      </w:r>
    </w:p>
    <w:p w14:paraId="0D416614" w14:textId="77777777" w:rsidR="002358FA" w:rsidRPr="003523C5" w:rsidRDefault="002358FA" w:rsidP="00CA7B81">
      <w:pPr>
        <w:contextualSpacing/>
        <w:rPr>
          <w:lang w:val="en-US"/>
        </w:rPr>
      </w:pPr>
    </w:p>
    <w:p w14:paraId="20F5CC6F" w14:textId="77777777" w:rsidR="002358FA" w:rsidRPr="003523C5" w:rsidRDefault="002358FA" w:rsidP="00CA7B81">
      <w:pPr>
        <w:contextualSpacing/>
        <w:rPr>
          <w:lang w:val="en-US"/>
        </w:rPr>
      </w:pPr>
      <w:proofErr w:type="spellStart"/>
      <w:r w:rsidRPr="003523C5">
        <w:rPr>
          <w:lang w:val="en-US"/>
        </w:rPr>
        <w:t>Medve-Bálint</w:t>
      </w:r>
      <w:proofErr w:type="spellEnd"/>
      <w:r w:rsidRPr="003523C5">
        <w:rPr>
          <w:lang w:val="en-US"/>
        </w:rPr>
        <w:t xml:space="preserve">, </w:t>
      </w:r>
      <w:proofErr w:type="spellStart"/>
      <w:r w:rsidRPr="003523C5">
        <w:rPr>
          <w:lang w:val="en-US"/>
        </w:rPr>
        <w:t>Gergő</w:t>
      </w:r>
      <w:proofErr w:type="spellEnd"/>
      <w:r w:rsidRPr="003523C5">
        <w:rPr>
          <w:lang w:val="en-US"/>
        </w:rPr>
        <w:t xml:space="preserve">. 2018. ‘The Cohesion Policy on the EU’s Eastern and Southern Periphery: Misallocated Funds?’ Studies in Comparative International Development 53(2):218–38. </w:t>
      </w:r>
      <w:proofErr w:type="spellStart"/>
      <w:r w:rsidRPr="003523C5">
        <w:rPr>
          <w:lang w:val="en-US"/>
        </w:rPr>
        <w:t>doi</w:t>
      </w:r>
      <w:proofErr w:type="spellEnd"/>
      <w:r w:rsidRPr="003523C5">
        <w:rPr>
          <w:lang w:val="en-US"/>
        </w:rPr>
        <w:t>: 10.1007/s12116-018-9265-2.</w:t>
      </w:r>
    </w:p>
    <w:p w14:paraId="10B07686" w14:textId="77777777" w:rsidR="002358FA" w:rsidRPr="003523C5" w:rsidRDefault="002358FA" w:rsidP="00CA7B81">
      <w:pPr>
        <w:contextualSpacing/>
        <w:rPr>
          <w:lang w:val="en-US"/>
        </w:rPr>
      </w:pPr>
    </w:p>
    <w:p w14:paraId="5CBFAEFF" w14:textId="77777777" w:rsidR="002358FA" w:rsidRPr="003523C5" w:rsidRDefault="002358FA" w:rsidP="00CA7B81">
      <w:pPr>
        <w:contextualSpacing/>
        <w:rPr>
          <w:lang w:val="en-US"/>
        </w:rPr>
      </w:pPr>
      <w:r w:rsidRPr="003523C5">
        <w:rPr>
          <w:lang w:val="en-US"/>
        </w:rPr>
        <w:t xml:space="preserve">Mendez, Carlos, Fiona </w:t>
      </w:r>
      <w:proofErr w:type="spellStart"/>
      <w:r w:rsidRPr="003523C5">
        <w:rPr>
          <w:lang w:val="en-US"/>
        </w:rPr>
        <w:t>Wishlade</w:t>
      </w:r>
      <w:proofErr w:type="spellEnd"/>
      <w:r w:rsidRPr="003523C5">
        <w:rPr>
          <w:lang w:val="en-US"/>
        </w:rPr>
        <w:t xml:space="preserve">, and John </w:t>
      </w:r>
      <w:proofErr w:type="spellStart"/>
      <w:r w:rsidRPr="003523C5">
        <w:rPr>
          <w:lang w:val="en-US"/>
        </w:rPr>
        <w:t>Bachtler</w:t>
      </w:r>
      <w:proofErr w:type="spellEnd"/>
      <w:r w:rsidRPr="003523C5">
        <w:rPr>
          <w:lang w:val="en-US"/>
        </w:rPr>
        <w:t>. 2012. Negotiation Boxes and Blocks: Crafting a Deal on the EU Budget and Cohesion Policy. Glasgow: European Policies Research Centre.</w:t>
      </w:r>
    </w:p>
    <w:p w14:paraId="40A94EF1" w14:textId="77777777" w:rsidR="002358FA" w:rsidRPr="003523C5" w:rsidRDefault="002358FA" w:rsidP="00CA7B81">
      <w:pPr>
        <w:contextualSpacing/>
        <w:rPr>
          <w:lang w:val="en-US"/>
        </w:rPr>
      </w:pPr>
    </w:p>
    <w:p w14:paraId="3A465961" w14:textId="77777777" w:rsidR="002358FA" w:rsidRPr="003523C5" w:rsidRDefault="002358FA" w:rsidP="00CA7B81">
      <w:pPr>
        <w:contextualSpacing/>
        <w:rPr>
          <w:lang w:val="en-US"/>
        </w:rPr>
      </w:pPr>
      <w:proofErr w:type="spellStart"/>
      <w:r w:rsidRPr="003523C5">
        <w:rPr>
          <w:lang w:val="en-US"/>
        </w:rPr>
        <w:t>Mérő</w:t>
      </w:r>
      <w:proofErr w:type="spellEnd"/>
      <w:r w:rsidRPr="003523C5">
        <w:rPr>
          <w:lang w:val="en-US"/>
        </w:rPr>
        <w:t xml:space="preserve">, Katalin, and </w:t>
      </w:r>
      <w:proofErr w:type="spellStart"/>
      <w:r w:rsidRPr="003523C5">
        <w:rPr>
          <w:lang w:val="en-US"/>
        </w:rPr>
        <w:t>András</w:t>
      </w:r>
      <w:proofErr w:type="spellEnd"/>
      <w:r w:rsidRPr="003523C5">
        <w:rPr>
          <w:lang w:val="en-US"/>
        </w:rPr>
        <w:t xml:space="preserve"> </w:t>
      </w:r>
      <w:proofErr w:type="spellStart"/>
      <w:r w:rsidRPr="003523C5">
        <w:rPr>
          <w:lang w:val="en-US"/>
        </w:rPr>
        <w:t>Bethlendi</w:t>
      </w:r>
      <w:proofErr w:type="spellEnd"/>
      <w:r w:rsidRPr="003523C5">
        <w:rPr>
          <w:lang w:val="en-US"/>
        </w:rPr>
        <w:t xml:space="preserve">. 2021. ‘Financial Markets: Banks and Capital Markets’. Pp. 51–109 in Emerging European Economies After the Pandemic, edited by L. </w:t>
      </w:r>
      <w:proofErr w:type="spellStart"/>
      <w:r w:rsidRPr="003523C5">
        <w:rPr>
          <w:lang w:val="en-US"/>
        </w:rPr>
        <w:t>Mátyás</w:t>
      </w:r>
      <w:proofErr w:type="spellEnd"/>
      <w:r w:rsidRPr="003523C5">
        <w:rPr>
          <w:lang w:val="en-US"/>
        </w:rPr>
        <w:t>. Budapest and Vienna: CEU Press.</w:t>
      </w:r>
    </w:p>
    <w:p w14:paraId="37DFB24F" w14:textId="77777777" w:rsidR="002358FA" w:rsidRPr="003523C5" w:rsidRDefault="002358FA" w:rsidP="00CA7B81">
      <w:pPr>
        <w:contextualSpacing/>
        <w:rPr>
          <w:lang w:val="en-US"/>
        </w:rPr>
      </w:pPr>
    </w:p>
    <w:p w14:paraId="1BC852E6" w14:textId="77777777" w:rsidR="002358FA" w:rsidRPr="003523C5" w:rsidRDefault="002358FA" w:rsidP="00CA7B81">
      <w:pPr>
        <w:contextualSpacing/>
        <w:rPr>
          <w:lang w:val="en-US"/>
        </w:rPr>
      </w:pPr>
      <w:r w:rsidRPr="003523C5">
        <w:rPr>
          <w:lang w:val="en-US"/>
        </w:rPr>
        <w:t xml:space="preserve">Mertens, Daniel, and Matthias Thiemann. 2019. ‘Building a Hidden Investment State? The European Investment Bank, National Development Banks and European Economic Governance’. Journal of European Public Policy 26(1):23–43. </w:t>
      </w:r>
      <w:proofErr w:type="spellStart"/>
      <w:r w:rsidRPr="003523C5">
        <w:rPr>
          <w:lang w:val="en-US"/>
        </w:rPr>
        <w:t>doi</w:t>
      </w:r>
      <w:proofErr w:type="spellEnd"/>
      <w:r w:rsidRPr="003523C5">
        <w:rPr>
          <w:lang w:val="en-US"/>
        </w:rPr>
        <w:t>: 10.1080/13501763.2017.1382556.</w:t>
      </w:r>
    </w:p>
    <w:p w14:paraId="6F20FEFE" w14:textId="77777777" w:rsidR="002358FA" w:rsidRPr="003523C5" w:rsidRDefault="002358FA" w:rsidP="00CA7B81">
      <w:pPr>
        <w:contextualSpacing/>
        <w:rPr>
          <w:lang w:val="en-US"/>
        </w:rPr>
      </w:pPr>
    </w:p>
    <w:p w14:paraId="5FE35460" w14:textId="77777777" w:rsidR="002358FA" w:rsidRPr="003523C5" w:rsidRDefault="002358FA" w:rsidP="00CA7B81">
      <w:pPr>
        <w:contextualSpacing/>
        <w:rPr>
          <w:lang w:val="en-US"/>
        </w:rPr>
      </w:pPr>
      <w:r w:rsidRPr="003523C5">
        <w:rPr>
          <w:lang w:val="en-US"/>
        </w:rPr>
        <w:t xml:space="preserve">Meunier, Sophie, and </w:t>
      </w:r>
      <w:proofErr w:type="spellStart"/>
      <w:r w:rsidRPr="003523C5">
        <w:rPr>
          <w:lang w:val="en-US"/>
        </w:rPr>
        <w:t>Justinas</w:t>
      </w:r>
      <w:proofErr w:type="spellEnd"/>
      <w:r w:rsidRPr="003523C5">
        <w:rPr>
          <w:lang w:val="en-US"/>
        </w:rPr>
        <w:t xml:space="preserve"> </w:t>
      </w:r>
      <w:proofErr w:type="spellStart"/>
      <w:r w:rsidRPr="003523C5">
        <w:rPr>
          <w:lang w:val="en-US"/>
        </w:rPr>
        <w:t>Mickus</w:t>
      </w:r>
      <w:proofErr w:type="spellEnd"/>
      <w:r w:rsidRPr="003523C5">
        <w:rPr>
          <w:lang w:val="en-US"/>
        </w:rPr>
        <w:t xml:space="preserve">. 2020. ‘Sizing up the Competition: Explaining Reform of European Union Competition Policy in the Covid-19 Era’. Journal of European Integration 42(8):1077–94. </w:t>
      </w:r>
      <w:proofErr w:type="spellStart"/>
      <w:r w:rsidRPr="003523C5">
        <w:rPr>
          <w:lang w:val="en-US"/>
        </w:rPr>
        <w:t>doi</w:t>
      </w:r>
      <w:proofErr w:type="spellEnd"/>
      <w:r w:rsidRPr="003523C5">
        <w:rPr>
          <w:lang w:val="en-US"/>
        </w:rPr>
        <w:t>: 10.1080/07036337.2020.1852232.</w:t>
      </w:r>
    </w:p>
    <w:p w14:paraId="2F28DBB1" w14:textId="77777777" w:rsidR="002358FA" w:rsidRPr="003523C5" w:rsidRDefault="002358FA" w:rsidP="00CA7B81">
      <w:pPr>
        <w:contextualSpacing/>
        <w:rPr>
          <w:lang w:val="en-US"/>
        </w:rPr>
      </w:pPr>
    </w:p>
    <w:p w14:paraId="4D80CF98" w14:textId="77777777" w:rsidR="002358FA" w:rsidRPr="003523C5" w:rsidRDefault="002358FA" w:rsidP="00CA7B81">
      <w:pPr>
        <w:contextualSpacing/>
        <w:rPr>
          <w:lang w:val="en-US"/>
        </w:rPr>
      </w:pPr>
      <w:proofErr w:type="spellStart"/>
      <w:r w:rsidRPr="003523C5">
        <w:rPr>
          <w:lang w:val="en-US"/>
        </w:rPr>
        <w:t>Micheau</w:t>
      </w:r>
      <w:proofErr w:type="spellEnd"/>
      <w:r w:rsidRPr="003523C5">
        <w:rPr>
          <w:lang w:val="en-US"/>
        </w:rPr>
        <w:t xml:space="preserve">, Claire. 2016. ‘Evolution of State Aid Rules: Conceptions, Challenges, and Outcomes’. Pp. 18–35 in State Aid Law of the European Union, edited by H. C. H. Hofmann and C. </w:t>
      </w:r>
      <w:proofErr w:type="spellStart"/>
      <w:r w:rsidRPr="003523C5">
        <w:rPr>
          <w:lang w:val="en-US"/>
        </w:rPr>
        <w:t>Micheau</w:t>
      </w:r>
      <w:proofErr w:type="spellEnd"/>
      <w:r w:rsidRPr="003523C5">
        <w:rPr>
          <w:lang w:val="en-US"/>
        </w:rPr>
        <w:t>. Oxford, UK: Oxford University Press.</w:t>
      </w:r>
    </w:p>
    <w:p w14:paraId="61A8E032" w14:textId="77777777" w:rsidR="002358FA" w:rsidRPr="003523C5" w:rsidRDefault="002358FA" w:rsidP="00CA7B81">
      <w:pPr>
        <w:contextualSpacing/>
        <w:rPr>
          <w:lang w:val="en-US"/>
        </w:rPr>
      </w:pPr>
    </w:p>
    <w:p w14:paraId="26ADC02C" w14:textId="77777777" w:rsidR="002358FA" w:rsidRPr="003523C5" w:rsidRDefault="002358FA" w:rsidP="00CA7B81">
      <w:pPr>
        <w:contextualSpacing/>
        <w:rPr>
          <w:lang w:val="en-US"/>
        </w:rPr>
      </w:pPr>
      <w:proofErr w:type="spellStart"/>
      <w:r w:rsidRPr="003523C5">
        <w:rPr>
          <w:lang w:val="en-US"/>
        </w:rPr>
        <w:t>Moravcsik</w:t>
      </w:r>
      <w:proofErr w:type="spellEnd"/>
      <w:r w:rsidRPr="003523C5">
        <w:rPr>
          <w:lang w:val="en-US"/>
        </w:rPr>
        <w:t>, Andrew. 1998. The Choice for Europe. Social Purpose and State Power from Messina to Maastricht. Ithaca: Cornell University Press.</w:t>
      </w:r>
    </w:p>
    <w:p w14:paraId="72B221F0" w14:textId="77777777" w:rsidR="002358FA" w:rsidRPr="003523C5" w:rsidRDefault="002358FA" w:rsidP="00CA7B81">
      <w:pPr>
        <w:contextualSpacing/>
        <w:rPr>
          <w:lang w:val="en-US"/>
        </w:rPr>
      </w:pPr>
    </w:p>
    <w:p w14:paraId="36CCD8BE" w14:textId="77777777" w:rsidR="002358FA" w:rsidRPr="003523C5" w:rsidRDefault="002358FA" w:rsidP="00CA7B81">
      <w:pPr>
        <w:contextualSpacing/>
        <w:rPr>
          <w:lang w:val="en-US"/>
        </w:rPr>
      </w:pPr>
      <w:proofErr w:type="spellStart"/>
      <w:r w:rsidRPr="003523C5">
        <w:rPr>
          <w:lang w:val="en-US"/>
        </w:rPr>
        <w:lastRenderedPageBreak/>
        <w:t>Nascimbene</w:t>
      </w:r>
      <w:proofErr w:type="spellEnd"/>
      <w:r w:rsidRPr="003523C5">
        <w:rPr>
          <w:lang w:val="en-US"/>
        </w:rPr>
        <w:t xml:space="preserve">, Bruno. 2018. ‘Introduction: The Modernization of State Aid Regulation’. Pp. 1–16 in The </w:t>
      </w:r>
      <w:proofErr w:type="spellStart"/>
      <w:r w:rsidRPr="003523C5">
        <w:rPr>
          <w:lang w:val="en-US"/>
        </w:rPr>
        <w:t>Modernisation</w:t>
      </w:r>
      <w:proofErr w:type="spellEnd"/>
      <w:r w:rsidRPr="003523C5">
        <w:rPr>
          <w:lang w:val="en-US"/>
        </w:rPr>
        <w:t xml:space="preserve"> of State Aid for Economic and Social Development, edited by B. </w:t>
      </w:r>
      <w:proofErr w:type="spellStart"/>
      <w:r w:rsidRPr="003523C5">
        <w:rPr>
          <w:lang w:val="en-US"/>
        </w:rPr>
        <w:t>Nascimbene</w:t>
      </w:r>
      <w:proofErr w:type="spellEnd"/>
      <w:r w:rsidRPr="003523C5">
        <w:rPr>
          <w:lang w:val="en-US"/>
        </w:rPr>
        <w:t xml:space="preserve"> and A. Di Pascale. Cham: Springer.</w:t>
      </w:r>
    </w:p>
    <w:p w14:paraId="6BA3C1DE" w14:textId="77777777" w:rsidR="002358FA" w:rsidRPr="003523C5" w:rsidRDefault="002358FA" w:rsidP="00CA7B81">
      <w:pPr>
        <w:contextualSpacing/>
        <w:rPr>
          <w:lang w:val="en-US"/>
        </w:rPr>
      </w:pPr>
    </w:p>
    <w:p w14:paraId="0451617B" w14:textId="77777777" w:rsidR="002358FA" w:rsidRPr="003523C5" w:rsidRDefault="002358FA" w:rsidP="00CA7B81">
      <w:pPr>
        <w:contextualSpacing/>
        <w:rPr>
          <w:lang w:val="en-US"/>
        </w:rPr>
      </w:pPr>
      <w:r w:rsidRPr="003523C5">
        <w:rPr>
          <w:lang w:val="en-US"/>
        </w:rPr>
        <w:t xml:space="preserve">Nicolaides, </w:t>
      </w:r>
      <w:proofErr w:type="spellStart"/>
      <w:r w:rsidRPr="003523C5">
        <w:rPr>
          <w:lang w:val="en-US"/>
        </w:rPr>
        <w:t>Phedon</w:t>
      </w:r>
      <w:proofErr w:type="spellEnd"/>
      <w:r w:rsidRPr="003523C5">
        <w:rPr>
          <w:lang w:val="en-US"/>
        </w:rPr>
        <w:t>. 2003. ‘</w:t>
      </w:r>
      <w:proofErr w:type="spellStart"/>
      <w:r w:rsidRPr="003523C5">
        <w:rPr>
          <w:lang w:val="en-US"/>
        </w:rPr>
        <w:t>Decentralised</w:t>
      </w:r>
      <w:proofErr w:type="spellEnd"/>
      <w:r w:rsidRPr="003523C5">
        <w:rPr>
          <w:lang w:val="en-US"/>
        </w:rPr>
        <w:t xml:space="preserve"> State Aid Control in an Enlarged European Union: Feasible, Necessary or Both’. World Competition 26:263.</w:t>
      </w:r>
    </w:p>
    <w:p w14:paraId="41155AAA" w14:textId="77777777" w:rsidR="002358FA" w:rsidRPr="003523C5" w:rsidRDefault="002358FA" w:rsidP="00CA7B81">
      <w:pPr>
        <w:contextualSpacing/>
        <w:rPr>
          <w:lang w:val="en-US"/>
        </w:rPr>
      </w:pPr>
    </w:p>
    <w:p w14:paraId="6B440153" w14:textId="77777777" w:rsidR="002358FA" w:rsidRPr="003523C5" w:rsidRDefault="002358FA" w:rsidP="00CA7B81">
      <w:pPr>
        <w:contextualSpacing/>
        <w:rPr>
          <w:lang w:val="en-US"/>
        </w:rPr>
      </w:pPr>
      <w:proofErr w:type="spellStart"/>
      <w:r w:rsidRPr="003523C5">
        <w:rPr>
          <w:lang w:val="en-US"/>
        </w:rPr>
        <w:t>Nyikos</w:t>
      </w:r>
      <w:proofErr w:type="spellEnd"/>
      <w:r w:rsidRPr="003523C5">
        <w:rPr>
          <w:lang w:val="en-US"/>
        </w:rPr>
        <w:t xml:space="preserve">, </w:t>
      </w:r>
      <w:proofErr w:type="spellStart"/>
      <w:r w:rsidRPr="003523C5">
        <w:rPr>
          <w:lang w:val="en-US"/>
        </w:rPr>
        <w:t>Györgyi</w:t>
      </w:r>
      <w:proofErr w:type="spellEnd"/>
      <w:r w:rsidRPr="003523C5">
        <w:rPr>
          <w:lang w:val="en-US"/>
        </w:rPr>
        <w:t xml:space="preserve">, ed. 2018. </w:t>
      </w:r>
      <w:proofErr w:type="spellStart"/>
      <w:r w:rsidRPr="003523C5">
        <w:rPr>
          <w:lang w:val="en-US"/>
        </w:rPr>
        <w:t>Állami</w:t>
      </w:r>
      <w:proofErr w:type="spellEnd"/>
      <w:r w:rsidRPr="003523C5">
        <w:rPr>
          <w:lang w:val="en-US"/>
        </w:rPr>
        <w:t xml:space="preserve"> </w:t>
      </w:r>
      <w:proofErr w:type="spellStart"/>
      <w:r w:rsidRPr="003523C5">
        <w:rPr>
          <w:lang w:val="en-US"/>
        </w:rPr>
        <w:t>Támogatások</w:t>
      </w:r>
      <w:proofErr w:type="spellEnd"/>
      <w:r w:rsidRPr="003523C5">
        <w:rPr>
          <w:lang w:val="en-US"/>
        </w:rPr>
        <w:t xml:space="preserve"> [State Aids]. Budapest: </w:t>
      </w:r>
      <w:proofErr w:type="spellStart"/>
      <w:r w:rsidRPr="003523C5">
        <w:rPr>
          <w:lang w:val="en-US"/>
        </w:rPr>
        <w:t>Dialóg</w:t>
      </w:r>
      <w:proofErr w:type="spellEnd"/>
      <w:r w:rsidRPr="003523C5">
        <w:rPr>
          <w:lang w:val="en-US"/>
        </w:rPr>
        <w:t xml:space="preserve"> Campus.</w:t>
      </w:r>
    </w:p>
    <w:p w14:paraId="2AF3B7A1" w14:textId="77777777" w:rsidR="002358FA" w:rsidRPr="003523C5" w:rsidRDefault="002358FA" w:rsidP="00CA7B81">
      <w:pPr>
        <w:contextualSpacing/>
        <w:rPr>
          <w:lang w:val="en-US"/>
        </w:rPr>
      </w:pPr>
    </w:p>
    <w:p w14:paraId="62D8534F" w14:textId="77777777" w:rsidR="002358FA" w:rsidRPr="003523C5" w:rsidRDefault="002358FA" w:rsidP="00CA7B81">
      <w:pPr>
        <w:contextualSpacing/>
        <w:rPr>
          <w:lang w:val="en-US"/>
        </w:rPr>
      </w:pPr>
      <w:proofErr w:type="spellStart"/>
      <w:r w:rsidRPr="003523C5">
        <w:rPr>
          <w:lang w:val="en-US"/>
        </w:rPr>
        <w:t>Offe</w:t>
      </w:r>
      <w:proofErr w:type="spellEnd"/>
      <w:r w:rsidRPr="003523C5">
        <w:rPr>
          <w:lang w:val="en-US"/>
        </w:rPr>
        <w:t>, Claus. 2015. Europe Entrapped. Cambridge and Malden: Polity Press.</w:t>
      </w:r>
    </w:p>
    <w:p w14:paraId="2000E3E7" w14:textId="77777777" w:rsidR="002358FA" w:rsidRPr="003523C5" w:rsidRDefault="002358FA" w:rsidP="00CA7B81">
      <w:pPr>
        <w:contextualSpacing/>
        <w:rPr>
          <w:lang w:val="en-US"/>
        </w:rPr>
      </w:pPr>
    </w:p>
    <w:p w14:paraId="5D33E577" w14:textId="77777777" w:rsidR="002358FA" w:rsidRPr="003523C5" w:rsidRDefault="002358FA" w:rsidP="00CA7B81">
      <w:pPr>
        <w:contextualSpacing/>
        <w:rPr>
          <w:lang w:val="en-US"/>
        </w:rPr>
      </w:pPr>
      <w:proofErr w:type="spellStart"/>
      <w:r w:rsidRPr="003523C5">
        <w:rPr>
          <w:lang w:val="en-US"/>
        </w:rPr>
        <w:t>Ordeshook</w:t>
      </w:r>
      <w:proofErr w:type="spellEnd"/>
      <w:r w:rsidRPr="003523C5">
        <w:rPr>
          <w:lang w:val="en-US"/>
        </w:rPr>
        <w:t xml:space="preserve">, Peter C. 1992. ‘Constitutional Stability’. Constitutional Political Economy 3(2):137–75. </w:t>
      </w:r>
      <w:proofErr w:type="spellStart"/>
      <w:r w:rsidRPr="003523C5">
        <w:rPr>
          <w:lang w:val="en-US"/>
        </w:rPr>
        <w:t>doi</w:t>
      </w:r>
      <w:proofErr w:type="spellEnd"/>
      <w:r w:rsidRPr="003523C5">
        <w:rPr>
          <w:lang w:val="en-US"/>
        </w:rPr>
        <w:t>: 10.1007/BF02393118.</w:t>
      </w:r>
    </w:p>
    <w:p w14:paraId="2AF6EA30" w14:textId="77777777" w:rsidR="002358FA" w:rsidRPr="003523C5" w:rsidRDefault="002358FA" w:rsidP="00CA7B81">
      <w:pPr>
        <w:contextualSpacing/>
        <w:rPr>
          <w:lang w:val="en-US"/>
        </w:rPr>
      </w:pPr>
    </w:p>
    <w:p w14:paraId="5D82F2C0" w14:textId="77777777" w:rsidR="002358FA" w:rsidRPr="003523C5" w:rsidRDefault="002358FA" w:rsidP="00CA7B81">
      <w:pPr>
        <w:contextualSpacing/>
        <w:rPr>
          <w:lang w:val="en-US"/>
        </w:rPr>
      </w:pPr>
      <w:proofErr w:type="spellStart"/>
      <w:r w:rsidRPr="003523C5">
        <w:rPr>
          <w:lang w:val="en-US"/>
        </w:rPr>
        <w:t>Podvršič</w:t>
      </w:r>
      <w:proofErr w:type="spellEnd"/>
      <w:r w:rsidRPr="003523C5">
        <w:rPr>
          <w:lang w:val="en-US"/>
        </w:rPr>
        <w:t>, Ana. 2021. ‘Understanding (Dis)Integration: Lessons from the Yugoslav Debt Crisis’. Cluj-Napoca.</w:t>
      </w:r>
    </w:p>
    <w:p w14:paraId="03A79C40" w14:textId="77777777" w:rsidR="002358FA" w:rsidRPr="003523C5" w:rsidRDefault="002358FA" w:rsidP="00CA7B81">
      <w:pPr>
        <w:contextualSpacing/>
        <w:rPr>
          <w:lang w:val="en-US"/>
        </w:rPr>
      </w:pPr>
    </w:p>
    <w:p w14:paraId="5021F753" w14:textId="77777777" w:rsidR="002358FA" w:rsidRPr="003523C5" w:rsidRDefault="002358FA" w:rsidP="00CA7B81">
      <w:pPr>
        <w:contextualSpacing/>
        <w:rPr>
          <w:lang w:val="en-US"/>
        </w:rPr>
      </w:pPr>
      <w:r w:rsidRPr="003523C5">
        <w:rPr>
          <w:lang w:val="en-US"/>
        </w:rPr>
        <w:t>Rios, Beatriz. 2020. ‘Germany’s Massive Use of State Aid Could Serve as “Locomotive,” Vestager Says’. www.euractiv.com. Retrieved 5 February 2021 (</w:t>
      </w:r>
      <w:hyperlink r:id="rId19" w:history="1">
        <w:r w:rsidRPr="003523C5">
          <w:rPr>
            <w:rStyle w:val="Hyperlink"/>
            <w:lang w:val="en-US"/>
          </w:rPr>
          <w:t>https://www.euractiv.com/section/economy-jobs/news/germanys-massive-use-of-state-aid-could-serve-as-locomotive-vestager-says/</w:t>
        </w:r>
      </w:hyperlink>
      <w:r w:rsidRPr="003523C5">
        <w:rPr>
          <w:lang w:val="en-US"/>
        </w:rPr>
        <w:t>).</w:t>
      </w:r>
    </w:p>
    <w:p w14:paraId="421A0E35" w14:textId="77777777" w:rsidR="002358FA" w:rsidRPr="003523C5" w:rsidRDefault="002358FA" w:rsidP="00CA7B81">
      <w:pPr>
        <w:contextualSpacing/>
        <w:rPr>
          <w:lang w:val="en-US"/>
        </w:rPr>
      </w:pPr>
    </w:p>
    <w:p w14:paraId="7C9FE609" w14:textId="77777777" w:rsidR="002358FA" w:rsidRPr="003523C5" w:rsidRDefault="002358FA" w:rsidP="00CA7B81">
      <w:pPr>
        <w:contextualSpacing/>
        <w:rPr>
          <w:lang w:val="en-US"/>
        </w:rPr>
      </w:pPr>
      <w:r w:rsidRPr="003523C5">
        <w:rPr>
          <w:lang w:val="en-US"/>
        </w:rPr>
        <w:t xml:space="preserve">Rodden, Jonathan A. 2008. ‘Federalism’. Pp. 357–72 in The Oxford Handbook of Political Economy, edited by D. A. Wittman and B. R. </w:t>
      </w:r>
      <w:proofErr w:type="spellStart"/>
      <w:r w:rsidRPr="003523C5">
        <w:rPr>
          <w:lang w:val="en-US"/>
        </w:rPr>
        <w:t>Weingast</w:t>
      </w:r>
      <w:proofErr w:type="spellEnd"/>
      <w:r w:rsidRPr="003523C5">
        <w:rPr>
          <w:lang w:val="en-US"/>
        </w:rPr>
        <w:t>. Oxford University Press.</w:t>
      </w:r>
    </w:p>
    <w:p w14:paraId="1D48DEDC" w14:textId="77777777" w:rsidR="002358FA" w:rsidRPr="003523C5" w:rsidRDefault="002358FA" w:rsidP="00CA7B81">
      <w:pPr>
        <w:contextualSpacing/>
        <w:rPr>
          <w:lang w:val="en-US"/>
        </w:rPr>
      </w:pPr>
    </w:p>
    <w:p w14:paraId="0F9A4D81" w14:textId="77777777" w:rsidR="002358FA" w:rsidRPr="003523C5" w:rsidRDefault="002358FA" w:rsidP="00CA7B81">
      <w:pPr>
        <w:contextualSpacing/>
        <w:rPr>
          <w:lang w:val="en-US"/>
        </w:rPr>
      </w:pPr>
      <w:r w:rsidRPr="003523C5">
        <w:rPr>
          <w:lang w:val="en-US"/>
        </w:rPr>
        <w:t xml:space="preserve">Rodríguez-Pose, Andrés, and Enrique </w:t>
      </w:r>
      <w:proofErr w:type="spellStart"/>
      <w:r w:rsidRPr="003523C5">
        <w:rPr>
          <w:lang w:val="en-US"/>
        </w:rPr>
        <w:t>Garcilazo</w:t>
      </w:r>
      <w:proofErr w:type="spellEnd"/>
      <w:r w:rsidRPr="003523C5">
        <w:rPr>
          <w:lang w:val="en-US"/>
        </w:rPr>
        <w:t xml:space="preserve">. 2015. ‘Quality of Government and the Returns of Investment: Examining the Impact of Cohesion Expenditure in European Regions’. Regional Studies 49(8):1274–90. </w:t>
      </w:r>
      <w:proofErr w:type="spellStart"/>
      <w:r w:rsidRPr="003523C5">
        <w:rPr>
          <w:lang w:val="en-US"/>
        </w:rPr>
        <w:t>doi</w:t>
      </w:r>
      <w:proofErr w:type="spellEnd"/>
      <w:r w:rsidRPr="003523C5">
        <w:rPr>
          <w:lang w:val="en-US"/>
        </w:rPr>
        <w:t>: 10.1080/00343404.2015.1007933.</w:t>
      </w:r>
    </w:p>
    <w:p w14:paraId="2D9C0E74" w14:textId="77777777" w:rsidR="002358FA" w:rsidRPr="003523C5" w:rsidRDefault="002358FA" w:rsidP="00CA7B81">
      <w:pPr>
        <w:contextualSpacing/>
        <w:rPr>
          <w:lang w:val="en-US"/>
        </w:rPr>
      </w:pPr>
    </w:p>
    <w:p w14:paraId="56E341A5" w14:textId="77777777" w:rsidR="002358FA" w:rsidRPr="003523C5" w:rsidRDefault="002358FA" w:rsidP="00CA7B81">
      <w:pPr>
        <w:contextualSpacing/>
        <w:rPr>
          <w:lang w:val="en-US"/>
        </w:rPr>
      </w:pPr>
      <w:proofErr w:type="spellStart"/>
      <w:r w:rsidRPr="003523C5">
        <w:rPr>
          <w:lang w:val="en-US"/>
        </w:rPr>
        <w:t>Sandholtz</w:t>
      </w:r>
      <w:proofErr w:type="spellEnd"/>
      <w:r w:rsidRPr="003523C5">
        <w:rPr>
          <w:lang w:val="en-US"/>
        </w:rPr>
        <w:t xml:space="preserve">, Wayne, and Alec Stone Sweet. 2012. ‘Neo-Functionalism and Supranational Governance’. edited by E. Jones, A. Menon, and S. </w:t>
      </w:r>
      <w:proofErr w:type="spellStart"/>
      <w:r w:rsidRPr="003523C5">
        <w:rPr>
          <w:lang w:val="en-US"/>
        </w:rPr>
        <w:t>Weatherill</w:t>
      </w:r>
      <w:proofErr w:type="spellEnd"/>
      <w:r w:rsidRPr="003523C5">
        <w:rPr>
          <w:lang w:val="en-US"/>
        </w:rPr>
        <w:t>. Oxford University Press.</w:t>
      </w:r>
    </w:p>
    <w:p w14:paraId="675A380C" w14:textId="77777777" w:rsidR="002358FA" w:rsidRPr="003523C5" w:rsidRDefault="002358FA" w:rsidP="00CA7B81">
      <w:pPr>
        <w:contextualSpacing/>
        <w:rPr>
          <w:lang w:val="en-US"/>
        </w:rPr>
      </w:pPr>
    </w:p>
    <w:p w14:paraId="0B250DC9" w14:textId="77777777" w:rsidR="002358FA" w:rsidRPr="003523C5" w:rsidRDefault="002358FA" w:rsidP="00CA7B81">
      <w:pPr>
        <w:contextualSpacing/>
        <w:rPr>
          <w:lang w:val="en-US"/>
        </w:rPr>
      </w:pPr>
      <w:proofErr w:type="spellStart"/>
      <w:r w:rsidRPr="003523C5">
        <w:rPr>
          <w:lang w:val="en-US"/>
        </w:rPr>
        <w:t>Scharpf</w:t>
      </w:r>
      <w:proofErr w:type="spellEnd"/>
      <w:r w:rsidRPr="003523C5">
        <w:rPr>
          <w:lang w:val="en-US"/>
        </w:rPr>
        <w:t xml:space="preserve">, Fritz W. 1988. ‘The Joint-Decision Trap: Lessons from German Federalism and European Integration’. Public Administration 66(3):239–78. </w:t>
      </w:r>
      <w:proofErr w:type="spellStart"/>
      <w:r w:rsidRPr="003523C5">
        <w:rPr>
          <w:lang w:val="en-US"/>
        </w:rPr>
        <w:t>doi</w:t>
      </w:r>
      <w:proofErr w:type="spellEnd"/>
      <w:r w:rsidRPr="003523C5">
        <w:rPr>
          <w:lang w:val="en-US"/>
        </w:rPr>
        <w:t>: 10.1111/j.1467-</w:t>
      </w:r>
      <w:proofErr w:type="gramStart"/>
      <w:r w:rsidRPr="003523C5">
        <w:rPr>
          <w:lang w:val="en-US"/>
        </w:rPr>
        <w:t>9299.1988.tb</w:t>
      </w:r>
      <w:proofErr w:type="gramEnd"/>
      <w:r w:rsidRPr="003523C5">
        <w:rPr>
          <w:lang w:val="en-US"/>
        </w:rPr>
        <w:t>00694.x.</w:t>
      </w:r>
    </w:p>
    <w:p w14:paraId="278EA14D" w14:textId="77777777" w:rsidR="002358FA" w:rsidRPr="003523C5" w:rsidRDefault="002358FA" w:rsidP="00CA7B81">
      <w:pPr>
        <w:contextualSpacing/>
        <w:rPr>
          <w:lang w:val="en-US"/>
        </w:rPr>
      </w:pPr>
    </w:p>
    <w:p w14:paraId="25CED32D" w14:textId="77777777" w:rsidR="002358FA" w:rsidRPr="003523C5" w:rsidRDefault="002358FA" w:rsidP="00CA7B81">
      <w:pPr>
        <w:contextualSpacing/>
        <w:rPr>
          <w:lang w:val="en-US"/>
        </w:rPr>
      </w:pPr>
      <w:proofErr w:type="spellStart"/>
      <w:r w:rsidRPr="003523C5">
        <w:rPr>
          <w:lang w:val="en-US"/>
        </w:rPr>
        <w:t>Scharpf</w:t>
      </w:r>
      <w:proofErr w:type="spellEnd"/>
      <w:r w:rsidRPr="003523C5">
        <w:rPr>
          <w:lang w:val="en-US"/>
        </w:rPr>
        <w:t xml:space="preserve">, Fritz W. 1998. ‘Balancing Positive and Negative Integration: The Regulatory Options for Europe’. Pp. 29–59 in Challenge of Globalization for Germany’s Social Democracy: A Policy Agenda for the 21st Century, edited by D. </w:t>
      </w:r>
      <w:proofErr w:type="spellStart"/>
      <w:r w:rsidRPr="003523C5">
        <w:rPr>
          <w:lang w:val="en-US"/>
        </w:rPr>
        <w:t>Dettke</w:t>
      </w:r>
      <w:proofErr w:type="spellEnd"/>
      <w:r w:rsidRPr="003523C5">
        <w:rPr>
          <w:lang w:val="en-US"/>
        </w:rPr>
        <w:t xml:space="preserve">. Oxford, New York: </w:t>
      </w:r>
      <w:proofErr w:type="spellStart"/>
      <w:r w:rsidRPr="003523C5">
        <w:rPr>
          <w:lang w:val="en-US"/>
        </w:rPr>
        <w:t>Berghahn</w:t>
      </w:r>
      <w:proofErr w:type="spellEnd"/>
      <w:r w:rsidRPr="003523C5">
        <w:rPr>
          <w:lang w:val="en-US"/>
        </w:rPr>
        <w:t xml:space="preserve"> Books.</w:t>
      </w:r>
    </w:p>
    <w:p w14:paraId="0A8834C6" w14:textId="77777777" w:rsidR="002358FA" w:rsidRPr="003523C5" w:rsidRDefault="002358FA" w:rsidP="00CA7B81">
      <w:pPr>
        <w:contextualSpacing/>
        <w:rPr>
          <w:lang w:val="en-US"/>
        </w:rPr>
      </w:pPr>
    </w:p>
    <w:p w14:paraId="265D5816" w14:textId="77777777" w:rsidR="002358FA" w:rsidRPr="003523C5" w:rsidRDefault="002358FA" w:rsidP="00CA7B81">
      <w:pPr>
        <w:contextualSpacing/>
        <w:rPr>
          <w:lang w:val="en-US"/>
        </w:rPr>
      </w:pPr>
      <w:proofErr w:type="spellStart"/>
      <w:r w:rsidRPr="003523C5">
        <w:rPr>
          <w:lang w:val="en-US"/>
        </w:rPr>
        <w:t>Scharpf</w:t>
      </w:r>
      <w:proofErr w:type="spellEnd"/>
      <w:r w:rsidRPr="003523C5">
        <w:rPr>
          <w:lang w:val="en-US"/>
        </w:rPr>
        <w:t xml:space="preserve">, Fritz W. 2010. ‘The Asymmetry of European Integration, or Why the EU Cannot Be a “Social Market Economy”’. Socio-Economic Review 8(2):211–50. </w:t>
      </w:r>
      <w:proofErr w:type="spellStart"/>
      <w:r w:rsidRPr="003523C5">
        <w:rPr>
          <w:lang w:val="en-US"/>
        </w:rPr>
        <w:t>doi</w:t>
      </w:r>
      <w:proofErr w:type="spellEnd"/>
      <w:r w:rsidRPr="003523C5">
        <w:rPr>
          <w:lang w:val="en-US"/>
        </w:rPr>
        <w:t>: 10.1093/ser/mwp031.</w:t>
      </w:r>
    </w:p>
    <w:p w14:paraId="66091AC2" w14:textId="77777777" w:rsidR="002358FA" w:rsidRPr="003523C5" w:rsidRDefault="002358FA" w:rsidP="00CA7B81">
      <w:pPr>
        <w:contextualSpacing/>
        <w:rPr>
          <w:lang w:val="en-US"/>
        </w:rPr>
      </w:pPr>
    </w:p>
    <w:p w14:paraId="06546B5B" w14:textId="77777777" w:rsidR="002358FA" w:rsidRPr="003523C5" w:rsidRDefault="002358FA" w:rsidP="00CA7B81">
      <w:pPr>
        <w:contextualSpacing/>
        <w:rPr>
          <w:lang w:val="en-US"/>
        </w:rPr>
      </w:pPr>
      <w:proofErr w:type="spellStart"/>
      <w:r w:rsidRPr="003523C5">
        <w:rPr>
          <w:lang w:val="en-US"/>
        </w:rPr>
        <w:t>Schelkle</w:t>
      </w:r>
      <w:proofErr w:type="spellEnd"/>
      <w:r w:rsidRPr="003523C5">
        <w:rPr>
          <w:lang w:val="en-US"/>
        </w:rPr>
        <w:t>, Waltraud. 2017. The Political Economy of Monetary Solidarity: Understanding the Euro Experiment. Oxford, New York: Oxford University Press.</w:t>
      </w:r>
    </w:p>
    <w:p w14:paraId="6FA74498" w14:textId="77777777" w:rsidR="002358FA" w:rsidRPr="003523C5" w:rsidRDefault="002358FA" w:rsidP="00CA7B81">
      <w:pPr>
        <w:contextualSpacing/>
        <w:rPr>
          <w:lang w:val="en-US"/>
        </w:rPr>
      </w:pPr>
    </w:p>
    <w:p w14:paraId="7EFF6072" w14:textId="77777777" w:rsidR="002358FA" w:rsidRPr="003523C5" w:rsidRDefault="002358FA" w:rsidP="00CA7B81">
      <w:pPr>
        <w:contextualSpacing/>
        <w:rPr>
          <w:lang w:val="en-US"/>
        </w:rPr>
      </w:pPr>
      <w:proofErr w:type="spellStart"/>
      <w:r w:rsidRPr="003523C5">
        <w:rPr>
          <w:lang w:val="en-US"/>
        </w:rPr>
        <w:lastRenderedPageBreak/>
        <w:t>Schito</w:t>
      </w:r>
      <w:proofErr w:type="spellEnd"/>
      <w:r w:rsidRPr="003523C5">
        <w:rPr>
          <w:lang w:val="en-US"/>
        </w:rPr>
        <w:t xml:space="preserve">, Marco. 2021. ‘The Politics of State Aid in the European Union: Explaining Variation in Aid Allocation among Member States’. Journal of Public Policy 41(2):277–306. </w:t>
      </w:r>
      <w:proofErr w:type="spellStart"/>
      <w:r w:rsidRPr="003523C5">
        <w:rPr>
          <w:lang w:val="en-US"/>
        </w:rPr>
        <w:t>doi</w:t>
      </w:r>
      <w:proofErr w:type="spellEnd"/>
      <w:r w:rsidRPr="003523C5">
        <w:rPr>
          <w:lang w:val="en-US"/>
        </w:rPr>
        <w:t>: 10.1017/S0143814X2000001X.</w:t>
      </w:r>
    </w:p>
    <w:p w14:paraId="2623DE8A" w14:textId="77777777" w:rsidR="002358FA" w:rsidRPr="003523C5" w:rsidRDefault="002358FA" w:rsidP="00CA7B81">
      <w:pPr>
        <w:contextualSpacing/>
        <w:rPr>
          <w:lang w:val="en-US"/>
        </w:rPr>
      </w:pPr>
    </w:p>
    <w:p w14:paraId="491D27FA" w14:textId="77777777" w:rsidR="002358FA" w:rsidRPr="003523C5" w:rsidRDefault="002358FA" w:rsidP="00CA7B81">
      <w:pPr>
        <w:contextualSpacing/>
        <w:rPr>
          <w:lang w:val="en-US"/>
        </w:rPr>
      </w:pPr>
      <w:proofErr w:type="spellStart"/>
      <w:r w:rsidRPr="003523C5">
        <w:rPr>
          <w:lang w:val="en-US"/>
        </w:rPr>
        <w:t>Sinnaeve</w:t>
      </w:r>
      <w:proofErr w:type="spellEnd"/>
      <w:r w:rsidRPr="003523C5">
        <w:rPr>
          <w:lang w:val="en-US"/>
        </w:rPr>
        <w:t xml:space="preserve">, </w:t>
      </w:r>
      <w:proofErr w:type="spellStart"/>
      <w:r w:rsidRPr="003523C5">
        <w:rPr>
          <w:lang w:val="en-US"/>
        </w:rPr>
        <w:t>Adinda</w:t>
      </w:r>
      <w:proofErr w:type="spellEnd"/>
      <w:r w:rsidRPr="003523C5">
        <w:rPr>
          <w:lang w:val="en-US"/>
        </w:rPr>
        <w:t>. 2001. ‘Block Exemptions for State Aid: More Scope for State Aid Control by Member States and Competitors’. Common Market Law Review 38(6):1479–1501.</w:t>
      </w:r>
    </w:p>
    <w:p w14:paraId="7E938579" w14:textId="77777777" w:rsidR="002358FA" w:rsidRPr="003523C5" w:rsidRDefault="002358FA" w:rsidP="00CA7B81">
      <w:pPr>
        <w:contextualSpacing/>
        <w:rPr>
          <w:lang w:val="en-US"/>
        </w:rPr>
      </w:pPr>
    </w:p>
    <w:p w14:paraId="7C74631F" w14:textId="4C8BE573" w:rsidR="002358FA" w:rsidRPr="003523C5" w:rsidRDefault="002358FA" w:rsidP="00CA7B81">
      <w:pPr>
        <w:contextualSpacing/>
        <w:rPr>
          <w:lang w:val="en-US"/>
        </w:rPr>
      </w:pPr>
      <w:r w:rsidRPr="003523C5">
        <w:rPr>
          <w:lang w:val="en-US"/>
        </w:rPr>
        <w:t>Stepan, Alfred. 1999. ‘Toward a New Comparative Analysis of Democracy and Federalism: Demos Constraining and Demos Enabling Federations’. Mexic</w:t>
      </w:r>
      <w:r w:rsidR="00E536D0">
        <w:rPr>
          <w:lang w:val="en-US"/>
        </w:rPr>
        <w:t xml:space="preserve">o City: Centro de </w:t>
      </w:r>
      <w:proofErr w:type="spellStart"/>
      <w:r w:rsidR="00E536D0">
        <w:rPr>
          <w:lang w:val="en-US"/>
        </w:rPr>
        <w:t>Investigación</w:t>
      </w:r>
      <w:proofErr w:type="spellEnd"/>
      <w:r w:rsidR="00E536D0">
        <w:rPr>
          <w:lang w:val="en-US"/>
        </w:rPr>
        <w:t> </w:t>
      </w:r>
      <w:r w:rsidRPr="003523C5">
        <w:rPr>
          <w:lang w:val="en-US"/>
        </w:rPr>
        <w:t xml:space="preserve">y </w:t>
      </w:r>
      <w:proofErr w:type="spellStart"/>
      <w:r w:rsidRPr="003523C5">
        <w:rPr>
          <w:lang w:val="en-US"/>
        </w:rPr>
        <w:t>Docencia</w:t>
      </w:r>
      <w:proofErr w:type="spellEnd"/>
      <w:r w:rsidRPr="003523C5">
        <w:rPr>
          <w:lang w:val="en-US"/>
        </w:rPr>
        <w:t xml:space="preserve"> </w:t>
      </w:r>
      <w:proofErr w:type="spellStart"/>
      <w:r w:rsidRPr="003523C5">
        <w:rPr>
          <w:lang w:val="en-US"/>
        </w:rPr>
        <w:t>Económicas</w:t>
      </w:r>
      <w:proofErr w:type="spellEnd"/>
      <w:r w:rsidRPr="003523C5">
        <w:rPr>
          <w:lang w:val="en-US"/>
        </w:rPr>
        <w:t>.</w:t>
      </w:r>
    </w:p>
    <w:p w14:paraId="180B9952" w14:textId="77777777" w:rsidR="002358FA" w:rsidRPr="003523C5" w:rsidRDefault="002358FA" w:rsidP="00CA7B81">
      <w:pPr>
        <w:contextualSpacing/>
        <w:rPr>
          <w:lang w:val="en-US"/>
        </w:rPr>
      </w:pPr>
    </w:p>
    <w:p w14:paraId="1005986A" w14:textId="77777777" w:rsidR="002358FA" w:rsidRPr="003523C5" w:rsidRDefault="002358FA" w:rsidP="00CA7B81">
      <w:pPr>
        <w:contextualSpacing/>
        <w:rPr>
          <w:lang w:val="en-US"/>
        </w:rPr>
      </w:pPr>
      <w:r w:rsidRPr="003523C5">
        <w:rPr>
          <w:lang w:val="en-US"/>
        </w:rPr>
        <w:t>Stepan, Alfred. 2001. Arguing Comparative Politics. Oxford, New York: Oxford University Press.</w:t>
      </w:r>
    </w:p>
    <w:p w14:paraId="41B4C1C5" w14:textId="77777777" w:rsidR="002358FA" w:rsidRPr="003523C5" w:rsidRDefault="002358FA" w:rsidP="00CA7B81">
      <w:pPr>
        <w:contextualSpacing/>
        <w:rPr>
          <w:lang w:val="en-US"/>
        </w:rPr>
      </w:pPr>
    </w:p>
    <w:p w14:paraId="4E7A834C" w14:textId="77777777" w:rsidR="002358FA" w:rsidRPr="003523C5" w:rsidRDefault="002358FA" w:rsidP="00CA7B81">
      <w:pPr>
        <w:contextualSpacing/>
        <w:rPr>
          <w:lang w:val="en-US"/>
        </w:rPr>
      </w:pPr>
      <w:r w:rsidRPr="003523C5">
        <w:rPr>
          <w:lang w:val="en-US"/>
        </w:rPr>
        <w:t xml:space="preserve">Sunstein, Cass R. 1988. ‘Protectionism, the American Supreme Court and Integrated Markets’. in One European Market, edited by R. </w:t>
      </w:r>
      <w:proofErr w:type="spellStart"/>
      <w:r w:rsidRPr="003523C5">
        <w:rPr>
          <w:lang w:val="en-US"/>
        </w:rPr>
        <w:t>Bieden</w:t>
      </w:r>
      <w:proofErr w:type="spellEnd"/>
      <w:r w:rsidRPr="003523C5">
        <w:rPr>
          <w:lang w:val="en-US"/>
        </w:rPr>
        <w:t xml:space="preserve">, R. </w:t>
      </w:r>
      <w:proofErr w:type="spellStart"/>
      <w:r w:rsidRPr="003523C5">
        <w:rPr>
          <w:lang w:val="en-US"/>
        </w:rPr>
        <w:t>Dehousse</w:t>
      </w:r>
      <w:proofErr w:type="spellEnd"/>
      <w:r w:rsidRPr="003523C5">
        <w:rPr>
          <w:lang w:val="en-US"/>
        </w:rPr>
        <w:t xml:space="preserve">, J. Pinder, and J. H. H. </w:t>
      </w:r>
      <w:proofErr w:type="spellStart"/>
      <w:r w:rsidRPr="003523C5">
        <w:rPr>
          <w:lang w:val="en-US"/>
        </w:rPr>
        <w:t>Weiler</w:t>
      </w:r>
      <w:proofErr w:type="spellEnd"/>
      <w:r w:rsidRPr="003523C5">
        <w:rPr>
          <w:lang w:val="en-US"/>
        </w:rPr>
        <w:t>. Florence: European University Institute.</w:t>
      </w:r>
    </w:p>
    <w:p w14:paraId="4D0BE78E" w14:textId="77777777" w:rsidR="002358FA" w:rsidRPr="003523C5" w:rsidRDefault="002358FA" w:rsidP="00CA7B81">
      <w:pPr>
        <w:contextualSpacing/>
        <w:rPr>
          <w:lang w:val="en-US"/>
        </w:rPr>
      </w:pPr>
    </w:p>
    <w:p w14:paraId="5CBF1078" w14:textId="77777777" w:rsidR="002358FA" w:rsidRPr="003523C5" w:rsidRDefault="002358FA" w:rsidP="00CA7B81">
      <w:pPr>
        <w:contextualSpacing/>
        <w:rPr>
          <w:lang w:val="en-US"/>
        </w:rPr>
      </w:pPr>
      <w:proofErr w:type="spellStart"/>
      <w:r w:rsidRPr="003523C5">
        <w:rPr>
          <w:lang w:val="en-US"/>
        </w:rPr>
        <w:t>Tallberg</w:t>
      </w:r>
      <w:proofErr w:type="spellEnd"/>
      <w:r w:rsidRPr="003523C5">
        <w:rPr>
          <w:lang w:val="en-US"/>
        </w:rPr>
        <w:t xml:space="preserve">, Jonas. 2008. ‘Bargaining Power in the European Council’. JCMS: Journal of Common Market Studies 46(3):685–708. </w:t>
      </w:r>
      <w:proofErr w:type="spellStart"/>
      <w:r w:rsidRPr="003523C5">
        <w:rPr>
          <w:lang w:val="en-US"/>
        </w:rPr>
        <w:t>doi</w:t>
      </w:r>
      <w:proofErr w:type="spellEnd"/>
      <w:r w:rsidRPr="003523C5">
        <w:rPr>
          <w:lang w:val="en-US"/>
        </w:rPr>
        <w:t>: 10.1111/j.1468-5965.2008.</w:t>
      </w:r>
      <w:proofErr w:type="gramStart"/>
      <w:r w:rsidRPr="003523C5">
        <w:rPr>
          <w:lang w:val="en-US"/>
        </w:rPr>
        <w:t>00798.x.</w:t>
      </w:r>
      <w:proofErr w:type="gramEnd"/>
    </w:p>
    <w:p w14:paraId="28E7BC4A" w14:textId="77777777" w:rsidR="002358FA" w:rsidRPr="003523C5" w:rsidRDefault="002358FA" w:rsidP="00CA7B81">
      <w:pPr>
        <w:contextualSpacing/>
        <w:rPr>
          <w:lang w:val="en-US"/>
        </w:rPr>
      </w:pPr>
    </w:p>
    <w:p w14:paraId="5D2F1D8D" w14:textId="77777777" w:rsidR="002358FA" w:rsidRPr="003523C5" w:rsidRDefault="002358FA" w:rsidP="00CA7B81">
      <w:pPr>
        <w:contextualSpacing/>
        <w:rPr>
          <w:lang w:val="en-US"/>
        </w:rPr>
      </w:pPr>
      <w:r w:rsidRPr="003523C5">
        <w:rPr>
          <w:lang w:val="en-US"/>
        </w:rPr>
        <w:t>Van Hove, Jan. 2020. Impact of State Aid on Competition and Competitiveness during the COVID-19 Pandemic: An Early Assessment. Study for the Committee on Economic and Monetary Affairs. Luxembourg: Policy Department for Economic, Scientific and Quality of Life Policies, European Parliament.</w:t>
      </w:r>
    </w:p>
    <w:p w14:paraId="738D8CAD" w14:textId="77777777" w:rsidR="002358FA" w:rsidRPr="003523C5" w:rsidRDefault="002358FA" w:rsidP="00CA7B81">
      <w:pPr>
        <w:contextualSpacing/>
        <w:rPr>
          <w:lang w:val="en-US"/>
        </w:rPr>
      </w:pPr>
    </w:p>
    <w:p w14:paraId="185ABC9D" w14:textId="77777777" w:rsidR="002358FA" w:rsidRPr="003523C5" w:rsidRDefault="002358FA" w:rsidP="00CA7B81">
      <w:pPr>
        <w:contextualSpacing/>
        <w:rPr>
          <w:lang w:val="en-US"/>
        </w:rPr>
      </w:pPr>
      <w:proofErr w:type="spellStart"/>
      <w:r w:rsidRPr="003523C5">
        <w:rPr>
          <w:lang w:val="en-US"/>
        </w:rPr>
        <w:t>Vecchietti</w:t>
      </w:r>
      <w:proofErr w:type="spellEnd"/>
      <w:r w:rsidRPr="003523C5">
        <w:rPr>
          <w:lang w:val="en-US"/>
        </w:rPr>
        <w:t xml:space="preserve">, Valerio. 2018. ‘Tasks for National Authorities in the Modernization Era: A Case Study—Italy’. Pp. 147–68 in The </w:t>
      </w:r>
      <w:proofErr w:type="spellStart"/>
      <w:r w:rsidRPr="003523C5">
        <w:rPr>
          <w:lang w:val="en-US"/>
        </w:rPr>
        <w:t>Modernisation</w:t>
      </w:r>
      <w:proofErr w:type="spellEnd"/>
      <w:r w:rsidRPr="003523C5">
        <w:rPr>
          <w:lang w:val="en-US"/>
        </w:rPr>
        <w:t xml:space="preserve"> of State Aid for Economic and Social Development, edited by B. </w:t>
      </w:r>
      <w:proofErr w:type="spellStart"/>
      <w:r w:rsidRPr="003523C5">
        <w:rPr>
          <w:lang w:val="en-US"/>
        </w:rPr>
        <w:t>Nascimbene</w:t>
      </w:r>
      <w:proofErr w:type="spellEnd"/>
      <w:r w:rsidRPr="003523C5">
        <w:rPr>
          <w:lang w:val="en-US"/>
        </w:rPr>
        <w:t xml:space="preserve"> and A. Di Pascale. Cham: Springer.</w:t>
      </w:r>
    </w:p>
    <w:p w14:paraId="6C029EEF" w14:textId="77777777" w:rsidR="002358FA" w:rsidRPr="003523C5" w:rsidRDefault="002358FA" w:rsidP="00CA7B81">
      <w:pPr>
        <w:contextualSpacing/>
        <w:rPr>
          <w:lang w:val="en-US"/>
        </w:rPr>
      </w:pPr>
    </w:p>
    <w:p w14:paraId="3B98371A" w14:textId="77777777" w:rsidR="002358FA" w:rsidRPr="003523C5" w:rsidRDefault="002358FA" w:rsidP="00CA7B81">
      <w:pPr>
        <w:contextualSpacing/>
        <w:rPr>
          <w:lang w:val="en-US"/>
        </w:rPr>
      </w:pPr>
      <w:proofErr w:type="spellStart"/>
      <w:r w:rsidRPr="003523C5">
        <w:rPr>
          <w:lang w:val="en-US"/>
        </w:rPr>
        <w:t>Volberding</w:t>
      </w:r>
      <w:proofErr w:type="spellEnd"/>
      <w:r w:rsidRPr="003523C5">
        <w:rPr>
          <w:lang w:val="en-US"/>
        </w:rPr>
        <w:t xml:space="preserve">, Peter. 2021. ‘The Reinvention of Development Banking in the European Union: Industrial Policy in the Single Market and the Emergence of a Field’. Pp. 64–89 in State Aid and National Development Banks in the EU, edited by D. Mertens, M. Thiemann, and P. </w:t>
      </w:r>
      <w:proofErr w:type="spellStart"/>
      <w:r w:rsidRPr="003523C5">
        <w:rPr>
          <w:lang w:val="en-US"/>
        </w:rPr>
        <w:t>Volberding</w:t>
      </w:r>
      <w:proofErr w:type="spellEnd"/>
      <w:r w:rsidRPr="003523C5">
        <w:rPr>
          <w:lang w:val="en-US"/>
        </w:rPr>
        <w:t>. New York: Oxford University Press.</w:t>
      </w:r>
    </w:p>
    <w:p w14:paraId="5986B916" w14:textId="77777777" w:rsidR="002358FA" w:rsidRPr="003523C5" w:rsidRDefault="002358FA" w:rsidP="00CA7B81">
      <w:pPr>
        <w:contextualSpacing/>
        <w:rPr>
          <w:lang w:val="en-US"/>
        </w:rPr>
      </w:pPr>
    </w:p>
    <w:p w14:paraId="20775643" w14:textId="77777777" w:rsidR="002358FA" w:rsidRPr="003523C5" w:rsidRDefault="002358FA" w:rsidP="00CA7B81">
      <w:pPr>
        <w:contextualSpacing/>
        <w:rPr>
          <w:lang w:val="en-US"/>
        </w:rPr>
      </w:pPr>
      <w:proofErr w:type="spellStart"/>
      <w:r w:rsidRPr="003523C5">
        <w:rPr>
          <w:lang w:val="en-US"/>
        </w:rPr>
        <w:t>Vukov</w:t>
      </w:r>
      <w:proofErr w:type="spellEnd"/>
      <w:r w:rsidRPr="003523C5">
        <w:rPr>
          <w:lang w:val="en-US"/>
        </w:rPr>
        <w:t xml:space="preserve">, </w:t>
      </w:r>
      <w:proofErr w:type="spellStart"/>
      <w:r w:rsidRPr="003523C5">
        <w:rPr>
          <w:lang w:val="en-US"/>
        </w:rPr>
        <w:t>Visnja</w:t>
      </w:r>
      <w:proofErr w:type="spellEnd"/>
      <w:r w:rsidRPr="003523C5">
        <w:rPr>
          <w:lang w:val="en-US"/>
        </w:rPr>
        <w:t xml:space="preserve">. 2020. ‘More Catholic than the Pope? Europeanisation, Industrial Policy and </w:t>
      </w:r>
      <w:proofErr w:type="spellStart"/>
      <w:r w:rsidRPr="003523C5">
        <w:rPr>
          <w:lang w:val="en-US"/>
        </w:rPr>
        <w:t>Transnationalised</w:t>
      </w:r>
      <w:proofErr w:type="spellEnd"/>
      <w:r w:rsidRPr="003523C5">
        <w:rPr>
          <w:lang w:val="en-US"/>
        </w:rPr>
        <w:t xml:space="preserve"> Capitalism in Eastern Europe’. Journal of European Public Policy 27(10):1546–64. </w:t>
      </w:r>
      <w:proofErr w:type="spellStart"/>
      <w:r w:rsidRPr="003523C5">
        <w:rPr>
          <w:lang w:val="en-US"/>
        </w:rPr>
        <w:t>doi</w:t>
      </w:r>
      <w:proofErr w:type="spellEnd"/>
      <w:r w:rsidRPr="003523C5">
        <w:rPr>
          <w:lang w:val="en-US"/>
        </w:rPr>
        <w:t>: 10.1080/13501763.2019.1684976.</w:t>
      </w:r>
    </w:p>
    <w:p w14:paraId="1D3516F1" w14:textId="77777777" w:rsidR="002358FA" w:rsidRPr="003523C5" w:rsidRDefault="002358FA" w:rsidP="00CA7B81">
      <w:pPr>
        <w:contextualSpacing/>
        <w:rPr>
          <w:lang w:val="en-US"/>
        </w:rPr>
      </w:pPr>
    </w:p>
    <w:p w14:paraId="18BDE3C9" w14:textId="77777777" w:rsidR="002358FA" w:rsidRPr="003523C5" w:rsidRDefault="002358FA" w:rsidP="00CA7B81">
      <w:pPr>
        <w:contextualSpacing/>
        <w:rPr>
          <w:lang w:val="en-US"/>
        </w:rPr>
      </w:pPr>
      <w:proofErr w:type="spellStart"/>
      <w:r w:rsidRPr="003523C5">
        <w:rPr>
          <w:lang w:val="en-US"/>
        </w:rPr>
        <w:t>Weiler</w:t>
      </w:r>
      <w:proofErr w:type="spellEnd"/>
      <w:r w:rsidRPr="003523C5">
        <w:rPr>
          <w:lang w:val="en-US"/>
        </w:rPr>
        <w:t>, Joseph H. H. 1999. The Constitution of Europe. Cambridge University Press.</w:t>
      </w:r>
    </w:p>
    <w:p w14:paraId="47D84D64" w14:textId="77777777" w:rsidR="002358FA" w:rsidRPr="003523C5" w:rsidRDefault="002358FA" w:rsidP="00CA7B81">
      <w:pPr>
        <w:contextualSpacing/>
        <w:rPr>
          <w:lang w:val="en-US"/>
        </w:rPr>
      </w:pPr>
    </w:p>
    <w:p w14:paraId="501DD815" w14:textId="77777777" w:rsidR="002358FA" w:rsidRPr="003523C5" w:rsidRDefault="002358FA" w:rsidP="00CA7B81">
      <w:pPr>
        <w:contextualSpacing/>
        <w:rPr>
          <w:lang w:val="en-US"/>
        </w:rPr>
      </w:pPr>
      <w:r w:rsidRPr="003523C5">
        <w:rPr>
          <w:lang w:val="en-US"/>
        </w:rPr>
        <w:t>Wilkinson, Michael A. 2015. ‘</w:t>
      </w:r>
      <w:proofErr w:type="spellStart"/>
      <w:r w:rsidRPr="003523C5">
        <w:rPr>
          <w:lang w:val="en-US"/>
        </w:rPr>
        <w:t>Politicising</w:t>
      </w:r>
      <w:proofErr w:type="spellEnd"/>
      <w:r w:rsidRPr="003523C5">
        <w:rPr>
          <w:lang w:val="en-US"/>
        </w:rPr>
        <w:t xml:space="preserve"> Europe’s Justice Deficit: Some Preliminaries’. Pp. 111–36 in Europe’s Justice </w:t>
      </w:r>
      <w:proofErr w:type="gramStart"/>
      <w:r w:rsidRPr="003523C5">
        <w:rPr>
          <w:lang w:val="en-US"/>
        </w:rPr>
        <w:t>Deficit?,</w:t>
      </w:r>
      <w:proofErr w:type="gramEnd"/>
      <w:r w:rsidRPr="003523C5">
        <w:rPr>
          <w:lang w:val="en-US"/>
        </w:rPr>
        <w:t xml:space="preserve"> edited by D. </w:t>
      </w:r>
      <w:proofErr w:type="spellStart"/>
      <w:r w:rsidRPr="003523C5">
        <w:rPr>
          <w:lang w:val="en-US"/>
        </w:rPr>
        <w:t>Kochenov</w:t>
      </w:r>
      <w:proofErr w:type="spellEnd"/>
      <w:r w:rsidRPr="003523C5">
        <w:rPr>
          <w:lang w:val="en-US"/>
        </w:rPr>
        <w:t xml:space="preserve">, G. de </w:t>
      </w:r>
      <w:proofErr w:type="spellStart"/>
      <w:r w:rsidRPr="003523C5">
        <w:rPr>
          <w:lang w:val="en-US"/>
        </w:rPr>
        <w:t>Búrca</w:t>
      </w:r>
      <w:proofErr w:type="spellEnd"/>
      <w:r w:rsidRPr="003523C5">
        <w:rPr>
          <w:lang w:val="en-US"/>
        </w:rPr>
        <w:t>, and A. Williams. Oxford and Portland, Oregon: Hart Publishing.</w:t>
      </w:r>
    </w:p>
    <w:p w14:paraId="23F786E8" w14:textId="77777777" w:rsidR="002358FA" w:rsidRPr="003523C5" w:rsidRDefault="002358FA" w:rsidP="00CA7B81">
      <w:pPr>
        <w:contextualSpacing/>
        <w:rPr>
          <w:lang w:val="en-US"/>
        </w:rPr>
      </w:pPr>
    </w:p>
    <w:p w14:paraId="2FB1C816" w14:textId="7FDC19A3" w:rsidR="00DC64C5" w:rsidRPr="003523C5" w:rsidRDefault="002358FA" w:rsidP="00CA7B81">
      <w:pPr>
        <w:contextualSpacing/>
        <w:rPr>
          <w:lang w:val="en-US"/>
        </w:rPr>
      </w:pPr>
      <w:proofErr w:type="spellStart"/>
      <w:r w:rsidRPr="003523C5">
        <w:rPr>
          <w:lang w:val="en-US"/>
        </w:rPr>
        <w:t>Zahariadis</w:t>
      </w:r>
      <w:proofErr w:type="spellEnd"/>
      <w:r w:rsidRPr="003523C5">
        <w:rPr>
          <w:lang w:val="en-US"/>
        </w:rPr>
        <w:t xml:space="preserve">, Nikolaos. 2013. ‘Winners and Losers in EU State Aid Policy’. Journal of Industry, Competition and Trade 13(1):143–58. </w:t>
      </w:r>
      <w:proofErr w:type="spellStart"/>
      <w:r w:rsidRPr="003523C5">
        <w:rPr>
          <w:lang w:val="en-US"/>
        </w:rPr>
        <w:t>doi</w:t>
      </w:r>
      <w:proofErr w:type="spellEnd"/>
      <w:r w:rsidRPr="003523C5">
        <w:rPr>
          <w:lang w:val="en-US"/>
        </w:rPr>
        <w:t>: 10.1007/s10842-012-0143-8.</w:t>
      </w:r>
      <w:bookmarkEnd w:id="0"/>
      <w:bookmarkEnd w:id="1"/>
    </w:p>
    <w:sectPr w:rsidR="00DC64C5" w:rsidRPr="003523C5" w:rsidSect="00EE32A2">
      <w:footerReference w:type="default" r:id="rId20"/>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CB7F9" w14:textId="77777777" w:rsidR="00394941" w:rsidRDefault="00394941" w:rsidP="00CA7AEE">
      <w:r>
        <w:separator/>
      </w:r>
    </w:p>
  </w:endnote>
  <w:endnote w:type="continuationSeparator" w:id="0">
    <w:p w14:paraId="19F0F14B" w14:textId="77777777" w:rsidR="00394941" w:rsidRDefault="00394941" w:rsidP="00CA7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 Pro">
    <w:altName w:val="Minion Pro"/>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3875487"/>
      <w:docPartObj>
        <w:docPartGallery w:val="Page Numbers (Bottom of Page)"/>
        <w:docPartUnique/>
      </w:docPartObj>
    </w:sdtPr>
    <w:sdtEndPr>
      <w:rPr>
        <w:sz w:val="20"/>
      </w:rPr>
    </w:sdtEndPr>
    <w:sdtContent>
      <w:p w14:paraId="764A2375" w14:textId="682C65FD" w:rsidR="00907755" w:rsidRPr="003C0521" w:rsidRDefault="00907755">
        <w:pPr>
          <w:pStyle w:val="Footer"/>
          <w:jc w:val="right"/>
          <w:rPr>
            <w:sz w:val="20"/>
          </w:rPr>
        </w:pPr>
        <w:r w:rsidRPr="003C0521">
          <w:rPr>
            <w:sz w:val="20"/>
          </w:rPr>
          <w:fldChar w:fldCharType="begin"/>
        </w:r>
        <w:r w:rsidRPr="003C0521">
          <w:rPr>
            <w:sz w:val="20"/>
          </w:rPr>
          <w:instrText>PAGE   \* MERGEFORMAT</w:instrText>
        </w:r>
        <w:r w:rsidRPr="003C0521">
          <w:rPr>
            <w:sz w:val="20"/>
          </w:rPr>
          <w:fldChar w:fldCharType="separate"/>
        </w:r>
        <w:r>
          <w:rPr>
            <w:noProof/>
            <w:sz w:val="20"/>
          </w:rPr>
          <w:t>1</w:t>
        </w:r>
        <w:r w:rsidRPr="003C0521">
          <w:rPr>
            <w:sz w:val="20"/>
          </w:rPr>
          <w:fldChar w:fldCharType="end"/>
        </w:r>
      </w:p>
    </w:sdtContent>
  </w:sdt>
  <w:p w14:paraId="153F32AC" w14:textId="77777777" w:rsidR="00907755" w:rsidRDefault="00907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53D43" w14:textId="77777777" w:rsidR="00394941" w:rsidRDefault="00394941" w:rsidP="00CA7AEE">
      <w:r>
        <w:separator/>
      </w:r>
    </w:p>
  </w:footnote>
  <w:footnote w:type="continuationSeparator" w:id="0">
    <w:p w14:paraId="515B9186" w14:textId="77777777" w:rsidR="00394941" w:rsidRDefault="00394941" w:rsidP="00CA7AEE">
      <w:r>
        <w:continuationSeparator/>
      </w:r>
    </w:p>
  </w:footnote>
  <w:footnote w:id="1">
    <w:p w14:paraId="1350CA6D" w14:textId="54CE46CB" w:rsidR="00907755" w:rsidRPr="00EC5F9D" w:rsidRDefault="00907755">
      <w:pPr>
        <w:pStyle w:val="FootnoteText"/>
        <w:rPr>
          <w:lang w:val="en-US"/>
        </w:rPr>
      </w:pPr>
      <w:r w:rsidRPr="00EC5F9D">
        <w:rPr>
          <w:rStyle w:val="FootnoteReference"/>
          <w:lang w:val="en-US"/>
        </w:rPr>
        <w:footnoteRef/>
      </w:r>
      <w:r w:rsidRPr="00EC5F9D">
        <w:rPr>
          <w:lang w:val="en-US"/>
        </w:rPr>
        <w:t xml:space="preserve"> Balassa 1961; </w:t>
      </w:r>
      <w:proofErr w:type="spellStart"/>
      <w:r w:rsidRPr="00EC5F9D">
        <w:rPr>
          <w:lang w:val="en-US"/>
        </w:rPr>
        <w:t>Bruszt</w:t>
      </w:r>
      <w:proofErr w:type="spellEnd"/>
      <w:r w:rsidRPr="00EC5F9D">
        <w:rPr>
          <w:lang w:val="en-US"/>
        </w:rPr>
        <w:t xml:space="preserve"> and McDermott 2014.</w:t>
      </w:r>
    </w:p>
  </w:footnote>
  <w:footnote w:id="2">
    <w:p w14:paraId="7DBB4BA7" w14:textId="36509152" w:rsidR="00907755" w:rsidRPr="00EC5F9D" w:rsidRDefault="00907755">
      <w:pPr>
        <w:pStyle w:val="FootnoteText"/>
        <w:rPr>
          <w:lang w:val="en-US"/>
        </w:rPr>
      </w:pPr>
      <w:r w:rsidRPr="00EC5F9D">
        <w:rPr>
          <w:rStyle w:val="FootnoteReference"/>
          <w:lang w:val="en-US"/>
        </w:rPr>
        <w:footnoteRef/>
      </w:r>
      <w:r w:rsidRPr="00EC5F9D">
        <w:rPr>
          <w:lang w:val="en-US"/>
        </w:rPr>
        <w:t xml:space="preserve"> </w:t>
      </w:r>
      <w:proofErr w:type="spellStart"/>
      <w:r w:rsidRPr="00EC5F9D">
        <w:rPr>
          <w:lang w:val="en-US"/>
        </w:rPr>
        <w:t>Alcidi</w:t>
      </w:r>
      <w:proofErr w:type="spellEnd"/>
      <w:r w:rsidRPr="00EC5F9D">
        <w:rPr>
          <w:lang w:val="en-US"/>
        </w:rPr>
        <w:t xml:space="preserve"> 2019; </w:t>
      </w:r>
      <w:proofErr w:type="spellStart"/>
      <w:r w:rsidRPr="00EC5F9D">
        <w:rPr>
          <w:lang w:val="en-US"/>
        </w:rPr>
        <w:t>Bodewig</w:t>
      </w:r>
      <w:proofErr w:type="spellEnd"/>
      <w:r w:rsidRPr="00EC5F9D">
        <w:rPr>
          <w:lang w:val="en-US"/>
        </w:rPr>
        <w:t xml:space="preserve"> and </w:t>
      </w:r>
      <w:proofErr w:type="spellStart"/>
      <w:r w:rsidRPr="00EC5F9D">
        <w:rPr>
          <w:lang w:val="en-US"/>
        </w:rPr>
        <w:t>Ridao</w:t>
      </w:r>
      <w:proofErr w:type="spellEnd"/>
      <w:r w:rsidRPr="00EC5F9D">
        <w:rPr>
          <w:lang w:val="en-US"/>
        </w:rPr>
        <w:t xml:space="preserve">-Cano 2019; </w:t>
      </w:r>
      <w:proofErr w:type="spellStart"/>
      <w:r w:rsidRPr="00EC5F9D">
        <w:rPr>
          <w:lang w:val="en-US"/>
        </w:rPr>
        <w:t>Bruszt</w:t>
      </w:r>
      <w:proofErr w:type="spellEnd"/>
      <w:r w:rsidRPr="00EC5F9D">
        <w:rPr>
          <w:lang w:val="en-US"/>
        </w:rPr>
        <w:t xml:space="preserve"> and </w:t>
      </w:r>
      <w:proofErr w:type="spellStart"/>
      <w:r w:rsidRPr="00EC5F9D">
        <w:rPr>
          <w:lang w:val="en-US"/>
        </w:rPr>
        <w:t>Langbein</w:t>
      </w:r>
      <w:proofErr w:type="spellEnd"/>
      <w:r w:rsidRPr="00EC5F9D">
        <w:rPr>
          <w:lang w:val="en-US"/>
        </w:rPr>
        <w:t xml:space="preserve"> 2020; </w:t>
      </w:r>
      <w:proofErr w:type="spellStart"/>
      <w:r w:rsidRPr="00EC5F9D">
        <w:rPr>
          <w:lang w:val="en-US"/>
        </w:rPr>
        <w:t>Celi</w:t>
      </w:r>
      <w:proofErr w:type="spellEnd"/>
      <w:r w:rsidRPr="00EC5F9D">
        <w:rPr>
          <w:lang w:val="en-US"/>
        </w:rPr>
        <w:t xml:space="preserve"> et al. 2018; </w:t>
      </w:r>
      <w:proofErr w:type="spellStart"/>
      <w:r w:rsidRPr="00EC5F9D">
        <w:rPr>
          <w:lang w:val="en-US"/>
        </w:rPr>
        <w:t>Offe</w:t>
      </w:r>
      <w:proofErr w:type="spellEnd"/>
      <w:r w:rsidRPr="00EC5F9D">
        <w:rPr>
          <w:lang w:val="en-US"/>
        </w:rPr>
        <w:t xml:space="preserve"> 2015.</w:t>
      </w:r>
    </w:p>
  </w:footnote>
  <w:footnote w:id="3">
    <w:p w14:paraId="4E884700" w14:textId="37082E59" w:rsidR="00907755" w:rsidRPr="00EC5F9D" w:rsidRDefault="00907755">
      <w:pPr>
        <w:pStyle w:val="FootnoteText"/>
        <w:rPr>
          <w:lang w:val="en-US"/>
        </w:rPr>
      </w:pPr>
      <w:r w:rsidRPr="00EC5F9D">
        <w:rPr>
          <w:rStyle w:val="FootnoteReference"/>
          <w:lang w:val="en-US"/>
        </w:rPr>
        <w:footnoteRef/>
      </w:r>
      <w:r w:rsidRPr="00EC5F9D">
        <w:rPr>
          <w:lang w:val="en-US"/>
        </w:rPr>
        <w:t xml:space="preserve"> </w:t>
      </w:r>
      <w:proofErr w:type="spellStart"/>
      <w:r w:rsidRPr="00EC5F9D">
        <w:rPr>
          <w:lang w:val="en-US"/>
        </w:rPr>
        <w:t>Bruszt</w:t>
      </w:r>
      <w:proofErr w:type="spellEnd"/>
      <w:r w:rsidRPr="00EC5F9D">
        <w:rPr>
          <w:lang w:val="en-US"/>
        </w:rPr>
        <w:t xml:space="preserve"> and </w:t>
      </w:r>
      <w:proofErr w:type="spellStart"/>
      <w:r w:rsidRPr="00EC5F9D">
        <w:rPr>
          <w:lang w:val="en-US"/>
        </w:rPr>
        <w:t>Palestini</w:t>
      </w:r>
      <w:proofErr w:type="spellEnd"/>
      <w:r w:rsidRPr="00EC5F9D">
        <w:rPr>
          <w:lang w:val="en-US"/>
        </w:rPr>
        <w:t xml:space="preserve"> 2016.</w:t>
      </w:r>
    </w:p>
  </w:footnote>
  <w:footnote w:id="4">
    <w:p w14:paraId="6CF79C79" w14:textId="0FD36C72" w:rsidR="00907755" w:rsidRPr="00EC5F9D" w:rsidRDefault="00907755">
      <w:pPr>
        <w:pStyle w:val="FootnoteText"/>
        <w:rPr>
          <w:lang w:val="en-US"/>
        </w:rPr>
      </w:pPr>
      <w:r w:rsidRPr="00EC5F9D">
        <w:rPr>
          <w:rStyle w:val="FootnoteReference"/>
          <w:lang w:val="en-US"/>
        </w:rPr>
        <w:footnoteRef/>
      </w:r>
      <w:r w:rsidRPr="00EC5F9D">
        <w:rPr>
          <w:lang w:val="en-US"/>
        </w:rPr>
        <w:t xml:space="preserve"> Werner Report 1970; </w:t>
      </w:r>
      <w:proofErr w:type="spellStart"/>
      <w:r w:rsidRPr="00EC5F9D">
        <w:rPr>
          <w:lang w:val="en-US"/>
        </w:rPr>
        <w:t>Delors</w:t>
      </w:r>
      <w:proofErr w:type="spellEnd"/>
      <w:r w:rsidRPr="00EC5F9D">
        <w:rPr>
          <w:lang w:val="en-US"/>
        </w:rPr>
        <w:t xml:space="preserve"> Report 1989; European Communities 1997.</w:t>
      </w:r>
    </w:p>
  </w:footnote>
  <w:footnote w:id="5">
    <w:p w14:paraId="284121C9" w14:textId="72D3473E" w:rsidR="00907755" w:rsidRPr="00471061" w:rsidRDefault="00907755">
      <w:pPr>
        <w:pStyle w:val="FootnoteText"/>
        <w:rPr>
          <w:lang w:val="de-AT"/>
        </w:rPr>
      </w:pPr>
      <w:r w:rsidRPr="00EC5F9D">
        <w:rPr>
          <w:rStyle w:val="FootnoteReference"/>
          <w:lang w:val="en-US"/>
        </w:rPr>
        <w:footnoteRef/>
      </w:r>
      <w:r w:rsidRPr="00471061">
        <w:rPr>
          <w:lang w:val="de-AT"/>
        </w:rPr>
        <w:t xml:space="preserve"> </w:t>
      </w:r>
      <w:proofErr w:type="spellStart"/>
      <w:r w:rsidRPr="00471061">
        <w:rPr>
          <w:lang w:val="de-AT"/>
        </w:rPr>
        <w:t>Höpner</w:t>
      </w:r>
      <w:proofErr w:type="spellEnd"/>
      <w:r w:rsidRPr="00471061">
        <w:rPr>
          <w:lang w:val="de-AT"/>
        </w:rPr>
        <w:t xml:space="preserve"> </w:t>
      </w:r>
      <w:proofErr w:type="spellStart"/>
      <w:r w:rsidRPr="00471061">
        <w:rPr>
          <w:lang w:val="de-AT"/>
        </w:rPr>
        <w:t>and</w:t>
      </w:r>
      <w:proofErr w:type="spellEnd"/>
      <w:r w:rsidRPr="00471061">
        <w:rPr>
          <w:lang w:val="de-AT"/>
        </w:rPr>
        <w:t xml:space="preserve"> Schäfer 2012; Scharpf 1988, 1998; </w:t>
      </w:r>
      <w:proofErr w:type="spellStart"/>
      <w:r w:rsidRPr="00471061">
        <w:rPr>
          <w:lang w:val="de-AT"/>
        </w:rPr>
        <w:t>Tallberg</w:t>
      </w:r>
      <w:proofErr w:type="spellEnd"/>
      <w:r w:rsidRPr="00471061">
        <w:rPr>
          <w:lang w:val="de-AT"/>
        </w:rPr>
        <w:t xml:space="preserve"> 2008.</w:t>
      </w:r>
    </w:p>
  </w:footnote>
  <w:footnote w:id="6">
    <w:p w14:paraId="3D1F4C83" w14:textId="799FE497" w:rsidR="00907755" w:rsidRPr="00EC5F9D" w:rsidRDefault="00907755">
      <w:pPr>
        <w:pStyle w:val="FootnoteText"/>
        <w:rPr>
          <w:lang w:val="en-US"/>
        </w:rPr>
      </w:pPr>
      <w:r w:rsidRPr="00EC5F9D">
        <w:rPr>
          <w:rStyle w:val="FootnoteReference"/>
          <w:lang w:val="en-US"/>
        </w:rPr>
        <w:footnoteRef/>
      </w:r>
      <w:r w:rsidRPr="00EC5F9D">
        <w:rPr>
          <w:lang w:val="en-US"/>
        </w:rPr>
        <w:t xml:space="preserve"> </w:t>
      </w:r>
      <w:proofErr w:type="spellStart"/>
      <w:r w:rsidRPr="00EC5F9D">
        <w:rPr>
          <w:lang w:val="en-US"/>
        </w:rPr>
        <w:t>Höpner</w:t>
      </w:r>
      <w:proofErr w:type="spellEnd"/>
      <w:r w:rsidRPr="00EC5F9D">
        <w:rPr>
          <w:lang w:val="en-US"/>
        </w:rPr>
        <w:t xml:space="preserve"> and Schäfer 2012; </w:t>
      </w:r>
      <w:proofErr w:type="spellStart"/>
      <w:r w:rsidRPr="00EC5F9D">
        <w:rPr>
          <w:lang w:val="en-US"/>
        </w:rPr>
        <w:t>Scharpf</w:t>
      </w:r>
      <w:proofErr w:type="spellEnd"/>
      <w:r w:rsidRPr="00EC5F9D">
        <w:rPr>
          <w:lang w:val="en-US"/>
        </w:rPr>
        <w:t xml:space="preserve"> 2010.</w:t>
      </w:r>
    </w:p>
  </w:footnote>
  <w:footnote w:id="7">
    <w:p w14:paraId="308F33C8" w14:textId="47FCDBED" w:rsidR="00907755" w:rsidRPr="00EC5F9D" w:rsidRDefault="00907755">
      <w:pPr>
        <w:pStyle w:val="FootnoteText"/>
        <w:rPr>
          <w:lang w:val="en-US"/>
        </w:rPr>
      </w:pPr>
      <w:r w:rsidRPr="00EC5F9D">
        <w:rPr>
          <w:rStyle w:val="FootnoteReference"/>
          <w:lang w:val="en-US"/>
        </w:rPr>
        <w:footnoteRef/>
      </w:r>
      <w:r w:rsidRPr="00EC5F9D">
        <w:rPr>
          <w:lang w:val="en-US"/>
        </w:rPr>
        <w:t xml:space="preserve"> </w:t>
      </w:r>
      <w:proofErr w:type="spellStart"/>
      <w:r w:rsidRPr="00EC5F9D">
        <w:rPr>
          <w:lang w:val="en-US"/>
        </w:rPr>
        <w:t>Bruszt</w:t>
      </w:r>
      <w:proofErr w:type="spellEnd"/>
      <w:r w:rsidRPr="00EC5F9D">
        <w:rPr>
          <w:lang w:val="en-US"/>
        </w:rPr>
        <w:t xml:space="preserve"> 2002; Linz and Stepan 1996; </w:t>
      </w:r>
      <w:proofErr w:type="spellStart"/>
      <w:r w:rsidRPr="00EC5F9D">
        <w:rPr>
          <w:lang w:val="en-US"/>
        </w:rPr>
        <w:t>Podvršič</w:t>
      </w:r>
      <w:proofErr w:type="spellEnd"/>
      <w:r w:rsidRPr="00EC5F9D">
        <w:rPr>
          <w:lang w:val="en-US"/>
        </w:rPr>
        <w:t xml:space="preserve"> 2021; Stepan 1999, 2001.</w:t>
      </w:r>
    </w:p>
  </w:footnote>
  <w:footnote w:id="8">
    <w:p w14:paraId="2B4E82BC" w14:textId="43361976" w:rsidR="00907755" w:rsidRPr="00EC5F9D" w:rsidRDefault="00907755">
      <w:pPr>
        <w:pStyle w:val="FootnoteText"/>
        <w:rPr>
          <w:lang w:val="en-US"/>
        </w:rPr>
      </w:pPr>
      <w:r w:rsidRPr="00EC5F9D">
        <w:rPr>
          <w:rStyle w:val="FootnoteReference"/>
          <w:lang w:val="en-US"/>
        </w:rPr>
        <w:footnoteRef/>
      </w:r>
      <w:r w:rsidRPr="00EC5F9D">
        <w:rPr>
          <w:lang w:val="en-US"/>
        </w:rPr>
        <w:t xml:space="preserve"> Hamilton</w:t>
      </w:r>
      <w:r>
        <w:rPr>
          <w:lang w:val="en-US"/>
        </w:rPr>
        <w:t xml:space="preserve"> et al. </w:t>
      </w:r>
      <w:r w:rsidRPr="00EC5F9D">
        <w:rPr>
          <w:lang w:val="en-US"/>
        </w:rPr>
        <w:t>2008 [1787].</w:t>
      </w:r>
    </w:p>
  </w:footnote>
  <w:footnote w:id="9">
    <w:p w14:paraId="3780128E" w14:textId="69040681" w:rsidR="00907755" w:rsidRPr="00EC5F9D" w:rsidRDefault="00907755">
      <w:pPr>
        <w:pStyle w:val="FootnoteText"/>
        <w:rPr>
          <w:lang w:val="en-US"/>
        </w:rPr>
      </w:pPr>
      <w:r w:rsidRPr="00EC5F9D">
        <w:rPr>
          <w:rStyle w:val="FootnoteReference"/>
          <w:lang w:val="en-US"/>
        </w:rPr>
        <w:footnoteRef/>
      </w:r>
      <w:r w:rsidRPr="00EC5F9D">
        <w:rPr>
          <w:lang w:val="en-US"/>
        </w:rPr>
        <w:t xml:space="preserve"> For more contemporary uses of these ideas, see Hix 1998; </w:t>
      </w:r>
      <w:proofErr w:type="spellStart"/>
      <w:r w:rsidRPr="00EC5F9D">
        <w:rPr>
          <w:lang w:val="en-US"/>
        </w:rPr>
        <w:t>Börzel</w:t>
      </w:r>
      <w:proofErr w:type="spellEnd"/>
      <w:r w:rsidRPr="00EC5F9D">
        <w:rPr>
          <w:lang w:val="en-US"/>
        </w:rPr>
        <w:t xml:space="preserve"> and </w:t>
      </w:r>
      <w:proofErr w:type="spellStart"/>
      <w:r w:rsidRPr="00EC5F9D">
        <w:rPr>
          <w:lang w:val="en-US"/>
        </w:rPr>
        <w:t>Hosli</w:t>
      </w:r>
      <w:proofErr w:type="spellEnd"/>
      <w:r w:rsidRPr="00EC5F9D">
        <w:rPr>
          <w:lang w:val="en-US"/>
        </w:rPr>
        <w:t xml:space="preserve"> 2003; </w:t>
      </w:r>
      <w:proofErr w:type="spellStart"/>
      <w:r w:rsidRPr="00EC5F9D">
        <w:rPr>
          <w:lang w:val="en-US"/>
        </w:rPr>
        <w:t>Börzel</w:t>
      </w:r>
      <w:proofErr w:type="spellEnd"/>
      <w:r w:rsidRPr="00EC5F9D">
        <w:rPr>
          <w:lang w:val="en-US"/>
        </w:rPr>
        <w:t xml:space="preserve"> 2005; </w:t>
      </w:r>
      <w:proofErr w:type="spellStart"/>
      <w:r w:rsidRPr="00EC5F9D">
        <w:rPr>
          <w:lang w:val="en-US"/>
        </w:rPr>
        <w:t>Börzel</w:t>
      </w:r>
      <w:proofErr w:type="spellEnd"/>
      <w:r w:rsidRPr="00EC5F9D">
        <w:rPr>
          <w:lang w:val="en-US"/>
        </w:rPr>
        <w:t xml:space="preserve"> and </w:t>
      </w:r>
      <w:proofErr w:type="spellStart"/>
      <w:r w:rsidRPr="00EC5F9D">
        <w:rPr>
          <w:lang w:val="en-US"/>
        </w:rPr>
        <w:t>Risse</w:t>
      </w:r>
      <w:proofErr w:type="spellEnd"/>
      <w:r w:rsidRPr="00EC5F9D">
        <w:rPr>
          <w:lang w:val="en-US"/>
        </w:rPr>
        <w:t xml:space="preserve"> 2000; </w:t>
      </w:r>
      <w:proofErr w:type="spellStart"/>
      <w:r w:rsidRPr="00EC5F9D">
        <w:rPr>
          <w:lang w:val="en-US"/>
        </w:rPr>
        <w:t>Offe</w:t>
      </w:r>
      <w:proofErr w:type="spellEnd"/>
      <w:r w:rsidRPr="00EC5F9D">
        <w:rPr>
          <w:lang w:val="en-US"/>
        </w:rPr>
        <w:t xml:space="preserve"> 2015.</w:t>
      </w:r>
    </w:p>
  </w:footnote>
  <w:footnote w:id="10">
    <w:p w14:paraId="6F22120B" w14:textId="4A6FFB67" w:rsidR="00907755" w:rsidRPr="00EC5F9D" w:rsidRDefault="00907755">
      <w:pPr>
        <w:pStyle w:val="FootnoteText"/>
        <w:rPr>
          <w:lang w:val="en-US"/>
        </w:rPr>
      </w:pPr>
      <w:r w:rsidRPr="00EC5F9D">
        <w:rPr>
          <w:rStyle w:val="FootnoteReference"/>
          <w:lang w:val="en-US"/>
        </w:rPr>
        <w:footnoteRef/>
      </w:r>
      <w:r w:rsidRPr="00EC5F9D">
        <w:rPr>
          <w:lang w:val="en-US"/>
        </w:rPr>
        <w:t xml:space="preserve"> </w:t>
      </w:r>
      <w:proofErr w:type="spellStart"/>
      <w:r w:rsidRPr="00EC5F9D">
        <w:rPr>
          <w:lang w:val="en-US"/>
        </w:rPr>
        <w:t>Scharpf</w:t>
      </w:r>
      <w:proofErr w:type="spellEnd"/>
      <w:r w:rsidRPr="00EC5F9D">
        <w:rPr>
          <w:lang w:val="en-US"/>
        </w:rPr>
        <w:t xml:space="preserve"> 1988.</w:t>
      </w:r>
    </w:p>
  </w:footnote>
  <w:footnote w:id="11">
    <w:p w14:paraId="33CA6D8E" w14:textId="109A5C0A" w:rsidR="00907755" w:rsidRPr="00EC5F9D" w:rsidRDefault="00907755">
      <w:pPr>
        <w:pStyle w:val="FootnoteText"/>
        <w:rPr>
          <w:lang w:val="en-US"/>
        </w:rPr>
      </w:pPr>
      <w:r w:rsidRPr="00EC5F9D">
        <w:rPr>
          <w:rStyle w:val="FootnoteReference"/>
          <w:lang w:val="en-US"/>
        </w:rPr>
        <w:footnoteRef/>
      </w:r>
      <w:r w:rsidRPr="00EC5F9D">
        <w:rPr>
          <w:lang w:val="en-US"/>
        </w:rPr>
        <w:t xml:space="preserve"> For example, see </w:t>
      </w:r>
      <w:proofErr w:type="spellStart"/>
      <w:r w:rsidRPr="00EC5F9D">
        <w:rPr>
          <w:lang w:val="en-US"/>
        </w:rPr>
        <w:t>Höpner</w:t>
      </w:r>
      <w:proofErr w:type="spellEnd"/>
      <w:r w:rsidRPr="00EC5F9D">
        <w:rPr>
          <w:lang w:val="en-US"/>
        </w:rPr>
        <w:t xml:space="preserve"> and Schäfer 2012, </w:t>
      </w:r>
      <w:r w:rsidRPr="006D3D13">
        <w:rPr>
          <w:lang w:val="en-US"/>
        </w:rPr>
        <w:t>4</w:t>
      </w:r>
      <w:r w:rsidRPr="00EC5F9D">
        <w:rPr>
          <w:lang w:val="en-US"/>
        </w:rPr>
        <w:t>3</w:t>
      </w:r>
      <w:r w:rsidRPr="006D3D13">
        <w:rPr>
          <w:lang w:val="en-US"/>
        </w:rPr>
        <w:t>1-432</w:t>
      </w:r>
      <w:r w:rsidRPr="00EC5F9D">
        <w:rPr>
          <w:lang w:val="en-US"/>
        </w:rPr>
        <w:t>.</w:t>
      </w:r>
    </w:p>
  </w:footnote>
  <w:footnote w:id="12">
    <w:p w14:paraId="41E9A812" w14:textId="1058F1F5" w:rsidR="00907755" w:rsidRPr="00EC5F9D" w:rsidRDefault="00907755">
      <w:pPr>
        <w:pStyle w:val="FootnoteText"/>
        <w:rPr>
          <w:lang w:val="en-US"/>
        </w:rPr>
      </w:pPr>
      <w:r w:rsidRPr="00EC5F9D">
        <w:rPr>
          <w:rStyle w:val="FootnoteReference"/>
          <w:lang w:val="en-US"/>
        </w:rPr>
        <w:footnoteRef/>
      </w:r>
      <w:r w:rsidRPr="00EC5F9D">
        <w:rPr>
          <w:lang w:val="en-US"/>
        </w:rPr>
        <w:t xml:space="preserve"> </w:t>
      </w:r>
      <w:proofErr w:type="spellStart"/>
      <w:r w:rsidRPr="00EC5F9D">
        <w:rPr>
          <w:lang w:val="en-US"/>
        </w:rPr>
        <w:t>Abdelal</w:t>
      </w:r>
      <w:proofErr w:type="spellEnd"/>
      <w:r w:rsidRPr="00EC5F9D">
        <w:rPr>
          <w:lang w:val="en-US"/>
        </w:rPr>
        <w:t xml:space="preserve"> and Meunier 2010; Egan 2015; </w:t>
      </w:r>
      <w:proofErr w:type="spellStart"/>
      <w:r w:rsidRPr="00EC5F9D">
        <w:rPr>
          <w:lang w:val="en-US"/>
        </w:rPr>
        <w:t>Höpner</w:t>
      </w:r>
      <w:proofErr w:type="spellEnd"/>
      <w:r w:rsidRPr="00EC5F9D">
        <w:rPr>
          <w:lang w:val="en-US"/>
        </w:rPr>
        <w:t xml:space="preserve"> and Schäfer 2012; Jacoby and Meunier 2010; </w:t>
      </w:r>
      <w:proofErr w:type="spellStart"/>
      <w:r w:rsidRPr="00EC5F9D">
        <w:rPr>
          <w:lang w:val="en-US"/>
        </w:rPr>
        <w:t>Scharpf</w:t>
      </w:r>
      <w:proofErr w:type="spellEnd"/>
      <w:r w:rsidRPr="00EC5F9D">
        <w:rPr>
          <w:lang w:val="en-US"/>
        </w:rPr>
        <w:t xml:space="preserve"> 1988, 1998; </w:t>
      </w:r>
      <w:proofErr w:type="spellStart"/>
      <w:r w:rsidRPr="00EC5F9D">
        <w:rPr>
          <w:lang w:val="en-US"/>
        </w:rPr>
        <w:t>Tallberg</w:t>
      </w:r>
      <w:proofErr w:type="spellEnd"/>
      <w:r w:rsidRPr="00EC5F9D">
        <w:rPr>
          <w:lang w:val="en-US"/>
        </w:rPr>
        <w:t xml:space="preserve"> 2008.</w:t>
      </w:r>
    </w:p>
  </w:footnote>
  <w:footnote w:id="13">
    <w:p w14:paraId="77CB1BB8" w14:textId="66328DBF" w:rsidR="00907755" w:rsidRPr="00EC5F9D" w:rsidRDefault="00907755">
      <w:pPr>
        <w:pStyle w:val="FootnoteText"/>
        <w:rPr>
          <w:lang w:val="en-US"/>
        </w:rPr>
      </w:pPr>
      <w:r w:rsidRPr="00EC5F9D">
        <w:rPr>
          <w:rStyle w:val="FootnoteReference"/>
          <w:lang w:val="en-US"/>
        </w:rPr>
        <w:footnoteRef/>
      </w:r>
      <w:r w:rsidRPr="00EC5F9D">
        <w:rPr>
          <w:lang w:val="en-US"/>
        </w:rPr>
        <w:t xml:space="preserve"> Haas 1964; </w:t>
      </w:r>
      <w:proofErr w:type="spellStart"/>
      <w:r w:rsidRPr="00EC5F9D">
        <w:rPr>
          <w:lang w:val="en-US"/>
        </w:rPr>
        <w:t>Moravcsik</w:t>
      </w:r>
      <w:proofErr w:type="spellEnd"/>
      <w:r w:rsidRPr="00EC5F9D">
        <w:rPr>
          <w:lang w:val="en-US"/>
        </w:rPr>
        <w:t xml:space="preserve"> 1998; </w:t>
      </w:r>
      <w:proofErr w:type="spellStart"/>
      <w:r w:rsidRPr="00EC5F9D">
        <w:rPr>
          <w:lang w:val="en-US"/>
        </w:rPr>
        <w:t>Sandholtz</w:t>
      </w:r>
      <w:proofErr w:type="spellEnd"/>
      <w:r w:rsidRPr="00EC5F9D">
        <w:rPr>
          <w:lang w:val="en-US"/>
        </w:rPr>
        <w:t xml:space="preserve"> and Stone Sweet 2012. For an excellent summary of this literature, see </w:t>
      </w:r>
      <w:proofErr w:type="spellStart"/>
      <w:r w:rsidRPr="00EC5F9D">
        <w:rPr>
          <w:lang w:val="en-US"/>
        </w:rPr>
        <w:t>Genschel</w:t>
      </w:r>
      <w:proofErr w:type="spellEnd"/>
      <w:r w:rsidRPr="00EC5F9D">
        <w:rPr>
          <w:lang w:val="en-US"/>
        </w:rPr>
        <w:t xml:space="preserve"> and </w:t>
      </w:r>
      <w:proofErr w:type="spellStart"/>
      <w:r w:rsidRPr="00EC5F9D">
        <w:rPr>
          <w:lang w:val="en-US"/>
        </w:rPr>
        <w:t>Jachtenfuchs</w:t>
      </w:r>
      <w:proofErr w:type="spellEnd"/>
      <w:r w:rsidRPr="00EC5F9D">
        <w:rPr>
          <w:lang w:val="en-US"/>
        </w:rPr>
        <w:t xml:space="preserve"> 2018.</w:t>
      </w:r>
    </w:p>
  </w:footnote>
  <w:footnote w:id="14">
    <w:p w14:paraId="76CC7C36" w14:textId="6D82EE98" w:rsidR="00907755" w:rsidRPr="00EC5F9D" w:rsidRDefault="00907755">
      <w:pPr>
        <w:pStyle w:val="FootnoteText"/>
        <w:rPr>
          <w:lang w:val="en-US"/>
        </w:rPr>
      </w:pPr>
      <w:r w:rsidRPr="00EC5F9D">
        <w:rPr>
          <w:rStyle w:val="FootnoteReference"/>
          <w:lang w:val="en-US"/>
        </w:rPr>
        <w:footnoteRef/>
      </w:r>
      <w:r w:rsidRPr="00EC5F9D">
        <w:rPr>
          <w:lang w:val="en-US"/>
        </w:rPr>
        <w:t xml:space="preserve"> </w:t>
      </w:r>
      <w:proofErr w:type="spellStart"/>
      <w:r w:rsidRPr="00EC5F9D">
        <w:rPr>
          <w:lang w:val="en-US"/>
        </w:rPr>
        <w:t>Bruszt</w:t>
      </w:r>
      <w:proofErr w:type="spellEnd"/>
      <w:r w:rsidRPr="00EC5F9D">
        <w:rPr>
          <w:lang w:val="en-US"/>
        </w:rPr>
        <w:t xml:space="preserve"> and </w:t>
      </w:r>
      <w:proofErr w:type="spellStart"/>
      <w:r w:rsidRPr="00EC5F9D">
        <w:rPr>
          <w:lang w:val="en-US"/>
        </w:rPr>
        <w:t>Vukov</w:t>
      </w:r>
      <w:proofErr w:type="spellEnd"/>
      <w:r w:rsidRPr="00EC5F9D">
        <w:rPr>
          <w:lang w:val="en-US"/>
        </w:rPr>
        <w:t xml:space="preserve"> 2015; Jones</w:t>
      </w:r>
      <w:r>
        <w:rPr>
          <w:lang w:val="en-US"/>
        </w:rPr>
        <w:t xml:space="preserve"> et al. </w:t>
      </w:r>
      <w:r w:rsidRPr="00EC5F9D">
        <w:rPr>
          <w:lang w:val="en-US"/>
        </w:rPr>
        <w:t>2016.</w:t>
      </w:r>
    </w:p>
  </w:footnote>
  <w:footnote w:id="15">
    <w:p w14:paraId="11FC6327" w14:textId="01FFF6B2" w:rsidR="00907755" w:rsidRPr="00EC5F9D" w:rsidRDefault="00907755">
      <w:pPr>
        <w:pStyle w:val="FootnoteText"/>
        <w:rPr>
          <w:lang w:val="en-US"/>
        </w:rPr>
      </w:pPr>
      <w:r w:rsidRPr="00EC5F9D">
        <w:rPr>
          <w:rStyle w:val="FootnoteReference"/>
          <w:lang w:val="en-US"/>
        </w:rPr>
        <w:footnoteRef/>
      </w:r>
      <w:r w:rsidRPr="00EC5F9D">
        <w:rPr>
          <w:lang w:val="en-US"/>
        </w:rPr>
        <w:t xml:space="preserve"> Ban 2020; Matthijs and Blyth 2018.</w:t>
      </w:r>
    </w:p>
  </w:footnote>
  <w:footnote w:id="16">
    <w:p w14:paraId="0F8E42BB" w14:textId="5CC2AF42" w:rsidR="00907755" w:rsidRPr="00EC5F9D" w:rsidRDefault="00907755">
      <w:pPr>
        <w:pStyle w:val="FootnoteText"/>
        <w:rPr>
          <w:lang w:val="en-US"/>
        </w:rPr>
      </w:pPr>
      <w:r w:rsidRPr="00EC5F9D">
        <w:rPr>
          <w:rStyle w:val="FootnoteReference"/>
          <w:lang w:val="en-US"/>
        </w:rPr>
        <w:footnoteRef/>
      </w:r>
      <w:r w:rsidRPr="00EC5F9D">
        <w:rPr>
          <w:lang w:val="en-US"/>
        </w:rPr>
        <w:t xml:space="preserve"> </w:t>
      </w:r>
      <w:proofErr w:type="spellStart"/>
      <w:r w:rsidRPr="00EC5F9D">
        <w:rPr>
          <w:lang w:val="en-US"/>
        </w:rPr>
        <w:t>Fossum</w:t>
      </w:r>
      <w:proofErr w:type="spellEnd"/>
      <w:r w:rsidRPr="00EC5F9D">
        <w:rPr>
          <w:lang w:val="en-US"/>
        </w:rPr>
        <w:t xml:space="preserve"> and </w:t>
      </w:r>
      <w:proofErr w:type="spellStart"/>
      <w:r w:rsidRPr="00EC5F9D">
        <w:rPr>
          <w:lang w:val="en-US"/>
        </w:rPr>
        <w:t>Jachtenfuchs</w:t>
      </w:r>
      <w:proofErr w:type="spellEnd"/>
      <w:r w:rsidRPr="00EC5F9D">
        <w:rPr>
          <w:lang w:val="en-US"/>
        </w:rPr>
        <w:t xml:space="preserve"> 2017.</w:t>
      </w:r>
    </w:p>
  </w:footnote>
  <w:footnote w:id="17">
    <w:p w14:paraId="08A11985" w14:textId="58F8B8AA" w:rsidR="00907755" w:rsidRPr="00EC5F9D" w:rsidRDefault="00907755">
      <w:pPr>
        <w:pStyle w:val="FootnoteText"/>
        <w:rPr>
          <w:lang w:val="en-US"/>
        </w:rPr>
      </w:pPr>
      <w:r w:rsidRPr="00EC5F9D">
        <w:rPr>
          <w:rStyle w:val="FootnoteReference"/>
          <w:lang w:val="en-US"/>
        </w:rPr>
        <w:footnoteRef/>
      </w:r>
      <w:r w:rsidRPr="00EC5F9D">
        <w:rPr>
          <w:lang w:val="en-US"/>
        </w:rPr>
        <w:t xml:space="preserve"> Linz and Stepan 1996; </w:t>
      </w:r>
      <w:proofErr w:type="spellStart"/>
      <w:r w:rsidRPr="00EC5F9D">
        <w:rPr>
          <w:lang w:val="en-US"/>
        </w:rPr>
        <w:t>Podvršič</w:t>
      </w:r>
      <w:proofErr w:type="spellEnd"/>
      <w:r w:rsidRPr="00EC5F9D">
        <w:rPr>
          <w:lang w:val="en-US"/>
        </w:rPr>
        <w:t xml:space="preserve"> 2021; Stepan 1999.</w:t>
      </w:r>
    </w:p>
  </w:footnote>
  <w:footnote w:id="18">
    <w:p w14:paraId="1056A206" w14:textId="5D281CCF" w:rsidR="00907755" w:rsidRPr="00471061" w:rsidRDefault="00907755">
      <w:pPr>
        <w:pStyle w:val="FootnoteText"/>
        <w:rPr>
          <w:lang w:val="de-AT"/>
        </w:rPr>
      </w:pPr>
      <w:r w:rsidRPr="00EC5F9D">
        <w:rPr>
          <w:rStyle w:val="FootnoteReference"/>
          <w:lang w:val="en-US"/>
        </w:rPr>
        <w:footnoteRef/>
      </w:r>
      <w:r w:rsidRPr="00471061">
        <w:rPr>
          <w:lang w:val="de-AT"/>
        </w:rPr>
        <w:t xml:space="preserve"> </w:t>
      </w:r>
      <w:proofErr w:type="spellStart"/>
      <w:r w:rsidRPr="00471061">
        <w:rPr>
          <w:lang w:val="de-AT"/>
        </w:rPr>
        <w:t>Beramendi</w:t>
      </w:r>
      <w:proofErr w:type="spellEnd"/>
      <w:r w:rsidRPr="00471061">
        <w:rPr>
          <w:lang w:val="de-AT"/>
        </w:rPr>
        <w:t xml:space="preserve"> </w:t>
      </w:r>
      <w:proofErr w:type="spellStart"/>
      <w:r w:rsidRPr="00471061">
        <w:rPr>
          <w:lang w:val="de-AT"/>
        </w:rPr>
        <w:t>and</w:t>
      </w:r>
      <w:proofErr w:type="spellEnd"/>
      <w:r w:rsidRPr="00471061">
        <w:rPr>
          <w:lang w:val="de-AT"/>
        </w:rPr>
        <w:t xml:space="preserve"> León 2015.</w:t>
      </w:r>
    </w:p>
  </w:footnote>
  <w:footnote w:id="19">
    <w:p w14:paraId="43136ACD" w14:textId="1FA3D366" w:rsidR="00907755" w:rsidRPr="00471061" w:rsidRDefault="00907755">
      <w:pPr>
        <w:pStyle w:val="FootnoteText"/>
        <w:rPr>
          <w:lang w:val="de-AT"/>
        </w:rPr>
      </w:pPr>
      <w:r w:rsidRPr="00EC5F9D">
        <w:rPr>
          <w:rStyle w:val="FootnoteReference"/>
          <w:lang w:val="en-US"/>
        </w:rPr>
        <w:footnoteRef/>
      </w:r>
      <w:r w:rsidRPr="00471061">
        <w:rPr>
          <w:lang w:val="de-AT"/>
        </w:rPr>
        <w:t xml:space="preserve"> </w:t>
      </w:r>
      <w:proofErr w:type="spellStart"/>
      <w:r w:rsidRPr="00471061">
        <w:rPr>
          <w:lang w:val="de-AT"/>
        </w:rPr>
        <w:t>Ardanaz</w:t>
      </w:r>
      <w:proofErr w:type="spellEnd"/>
      <w:r w:rsidRPr="00471061">
        <w:rPr>
          <w:lang w:val="de-AT"/>
        </w:rPr>
        <w:t xml:space="preserve"> et al. 2014.</w:t>
      </w:r>
    </w:p>
  </w:footnote>
  <w:footnote w:id="20">
    <w:p w14:paraId="60F5A49A" w14:textId="3E8D124B" w:rsidR="00907755" w:rsidRPr="00471061" w:rsidRDefault="00907755">
      <w:pPr>
        <w:pStyle w:val="FootnoteText"/>
        <w:rPr>
          <w:lang w:val="de-AT"/>
        </w:rPr>
      </w:pPr>
      <w:r w:rsidRPr="00EC5F9D">
        <w:rPr>
          <w:rStyle w:val="FootnoteReference"/>
          <w:lang w:val="en-US"/>
        </w:rPr>
        <w:footnoteRef/>
      </w:r>
      <w:r w:rsidRPr="00471061">
        <w:rPr>
          <w:lang w:val="de-AT"/>
        </w:rPr>
        <w:t xml:space="preserve"> </w:t>
      </w:r>
      <w:proofErr w:type="spellStart"/>
      <w:r w:rsidRPr="00471061">
        <w:rPr>
          <w:lang w:val="de-AT"/>
        </w:rPr>
        <w:t>Bruszt</w:t>
      </w:r>
      <w:proofErr w:type="spellEnd"/>
      <w:r w:rsidRPr="00471061">
        <w:rPr>
          <w:lang w:val="de-AT"/>
        </w:rPr>
        <w:t xml:space="preserve"> 2002.</w:t>
      </w:r>
    </w:p>
  </w:footnote>
  <w:footnote w:id="21">
    <w:p w14:paraId="23696F37" w14:textId="065C8D22" w:rsidR="00907755" w:rsidRPr="00471061" w:rsidRDefault="00907755">
      <w:pPr>
        <w:pStyle w:val="FootnoteText"/>
        <w:rPr>
          <w:lang w:val="de-AT"/>
        </w:rPr>
      </w:pPr>
      <w:r w:rsidRPr="00EC5F9D">
        <w:rPr>
          <w:rStyle w:val="FootnoteReference"/>
          <w:lang w:val="en-US"/>
        </w:rPr>
        <w:footnoteRef/>
      </w:r>
      <w:r w:rsidRPr="00471061">
        <w:rPr>
          <w:lang w:val="de-AT"/>
        </w:rPr>
        <w:t xml:space="preserve"> </w:t>
      </w:r>
      <w:proofErr w:type="spellStart"/>
      <w:r w:rsidRPr="00471061">
        <w:rPr>
          <w:lang w:val="de-AT"/>
        </w:rPr>
        <w:t>Hix</w:t>
      </w:r>
      <w:proofErr w:type="spellEnd"/>
      <w:r w:rsidRPr="00471061">
        <w:rPr>
          <w:lang w:val="de-AT"/>
        </w:rPr>
        <w:t xml:space="preserve"> 1998.</w:t>
      </w:r>
    </w:p>
  </w:footnote>
  <w:footnote w:id="22">
    <w:p w14:paraId="29748EA3" w14:textId="6616A30B" w:rsidR="00907755" w:rsidRPr="00471061" w:rsidRDefault="00907755">
      <w:pPr>
        <w:pStyle w:val="FootnoteText"/>
        <w:rPr>
          <w:lang w:val="de-AT"/>
        </w:rPr>
      </w:pPr>
      <w:r w:rsidRPr="00EC5F9D">
        <w:rPr>
          <w:rStyle w:val="FootnoteReference"/>
          <w:lang w:val="en-US"/>
        </w:rPr>
        <w:footnoteRef/>
      </w:r>
      <w:r w:rsidRPr="00471061">
        <w:rPr>
          <w:lang w:val="de-AT"/>
        </w:rPr>
        <w:t xml:space="preserve"> </w:t>
      </w:r>
      <w:proofErr w:type="spellStart"/>
      <w:r w:rsidRPr="00471061">
        <w:rPr>
          <w:lang w:val="de-AT"/>
        </w:rPr>
        <w:t>Sunstein</w:t>
      </w:r>
      <w:proofErr w:type="spellEnd"/>
      <w:r w:rsidRPr="00471061">
        <w:rPr>
          <w:lang w:val="de-AT"/>
        </w:rPr>
        <w:t xml:space="preserve"> 1988.</w:t>
      </w:r>
    </w:p>
  </w:footnote>
  <w:footnote w:id="23">
    <w:p w14:paraId="04A974A3" w14:textId="0AC09288" w:rsidR="00907755" w:rsidRPr="00EC5F9D" w:rsidRDefault="00907755">
      <w:pPr>
        <w:pStyle w:val="FootnoteText"/>
        <w:rPr>
          <w:lang w:val="en-US"/>
        </w:rPr>
      </w:pPr>
      <w:r w:rsidRPr="00EC5F9D">
        <w:rPr>
          <w:rStyle w:val="FootnoteReference"/>
          <w:lang w:val="en-US"/>
        </w:rPr>
        <w:footnoteRef/>
      </w:r>
      <w:r w:rsidRPr="00EC5F9D">
        <w:rPr>
          <w:lang w:val="en-US"/>
        </w:rPr>
        <w:t xml:space="preserve"> </w:t>
      </w:r>
      <w:proofErr w:type="spellStart"/>
      <w:r w:rsidRPr="00EC5F9D">
        <w:rPr>
          <w:lang w:val="en-US"/>
        </w:rPr>
        <w:t>Bruszt</w:t>
      </w:r>
      <w:proofErr w:type="spellEnd"/>
      <w:r w:rsidRPr="00EC5F9D">
        <w:rPr>
          <w:lang w:val="en-US"/>
        </w:rPr>
        <w:t xml:space="preserve"> 1998; </w:t>
      </w:r>
      <w:proofErr w:type="spellStart"/>
      <w:r w:rsidRPr="00EC5F9D">
        <w:rPr>
          <w:lang w:val="en-US"/>
        </w:rPr>
        <w:t>Manin</w:t>
      </w:r>
      <w:proofErr w:type="spellEnd"/>
      <w:r w:rsidRPr="00EC5F9D">
        <w:rPr>
          <w:lang w:val="en-US"/>
        </w:rPr>
        <w:t xml:space="preserve"> 1994; </w:t>
      </w:r>
      <w:proofErr w:type="spellStart"/>
      <w:r w:rsidRPr="00EC5F9D">
        <w:rPr>
          <w:lang w:val="en-US"/>
        </w:rPr>
        <w:t>Ordeshook</w:t>
      </w:r>
      <w:proofErr w:type="spellEnd"/>
      <w:r w:rsidRPr="00EC5F9D">
        <w:rPr>
          <w:lang w:val="en-US"/>
        </w:rPr>
        <w:t xml:space="preserve"> 1992.</w:t>
      </w:r>
    </w:p>
  </w:footnote>
  <w:footnote w:id="24">
    <w:p w14:paraId="1F037793" w14:textId="21986B6D" w:rsidR="00907755" w:rsidRPr="00EC5F9D" w:rsidRDefault="00907755">
      <w:pPr>
        <w:pStyle w:val="FootnoteText"/>
        <w:rPr>
          <w:lang w:val="en-US"/>
        </w:rPr>
      </w:pPr>
      <w:r w:rsidRPr="00EC5F9D">
        <w:rPr>
          <w:rStyle w:val="FootnoteReference"/>
          <w:lang w:val="en-US"/>
        </w:rPr>
        <w:footnoteRef/>
      </w:r>
      <w:r w:rsidRPr="00EC5F9D">
        <w:rPr>
          <w:lang w:val="en-US"/>
        </w:rPr>
        <w:t xml:space="preserve"> Rodden 2008, 361.</w:t>
      </w:r>
    </w:p>
  </w:footnote>
  <w:footnote w:id="25">
    <w:p w14:paraId="69AFF766" w14:textId="69097405" w:rsidR="00907755" w:rsidRPr="00EC5F9D" w:rsidRDefault="00907755">
      <w:pPr>
        <w:pStyle w:val="FootnoteText"/>
        <w:rPr>
          <w:lang w:val="en-US"/>
        </w:rPr>
      </w:pPr>
      <w:r w:rsidRPr="00EC5F9D">
        <w:rPr>
          <w:rStyle w:val="FootnoteReference"/>
          <w:lang w:val="en-US"/>
        </w:rPr>
        <w:footnoteRef/>
      </w:r>
      <w:r w:rsidRPr="00EC5F9D">
        <w:rPr>
          <w:lang w:val="en-US"/>
        </w:rPr>
        <w:t xml:space="preserve"> Hix 1988.</w:t>
      </w:r>
    </w:p>
  </w:footnote>
  <w:footnote w:id="26">
    <w:p w14:paraId="47603B7F" w14:textId="134B8CCB" w:rsidR="00907755" w:rsidRPr="00EC5F9D" w:rsidRDefault="00907755">
      <w:pPr>
        <w:pStyle w:val="FootnoteText"/>
        <w:rPr>
          <w:lang w:val="en-US"/>
        </w:rPr>
      </w:pPr>
      <w:r w:rsidRPr="00EC5F9D">
        <w:rPr>
          <w:rStyle w:val="FootnoteReference"/>
          <w:lang w:val="en-US"/>
        </w:rPr>
        <w:footnoteRef/>
      </w:r>
      <w:r w:rsidRPr="00EC5F9D">
        <w:rPr>
          <w:lang w:val="en-US"/>
        </w:rPr>
        <w:t xml:space="preserve"> </w:t>
      </w:r>
      <w:proofErr w:type="spellStart"/>
      <w:r w:rsidRPr="00EC5F9D">
        <w:rPr>
          <w:lang w:val="en-US"/>
        </w:rPr>
        <w:t>Hooghe</w:t>
      </w:r>
      <w:proofErr w:type="spellEnd"/>
      <w:r w:rsidRPr="00EC5F9D">
        <w:rPr>
          <w:lang w:val="en-US"/>
        </w:rPr>
        <w:t xml:space="preserve"> and Marks 2009.</w:t>
      </w:r>
    </w:p>
  </w:footnote>
  <w:footnote w:id="27">
    <w:p w14:paraId="48C6D3D1" w14:textId="41A93B80" w:rsidR="00907755" w:rsidRPr="00EC5F9D" w:rsidRDefault="00907755">
      <w:pPr>
        <w:pStyle w:val="FootnoteText"/>
        <w:rPr>
          <w:lang w:val="en-US"/>
        </w:rPr>
      </w:pPr>
      <w:r w:rsidRPr="00EC5F9D">
        <w:rPr>
          <w:rStyle w:val="FootnoteReference"/>
          <w:lang w:val="en-US"/>
        </w:rPr>
        <w:footnoteRef/>
      </w:r>
      <w:r w:rsidRPr="00EC5F9D">
        <w:rPr>
          <w:lang w:val="en-US"/>
        </w:rPr>
        <w:t xml:space="preserve"> </w:t>
      </w:r>
      <w:proofErr w:type="spellStart"/>
      <w:r w:rsidRPr="00EC5F9D">
        <w:rPr>
          <w:lang w:val="en-US"/>
        </w:rPr>
        <w:t>Dewatripont</w:t>
      </w:r>
      <w:proofErr w:type="spellEnd"/>
      <w:r w:rsidRPr="00EC5F9D">
        <w:rPr>
          <w:lang w:val="en-US"/>
        </w:rPr>
        <w:t xml:space="preserve"> and Seabright 2006.</w:t>
      </w:r>
    </w:p>
  </w:footnote>
  <w:footnote w:id="28">
    <w:p w14:paraId="3BB2A56F" w14:textId="3DCD03A2" w:rsidR="00907755" w:rsidRPr="00EC5F9D" w:rsidRDefault="00907755">
      <w:pPr>
        <w:pStyle w:val="FootnoteText"/>
        <w:rPr>
          <w:lang w:val="en-US"/>
        </w:rPr>
      </w:pPr>
      <w:r w:rsidRPr="00EC5F9D">
        <w:rPr>
          <w:rStyle w:val="FootnoteReference"/>
          <w:lang w:val="en-US"/>
        </w:rPr>
        <w:footnoteRef/>
      </w:r>
      <w:r w:rsidRPr="00EC5F9D">
        <w:rPr>
          <w:lang w:val="en-US"/>
        </w:rPr>
        <w:t xml:space="preserve"> </w:t>
      </w:r>
      <w:proofErr w:type="spellStart"/>
      <w:r w:rsidRPr="00EC5F9D">
        <w:rPr>
          <w:lang w:val="en-US"/>
        </w:rPr>
        <w:t>Dewatripont</w:t>
      </w:r>
      <w:proofErr w:type="spellEnd"/>
      <w:r w:rsidRPr="00EC5F9D">
        <w:rPr>
          <w:lang w:val="en-US"/>
        </w:rPr>
        <w:t xml:space="preserve"> and Seabright 2006.</w:t>
      </w:r>
    </w:p>
  </w:footnote>
  <w:footnote w:id="29">
    <w:p w14:paraId="13B276F6" w14:textId="1B9A743F" w:rsidR="00907755" w:rsidRPr="00EC5F9D" w:rsidRDefault="00907755">
      <w:pPr>
        <w:pStyle w:val="FootnoteText"/>
        <w:rPr>
          <w:lang w:val="en-US"/>
        </w:rPr>
      </w:pPr>
      <w:r w:rsidRPr="00EC5F9D">
        <w:rPr>
          <w:rStyle w:val="FootnoteReference"/>
          <w:lang w:val="en-US"/>
        </w:rPr>
        <w:footnoteRef/>
      </w:r>
      <w:r w:rsidRPr="00EC5F9D">
        <w:rPr>
          <w:lang w:val="en-US"/>
        </w:rPr>
        <w:t xml:space="preserve"> Aydin 2014.</w:t>
      </w:r>
    </w:p>
  </w:footnote>
  <w:footnote w:id="30">
    <w:p w14:paraId="1A8BBBD4" w14:textId="14051412" w:rsidR="00907755" w:rsidRPr="00EC5F9D" w:rsidRDefault="00907755">
      <w:pPr>
        <w:pStyle w:val="FootnoteText"/>
        <w:rPr>
          <w:lang w:val="en-US"/>
        </w:rPr>
      </w:pPr>
      <w:r w:rsidRPr="00EC5F9D">
        <w:rPr>
          <w:rStyle w:val="FootnoteReference"/>
          <w:lang w:val="en-US"/>
        </w:rPr>
        <w:footnoteRef/>
      </w:r>
      <w:r w:rsidRPr="00EC5F9D">
        <w:rPr>
          <w:lang w:val="en-US"/>
        </w:rPr>
        <w:t xml:space="preserve"> </w:t>
      </w:r>
      <w:proofErr w:type="spellStart"/>
      <w:r w:rsidRPr="00EC5F9D">
        <w:rPr>
          <w:lang w:val="en-US"/>
        </w:rPr>
        <w:t>Kassim</w:t>
      </w:r>
      <w:proofErr w:type="spellEnd"/>
      <w:r w:rsidRPr="00EC5F9D">
        <w:rPr>
          <w:lang w:val="en-US"/>
        </w:rPr>
        <w:t xml:space="preserve"> and Lyons 2013; </w:t>
      </w:r>
      <w:proofErr w:type="spellStart"/>
      <w:r w:rsidRPr="00EC5F9D">
        <w:rPr>
          <w:lang w:val="en-US"/>
        </w:rPr>
        <w:t>Mause</w:t>
      </w:r>
      <w:proofErr w:type="spellEnd"/>
      <w:r w:rsidRPr="00EC5F9D">
        <w:rPr>
          <w:lang w:val="en-US"/>
        </w:rPr>
        <w:t xml:space="preserve"> and </w:t>
      </w:r>
      <w:proofErr w:type="spellStart"/>
      <w:r w:rsidRPr="00EC5F9D">
        <w:rPr>
          <w:lang w:val="en-US"/>
        </w:rPr>
        <w:t>Gröteke</w:t>
      </w:r>
      <w:proofErr w:type="spellEnd"/>
      <w:r w:rsidRPr="00EC5F9D">
        <w:rPr>
          <w:lang w:val="en-US"/>
        </w:rPr>
        <w:t xml:space="preserve"> 2017.</w:t>
      </w:r>
    </w:p>
  </w:footnote>
  <w:footnote w:id="31">
    <w:p w14:paraId="6CDC2349" w14:textId="60E95566" w:rsidR="00907755" w:rsidRPr="00EC5F9D" w:rsidRDefault="00907755">
      <w:pPr>
        <w:pStyle w:val="FootnoteText"/>
        <w:rPr>
          <w:lang w:val="en-US"/>
        </w:rPr>
      </w:pPr>
      <w:r w:rsidRPr="00EC5F9D">
        <w:rPr>
          <w:rStyle w:val="FootnoteReference"/>
          <w:lang w:val="en-US"/>
        </w:rPr>
        <w:footnoteRef/>
      </w:r>
      <w:r w:rsidRPr="00EC5F9D">
        <w:rPr>
          <w:lang w:val="en-US"/>
        </w:rPr>
        <w:t xml:space="preserve"> </w:t>
      </w:r>
      <w:proofErr w:type="spellStart"/>
      <w:r w:rsidRPr="00EC5F9D">
        <w:rPr>
          <w:lang w:val="en-US"/>
        </w:rPr>
        <w:t>Nascimbene</w:t>
      </w:r>
      <w:proofErr w:type="spellEnd"/>
      <w:r w:rsidRPr="00EC5F9D">
        <w:rPr>
          <w:lang w:val="en-US"/>
        </w:rPr>
        <w:t xml:space="preserve"> 2018, 6.</w:t>
      </w:r>
    </w:p>
  </w:footnote>
  <w:footnote w:id="32">
    <w:p w14:paraId="3EC9D971" w14:textId="67D5D4CD" w:rsidR="00907755" w:rsidRPr="00EC5F9D" w:rsidRDefault="00907755">
      <w:pPr>
        <w:pStyle w:val="FootnoteText"/>
        <w:rPr>
          <w:lang w:val="en-US"/>
        </w:rPr>
      </w:pPr>
      <w:r w:rsidRPr="00EC5F9D">
        <w:rPr>
          <w:rStyle w:val="FootnoteReference"/>
          <w:lang w:val="en-US"/>
        </w:rPr>
        <w:footnoteRef/>
      </w:r>
      <w:r w:rsidRPr="00EC5F9D">
        <w:rPr>
          <w:lang w:val="en-US"/>
        </w:rPr>
        <w:t xml:space="preserve"> </w:t>
      </w:r>
      <w:proofErr w:type="spellStart"/>
      <w:r w:rsidRPr="00EC5F9D">
        <w:rPr>
          <w:lang w:val="en-US"/>
        </w:rPr>
        <w:t>Heimler</w:t>
      </w:r>
      <w:proofErr w:type="spellEnd"/>
      <w:r w:rsidRPr="00EC5F9D">
        <w:rPr>
          <w:lang w:val="en-US"/>
        </w:rPr>
        <w:t xml:space="preserve"> 2018; </w:t>
      </w:r>
      <w:proofErr w:type="spellStart"/>
      <w:r w:rsidRPr="00EC5F9D">
        <w:rPr>
          <w:lang w:val="en-US"/>
        </w:rPr>
        <w:t>Vecchietti</w:t>
      </w:r>
      <w:proofErr w:type="spellEnd"/>
      <w:r w:rsidRPr="00EC5F9D">
        <w:rPr>
          <w:lang w:val="en-US"/>
        </w:rPr>
        <w:t xml:space="preserve"> 2018.</w:t>
      </w:r>
    </w:p>
  </w:footnote>
  <w:footnote w:id="33">
    <w:p w14:paraId="3F77ED1E" w14:textId="1CAA930B" w:rsidR="00907755" w:rsidRPr="00EC5F9D" w:rsidRDefault="00907755">
      <w:pPr>
        <w:pStyle w:val="FootnoteText"/>
        <w:rPr>
          <w:lang w:val="en-US"/>
        </w:rPr>
      </w:pPr>
      <w:r w:rsidRPr="00EC5F9D">
        <w:rPr>
          <w:rStyle w:val="FootnoteReference"/>
          <w:lang w:val="en-US"/>
        </w:rPr>
        <w:footnoteRef/>
      </w:r>
      <w:r w:rsidRPr="00EC5F9D">
        <w:rPr>
          <w:lang w:val="en-US"/>
        </w:rPr>
        <w:t xml:space="preserve"> </w:t>
      </w:r>
      <w:proofErr w:type="spellStart"/>
      <w:r w:rsidRPr="00EC5F9D">
        <w:rPr>
          <w:lang w:val="en-US"/>
        </w:rPr>
        <w:t>Doleys</w:t>
      </w:r>
      <w:proofErr w:type="spellEnd"/>
      <w:r w:rsidRPr="00EC5F9D">
        <w:rPr>
          <w:lang w:val="en-US"/>
        </w:rPr>
        <w:t xml:space="preserve"> 2013.</w:t>
      </w:r>
    </w:p>
  </w:footnote>
  <w:footnote w:id="34">
    <w:p w14:paraId="5B1E4C8A" w14:textId="27C92D5B" w:rsidR="00907755" w:rsidRPr="00EC5F9D" w:rsidRDefault="00907755">
      <w:pPr>
        <w:pStyle w:val="FootnoteText"/>
        <w:rPr>
          <w:lang w:val="en-US"/>
        </w:rPr>
      </w:pPr>
      <w:r w:rsidRPr="00EC5F9D">
        <w:rPr>
          <w:rStyle w:val="FootnoteReference"/>
          <w:lang w:val="en-US"/>
        </w:rPr>
        <w:footnoteRef/>
      </w:r>
      <w:r w:rsidRPr="00EC5F9D">
        <w:rPr>
          <w:lang w:val="en-US"/>
        </w:rPr>
        <w:t xml:space="preserve"> Hofmann 2016; </w:t>
      </w:r>
      <w:proofErr w:type="spellStart"/>
      <w:r w:rsidRPr="00EC5F9D">
        <w:rPr>
          <w:lang w:val="en-US"/>
        </w:rPr>
        <w:t>Schito</w:t>
      </w:r>
      <w:proofErr w:type="spellEnd"/>
      <w:r w:rsidRPr="00EC5F9D">
        <w:rPr>
          <w:lang w:val="en-US"/>
        </w:rPr>
        <w:t xml:space="preserve"> 2021.</w:t>
      </w:r>
    </w:p>
  </w:footnote>
  <w:footnote w:id="35">
    <w:p w14:paraId="7A02D5F2" w14:textId="142289B5" w:rsidR="00907755" w:rsidRPr="00EC5F9D" w:rsidRDefault="00907755">
      <w:pPr>
        <w:pStyle w:val="FootnoteText"/>
        <w:rPr>
          <w:lang w:val="en-US"/>
        </w:rPr>
      </w:pPr>
      <w:r w:rsidRPr="00EC5F9D">
        <w:rPr>
          <w:rStyle w:val="FootnoteReference"/>
          <w:lang w:val="en-US"/>
        </w:rPr>
        <w:footnoteRef/>
      </w:r>
      <w:r w:rsidRPr="00EC5F9D">
        <w:rPr>
          <w:lang w:val="en-US"/>
        </w:rPr>
        <w:t xml:space="preserve"> </w:t>
      </w:r>
      <w:proofErr w:type="spellStart"/>
      <w:r w:rsidRPr="00EC5F9D">
        <w:rPr>
          <w:lang w:val="en-US"/>
        </w:rPr>
        <w:t>Zahariadis</w:t>
      </w:r>
      <w:proofErr w:type="spellEnd"/>
      <w:r w:rsidRPr="00EC5F9D">
        <w:rPr>
          <w:lang w:val="en-US"/>
        </w:rPr>
        <w:t xml:space="preserve"> 2013.</w:t>
      </w:r>
    </w:p>
  </w:footnote>
  <w:footnote w:id="36">
    <w:p w14:paraId="6780DA2F" w14:textId="7A9095A2" w:rsidR="00907755" w:rsidRPr="00471061" w:rsidRDefault="00907755">
      <w:pPr>
        <w:pStyle w:val="FootnoteText"/>
        <w:rPr>
          <w:lang w:val="de-AT"/>
        </w:rPr>
      </w:pPr>
      <w:r w:rsidRPr="00EC5F9D">
        <w:rPr>
          <w:rStyle w:val="FootnoteReference"/>
          <w:lang w:val="en-US"/>
        </w:rPr>
        <w:footnoteRef/>
      </w:r>
      <w:r w:rsidRPr="00471061">
        <w:rPr>
          <w:lang w:val="de-AT"/>
        </w:rPr>
        <w:t xml:space="preserve"> </w:t>
      </w:r>
      <w:proofErr w:type="spellStart"/>
      <w:r w:rsidRPr="00471061">
        <w:rPr>
          <w:lang w:val="de-AT"/>
        </w:rPr>
        <w:t>Volberding</w:t>
      </w:r>
      <w:proofErr w:type="spellEnd"/>
      <w:r w:rsidRPr="00471061">
        <w:rPr>
          <w:lang w:val="de-AT"/>
        </w:rPr>
        <w:t xml:space="preserve"> 2021, 67.</w:t>
      </w:r>
    </w:p>
  </w:footnote>
  <w:footnote w:id="37">
    <w:p w14:paraId="46AA620B" w14:textId="5AE1ACFE" w:rsidR="00907755" w:rsidRPr="00471061" w:rsidRDefault="00907755">
      <w:pPr>
        <w:pStyle w:val="FootnoteText"/>
        <w:rPr>
          <w:lang w:val="de-AT"/>
        </w:rPr>
      </w:pPr>
      <w:r w:rsidRPr="00EC5F9D">
        <w:rPr>
          <w:rStyle w:val="FootnoteReference"/>
          <w:lang w:val="en-US"/>
        </w:rPr>
        <w:footnoteRef/>
      </w:r>
      <w:r w:rsidRPr="00471061">
        <w:rPr>
          <w:lang w:val="de-AT"/>
        </w:rPr>
        <w:t xml:space="preserve"> Doleys 2013; </w:t>
      </w:r>
      <w:proofErr w:type="spellStart"/>
      <w:r w:rsidRPr="00471061">
        <w:rPr>
          <w:lang w:val="de-AT"/>
        </w:rPr>
        <w:t>Volberding</w:t>
      </w:r>
      <w:proofErr w:type="spellEnd"/>
      <w:r w:rsidRPr="00471061">
        <w:rPr>
          <w:lang w:val="de-AT"/>
        </w:rPr>
        <w:t xml:space="preserve"> 2021.</w:t>
      </w:r>
    </w:p>
  </w:footnote>
  <w:footnote w:id="38">
    <w:p w14:paraId="538EA890" w14:textId="20D6EBF8" w:rsidR="00907755" w:rsidRPr="00471061" w:rsidRDefault="00907755">
      <w:pPr>
        <w:pStyle w:val="FootnoteText"/>
        <w:rPr>
          <w:lang w:val="de-AT"/>
        </w:rPr>
      </w:pPr>
      <w:r w:rsidRPr="00EC5F9D">
        <w:rPr>
          <w:rStyle w:val="FootnoteReference"/>
          <w:lang w:val="en-US"/>
        </w:rPr>
        <w:footnoteRef/>
      </w:r>
      <w:r w:rsidRPr="00471061">
        <w:rPr>
          <w:lang w:val="de-AT"/>
        </w:rPr>
        <w:t xml:space="preserve"> Doleys 2013; </w:t>
      </w:r>
      <w:proofErr w:type="spellStart"/>
      <w:r w:rsidRPr="00471061">
        <w:rPr>
          <w:lang w:val="de-AT"/>
        </w:rPr>
        <w:t>Micheau</w:t>
      </w:r>
      <w:proofErr w:type="spellEnd"/>
      <w:r w:rsidRPr="00471061">
        <w:rPr>
          <w:lang w:val="de-AT"/>
        </w:rPr>
        <w:t xml:space="preserve"> 2016.</w:t>
      </w:r>
    </w:p>
  </w:footnote>
  <w:footnote w:id="39">
    <w:p w14:paraId="6D543145" w14:textId="7AE651AB" w:rsidR="00907755" w:rsidRPr="00471061" w:rsidRDefault="00907755">
      <w:pPr>
        <w:pStyle w:val="FootnoteText"/>
        <w:rPr>
          <w:lang w:val="de-AT"/>
        </w:rPr>
      </w:pPr>
      <w:r w:rsidRPr="00EC5F9D">
        <w:rPr>
          <w:rStyle w:val="FootnoteReference"/>
          <w:lang w:val="en-US"/>
        </w:rPr>
        <w:footnoteRef/>
      </w:r>
      <w:r w:rsidRPr="00471061">
        <w:rPr>
          <w:lang w:val="de-AT"/>
        </w:rPr>
        <w:t xml:space="preserve"> Blauberger 2009.</w:t>
      </w:r>
    </w:p>
  </w:footnote>
  <w:footnote w:id="40">
    <w:p w14:paraId="2690F9DD" w14:textId="79C547C4" w:rsidR="00907755" w:rsidRPr="00EC5F9D" w:rsidRDefault="00907755">
      <w:pPr>
        <w:pStyle w:val="FootnoteText"/>
        <w:rPr>
          <w:lang w:val="en-US"/>
        </w:rPr>
      </w:pPr>
      <w:r w:rsidRPr="00EC5F9D">
        <w:rPr>
          <w:rStyle w:val="FootnoteReference"/>
          <w:lang w:val="en-US"/>
        </w:rPr>
        <w:footnoteRef/>
      </w:r>
      <w:r w:rsidRPr="00EC5F9D">
        <w:rPr>
          <w:lang w:val="en-US"/>
        </w:rPr>
        <w:t xml:space="preserve"> Aydin 2014.</w:t>
      </w:r>
    </w:p>
  </w:footnote>
  <w:footnote w:id="41">
    <w:p w14:paraId="04DF6BE4" w14:textId="5718075D" w:rsidR="00907755" w:rsidRPr="00EC5F9D" w:rsidRDefault="00907755">
      <w:pPr>
        <w:pStyle w:val="FootnoteText"/>
        <w:rPr>
          <w:lang w:val="en-US"/>
        </w:rPr>
      </w:pPr>
      <w:r w:rsidRPr="00EC5F9D">
        <w:rPr>
          <w:rStyle w:val="FootnoteReference"/>
          <w:lang w:val="en-US"/>
        </w:rPr>
        <w:footnoteRef/>
      </w:r>
      <w:r w:rsidRPr="00EC5F9D">
        <w:rPr>
          <w:lang w:val="en-US"/>
        </w:rPr>
        <w:t xml:space="preserve"> </w:t>
      </w:r>
      <w:proofErr w:type="spellStart"/>
      <w:r w:rsidRPr="00EC5F9D">
        <w:rPr>
          <w:lang w:val="en-US"/>
        </w:rPr>
        <w:t>Cini</w:t>
      </w:r>
      <w:proofErr w:type="spellEnd"/>
      <w:r w:rsidRPr="00EC5F9D">
        <w:rPr>
          <w:lang w:val="en-US"/>
        </w:rPr>
        <w:t xml:space="preserve"> and McGowan 1998, 47.</w:t>
      </w:r>
    </w:p>
  </w:footnote>
  <w:footnote w:id="42">
    <w:p w14:paraId="7442D7ED" w14:textId="7DAC4F27" w:rsidR="00907755" w:rsidRPr="00EC5F9D" w:rsidRDefault="00907755">
      <w:pPr>
        <w:pStyle w:val="FootnoteText"/>
        <w:rPr>
          <w:lang w:val="en-US"/>
        </w:rPr>
      </w:pPr>
      <w:r w:rsidRPr="00EC5F9D">
        <w:rPr>
          <w:rStyle w:val="FootnoteReference"/>
          <w:lang w:val="en-US"/>
        </w:rPr>
        <w:footnoteRef/>
      </w:r>
      <w:r w:rsidRPr="00EC5F9D">
        <w:rPr>
          <w:lang w:val="en-US"/>
        </w:rPr>
        <w:t xml:space="preserve"> </w:t>
      </w:r>
      <w:proofErr w:type="spellStart"/>
      <w:r w:rsidRPr="00EC5F9D">
        <w:rPr>
          <w:lang w:val="en-US"/>
        </w:rPr>
        <w:t>Doleys</w:t>
      </w:r>
      <w:proofErr w:type="spellEnd"/>
      <w:r w:rsidRPr="00EC5F9D">
        <w:rPr>
          <w:lang w:val="en-US"/>
        </w:rPr>
        <w:t xml:space="preserve"> 2013.</w:t>
      </w:r>
    </w:p>
  </w:footnote>
  <w:footnote w:id="43">
    <w:p w14:paraId="06591A47" w14:textId="04F49146" w:rsidR="00907755" w:rsidRPr="00EC5F9D" w:rsidRDefault="00907755">
      <w:pPr>
        <w:pStyle w:val="FootnoteText"/>
        <w:rPr>
          <w:lang w:val="en-US"/>
        </w:rPr>
      </w:pPr>
      <w:r w:rsidRPr="00EC5F9D">
        <w:rPr>
          <w:rStyle w:val="FootnoteReference"/>
          <w:lang w:val="en-US"/>
        </w:rPr>
        <w:footnoteRef/>
      </w:r>
      <w:r w:rsidRPr="00EC5F9D">
        <w:rPr>
          <w:lang w:val="en-US"/>
        </w:rPr>
        <w:t xml:space="preserve"> Aydin 2014.</w:t>
      </w:r>
    </w:p>
  </w:footnote>
  <w:footnote w:id="44">
    <w:p w14:paraId="50330036" w14:textId="40526A18" w:rsidR="00907755" w:rsidRPr="00EC5F9D" w:rsidRDefault="00907755">
      <w:pPr>
        <w:pStyle w:val="FootnoteText"/>
        <w:rPr>
          <w:lang w:val="en-US"/>
        </w:rPr>
      </w:pPr>
      <w:r w:rsidRPr="00EC5F9D">
        <w:rPr>
          <w:rStyle w:val="FootnoteReference"/>
          <w:lang w:val="en-US"/>
        </w:rPr>
        <w:footnoteRef/>
      </w:r>
      <w:r w:rsidRPr="00EC5F9D">
        <w:rPr>
          <w:lang w:val="en-US"/>
        </w:rPr>
        <w:t xml:space="preserve"> Colombo 2019; Finke 2021; </w:t>
      </w:r>
      <w:proofErr w:type="spellStart"/>
      <w:r w:rsidRPr="00EC5F9D">
        <w:rPr>
          <w:lang w:val="en-US"/>
        </w:rPr>
        <w:t>Heimler</w:t>
      </w:r>
      <w:proofErr w:type="spellEnd"/>
      <w:r w:rsidRPr="00EC5F9D">
        <w:rPr>
          <w:lang w:val="en-US"/>
        </w:rPr>
        <w:t xml:space="preserve"> 2018.</w:t>
      </w:r>
    </w:p>
  </w:footnote>
  <w:footnote w:id="45">
    <w:p w14:paraId="395400C9" w14:textId="57F45964" w:rsidR="00907755" w:rsidRPr="00EC5F9D" w:rsidRDefault="00907755">
      <w:pPr>
        <w:pStyle w:val="FootnoteText"/>
        <w:rPr>
          <w:lang w:val="en-US"/>
        </w:rPr>
      </w:pPr>
      <w:r w:rsidRPr="00EC5F9D">
        <w:rPr>
          <w:rStyle w:val="FootnoteReference"/>
          <w:lang w:val="en-US"/>
        </w:rPr>
        <w:footnoteRef/>
      </w:r>
      <w:r w:rsidRPr="00EC5F9D">
        <w:rPr>
          <w:lang w:val="en-US"/>
        </w:rPr>
        <w:t xml:space="preserve"> Colombo 2019.</w:t>
      </w:r>
    </w:p>
  </w:footnote>
  <w:footnote w:id="46">
    <w:p w14:paraId="07DE7D69" w14:textId="0D3DDA5A" w:rsidR="00907755" w:rsidRPr="00EC5F9D" w:rsidRDefault="00907755">
      <w:pPr>
        <w:pStyle w:val="FootnoteText"/>
        <w:rPr>
          <w:lang w:val="en-US"/>
        </w:rPr>
      </w:pPr>
      <w:r w:rsidRPr="00EC5F9D">
        <w:rPr>
          <w:rStyle w:val="FootnoteReference"/>
          <w:lang w:val="en-US"/>
        </w:rPr>
        <w:footnoteRef/>
      </w:r>
      <w:r w:rsidRPr="00EC5F9D">
        <w:rPr>
          <w:lang w:val="en-US"/>
        </w:rPr>
        <w:t xml:space="preserve"> </w:t>
      </w:r>
      <w:proofErr w:type="spellStart"/>
      <w:r w:rsidRPr="00EC5F9D">
        <w:rPr>
          <w:lang w:val="en-US"/>
        </w:rPr>
        <w:t>Cini</w:t>
      </w:r>
      <w:proofErr w:type="spellEnd"/>
      <w:r w:rsidRPr="00EC5F9D">
        <w:rPr>
          <w:lang w:val="en-US"/>
        </w:rPr>
        <w:t xml:space="preserve"> 2021, 7.</w:t>
      </w:r>
    </w:p>
  </w:footnote>
  <w:footnote w:id="47">
    <w:p w14:paraId="7069B554" w14:textId="5E76F7D6" w:rsidR="00907755" w:rsidRPr="00EC5F9D" w:rsidRDefault="00907755">
      <w:pPr>
        <w:pStyle w:val="FootnoteText"/>
        <w:rPr>
          <w:lang w:val="en-US"/>
        </w:rPr>
      </w:pPr>
      <w:r w:rsidRPr="00EC5F9D">
        <w:rPr>
          <w:rStyle w:val="FootnoteReference"/>
          <w:lang w:val="en-US"/>
        </w:rPr>
        <w:footnoteRef/>
      </w:r>
      <w:r w:rsidRPr="00EC5F9D">
        <w:rPr>
          <w:lang w:val="en-US"/>
        </w:rPr>
        <w:t xml:space="preserve"> EC State Aid SA.38615 (2014/N) – Luxembourg Regional Aid Map 2014–2020, </w:t>
      </w:r>
      <w:hyperlink r:id="rId1" w:history="1">
        <w:r w:rsidRPr="00EC5F9D">
          <w:rPr>
            <w:rStyle w:val="Hyperlink"/>
            <w:color w:val="auto"/>
            <w:lang w:val="en-US"/>
          </w:rPr>
          <w:t>https://ec.europa.eu/competition/state_aid/cases/252478/252478_1564060_56_2.pdf</w:t>
        </w:r>
      </w:hyperlink>
      <w:r w:rsidRPr="00EC5F9D">
        <w:rPr>
          <w:lang w:val="en-US"/>
        </w:rPr>
        <w:t>.</w:t>
      </w:r>
    </w:p>
  </w:footnote>
  <w:footnote w:id="48">
    <w:p w14:paraId="0FEFEC09" w14:textId="05AAEBC4" w:rsidR="00907755" w:rsidRPr="00EC5F9D" w:rsidRDefault="00907755">
      <w:pPr>
        <w:pStyle w:val="FootnoteText"/>
        <w:rPr>
          <w:lang w:val="en-US"/>
        </w:rPr>
      </w:pPr>
      <w:r w:rsidRPr="00EC5F9D">
        <w:rPr>
          <w:rStyle w:val="FootnoteReference"/>
          <w:lang w:val="en-US"/>
        </w:rPr>
        <w:footnoteRef/>
      </w:r>
      <w:r w:rsidRPr="00EC5F9D">
        <w:rPr>
          <w:lang w:val="en-US"/>
        </w:rPr>
        <w:t xml:space="preserve"> Colombo 2019; Nicolaides 2003.</w:t>
      </w:r>
    </w:p>
  </w:footnote>
  <w:footnote w:id="49">
    <w:p w14:paraId="11008F5D" w14:textId="2A4B0C57" w:rsidR="00907755" w:rsidRPr="00EC5F9D" w:rsidRDefault="00907755">
      <w:pPr>
        <w:pStyle w:val="FootnoteText"/>
        <w:rPr>
          <w:lang w:val="en-US"/>
        </w:rPr>
      </w:pPr>
      <w:r w:rsidRPr="00EC5F9D">
        <w:rPr>
          <w:rStyle w:val="FootnoteReference"/>
          <w:lang w:val="en-US"/>
        </w:rPr>
        <w:footnoteRef/>
      </w:r>
      <w:r w:rsidRPr="00EC5F9D">
        <w:rPr>
          <w:lang w:val="en-US"/>
        </w:rPr>
        <w:t xml:space="preserve"> Colombo 2019, 298.</w:t>
      </w:r>
    </w:p>
  </w:footnote>
  <w:footnote w:id="50">
    <w:p w14:paraId="29E8855A" w14:textId="486F3748" w:rsidR="00907755" w:rsidRPr="00EC5F9D" w:rsidRDefault="00907755">
      <w:pPr>
        <w:pStyle w:val="FootnoteText"/>
        <w:rPr>
          <w:lang w:val="en-US"/>
        </w:rPr>
      </w:pPr>
      <w:r w:rsidRPr="00EC5F9D">
        <w:rPr>
          <w:rStyle w:val="FootnoteReference"/>
          <w:lang w:val="en-US"/>
        </w:rPr>
        <w:footnoteRef/>
      </w:r>
      <w:r w:rsidRPr="00EC5F9D">
        <w:rPr>
          <w:lang w:val="en-US"/>
        </w:rPr>
        <w:t xml:space="preserve"> </w:t>
      </w:r>
      <w:proofErr w:type="spellStart"/>
      <w:r w:rsidRPr="00EC5F9D">
        <w:rPr>
          <w:lang w:val="en-US"/>
        </w:rPr>
        <w:t>Volberding</w:t>
      </w:r>
      <w:proofErr w:type="spellEnd"/>
      <w:r w:rsidRPr="00EC5F9D">
        <w:rPr>
          <w:lang w:val="en-US"/>
        </w:rPr>
        <w:t xml:space="preserve"> 2021.</w:t>
      </w:r>
    </w:p>
  </w:footnote>
  <w:footnote w:id="51">
    <w:p w14:paraId="2151AF98" w14:textId="12FE67D3" w:rsidR="00907755" w:rsidRPr="00EC5F9D" w:rsidRDefault="00907755">
      <w:pPr>
        <w:pStyle w:val="FootnoteText"/>
        <w:rPr>
          <w:lang w:val="en-US"/>
        </w:rPr>
      </w:pPr>
      <w:r w:rsidRPr="00EC5F9D">
        <w:rPr>
          <w:rStyle w:val="FootnoteReference"/>
          <w:lang w:val="en-US"/>
        </w:rPr>
        <w:footnoteRef/>
      </w:r>
      <w:r w:rsidRPr="00EC5F9D">
        <w:rPr>
          <w:lang w:val="en-US"/>
        </w:rPr>
        <w:t xml:space="preserve"> </w:t>
      </w:r>
      <w:proofErr w:type="spellStart"/>
      <w:r w:rsidRPr="00EC5F9D">
        <w:rPr>
          <w:lang w:val="en-US"/>
        </w:rPr>
        <w:t>Sinnaeve</w:t>
      </w:r>
      <w:proofErr w:type="spellEnd"/>
      <w:r w:rsidRPr="00EC5F9D">
        <w:rPr>
          <w:lang w:val="en-US"/>
        </w:rPr>
        <w:t xml:space="preserve"> 2001.</w:t>
      </w:r>
    </w:p>
  </w:footnote>
  <w:footnote w:id="52">
    <w:p w14:paraId="028E3ACC" w14:textId="09A22DCE" w:rsidR="00907755" w:rsidRPr="00EC5F9D" w:rsidRDefault="00907755">
      <w:pPr>
        <w:pStyle w:val="FootnoteText"/>
        <w:rPr>
          <w:lang w:val="en-US"/>
        </w:rPr>
      </w:pPr>
      <w:r w:rsidRPr="00EC5F9D">
        <w:rPr>
          <w:rStyle w:val="FootnoteReference"/>
          <w:lang w:val="en-US"/>
        </w:rPr>
        <w:footnoteRef/>
      </w:r>
      <w:r w:rsidRPr="00EC5F9D">
        <w:rPr>
          <w:lang w:val="en-US"/>
        </w:rPr>
        <w:t xml:space="preserve"> </w:t>
      </w:r>
      <w:proofErr w:type="spellStart"/>
      <w:r w:rsidRPr="00EC5F9D">
        <w:rPr>
          <w:lang w:val="en-US"/>
        </w:rPr>
        <w:t>Heimler</w:t>
      </w:r>
      <w:proofErr w:type="spellEnd"/>
      <w:r w:rsidRPr="00EC5F9D">
        <w:rPr>
          <w:lang w:val="en-US"/>
        </w:rPr>
        <w:t xml:space="preserve"> and Jenny 2012.</w:t>
      </w:r>
    </w:p>
  </w:footnote>
  <w:footnote w:id="53">
    <w:p w14:paraId="4FEB49F0" w14:textId="78D839DF" w:rsidR="00907755" w:rsidRPr="00EC5F9D" w:rsidRDefault="00907755">
      <w:pPr>
        <w:pStyle w:val="FootnoteText"/>
        <w:rPr>
          <w:lang w:val="en-US"/>
        </w:rPr>
      </w:pPr>
      <w:r w:rsidRPr="00EC5F9D">
        <w:rPr>
          <w:rStyle w:val="FootnoteReference"/>
          <w:lang w:val="en-US"/>
        </w:rPr>
        <w:footnoteRef/>
      </w:r>
      <w:r w:rsidRPr="00EC5F9D">
        <w:rPr>
          <w:lang w:val="en-US"/>
        </w:rPr>
        <w:t xml:space="preserve"> EU State Aid Scoreboard 2020, </w:t>
      </w:r>
      <w:hyperlink r:id="rId2" w:history="1">
        <w:r w:rsidRPr="00EC5F9D">
          <w:rPr>
            <w:rStyle w:val="Hyperlink"/>
            <w:color w:val="auto"/>
            <w:lang w:val="en-US"/>
          </w:rPr>
          <w:t>https://ec.europa.eu/competition-policy/state-aid/scoreboard_en</w:t>
        </w:r>
      </w:hyperlink>
      <w:r w:rsidRPr="00EC5F9D">
        <w:rPr>
          <w:lang w:val="en-US"/>
        </w:rPr>
        <w:t>.</w:t>
      </w:r>
    </w:p>
  </w:footnote>
  <w:footnote w:id="54">
    <w:p w14:paraId="38993A54" w14:textId="2982692B" w:rsidR="00907755" w:rsidRPr="00EC5F9D" w:rsidRDefault="00907755">
      <w:pPr>
        <w:pStyle w:val="FootnoteText"/>
        <w:rPr>
          <w:lang w:val="en-US"/>
        </w:rPr>
      </w:pPr>
      <w:r w:rsidRPr="00EC5F9D">
        <w:rPr>
          <w:rStyle w:val="FootnoteReference"/>
          <w:lang w:val="en-US"/>
        </w:rPr>
        <w:footnoteRef/>
      </w:r>
      <w:r w:rsidRPr="00EC5F9D">
        <w:rPr>
          <w:lang w:val="en-US"/>
        </w:rPr>
        <w:t xml:space="preserve"> </w:t>
      </w:r>
      <w:proofErr w:type="spellStart"/>
      <w:r w:rsidRPr="00EC5F9D">
        <w:rPr>
          <w:lang w:val="en-US"/>
        </w:rPr>
        <w:t>Vukov</w:t>
      </w:r>
      <w:proofErr w:type="spellEnd"/>
      <w:r w:rsidRPr="00EC5F9D">
        <w:rPr>
          <w:lang w:val="en-US"/>
        </w:rPr>
        <w:t xml:space="preserve"> 2020.</w:t>
      </w:r>
    </w:p>
  </w:footnote>
  <w:footnote w:id="55">
    <w:p w14:paraId="71CE433E" w14:textId="44F6EA3D" w:rsidR="00907755" w:rsidRPr="00EC5F9D" w:rsidRDefault="00907755" w:rsidP="00EC5F9D">
      <w:pPr>
        <w:pStyle w:val="EndnoteText"/>
        <w:rPr>
          <w:lang w:val="en-US"/>
        </w:rPr>
      </w:pPr>
      <w:r w:rsidRPr="00EC5F9D">
        <w:rPr>
          <w:rStyle w:val="FootnoteReference"/>
          <w:lang w:val="en-US"/>
        </w:rPr>
        <w:footnoteRef/>
      </w:r>
      <w:r w:rsidRPr="00EC5F9D">
        <w:rPr>
          <w:lang w:val="en-US"/>
        </w:rPr>
        <w:t xml:space="preserve"> EC, </w:t>
      </w:r>
      <w:r w:rsidRPr="00EC5F9D">
        <w:rPr>
          <w:shd w:val="clear" w:color="auto" w:fill="FFFFFF"/>
          <w:lang w:val="en-US"/>
        </w:rPr>
        <w:t xml:space="preserve">Temporary Framework for State aid measures </w:t>
      </w:r>
      <w:r w:rsidRPr="00EC5F9D">
        <w:rPr>
          <w:bCs/>
          <w:shd w:val="clear" w:color="auto" w:fill="FFFFFF"/>
          <w:lang w:val="en-US"/>
        </w:rPr>
        <w:t>to support the economy in the current COVID-19 outbreak (</w:t>
      </w:r>
      <w:r w:rsidRPr="00EC5F9D">
        <w:rPr>
          <w:shd w:val="clear" w:color="auto" w:fill="FFFFFF"/>
          <w:lang w:val="en-US"/>
        </w:rPr>
        <w:t xml:space="preserve">2020/C 91 I/01), </w:t>
      </w:r>
      <w:hyperlink r:id="rId3" w:history="1">
        <w:r w:rsidRPr="00EC5F9D">
          <w:rPr>
            <w:rStyle w:val="Hyperlink"/>
            <w:bCs/>
            <w:color w:val="auto"/>
            <w:shd w:val="clear" w:color="auto" w:fill="FFFFFF"/>
            <w:lang w:val="en-US"/>
          </w:rPr>
          <w:t>https://eur-lex.europa.eu/legal-content/EN/TXT/HTML/?uri=CELEX:52020XC0320(03)&amp;from=HU)</w:t>
        </w:r>
      </w:hyperlink>
    </w:p>
  </w:footnote>
  <w:footnote w:id="56">
    <w:p w14:paraId="0691C1D0" w14:textId="50EBFD46" w:rsidR="00907755" w:rsidRPr="00EC5F9D" w:rsidRDefault="00907755">
      <w:pPr>
        <w:pStyle w:val="FootnoteText"/>
        <w:rPr>
          <w:lang w:val="en-US"/>
        </w:rPr>
      </w:pPr>
      <w:r w:rsidRPr="00EC5F9D">
        <w:rPr>
          <w:rStyle w:val="FootnoteReference"/>
          <w:lang w:val="en-US"/>
        </w:rPr>
        <w:footnoteRef/>
      </w:r>
      <w:r w:rsidRPr="00EC5F9D">
        <w:rPr>
          <w:lang w:val="en-US"/>
        </w:rPr>
        <w:t xml:space="preserve"> Rios 2020.</w:t>
      </w:r>
    </w:p>
  </w:footnote>
  <w:footnote w:id="57">
    <w:p w14:paraId="1814F1F8" w14:textId="7B75961F" w:rsidR="00907755" w:rsidRPr="00EC5F9D" w:rsidRDefault="00907755">
      <w:pPr>
        <w:pStyle w:val="FootnoteText"/>
        <w:rPr>
          <w:lang w:val="en-US"/>
        </w:rPr>
      </w:pPr>
      <w:r w:rsidRPr="00EC5F9D">
        <w:rPr>
          <w:rStyle w:val="FootnoteReference"/>
          <w:lang w:val="en-US"/>
        </w:rPr>
        <w:footnoteRef/>
      </w:r>
      <w:r w:rsidRPr="00EC5F9D">
        <w:rPr>
          <w:lang w:val="en-US"/>
        </w:rPr>
        <w:t xml:space="preserve"> Dombey 2020.</w:t>
      </w:r>
    </w:p>
  </w:footnote>
  <w:footnote w:id="58">
    <w:p w14:paraId="3C297E16" w14:textId="24625368" w:rsidR="00907755" w:rsidRPr="00EC5F9D" w:rsidRDefault="00907755">
      <w:pPr>
        <w:pStyle w:val="FootnoteText"/>
        <w:rPr>
          <w:lang w:val="en-US"/>
        </w:rPr>
      </w:pPr>
      <w:r w:rsidRPr="00EC5F9D">
        <w:rPr>
          <w:rStyle w:val="FootnoteReference"/>
          <w:lang w:val="en-US"/>
        </w:rPr>
        <w:footnoteRef/>
      </w:r>
      <w:r w:rsidRPr="00EC5F9D">
        <w:rPr>
          <w:lang w:val="en-US"/>
        </w:rPr>
        <w:t xml:space="preserve"> Fleming and Espinoza 2020.</w:t>
      </w:r>
    </w:p>
  </w:footnote>
  <w:footnote w:id="59">
    <w:p w14:paraId="0AD6E6B8" w14:textId="4A25E5FD" w:rsidR="00907755" w:rsidRPr="00EC5F9D" w:rsidRDefault="00907755">
      <w:pPr>
        <w:pStyle w:val="FootnoteText"/>
        <w:rPr>
          <w:lang w:val="en-US"/>
        </w:rPr>
      </w:pPr>
      <w:r w:rsidRPr="00EC5F9D">
        <w:rPr>
          <w:rStyle w:val="FootnoteReference"/>
          <w:lang w:val="en-US"/>
        </w:rPr>
        <w:footnoteRef/>
      </w:r>
      <w:r w:rsidRPr="00EC5F9D">
        <w:rPr>
          <w:lang w:val="en-US"/>
        </w:rPr>
        <w:t xml:space="preserve"> Van Hove 2020.</w:t>
      </w:r>
    </w:p>
  </w:footnote>
  <w:footnote w:id="60">
    <w:p w14:paraId="6D2DDA84" w14:textId="3C8D3822" w:rsidR="00907755" w:rsidRPr="00EC5F9D" w:rsidRDefault="00907755">
      <w:pPr>
        <w:pStyle w:val="FootnoteText"/>
        <w:rPr>
          <w:lang w:val="en-US"/>
        </w:rPr>
      </w:pPr>
      <w:r w:rsidRPr="00EC5F9D">
        <w:rPr>
          <w:rStyle w:val="FootnoteReference"/>
          <w:lang w:val="en-US"/>
        </w:rPr>
        <w:footnoteRef/>
      </w:r>
      <w:r w:rsidRPr="00EC5F9D">
        <w:rPr>
          <w:lang w:val="en-US"/>
        </w:rPr>
        <w:t xml:space="preserve"> </w:t>
      </w:r>
      <w:proofErr w:type="spellStart"/>
      <w:r w:rsidRPr="00EC5F9D">
        <w:rPr>
          <w:lang w:val="en-US"/>
        </w:rPr>
        <w:t>Lepièce</w:t>
      </w:r>
      <w:proofErr w:type="spellEnd"/>
      <w:r w:rsidRPr="00EC5F9D">
        <w:rPr>
          <w:lang w:val="en-US"/>
        </w:rPr>
        <w:t xml:space="preserve"> and </w:t>
      </w:r>
      <w:proofErr w:type="spellStart"/>
      <w:r w:rsidRPr="00EC5F9D">
        <w:rPr>
          <w:lang w:val="en-US"/>
        </w:rPr>
        <w:t>Brochier</w:t>
      </w:r>
      <w:proofErr w:type="spellEnd"/>
      <w:r w:rsidRPr="00EC5F9D">
        <w:rPr>
          <w:lang w:val="en-US"/>
        </w:rPr>
        <w:t xml:space="preserve"> 2021.</w:t>
      </w:r>
    </w:p>
  </w:footnote>
  <w:footnote w:id="61">
    <w:p w14:paraId="24BFAE3F" w14:textId="3198888F" w:rsidR="00907755" w:rsidRPr="00EC5F9D" w:rsidRDefault="00907755">
      <w:pPr>
        <w:pStyle w:val="FootnoteText"/>
        <w:rPr>
          <w:lang w:val="en-US"/>
        </w:rPr>
      </w:pPr>
      <w:r w:rsidRPr="00EC5F9D">
        <w:rPr>
          <w:rStyle w:val="FootnoteReference"/>
          <w:lang w:val="en-US"/>
        </w:rPr>
        <w:footnoteRef/>
      </w:r>
      <w:r w:rsidRPr="00EC5F9D">
        <w:rPr>
          <w:lang w:val="en-US"/>
        </w:rPr>
        <w:t xml:space="preserve"> Meunier and </w:t>
      </w:r>
      <w:proofErr w:type="spellStart"/>
      <w:r w:rsidRPr="00EC5F9D">
        <w:rPr>
          <w:lang w:val="en-US"/>
        </w:rPr>
        <w:t>Mickus</w:t>
      </w:r>
      <w:proofErr w:type="spellEnd"/>
      <w:r w:rsidRPr="00EC5F9D">
        <w:rPr>
          <w:lang w:val="en-US"/>
        </w:rPr>
        <w:t xml:space="preserve"> 2020.</w:t>
      </w:r>
    </w:p>
  </w:footnote>
  <w:footnote w:id="62">
    <w:p w14:paraId="3964F273" w14:textId="73EBB79C" w:rsidR="00907755" w:rsidRPr="00EC5F9D" w:rsidRDefault="00907755">
      <w:pPr>
        <w:pStyle w:val="FootnoteText"/>
        <w:rPr>
          <w:lang w:val="en-US"/>
        </w:rPr>
      </w:pPr>
      <w:r w:rsidRPr="00EC5F9D">
        <w:rPr>
          <w:rStyle w:val="FootnoteReference"/>
          <w:lang w:val="en-US"/>
        </w:rPr>
        <w:footnoteRef/>
      </w:r>
      <w:r w:rsidRPr="00EC5F9D">
        <w:rPr>
          <w:lang w:val="en-US"/>
        </w:rPr>
        <w:t xml:space="preserve"> </w:t>
      </w:r>
      <w:proofErr w:type="spellStart"/>
      <w:r w:rsidRPr="00EC5F9D">
        <w:rPr>
          <w:lang w:val="en-US"/>
        </w:rPr>
        <w:t>Bundesministerium</w:t>
      </w:r>
      <w:proofErr w:type="spellEnd"/>
      <w:r w:rsidRPr="00EC5F9D">
        <w:rPr>
          <w:lang w:val="en-US"/>
        </w:rPr>
        <w:t xml:space="preserve"> </w:t>
      </w:r>
      <w:proofErr w:type="spellStart"/>
      <w:r w:rsidRPr="00EC5F9D">
        <w:rPr>
          <w:lang w:val="en-US"/>
        </w:rPr>
        <w:t>für</w:t>
      </w:r>
      <w:proofErr w:type="spellEnd"/>
      <w:r w:rsidRPr="00EC5F9D">
        <w:rPr>
          <w:lang w:val="en-US"/>
        </w:rPr>
        <w:t xml:space="preserve"> </w:t>
      </w:r>
      <w:proofErr w:type="spellStart"/>
      <w:r w:rsidRPr="00EC5F9D">
        <w:rPr>
          <w:lang w:val="en-US"/>
        </w:rPr>
        <w:t>Wirtschaft</w:t>
      </w:r>
      <w:proofErr w:type="spellEnd"/>
      <w:r w:rsidRPr="00EC5F9D">
        <w:rPr>
          <w:lang w:val="en-US"/>
        </w:rPr>
        <w:t xml:space="preserve"> und </w:t>
      </w:r>
      <w:proofErr w:type="spellStart"/>
      <w:r w:rsidRPr="00EC5F9D">
        <w:rPr>
          <w:lang w:val="en-US"/>
        </w:rPr>
        <w:t>Energie</w:t>
      </w:r>
      <w:proofErr w:type="spellEnd"/>
      <w:r w:rsidRPr="00EC5F9D">
        <w:rPr>
          <w:lang w:val="en-US"/>
        </w:rPr>
        <w:t>, A Franco-German Manifesto for a European industrial policy fit for the 21st Century, 2019, https://www.bmwi.de/Redaktion/DE/Downloads/F/franco-german-manifesto-for-a-european-industrial-policy.pdf.</w:t>
      </w:r>
    </w:p>
  </w:footnote>
  <w:footnote w:id="63">
    <w:p w14:paraId="3D40CF87" w14:textId="7DAD37E2" w:rsidR="00907755" w:rsidRPr="00EC5F9D" w:rsidRDefault="00907755">
      <w:pPr>
        <w:pStyle w:val="FootnoteText"/>
        <w:rPr>
          <w:lang w:val="en-US"/>
        </w:rPr>
      </w:pPr>
      <w:r w:rsidRPr="00EC5F9D">
        <w:rPr>
          <w:rStyle w:val="FootnoteReference"/>
          <w:lang w:val="en-US"/>
        </w:rPr>
        <w:footnoteRef/>
      </w:r>
      <w:r w:rsidRPr="00EC5F9D">
        <w:rPr>
          <w:lang w:val="en-US"/>
        </w:rPr>
        <w:t xml:space="preserve"> </w:t>
      </w:r>
      <w:proofErr w:type="spellStart"/>
      <w:r w:rsidRPr="00EC5F9D">
        <w:rPr>
          <w:lang w:val="en-US"/>
        </w:rPr>
        <w:t>Delors</w:t>
      </w:r>
      <w:proofErr w:type="spellEnd"/>
      <w:r w:rsidRPr="00EC5F9D">
        <w:rPr>
          <w:lang w:val="en-US"/>
        </w:rPr>
        <w:t xml:space="preserve"> </w:t>
      </w:r>
      <w:r w:rsidRPr="002768A6">
        <w:rPr>
          <w:lang w:val="en-US"/>
        </w:rPr>
        <w:t xml:space="preserve">Report </w:t>
      </w:r>
      <w:r w:rsidRPr="00EC5F9D">
        <w:rPr>
          <w:lang w:val="en-US"/>
        </w:rPr>
        <w:t>1989, 17.</w:t>
      </w:r>
    </w:p>
  </w:footnote>
  <w:footnote w:id="64">
    <w:p w14:paraId="689669EE" w14:textId="28F7CA93" w:rsidR="00907755" w:rsidRPr="00EC5F9D" w:rsidRDefault="00907755">
      <w:pPr>
        <w:pStyle w:val="FootnoteText"/>
        <w:rPr>
          <w:lang w:val="en-US"/>
        </w:rPr>
      </w:pPr>
      <w:r w:rsidRPr="00EC5F9D">
        <w:rPr>
          <w:rStyle w:val="FootnoteReference"/>
          <w:lang w:val="en-US"/>
        </w:rPr>
        <w:footnoteRef/>
      </w:r>
      <w:r w:rsidRPr="00EC5F9D">
        <w:rPr>
          <w:lang w:val="en-US"/>
        </w:rPr>
        <w:t xml:space="preserve"> </w:t>
      </w:r>
      <w:proofErr w:type="spellStart"/>
      <w:r w:rsidRPr="00EC5F9D">
        <w:rPr>
          <w:lang w:val="en-US"/>
        </w:rPr>
        <w:t>Boldrin</w:t>
      </w:r>
      <w:proofErr w:type="spellEnd"/>
      <w:r w:rsidRPr="00EC5F9D">
        <w:rPr>
          <w:lang w:val="en-US"/>
        </w:rPr>
        <w:t xml:space="preserve"> and Canova 2003; Leonardi 2005.</w:t>
      </w:r>
    </w:p>
  </w:footnote>
  <w:footnote w:id="65">
    <w:p w14:paraId="34C8D7DA" w14:textId="2F1A88A1" w:rsidR="00907755" w:rsidRPr="00EC5F9D" w:rsidRDefault="00907755">
      <w:pPr>
        <w:pStyle w:val="FootnoteText"/>
        <w:rPr>
          <w:lang w:val="en-US"/>
        </w:rPr>
      </w:pPr>
      <w:r w:rsidRPr="00EC5F9D">
        <w:rPr>
          <w:rStyle w:val="FootnoteReference"/>
          <w:lang w:val="en-US"/>
        </w:rPr>
        <w:footnoteRef/>
      </w:r>
      <w:r w:rsidRPr="00EC5F9D">
        <w:rPr>
          <w:lang w:val="en-US"/>
        </w:rPr>
        <w:t xml:space="preserve"> Rodríguez-Pose and </w:t>
      </w:r>
      <w:proofErr w:type="spellStart"/>
      <w:r w:rsidRPr="00EC5F9D">
        <w:rPr>
          <w:lang w:val="en-US"/>
        </w:rPr>
        <w:t>Garcilazo</w:t>
      </w:r>
      <w:proofErr w:type="spellEnd"/>
      <w:r w:rsidRPr="00EC5F9D">
        <w:rPr>
          <w:lang w:val="en-US"/>
        </w:rPr>
        <w:t xml:space="preserve"> 2015.</w:t>
      </w:r>
    </w:p>
  </w:footnote>
  <w:footnote w:id="66">
    <w:p w14:paraId="453FD929" w14:textId="148D0BF2" w:rsidR="00907755" w:rsidRPr="00EC5F9D" w:rsidRDefault="00907755">
      <w:pPr>
        <w:pStyle w:val="FootnoteText"/>
        <w:rPr>
          <w:lang w:val="en-US"/>
        </w:rPr>
      </w:pPr>
      <w:r w:rsidRPr="00EC5F9D">
        <w:rPr>
          <w:rStyle w:val="FootnoteReference"/>
          <w:lang w:val="en-US"/>
        </w:rPr>
        <w:footnoteRef/>
      </w:r>
      <w:r w:rsidRPr="00EC5F9D">
        <w:rPr>
          <w:lang w:val="en-US"/>
        </w:rPr>
        <w:t xml:space="preserve"> European Commission 2014.</w:t>
      </w:r>
    </w:p>
  </w:footnote>
  <w:footnote w:id="67">
    <w:p w14:paraId="6F7F8785" w14:textId="19B35675" w:rsidR="00907755" w:rsidRPr="00EC5F9D" w:rsidRDefault="00907755">
      <w:pPr>
        <w:pStyle w:val="FootnoteText"/>
        <w:rPr>
          <w:lang w:val="en-US"/>
        </w:rPr>
      </w:pPr>
      <w:r w:rsidRPr="00EC5F9D">
        <w:rPr>
          <w:rStyle w:val="FootnoteReference"/>
          <w:lang w:val="en-US"/>
        </w:rPr>
        <w:footnoteRef/>
      </w:r>
      <w:r w:rsidRPr="00EC5F9D">
        <w:rPr>
          <w:lang w:val="en-US"/>
        </w:rPr>
        <w:t xml:space="preserve"> </w:t>
      </w:r>
      <w:proofErr w:type="spellStart"/>
      <w:r w:rsidRPr="00EC5F9D">
        <w:rPr>
          <w:lang w:val="en-US"/>
        </w:rPr>
        <w:t>Medve-Bálint</w:t>
      </w:r>
      <w:proofErr w:type="spellEnd"/>
      <w:r w:rsidRPr="00EC5F9D">
        <w:rPr>
          <w:lang w:val="en-US"/>
        </w:rPr>
        <w:t xml:space="preserve"> 2018.</w:t>
      </w:r>
    </w:p>
  </w:footnote>
  <w:footnote w:id="68">
    <w:p w14:paraId="5E1A019E" w14:textId="5720D7E6" w:rsidR="00907755" w:rsidRPr="00EC5F9D" w:rsidRDefault="00907755">
      <w:pPr>
        <w:pStyle w:val="FootnoteText"/>
        <w:rPr>
          <w:lang w:val="en-US"/>
        </w:rPr>
      </w:pPr>
      <w:r w:rsidRPr="00EC5F9D">
        <w:rPr>
          <w:rStyle w:val="FootnoteReference"/>
          <w:lang w:val="en-US"/>
        </w:rPr>
        <w:footnoteRef/>
      </w:r>
      <w:r w:rsidRPr="00EC5F9D">
        <w:rPr>
          <w:lang w:val="en-US"/>
        </w:rPr>
        <w:t xml:space="preserve"> </w:t>
      </w:r>
      <w:proofErr w:type="spellStart"/>
      <w:r w:rsidRPr="00EC5F9D">
        <w:rPr>
          <w:lang w:val="en-US"/>
        </w:rPr>
        <w:t>Medve-Bálint</w:t>
      </w:r>
      <w:proofErr w:type="spellEnd"/>
      <w:r w:rsidRPr="00EC5F9D">
        <w:rPr>
          <w:lang w:val="en-US"/>
        </w:rPr>
        <w:t xml:space="preserve"> 2015.</w:t>
      </w:r>
    </w:p>
  </w:footnote>
  <w:footnote w:id="69">
    <w:p w14:paraId="3682B7BC" w14:textId="3FC3DD7E" w:rsidR="00907755" w:rsidRPr="00EC5F9D" w:rsidRDefault="00907755">
      <w:pPr>
        <w:pStyle w:val="FootnoteText"/>
        <w:rPr>
          <w:lang w:val="en-US"/>
        </w:rPr>
      </w:pPr>
      <w:r w:rsidRPr="00EC5F9D">
        <w:rPr>
          <w:rStyle w:val="FootnoteReference"/>
          <w:lang w:val="en-US"/>
        </w:rPr>
        <w:footnoteRef/>
      </w:r>
      <w:r w:rsidRPr="00EC5F9D">
        <w:rPr>
          <w:lang w:val="en-US"/>
        </w:rPr>
        <w:t xml:space="preserve"> Barca 2009, 105.</w:t>
      </w:r>
    </w:p>
  </w:footnote>
  <w:footnote w:id="70">
    <w:p w14:paraId="0EF8CF09" w14:textId="6B87D6B7" w:rsidR="00907755" w:rsidRPr="00EC5F9D" w:rsidRDefault="00907755">
      <w:pPr>
        <w:pStyle w:val="FootnoteText"/>
        <w:rPr>
          <w:lang w:val="en-US"/>
        </w:rPr>
      </w:pPr>
      <w:r w:rsidRPr="00EC5F9D">
        <w:rPr>
          <w:rStyle w:val="FootnoteReference"/>
          <w:lang w:val="en-US"/>
        </w:rPr>
        <w:footnoteRef/>
      </w:r>
      <w:r w:rsidRPr="00EC5F9D">
        <w:rPr>
          <w:lang w:val="en-US"/>
        </w:rPr>
        <w:t xml:space="preserve"> Rodríguez-Pose and </w:t>
      </w:r>
      <w:proofErr w:type="spellStart"/>
      <w:r w:rsidRPr="00EC5F9D">
        <w:rPr>
          <w:lang w:val="en-US"/>
        </w:rPr>
        <w:t>Garcilazo</w:t>
      </w:r>
      <w:proofErr w:type="spellEnd"/>
      <w:r w:rsidRPr="00EC5F9D">
        <w:rPr>
          <w:lang w:val="en-US"/>
        </w:rPr>
        <w:t xml:space="preserve"> 2015.</w:t>
      </w:r>
    </w:p>
  </w:footnote>
  <w:footnote w:id="71">
    <w:p w14:paraId="20727CEB" w14:textId="2487FAD8" w:rsidR="00907755" w:rsidRPr="00EC5F9D" w:rsidRDefault="00907755">
      <w:pPr>
        <w:pStyle w:val="FootnoteText"/>
        <w:rPr>
          <w:lang w:val="en-US"/>
        </w:rPr>
      </w:pPr>
      <w:r w:rsidRPr="00EC5F9D">
        <w:rPr>
          <w:rStyle w:val="FootnoteReference"/>
          <w:lang w:val="en-US"/>
        </w:rPr>
        <w:footnoteRef/>
      </w:r>
      <w:r w:rsidRPr="00EC5F9D">
        <w:rPr>
          <w:lang w:val="en-US"/>
        </w:rPr>
        <w:t xml:space="preserve"> </w:t>
      </w:r>
      <w:proofErr w:type="spellStart"/>
      <w:r w:rsidRPr="00EC5F9D">
        <w:rPr>
          <w:lang w:val="en-US"/>
        </w:rPr>
        <w:t>Medve-Bálint</w:t>
      </w:r>
      <w:proofErr w:type="spellEnd"/>
      <w:r w:rsidRPr="00EC5F9D">
        <w:rPr>
          <w:lang w:val="en-US"/>
        </w:rPr>
        <w:t xml:space="preserve"> 2018.</w:t>
      </w:r>
    </w:p>
  </w:footnote>
  <w:footnote w:id="72">
    <w:p w14:paraId="3F446257" w14:textId="603E79A6" w:rsidR="00907755" w:rsidRPr="00EC5F9D" w:rsidRDefault="00907755" w:rsidP="00EC5F9D">
      <w:pPr>
        <w:pStyle w:val="EndnoteText"/>
        <w:rPr>
          <w:lang w:val="en-US"/>
        </w:rPr>
      </w:pPr>
      <w:r w:rsidRPr="00EC5F9D">
        <w:rPr>
          <w:rStyle w:val="FootnoteReference"/>
          <w:lang w:val="en-US"/>
        </w:rPr>
        <w:footnoteRef/>
      </w:r>
      <w:r w:rsidRPr="00EC5F9D">
        <w:rPr>
          <w:lang w:val="en-US"/>
        </w:rPr>
        <w:t xml:space="preserve"> Mendez et al. 2012, 10. The </w:t>
      </w:r>
      <w:r w:rsidRPr="002768A6">
        <w:rPr>
          <w:lang w:val="en-US"/>
        </w:rPr>
        <w:t>“</w:t>
      </w:r>
      <w:r w:rsidRPr="00EC5F9D">
        <w:rPr>
          <w:lang w:val="en-US"/>
        </w:rPr>
        <w:t>Friends of Cohesion</w:t>
      </w:r>
      <w:r w:rsidRPr="002768A6">
        <w:rPr>
          <w:lang w:val="en-US"/>
        </w:rPr>
        <w:t>”</w:t>
      </w:r>
      <w:r w:rsidRPr="00EC5F9D">
        <w:rPr>
          <w:lang w:val="en-US"/>
        </w:rPr>
        <w:t xml:space="preserve"> were exclusively peripheral member states: Bulgaria, Czech Republic, Cyprus, Estonia, Greece, Hungary, Latvia, Lithuania, Malta, Poland, Portugal, Romania, Slovakia, Slovenia and Spain.</w:t>
      </w:r>
    </w:p>
  </w:footnote>
  <w:footnote w:id="73">
    <w:p w14:paraId="0259BCAC" w14:textId="7458B0EF" w:rsidR="00907755" w:rsidRPr="00471061" w:rsidRDefault="00907755">
      <w:pPr>
        <w:pStyle w:val="FootnoteText"/>
        <w:rPr>
          <w:lang w:val="en-US"/>
        </w:rPr>
      </w:pPr>
      <w:r w:rsidRPr="002768A6">
        <w:rPr>
          <w:rStyle w:val="FootnoteReference"/>
        </w:rPr>
        <w:footnoteRef/>
      </w:r>
      <w:r w:rsidRPr="002768A6">
        <w:t xml:space="preserve"> </w:t>
      </w:r>
      <w:r w:rsidRPr="00471061">
        <w:rPr>
          <w:lang w:val="en-US"/>
        </w:rPr>
        <w:t>Becker 2019.</w:t>
      </w:r>
    </w:p>
  </w:footnote>
  <w:footnote w:id="74">
    <w:p w14:paraId="1A11CBD1" w14:textId="653CEECE" w:rsidR="00907755" w:rsidRPr="00471061" w:rsidRDefault="00907755">
      <w:pPr>
        <w:pStyle w:val="FootnoteText"/>
        <w:rPr>
          <w:lang w:val="en-US"/>
        </w:rPr>
      </w:pPr>
      <w:r w:rsidRPr="002768A6">
        <w:rPr>
          <w:rStyle w:val="FootnoteReference"/>
        </w:rPr>
        <w:footnoteRef/>
      </w:r>
      <w:r w:rsidRPr="002768A6">
        <w:t xml:space="preserve"> </w:t>
      </w:r>
      <w:proofErr w:type="spellStart"/>
      <w:r w:rsidRPr="00471061">
        <w:rPr>
          <w:lang w:val="en-US"/>
        </w:rPr>
        <w:t>Avdikos</w:t>
      </w:r>
      <w:proofErr w:type="spellEnd"/>
      <w:r w:rsidRPr="00471061">
        <w:rPr>
          <w:lang w:val="en-US"/>
        </w:rPr>
        <w:t xml:space="preserve"> and </w:t>
      </w:r>
      <w:proofErr w:type="spellStart"/>
      <w:r w:rsidRPr="00471061">
        <w:rPr>
          <w:lang w:val="en-US"/>
        </w:rPr>
        <w:t>Chardas</w:t>
      </w:r>
      <w:proofErr w:type="spellEnd"/>
      <w:r w:rsidRPr="00471061">
        <w:rPr>
          <w:lang w:val="en-US"/>
        </w:rPr>
        <w:t xml:space="preserve"> 2016.</w:t>
      </w:r>
    </w:p>
  </w:footnote>
  <w:footnote w:id="75">
    <w:p w14:paraId="63D1CC04" w14:textId="77777777" w:rsidR="00907755" w:rsidRPr="00471061" w:rsidRDefault="00907755" w:rsidP="00361D52">
      <w:pPr>
        <w:pStyle w:val="FootnoteText"/>
        <w:rPr>
          <w:lang w:val="en-US"/>
        </w:rPr>
      </w:pPr>
      <w:r w:rsidRPr="002768A6">
        <w:rPr>
          <w:rStyle w:val="FootnoteReference"/>
        </w:rPr>
        <w:footnoteRef/>
      </w:r>
      <w:r w:rsidRPr="002768A6">
        <w:t xml:space="preserve"> </w:t>
      </w:r>
      <w:proofErr w:type="spellStart"/>
      <w:r w:rsidRPr="00471061">
        <w:rPr>
          <w:lang w:val="en-US"/>
        </w:rPr>
        <w:t>Hillion</w:t>
      </w:r>
      <w:proofErr w:type="spellEnd"/>
      <w:r w:rsidRPr="00471061">
        <w:rPr>
          <w:lang w:val="en-US"/>
        </w:rPr>
        <w:t xml:space="preserve"> 2021, 279.</w:t>
      </w:r>
    </w:p>
  </w:footnote>
  <w:footnote w:id="76">
    <w:p w14:paraId="7A4B6520" w14:textId="00EFDDC6" w:rsidR="00907755" w:rsidRPr="00471061" w:rsidRDefault="00907755">
      <w:pPr>
        <w:pStyle w:val="FootnoteText"/>
        <w:rPr>
          <w:lang w:val="en-US"/>
        </w:rPr>
      </w:pPr>
      <w:r w:rsidRPr="002768A6">
        <w:rPr>
          <w:rStyle w:val="FootnoteReference"/>
        </w:rPr>
        <w:footnoteRef/>
      </w:r>
      <w:r w:rsidRPr="002768A6">
        <w:t xml:space="preserve"> </w:t>
      </w:r>
      <w:proofErr w:type="spellStart"/>
      <w:r w:rsidRPr="002768A6">
        <w:t>Treaty</w:t>
      </w:r>
      <w:proofErr w:type="spellEnd"/>
      <w:r w:rsidRPr="002768A6">
        <w:t xml:space="preserve"> of </w:t>
      </w:r>
      <w:proofErr w:type="spellStart"/>
      <w:r w:rsidRPr="002768A6">
        <w:t>Rome</w:t>
      </w:r>
      <w:proofErr w:type="spellEnd"/>
      <w:r w:rsidRPr="002768A6">
        <w:t xml:space="preserve"> 1957, </w:t>
      </w:r>
      <w:hyperlink r:id="rId4" w:history="1">
        <w:r w:rsidRPr="00EC5F9D">
          <w:rPr>
            <w:rStyle w:val="Hyperlink"/>
            <w:color w:val="auto"/>
          </w:rPr>
          <w:t>https://netaffair.org/documents/1957-rome-treaty.pdf</w:t>
        </w:r>
      </w:hyperlink>
      <w:r>
        <w:t xml:space="preserve">. </w:t>
      </w:r>
      <w:proofErr w:type="spellStart"/>
      <w:r>
        <w:t>A</w:t>
      </w:r>
      <w:r w:rsidRPr="002768A6">
        <w:t>cessed</w:t>
      </w:r>
      <w:proofErr w:type="spellEnd"/>
      <w:r w:rsidRPr="002768A6">
        <w:t xml:space="preserve"> </w:t>
      </w:r>
      <w:proofErr w:type="spellStart"/>
      <w:r w:rsidRPr="002768A6">
        <w:t>February</w:t>
      </w:r>
      <w:proofErr w:type="spellEnd"/>
      <w:r w:rsidRPr="002768A6">
        <w:t xml:space="preserve"> </w:t>
      </w:r>
      <w:r>
        <w:t>2</w:t>
      </w:r>
      <w:r w:rsidRPr="002768A6">
        <w:t>, 2021.</w:t>
      </w:r>
    </w:p>
  </w:footnote>
  <w:footnote w:id="77">
    <w:p w14:paraId="3DA7A772" w14:textId="4C0D069E" w:rsidR="00907755" w:rsidRPr="00471061" w:rsidRDefault="00907755">
      <w:pPr>
        <w:pStyle w:val="FootnoteText"/>
        <w:rPr>
          <w:lang w:val="en-US"/>
        </w:rPr>
      </w:pPr>
      <w:r w:rsidRPr="002768A6">
        <w:rPr>
          <w:rStyle w:val="FootnoteReference"/>
        </w:rPr>
        <w:footnoteRef/>
      </w:r>
      <w:r w:rsidRPr="002768A6">
        <w:t xml:space="preserve"> </w:t>
      </w:r>
      <w:proofErr w:type="spellStart"/>
      <w:r w:rsidRPr="00EC5F9D">
        <w:t>From</w:t>
      </w:r>
      <w:proofErr w:type="spellEnd"/>
      <w:r w:rsidRPr="00EC5F9D">
        <w:t xml:space="preserve"> </w:t>
      </w:r>
      <w:proofErr w:type="spellStart"/>
      <w:r w:rsidRPr="00EC5F9D">
        <w:t>detailed</w:t>
      </w:r>
      <w:proofErr w:type="spellEnd"/>
      <w:r w:rsidRPr="00EC5F9D">
        <w:t xml:space="preserve"> EFSI </w:t>
      </w:r>
      <w:proofErr w:type="spellStart"/>
      <w:r w:rsidRPr="00EC5F9D">
        <w:t>data</w:t>
      </w:r>
      <w:proofErr w:type="spellEnd"/>
      <w:r w:rsidRPr="00EC5F9D">
        <w:t xml:space="preserve"> </w:t>
      </w:r>
      <w:proofErr w:type="spellStart"/>
      <w:r w:rsidRPr="00EC5F9D">
        <w:t>available</w:t>
      </w:r>
      <w:proofErr w:type="spellEnd"/>
      <w:r w:rsidRPr="00EC5F9D">
        <w:t xml:space="preserve"> </w:t>
      </w:r>
      <w:proofErr w:type="spellStart"/>
      <w:r w:rsidRPr="00EC5F9D">
        <w:t>on</w:t>
      </w:r>
      <w:proofErr w:type="spellEnd"/>
      <w:r w:rsidRPr="00EC5F9D">
        <w:t xml:space="preserve"> the EIB website (</w:t>
      </w:r>
      <w:proofErr w:type="spellStart"/>
      <w:r w:rsidRPr="00EC5F9D">
        <w:t>only</w:t>
      </w:r>
      <w:proofErr w:type="spellEnd"/>
      <w:r w:rsidRPr="00EC5F9D">
        <w:t xml:space="preserve"> EU </w:t>
      </w:r>
      <w:proofErr w:type="spellStart"/>
      <w:r w:rsidRPr="00EC5F9D">
        <w:t>members</w:t>
      </w:r>
      <w:proofErr w:type="spellEnd"/>
      <w:r w:rsidRPr="00EC5F9D">
        <w:t xml:space="preserve">, https://www.eib.org/en/efsi/efsi-projects/index.htm). </w:t>
      </w:r>
      <w:proofErr w:type="spellStart"/>
      <w:r w:rsidRPr="00EC5F9D">
        <w:t>Infrastructure</w:t>
      </w:r>
      <w:proofErr w:type="spellEnd"/>
      <w:r w:rsidRPr="00EC5F9D">
        <w:t xml:space="preserve"> </w:t>
      </w:r>
      <w:proofErr w:type="spellStart"/>
      <w:r w:rsidRPr="00EC5F9D">
        <w:t>investment</w:t>
      </w:r>
      <w:proofErr w:type="spellEnd"/>
      <w:r w:rsidRPr="00EC5F9D">
        <w:t xml:space="preserve"> </w:t>
      </w:r>
      <w:proofErr w:type="spellStart"/>
      <w:r w:rsidRPr="00EC5F9D">
        <w:t>includes</w:t>
      </w:r>
      <w:proofErr w:type="spellEnd"/>
      <w:r w:rsidRPr="00EC5F9D">
        <w:t xml:space="preserve"> </w:t>
      </w:r>
      <w:proofErr w:type="spellStart"/>
      <w:r w:rsidRPr="00EC5F9D">
        <w:t>energy</w:t>
      </w:r>
      <w:proofErr w:type="spellEnd"/>
      <w:r w:rsidRPr="00EC5F9D">
        <w:t xml:space="preserve">, </w:t>
      </w:r>
      <w:proofErr w:type="spellStart"/>
      <w:r w:rsidRPr="00EC5F9D">
        <w:t>transport</w:t>
      </w:r>
      <w:proofErr w:type="spellEnd"/>
      <w:r w:rsidRPr="00EC5F9D">
        <w:t xml:space="preserve">, </w:t>
      </w:r>
      <w:proofErr w:type="spellStart"/>
      <w:r w:rsidRPr="00EC5F9D">
        <w:t>environment</w:t>
      </w:r>
      <w:proofErr w:type="spellEnd"/>
      <w:r w:rsidRPr="00EC5F9D">
        <w:t xml:space="preserve">, and </w:t>
      </w:r>
      <w:proofErr w:type="spellStart"/>
      <w:r w:rsidRPr="00EC5F9D">
        <w:t>resource</w:t>
      </w:r>
      <w:proofErr w:type="spellEnd"/>
      <w:r w:rsidRPr="00EC5F9D">
        <w:t xml:space="preserve"> </w:t>
      </w:r>
      <w:proofErr w:type="spellStart"/>
      <w:r w:rsidRPr="00EC5F9D">
        <w:t>efficiency</w:t>
      </w:r>
      <w:proofErr w:type="spellEnd"/>
      <w:r w:rsidRPr="00EC5F9D">
        <w:t xml:space="preserve"> projects. R&amp;D </w:t>
      </w:r>
      <w:proofErr w:type="spellStart"/>
      <w:r w:rsidRPr="00EC5F9D">
        <w:t>investment</w:t>
      </w:r>
      <w:proofErr w:type="spellEnd"/>
      <w:r w:rsidRPr="00EC5F9D">
        <w:t xml:space="preserve"> </w:t>
      </w:r>
      <w:proofErr w:type="spellStart"/>
      <w:r w:rsidRPr="00EC5F9D">
        <w:t>comprises</w:t>
      </w:r>
      <w:proofErr w:type="spellEnd"/>
      <w:r w:rsidRPr="00EC5F9D">
        <w:t xml:space="preserve"> </w:t>
      </w:r>
      <w:proofErr w:type="spellStart"/>
      <w:r w:rsidRPr="00EC5F9D">
        <w:t>bioeconomy</w:t>
      </w:r>
      <w:proofErr w:type="spellEnd"/>
      <w:r w:rsidRPr="00EC5F9D">
        <w:t xml:space="preserve">, RDI, </w:t>
      </w:r>
      <w:proofErr w:type="spellStart"/>
      <w:r w:rsidRPr="00EC5F9D">
        <w:t>or</w:t>
      </w:r>
      <w:proofErr w:type="spellEnd"/>
      <w:r w:rsidRPr="00EC5F9D">
        <w:t xml:space="preserve"> </w:t>
      </w:r>
      <w:proofErr w:type="spellStart"/>
      <w:r w:rsidRPr="00EC5F9D">
        <w:t>digitalization</w:t>
      </w:r>
      <w:proofErr w:type="spellEnd"/>
      <w:r w:rsidRPr="00EC5F9D">
        <w:t xml:space="preserve"> </w:t>
      </w:r>
      <w:proofErr w:type="spellStart"/>
      <w:r w:rsidRPr="00EC5F9D">
        <w:t>loans</w:t>
      </w:r>
      <w:proofErr w:type="spellEnd"/>
      <w:r w:rsidRPr="00EC5F9D">
        <w:t xml:space="preserve">. </w:t>
      </w:r>
      <w:proofErr w:type="spellStart"/>
      <w:r w:rsidRPr="00EC5F9D">
        <w:t>Small</w:t>
      </w:r>
      <w:proofErr w:type="spellEnd"/>
      <w:r w:rsidRPr="00EC5F9D">
        <w:t xml:space="preserve"> and </w:t>
      </w:r>
      <w:proofErr w:type="spellStart"/>
      <w:r w:rsidRPr="00EC5F9D">
        <w:t>targeted</w:t>
      </w:r>
      <w:proofErr w:type="spellEnd"/>
      <w:r w:rsidRPr="00EC5F9D">
        <w:t xml:space="preserve"> </w:t>
      </w:r>
      <w:proofErr w:type="spellStart"/>
      <w:r w:rsidRPr="00EC5F9D">
        <w:t>investment</w:t>
      </w:r>
      <w:proofErr w:type="spellEnd"/>
      <w:r w:rsidRPr="00EC5F9D">
        <w:t xml:space="preserve"> </w:t>
      </w:r>
      <w:proofErr w:type="spellStart"/>
      <w:r w:rsidRPr="00EC5F9D">
        <w:t>consists</w:t>
      </w:r>
      <w:proofErr w:type="spellEnd"/>
      <w:r w:rsidRPr="00EC5F9D">
        <w:t xml:space="preserve"> of </w:t>
      </w:r>
      <w:proofErr w:type="spellStart"/>
      <w:r w:rsidRPr="00EC5F9D">
        <w:t>smaller</w:t>
      </w:r>
      <w:proofErr w:type="spellEnd"/>
      <w:r w:rsidRPr="00EC5F9D">
        <w:t xml:space="preserve"> </w:t>
      </w:r>
      <w:proofErr w:type="spellStart"/>
      <w:r w:rsidRPr="00EC5F9D">
        <w:t>companies</w:t>
      </w:r>
      <w:proofErr w:type="spellEnd"/>
      <w:r w:rsidRPr="00EC5F9D">
        <w:t xml:space="preserve">, </w:t>
      </w:r>
      <w:proofErr w:type="spellStart"/>
      <w:r w:rsidRPr="00EC5F9D">
        <w:t>social</w:t>
      </w:r>
      <w:proofErr w:type="spellEnd"/>
      <w:r w:rsidRPr="00EC5F9D">
        <w:t xml:space="preserve"> </w:t>
      </w:r>
      <w:proofErr w:type="spellStart"/>
      <w:r w:rsidRPr="00EC5F9D">
        <w:t>infrastructure</w:t>
      </w:r>
      <w:proofErr w:type="spellEnd"/>
      <w:r w:rsidRPr="00EC5F9D">
        <w:t xml:space="preserve">, and </w:t>
      </w:r>
      <w:proofErr w:type="spellStart"/>
      <w:r w:rsidRPr="00EC5F9D">
        <w:t>regional</w:t>
      </w:r>
      <w:proofErr w:type="spellEnd"/>
      <w:r w:rsidRPr="00EC5F9D">
        <w:t xml:space="preserve"> </w:t>
      </w:r>
      <w:proofErr w:type="spellStart"/>
      <w:r w:rsidRPr="00EC5F9D">
        <w:t>development</w:t>
      </w:r>
      <w:proofErr w:type="spellEnd"/>
      <w:r w:rsidRPr="00EC5F9D">
        <w:t xml:space="preserve"> </w:t>
      </w:r>
      <w:proofErr w:type="spellStart"/>
      <w:r w:rsidRPr="00EC5F9D">
        <w:t>loans</w:t>
      </w:r>
      <w:proofErr w:type="spellEnd"/>
      <w:r w:rsidRPr="00EC5F9D">
        <w:t xml:space="preserve">. In the </w:t>
      </w:r>
      <w:proofErr w:type="spellStart"/>
      <w:r w:rsidRPr="00EC5F9D">
        <w:t>case</w:t>
      </w:r>
      <w:proofErr w:type="spellEnd"/>
      <w:r w:rsidRPr="00EC5F9D">
        <w:t xml:space="preserve"> of </w:t>
      </w:r>
      <w:proofErr w:type="spellStart"/>
      <w:r w:rsidRPr="00EC5F9D">
        <w:t>multiple</w:t>
      </w:r>
      <w:proofErr w:type="spellEnd"/>
      <w:r w:rsidRPr="00EC5F9D">
        <w:t xml:space="preserve"> </w:t>
      </w:r>
      <w:proofErr w:type="spellStart"/>
      <w:r w:rsidRPr="00EC5F9D">
        <w:t>recipients</w:t>
      </w:r>
      <w:proofErr w:type="spellEnd"/>
      <w:r w:rsidRPr="00EC5F9D">
        <w:t xml:space="preserve">, the project </w:t>
      </w:r>
      <w:proofErr w:type="spellStart"/>
      <w:r w:rsidRPr="00EC5F9D">
        <w:t>was</w:t>
      </w:r>
      <w:proofErr w:type="spellEnd"/>
      <w:r w:rsidRPr="00EC5F9D">
        <w:t xml:space="preserve"> </w:t>
      </w:r>
      <w:proofErr w:type="spellStart"/>
      <w:r w:rsidRPr="00EC5F9D">
        <w:t>assigned</w:t>
      </w:r>
      <w:proofErr w:type="spellEnd"/>
      <w:r w:rsidRPr="00EC5F9D">
        <w:t xml:space="preserve"> </w:t>
      </w:r>
      <w:proofErr w:type="spellStart"/>
      <w:r w:rsidRPr="00EC5F9D">
        <w:t>to</w:t>
      </w:r>
      <w:proofErr w:type="spellEnd"/>
      <w:r w:rsidRPr="00EC5F9D">
        <w:t xml:space="preserve"> the </w:t>
      </w:r>
      <w:proofErr w:type="spellStart"/>
      <w:r w:rsidRPr="00EC5F9D">
        <w:t>category</w:t>
      </w:r>
      <w:proofErr w:type="spellEnd"/>
      <w:r w:rsidRPr="00EC5F9D">
        <w:t xml:space="preserve"> </w:t>
      </w:r>
      <w:proofErr w:type="spellStart"/>
      <w:r w:rsidRPr="00EC5F9D">
        <w:t>or</w:t>
      </w:r>
      <w:proofErr w:type="spellEnd"/>
      <w:r w:rsidRPr="00EC5F9D">
        <w:t xml:space="preserve"> </w:t>
      </w:r>
      <w:proofErr w:type="spellStart"/>
      <w:r w:rsidRPr="00EC5F9D">
        <w:t>region</w:t>
      </w:r>
      <w:proofErr w:type="spellEnd"/>
      <w:r w:rsidRPr="00EC5F9D">
        <w:t xml:space="preserve"> </w:t>
      </w:r>
      <w:proofErr w:type="spellStart"/>
      <w:r w:rsidRPr="00EC5F9D">
        <w:t>which</w:t>
      </w:r>
      <w:proofErr w:type="spellEnd"/>
      <w:r w:rsidRPr="00EC5F9D">
        <w:t xml:space="preserve"> </w:t>
      </w:r>
      <w:proofErr w:type="spellStart"/>
      <w:r w:rsidRPr="00EC5F9D">
        <w:t>included</w:t>
      </w:r>
      <w:proofErr w:type="spellEnd"/>
      <w:r w:rsidRPr="00EC5F9D">
        <w:t xml:space="preserve"> the most sectors </w:t>
      </w:r>
      <w:proofErr w:type="spellStart"/>
      <w:r w:rsidRPr="00EC5F9D">
        <w:t>or</w:t>
      </w:r>
      <w:proofErr w:type="spellEnd"/>
      <w:r w:rsidRPr="00EC5F9D">
        <w:t xml:space="preserve"> </w:t>
      </w:r>
      <w:proofErr w:type="spellStart"/>
      <w:r w:rsidRPr="00EC5F9D">
        <w:t>countries</w:t>
      </w:r>
      <w:proofErr w:type="spellEnd"/>
      <w:r w:rsidRPr="00EC5F9D">
        <w:t xml:space="preserve">. </w:t>
      </w:r>
      <w:proofErr w:type="spellStart"/>
      <w:r w:rsidRPr="00EC5F9D">
        <w:t>All</w:t>
      </w:r>
      <w:proofErr w:type="spellEnd"/>
      <w:r w:rsidRPr="00EC5F9D">
        <w:t xml:space="preserve"> </w:t>
      </w:r>
      <w:proofErr w:type="spellStart"/>
      <w:r w:rsidRPr="00EC5F9D">
        <w:t>amounts</w:t>
      </w:r>
      <w:proofErr w:type="spellEnd"/>
      <w:r w:rsidRPr="00EC5F9D">
        <w:t xml:space="preserve"> </w:t>
      </w:r>
      <w:proofErr w:type="spellStart"/>
      <w:r w:rsidRPr="00EC5F9D">
        <w:t>are</w:t>
      </w:r>
      <w:proofErr w:type="spellEnd"/>
      <w:r w:rsidRPr="00EC5F9D">
        <w:t xml:space="preserve"> in 2005 euro. </w:t>
      </w:r>
      <w:proofErr w:type="spellStart"/>
      <w:r w:rsidRPr="00EC5F9D">
        <w:t>Projects</w:t>
      </w:r>
      <w:proofErr w:type="spellEnd"/>
      <w:r w:rsidRPr="00EC5F9D">
        <w:t xml:space="preserve"> </w:t>
      </w:r>
      <w:proofErr w:type="spellStart"/>
      <w:r w:rsidRPr="00EC5F9D">
        <w:t>lacking</w:t>
      </w:r>
      <w:proofErr w:type="spellEnd"/>
      <w:r w:rsidRPr="00EC5F9D">
        <w:t xml:space="preserve"> a </w:t>
      </w:r>
      <w:proofErr w:type="spellStart"/>
      <w:r w:rsidRPr="00EC5F9D">
        <w:t>specified</w:t>
      </w:r>
      <w:proofErr w:type="spellEnd"/>
      <w:r w:rsidRPr="00EC5F9D">
        <w:t xml:space="preserve"> sector </w:t>
      </w:r>
      <w:proofErr w:type="spellStart"/>
      <w:r w:rsidRPr="00EC5F9D">
        <w:t>or</w:t>
      </w:r>
      <w:proofErr w:type="spellEnd"/>
      <w:r w:rsidRPr="00EC5F9D">
        <w:t xml:space="preserve"> country </w:t>
      </w:r>
      <w:proofErr w:type="spellStart"/>
      <w:r w:rsidRPr="00EC5F9D">
        <w:t>were</w:t>
      </w:r>
      <w:proofErr w:type="spellEnd"/>
      <w:r w:rsidRPr="00EC5F9D">
        <w:t xml:space="preserve"> </w:t>
      </w:r>
      <w:proofErr w:type="spellStart"/>
      <w:r w:rsidRPr="00EC5F9D">
        <w:t>excluded</w:t>
      </w:r>
      <w:proofErr w:type="spellEnd"/>
      <w:r w:rsidRPr="00EC5F9D">
        <w:t>.</w:t>
      </w:r>
    </w:p>
  </w:footnote>
  <w:footnote w:id="78">
    <w:p w14:paraId="1C906BE8" w14:textId="38275DA8" w:rsidR="00907755" w:rsidRPr="00471061" w:rsidRDefault="00907755">
      <w:pPr>
        <w:pStyle w:val="FootnoteText"/>
        <w:rPr>
          <w:lang w:val="en-US"/>
        </w:rPr>
      </w:pPr>
      <w:r w:rsidRPr="002768A6">
        <w:rPr>
          <w:rStyle w:val="FootnoteReference"/>
        </w:rPr>
        <w:footnoteRef/>
      </w:r>
      <w:r w:rsidRPr="002768A6">
        <w:t xml:space="preserve"> European </w:t>
      </w:r>
      <w:proofErr w:type="spellStart"/>
      <w:r w:rsidRPr="002768A6">
        <w:t>Investment</w:t>
      </w:r>
      <w:proofErr w:type="spellEnd"/>
      <w:r w:rsidRPr="002768A6">
        <w:t xml:space="preserve"> Bank, EIB </w:t>
      </w:r>
      <w:proofErr w:type="spellStart"/>
      <w:r w:rsidRPr="002768A6">
        <w:t>financing</w:t>
      </w:r>
      <w:proofErr w:type="spellEnd"/>
      <w:r w:rsidRPr="002768A6">
        <w:t xml:space="preserve"> </w:t>
      </w:r>
      <w:proofErr w:type="spellStart"/>
      <w:r w:rsidRPr="002768A6">
        <w:t>to</w:t>
      </w:r>
      <w:proofErr w:type="spellEnd"/>
      <w:r w:rsidRPr="002768A6">
        <w:t xml:space="preserve"> </w:t>
      </w:r>
      <w:proofErr w:type="spellStart"/>
      <w:r w:rsidRPr="002768A6">
        <w:t>support</w:t>
      </w:r>
      <w:proofErr w:type="spellEnd"/>
      <w:r w:rsidRPr="002768A6">
        <w:t xml:space="preserve"> COVID-19 </w:t>
      </w:r>
      <w:proofErr w:type="spellStart"/>
      <w:r w:rsidRPr="002768A6">
        <w:t>recovery</w:t>
      </w:r>
      <w:proofErr w:type="spellEnd"/>
      <w:r w:rsidRPr="002768A6">
        <w:t>, https://www.eib.org/en/about/initiatives/covid-19-response/financing.htm.</w:t>
      </w:r>
    </w:p>
  </w:footnote>
  <w:footnote w:id="79">
    <w:p w14:paraId="2A26A686" w14:textId="0785CB7C" w:rsidR="00907755" w:rsidRPr="00471061" w:rsidRDefault="00907755">
      <w:pPr>
        <w:pStyle w:val="FootnoteText"/>
        <w:rPr>
          <w:lang w:val="en-US"/>
        </w:rPr>
      </w:pPr>
      <w:r w:rsidRPr="002768A6">
        <w:rPr>
          <w:rStyle w:val="FootnoteReference"/>
        </w:rPr>
        <w:footnoteRef/>
      </w:r>
      <w:r w:rsidRPr="002768A6">
        <w:t xml:space="preserve"> </w:t>
      </w:r>
      <w:r w:rsidRPr="00471061">
        <w:rPr>
          <w:lang w:val="en-US"/>
        </w:rPr>
        <w:t>Clifton et al. 2018, 737.</w:t>
      </w:r>
    </w:p>
  </w:footnote>
  <w:footnote w:id="80">
    <w:p w14:paraId="0E3A2796" w14:textId="2694745A" w:rsidR="00907755" w:rsidRPr="00471061" w:rsidRDefault="00907755">
      <w:pPr>
        <w:pStyle w:val="FootnoteText"/>
        <w:rPr>
          <w:lang w:val="en-US"/>
        </w:rPr>
      </w:pPr>
      <w:r w:rsidRPr="002768A6">
        <w:rPr>
          <w:rStyle w:val="FootnoteReference"/>
        </w:rPr>
        <w:footnoteRef/>
      </w:r>
      <w:r w:rsidRPr="002768A6">
        <w:t xml:space="preserve"> </w:t>
      </w:r>
      <w:r w:rsidRPr="00471061">
        <w:rPr>
          <w:lang w:val="en-US"/>
        </w:rPr>
        <w:t>Clifton et al. 2018, 737.</w:t>
      </w:r>
    </w:p>
  </w:footnote>
  <w:footnote w:id="81">
    <w:p w14:paraId="61350501" w14:textId="1CEBAF70" w:rsidR="00907755" w:rsidRPr="00471061" w:rsidRDefault="00907755">
      <w:pPr>
        <w:pStyle w:val="FootnoteText"/>
        <w:rPr>
          <w:lang w:val="en-US"/>
        </w:rPr>
      </w:pPr>
      <w:r w:rsidRPr="002768A6">
        <w:rPr>
          <w:rStyle w:val="FootnoteReference"/>
        </w:rPr>
        <w:footnoteRef/>
      </w:r>
      <w:r w:rsidRPr="002768A6">
        <w:t xml:space="preserve"> </w:t>
      </w:r>
      <w:proofErr w:type="spellStart"/>
      <w:r w:rsidRPr="00EC5F9D">
        <w:t>This</w:t>
      </w:r>
      <w:proofErr w:type="spellEnd"/>
      <w:r w:rsidRPr="00EC5F9D">
        <w:t xml:space="preserve"> is the </w:t>
      </w:r>
      <w:proofErr w:type="spellStart"/>
      <w:r w:rsidRPr="00EC5F9D">
        <w:t>case</w:t>
      </w:r>
      <w:proofErr w:type="spellEnd"/>
      <w:r w:rsidRPr="00EC5F9D">
        <w:t xml:space="preserve"> </w:t>
      </w:r>
      <w:proofErr w:type="spellStart"/>
      <w:r w:rsidRPr="00EC5F9D">
        <w:t>because</w:t>
      </w:r>
      <w:proofErr w:type="spellEnd"/>
      <w:r w:rsidRPr="00EC5F9D">
        <w:t xml:space="preserve"> the EIB is an </w:t>
      </w:r>
      <w:proofErr w:type="spellStart"/>
      <w:r w:rsidRPr="00EC5F9D">
        <w:t>integral</w:t>
      </w:r>
      <w:proofErr w:type="spellEnd"/>
      <w:r w:rsidRPr="00EC5F9D">
        <w:t xml:space="preserve"> part of </w:t>
      </w:r>
      <w:proofErr w:type="spellStart"/>
      <w:r w:rsidRPr="00EC5F9D">
        <w:t>both</w:t>
      </w:r>
      <w:proofErr w:type="spellEnd"/>
      <w:r w:rsidRPr="00EC5F9D">
        <w:t xml:space="preserve"> the </w:t>
      </w:r>
      <w:proofErr w:type="spellStart"/>
      <w:r w:rsidRPr="00EC5F9D">
        <w:t>Treaty</w:t>
      </w:r>
      <w:proofErr w:type="spellEnd"/>
      <w:r w:rsidRPr="00EC5F9D">
        <w:t xml:space="preserve"> </w:t>
      </w:r>
      <w:proofErr w:type="spellStart"/>
      <w:r w:rsidRPr="00EC5F9D">
        <w:t>on</w:t>
      </w:r>
      <w:proofErr w:type="spellEnd"/>
      <w:r w:rsidRPr="00EC5F9D">
        <w:t xml:space="preserve"> the European Union and the </w:t>
      </w:r>
      <w:proofErr w:type="spellStart"/>
      <w:r w:rsidRPr="00EC5F9D">
        <w:t>Treaty</w:t>
      </w:r>
      <w:proofErr w:type="spellEnd"/>
      <w:r w:rsidRPr="00EC5F9D">
        <w:t xml:space="preserve"> </w:t>
      </w:r>
      <w:proofErr w:type="spellStart"/>
      <w:r w:rsidRPr="00EC5F9D">
        <w:t>on</w:t>
      </w:r>
      <w:proofErr w:type="spellEnd"/>
      <w:r w:rsidRPr="00EC5F9D">
        <w:t xml:space="preserve"> the </w:t>
      </w:r>
      <w:proofErr w:type="spellStart"/>
      <w:r w:rsidRPr="00EC5F9D">
        <w:t>Functioning</w:t>
      </w:r>
      <w:proofErr w:type="spellEnd"/>
      <w:r w:rsidRPr="00EC5F9D">
        <w:t xml:space="preserve"> of the European Union (TFEU).</w:t>
      </w:r>
    </w:p>
  </w:footnote>
  <w:footnote w:id="82">
    <w:p w14:paraId="00610F54" w14:textId="460FAF11" w:rsidR="00907755" w:rsidRPr="00471061" w:rsidRDefault="00907755">
      <w:pPr>
        <w:pStyle w:val="FootnoteText"/>
        <w:rPr>
          <w:lang w:val="en-US"/>
        </w:rPr>
      </w:pPr>
      <w:r w:rsidRPr="002768A6">
        <w:rPr>
          <w:rStyle w:val="FootnoteReference"/>
        </w:rPr>
        <w:footnoteRef/>
      </w:r>
      <w:r w:rsidRPr="002768A6">
        <w:t xml:space="preserve"> European </w:t>
      </w:r>
      <w:proofErr w:type="spellStart"/>
      <w:r w:rsidRPr="002768A6">
        <w:t>Investment</w:t>
      </w:r>
      <w:proofErr w:type="spellEnd"/>
      <w:r w:rsidRPr="002768A6">
        <w:t xml:space="preserve"> Bank, </w:t>
      </w:r>
      <w:proofErr w:type="spellStart"/>
      <w:r w:rsidRPr="002768A6">
        <w:t>Governance</w:t>
      </w:r>
      <w:proofErr w:type="spellEnd"/>
      <w:r w:rsidRPr="002768A6">
        <w:t xml:space="preserve"> and </w:t>
      </w:r>
      <w:proofErr w:type="spellStart"/>
      <w:r w:rsidRPr="002768A6">
        <w:t>Structure</w:t>
      </w:r>
      <w:proofErr w:type="spellEnd"/>
      <w:r w:rsidRPr="002768A6">
        <w:t xml:space="preserve">: </w:t>
      </w:r>
      <w:proofErr w:type="spellStart"/>
      <w:r w:rsidRPr="002768A6">
        <w:t>Shareholders</w:t>
      </w:r>
      <w:proofErr w:type="spellEnd"/>
      <w:r w:rsidRPr="002768A6">
        <w:t xml:space="preserve">, </w:t>
      </w:r>
      <w:hyperlink r:id="rId5" w:history="1">
        <w:r w:rsidRPr="00EC5F9D">
          <w:rPr>
            <w:rStyle w:val="Hyperlink"/>
            <w:color w:val="auto"/>
          </w:rPr>
          <w:t>https://www.eib.org/en/about/governance-and-structure/shareholders/index.htm</w:t>
        </w:r>
      </w:hyperlink>
      <w:r w:rsidRPr="00EC5F9D">
        <w:t xml:space="preserve">. Accessed </w:t>
      </w:r>
      <w:proofErr w:type="spellStart"/>
      <w:r w:rsidRPr="00EC5F9D">
        <w:t>on</w:t>
      </w:r>
      <w:proofErr w:type="spellEnd"/>
      <w:r w:rsidRPr="00EC5F9D">
        <w:t xml:space="preserve"> </w:t>
      </w:r>
      <w:proofErr w:type="spellStart"/>
      <w:r w:rsidRPr="00EC5F9D">
        <w:t>February</w:t>
      </w:r>
      <w:proofErr w:type="spellEnd"/>
      <w:r w:rsidRPr="00EC5F9D">
        <w:t xml:space="preserve"> 2, 2021.</w:t>
      </w:r>
    </w:p>
  </w:footnote>
  <w:footnote w:id="83">
    <w:p w14:paraId="7C9272C8" w14:textId="0A765DE8" w:rsidR="00907755" w:rsidRPr="00471061" w:rsidRDefault="00907755">
      <w:pPr>
        <w:pStyle w:val="FootnoteText"/>
        <w:rPr>
          <w:lang w:val="en-US"/>
        </w:rPr>
      </w:pPr>
      <w:r w:rsidRPr="002768A6">
        <w:rPr>
          <w:rStyle w:val="FootnoteReference"/>
        </w:rPr>
        <w:footnoteRef/>
      </w:r>
      <w:r w:rsidRPr="002768A6">
        <w:t xml:space="preserve"> European </w:t>
      </w:r>
      <w:proofErr w:type="spellStart"/>
      <w:r w:rsidRPr="002768A6">
        <w:t>Investment</w:t>
      </w:r>
      <w:proofErr w:type="spellEnd"/>
      <w:r w:rsidRPr="002768A6">
        <w:t xml:space="preserve"> Bank, </w:t>
      </w:r>
      <w:proofErr w:type="spellStart"/>
      <w:r w:rsidRPr="002768A6">
        <w:t>Governance</w:t>
      </w:r>
      <w:proofErr w:type="spellEnd"/>
      <w:r w:rsidRPr="002768A6">
        <w:t xml:space="preserve"> of the EIB, </w:t>
      </w:r>
      <w:hyperlink r:id="rId6" w:history="1">
        <w:r w:rsidRPr="00EC5F9D">
          <w:rPr>
            <w:rStyle w:val="Hyperlink"/>
            <w:color w:val="auto"/>
          </w:rPr>
          <w:t>http://www.eib.org/attachments/general/governance_of_the_eib_en.pdf</w:t>
        </w:r>
      </w:hyperlink>
      <w:r w:rsidRPr="00EC5F9D">
        <w:t xml:space="preserve">. Accessed </w:t>
      </w:r>
      <w:proofErr w:type="spellStart"/>
      <w:r w:rsidRPr="00EC5F9D">
        <w:t>on</w:t>
      </w:r>
      <w:proofErr w:type="spellEnd"/>
      <w:r w:rsidRPr="00EC5F9D">
        <w:t xml:space="preserve"> </w:t>
      </w:r>
      <w:proofErr w:type="spellStart"/>
      <w:r w:rsidRPr="00EC5F9D">
        <w:t>January</w:t>
      </w:r>
      <w:proofErr w:type="spellEnd"/>
      <w:r w:rsidRPr="00EC5F9D">
        <w:t xml:space="preserve"> 15, 2020.</w:t>
      </w:r>
    </w:p>
  </w:footnote>
  <w:footnote w:id="84">
    <w:p w14:paraId="3F228531" w14:textId="02503532" w:rsidR="00907755" w:rsidRPr="00471061" w:rsidRDefault="00907755">
      <w:pPr>
        <w:pStyle w:val="FootnoteText"/>
        <w:rPr>
          <w:lang w:val="en-US"/>
        </w:rPr>
      </w:pPr>
      <w:r w:rsidRPr="002768A6">
        <w:rPr>
          <w:rStyle w:val="FootnoteReference"/>
        </w:rPr>
        <w:footnoteRef/>
      </w:r>
      <w:r w:rsidRPr="002768A6">
        <w:t xml:space="preserve"> </w:t>
      </w:r>
      <w:r w:rsidRPr="00471061">
        <w:rPr>
          <w:lang w:val="en-US"/>
        </w:rPr>
        <w:t xml:space="preserve">Barnett and </w:t>
      </w:r>
      <w:proofErr w:type="spellStart"/>
      <w:r w:rsidRPr="00471061">
        <w:rPr>
          <w:lang w:val="en-US"/>
        </w:rPr>
        <w:t>Finnemore</w:t>
      </w:r>
      <w:proofErr w:type="spellEnd"/>
      <w:r w:rsidRPr="00471061">
        <w:rPr>
          <w:lang w:val="en-US"/>
        </w:rPr>
        <w:t xml:space="preserve"> 2012; Weaver 2008.</w:t>
      </w:r>
    </w:p>
  </w:footnote>
  <w:footnote w:id="85">
    <w:p w14:paraId="78AB4BDA" w14:textId="59389941" w:rsidR="00907755" w:rsidRPr="00471061" w:rsidRDefault="00907755">
      <w:pPr>
        <w:pStyle w:val="FootnoteText"/>
        <w:rPr>
          <w:lang w:val="en-US"/>
        </w:rPr>
      </w:pPr>
      <w:r w:rsidRPr="002768A6">
        <w:rPr>
          <w:rStyle w:val="FootnoteReference"/>
        </w:rPr>
        <w:footnoteRef/>
      </w:r>
      <w:r w:rsidRPr="002768A6">
        <w:t xml:space="preserve"> </w:t>
      </w:r>
      <w:r w:rsidRPr="00471061">
        <w:rPr>
          <w:lang w:val="en-US"/>
        </w:rPr>
        <w:t xml:space="preserve">Transparency International EU 2016, 15, </w:t>
      </w:r>
      <w:hyperlink r:id="rId7" w:history="1">
        <w:r w:rsidRPr="00EC5F9D">
          <w:rPr>
            <w:rStyle w:val="Hyperlink"/>
            <w:color w:val="auto"/>
          </w:rPr>
          <w:t>http://transparency.eu/eib/</w:t>
        </w:r>
      </w:hyperlink>
      <w:r w:rsidRPr="002768A6">
        <w:t xml:space="preserve">. </w:t>
      </w:r>
      <w:r w:rsidRPr="00EC5F9D">
        <w:t xml:space="preserve">Accessed </w:t>
      </w:r>
      <w:proofErr w:type="spellStart"/>
      <w:r w:rsidRPr="00EC5F9D">
        <w:t>on</w:t>
      </w:r>
      <w:proofErr w:type="spellEnd"/>
      <w:r w:rsidRPr="00EC5F9D">
        <w:t xml:space="preserve"> </w:t>
      </w:r>
      <w:proofErr w:type="spellStart"/>
      <w:r w:rsidRPr="002768A6">
        <w:t>January</w:t>
      </w:r>
      <w:proofErr w:type="spellEnd"/>
      <w:r w:rsidRPr="002768A6">
        <w:t xml:space="preserve"> 15, </w:t>
      </w:r>
      <w:r w:rsidRPr="00EC5F9D">
        <w:t>2020.</w:t>
      </w:r>
    </w:p>
  </w:footnote>
  <w:footnote w:id="86">
    <w:p w14:paraId="5C8E48D7" w14:textId="78073B71" w:rsidR="00907755" w:rsidRPr="00471061" w:rsidRDefault="00907755">
      <w:pPr>
        <w:pStyle w:val="FootnoteText"/>
        <w:rPr>
          <w:lang w:val="en-US"/>
        </w:rPr>
      </w:pPr>
      <w:r w:rsidRPr="002768A6">
        <w:rPr>
          <w:rStyle w:val="FootnoteReference"/>
        </w:rPr>
        <w:footnoteRef/>
      </w:r>
      <w:r w:rsidRPr="002768A6">
        <w:t xml:space="preserve"> The </w:t>
      </w:r>
      <w:proofErr w:type="spellStart"/>
      <w:r w:rsidRPr="002768A6">
        <w:t>very</w:t>
      </w:r>
      <w:proofErr w:type="spellEnd"/>
      <w:r w:rsidRPr="002768A6">
        <w:t xml:space="preserve"> </w:t>
      </w:r>
      <w:proofErr w:type="spellStart"/>
      <w:r w:rsidRPr="002768A6">
        <w:t>prudential</w:t>
      </w:r>
      <w:proofErr w:type="spellEnd"/>
      <w:r w:rsidRPr="002768A6">
        <w:t xml:space="preserve"> </w:t>
      </w:r>
      <w:proofErr w:type="spellStart"/>
      <w:r w:rsidRPr="002768A6">
        <w:t>lending</w:t>
      </w:r>
      <w:proofErr w:type="spellEnd"/>
      <w:r w:rsidRPr="002768A6">
        <w:t xml:space="preserve"> </w:t>
      </w:r>
      <w:proofErr w:type="spellStart"/>
      <w:r w:rsidRPr="002768A6">
        <w:t>profile</w:t>
      </w:r>
      <w:proofErr w:type="spellEnd"/>
      <w:r w:rsidRPr="002768A6">
        <w:t xml:space="preserve"> is </w:t>
      </w:r>
      <w:proofErr w:type="spellStart"/>
      <w:r w:rsidRPr="002768A6">
        <w:t>even</w:t>
      </w:r>
      <w:proofErr w:type="spellEnd"/>
      <w:r w:rsidRPr="002768A6">
        <w:t xml:space="preserve"> less </w:t>
      </w:r>
      <w:proofErr w:type="spellStart"/>
      <w:r w:rsidRPr="002768A6">
        <w:t>warranted</w:t>
      </w:r>
      <w:proofErr w:type="spellEnd"/>
      <w:r w:rsidRPr="002768A6">
        <w:t xml:space="preserve"> </w:t>
      </w:r>
      <w:proofErr w:type="spellStart"/>
      <w:r w:rsidRPr="002768A6">
        <w:t>due</w:t>
      </w:r>
      <w:proofErr w:type="spellEnd"/>
      <w:r w:rsidRPr="002768A6">
        <w:t xml:space="preserve"> </w:t>
      </w:r>
      <w:proofErr w:type="spellStart"/>
      <w:r w:rsidRPr="002768A6">
        <w:t>to</w:t>
      </w:r>
      <w:proofErr w:type="spellEnd"/>
      <w:r w:rsidRPr="002768A6">
        <w:t xml:space="preserve"> the </w:t>
      </w:r>
      <w:proofErr w:type="spellStart"/>
      <w:r w:rsidRPr="002768A6">
        <w:t>EIB’s</w:t>
      </w:r>
      <w:proofErr w:type="spellEnd"/>
      <w:r w:rsidRPr="002768A6">
        <w:t xml:space="preserve"> </w:t>
      </w:r>
      <w:proofErr w:type="spellStart"/>
      <w:r w:rsidRPr="002768A6">
        <w:t>special</w:t>
      </w:r>
      <w:proofErr w:type="spellEnd"/>
      <w:r w:rsidRPr="002768A6">
        <w:t xml:space="preserve"> </w:t>
      </w:r>
      <w:proofErr w:type="spellStart"/>
      <w:r w:rsidRPr="002768A6">
        <w:t>access</w:t>
      </w:r>
      <w:proofErr w:type="spellEnd"/>
      <w:r w:rsidRPr="002768A6">
        <w:t xml:space="preserve"> </w:t>
      </w:r>
      <w:proofErr w:type="spellStart"/>
      <w:r w:rsidRPr="002768A6">
        <w:t>to</w:t>
      </w:r>
      <w:proofErr w:type="spellEnd"/>
      <w:r w:rsidRPr="002768A6">
        <w:t xml:space="preserve"> </w:t>
      </w:r>
      <w:proofErr w:type="spellStart"/>
      <w:r w:rsidRPr="002768A6">
        <w:t>liquidity</w:t>
      </w:r>
      <w:proofErr w:type="spellEnd"/>
      <w:r w:rsidRPr="002768A6">
        <w:t xml:space="preserve"> in </w:t>
      </w:r>
      <w:proofErr w:type="spellStart"/>
      <w:r w:rsidRPr="002768A6">
        <w:t>times</w:t>
      </w:r>
      <w:proofErr w:type="spellEnd"/>
      <w:r w:rsidRPr="002768A6">
        <w:t xml:space="preserve"> of </w:t>
      </w:r>
      <w:proofErr w:type="spellStart"/>
      <w:r w:rsidRPr="002768A6">
        <w:t>crisis</w:t>
      </w:r>
      <w:proofErr w:type="spellEnd"/>
      <w:r w:rsidRPr="002768A6">
        <w:t xml:space="preserve">. The EIB is </w:t>
      </w:r>
      <w:proofErr w:type="spellStart"/>
      <w:r w:rsidRPr="002768A6">
        <w:t>among</w:t>
      </w:r>
      <w:proofErr w:type="spellEnd"/>
      <w:r w:rsidRPr="002768A6">
        <w:t xml:space="preserve"> the </w:t>
      </w:r>
      <w:proofErr w:type="spellStart"/>
      <w:r w:rsidRPr="002768A6">
        <w:t>few</w:t>
      </w:r>
      <w:proofErr w:type="spellEnd"/>
      <w:r w:rsidRPr="002768A6">
        <w:t xml:space="preserve"> </w:t>
      </w:r>
      <w:proofErr w:type="spellStart"/>
      <w:r w:rsidRPr="002768A6">
        <w:t>multilateral</w:t>
      </w:r>
      <w:proofErr w:type="spellEnd"/>
      <w:r w:rsidRPr="002768A6">
        <w:t xml:space="preserve"> </w:t>
      </w:r>
      <w:proofErr w:type="spellStart"/>
      <w:r w:rsidRPr="002768A6">
        <w:t>development</w:t>
      </w:r>
      <w:proofErr w:type="spellEnd"/>
      <w:r w:rsidRPr="002768A6">
        <w:t xml:space="preserve"> </w:t>
      </w:r>
      <w:proofErr w:type="spellStart"/>
      <w:r w:rsidRPr="002768A6">
        <w:t>banks</w:t>
      </w:r>
      <w:proofErr w:type="spellEnd"/>
      <w:r w:rsidRPr="002768A6">
        <w:t xml:space="preserve"> </w:t>
      </w:r>
      <w:proofErr w:type="spellStart"/>
      <w:r w:rsidRPr="002768A6">
        <w:t>with</w:t>
      </w:r>
      <w:proofErr w:type="spellEnd"/>
      <w:r w:rsidRPr="002768A6">
        <w:t xml:space="preserve"> </w:t>
      </w:r>
      <w:proofErr w:type="spellStart"/>
      <w:r w:rsidRPr="002768A6">
        <w:t>access</w:t>
      </w:r>
      <w:proofErr w:type="spellEnd"/>
      <w:r w:rsidRPr="002768A6">
        <w:t xml:space="preserve"> </w:t>
      </w:r>
      <w:proofErr w:type="spellStart"/>
      <w:r w:rsidRPr="002768A6">
        <w:t>to</w:t>
      </w:r>
      <w:proofErr w:type="spellEnd"/>
      <w:r w:rsidRPr="002768A6">
        <w:t xml:space="preserve"> </w:t>
      </w:r>
      <w:proofErr w:type="spellStart"/>
      <w:r w:rsidRPr="002768A6">
        <w:t>central</w:t>
      </w:r>
      <w:proofErr w:type="spellEnd"/>
      <w:r w:rsidRPr="002768A6">
        <w:t xml:space="preserve"> bank </w:t>
      </w:r>
      <w:proofErr w:type="spellStart"/>
      <w:r w:rsidRPr="002768A6">
        <w:t>liquidity</w:t>
      </w:r>
      <w:proofErr w:type="spellEnd"/>
      <w:r w:rsidRPr="002768A6">
        <w:t xml:space="preserve">, in </w:t>
      </w:r>
      <w:proofErr w:type="spellStart"/>
      <w:r w:rsidRPr="002768A6">
        <w:t>this</w:t>
      </w:r>
      <w:proofErr w:type="spellEnd"/>
      <w:r w:rsidRPr="002768A6">
        <w:t xml:space="preserve"> </w:t>
      </w:r>
      <w:proofErr w:type="spellStart"/>
      <w:r w:rsidRPr="002768A6">
        <w:t>case</w:t>
      </w:r>
      <w:proofErr w:type="spellEnd"/>
      <w:r w:rsidRPr="002768A6">
        <w:t xml:space="preserve"> </w:t>
      </w:r>
      <w:proofErr w:type="spellStart"/>
      <w:r w:rsidRPr="002768A6">
        <w:t>to</w:t>
      </w:r>
      <w:proofErr w:type="spellEnd"/>
      <w:r w:rsidRPr="002768A6">
        <w:t xml:space="preserve"> the European </w:t>
      </w:r>
      <w:proofErr w:type="spellStart"/>
      <w:r w:rsidRPr="002768A6">
        <w:t>Central</w:t>
      </w:r>
      <w:proofErr w:type="spellEnd"/>
      <w:r w:rsidRPr="002768A6">
        <w:t xml:space="preserve"> </w:t>
      </w:r>
      <w:proofErr w:type="spellStart"/>
      <w:r w:rsidRPr="002768A6">
        <w:t>Bank’s</w:t>
      </w:r>
      <w:proofErr w:type="spellEnd"/>
      <w:r w:rsidRPr="002768A6">
        <w:t xml:space="preserve"> (ECB) main </w:t>
      </w:r>
      <w:proofErr w:type="spellStart"/>
      <w:r w:rsidRPr="002768A6">
        <w:t>refinancing</w:t>
      </w:r>
      <w:proofErr w:type="spellEnd"/>
      <w:r w:rsidRPr="002768A6">
        <w:t xml:space="preserve"> </w:t>
      </w:r>
      <w:proofErr w:type="spellStart"/>
      <w:r w:rsidRPr="002768A6">
        <w:t>operations</w:t>
      </w:r>
      <w:proofErr w:type="spellEnd"/>
      <w:r w:rsidRPr="002768A6">
        <w:t>.</w:t>
      </w:r>
    </w:p>
  </w:footnote>
  <w:footnote w:id="87">
    <w:p w14:paraId="11517034" w14:textId="56E4F4FC" w:rsidR="00907755" w:rsidRPr="00457A8F" w:rsidRDefault="00907755">
      <w:pPr>
        <w:pStyle w:val="FootnoteText"/>
      </w:pPr>
      <w:r w:rsidRPr="00457A8F">
        <w:rPr>
          <w:rStyle w:val="FootnoteReference"/>
        </w:rPr>
        <w:footnoteRef/>
      </w:r>
      <w:r w:rsidRPr="00457A8F">
        <w:t xml:space="preserve"> </w:t>
      </w:r>
      <w:hyperlink r:id="rId8" w:history="1">
        <w:r w:rsidRPr="00457A8F">
          <w:rPr>
            <w:rStyle w:val="Hyperlink"/>
            <w:color w:val="auto"/>
          </w:rPr>
          <w:t>https://www.moodys.com/research/Moodys-EIBs-credit-profile-reflects-sound-capital-and-liquidity-positions--PR_388900</w:t>
        </w:r>
      </w:hyperlink>
      <w:r>
        <w:t xml:space="preserve">. </w:t>
      </w:r>
      <w:r w:rsidRPr="00EC5F9D">
        <w:t xml:space="preserve">Accessed </w:t>
      </w:r>
      <w:proofErr w:type="spellStart"/>
      <w:r w:rsidRPr="00EC5F9D">
        <w:t>on</w:t>
      </w:r>
      <w:proofErr w:type="spellEnd"/>
      <w:r w:rsidRPr="00EC5F9D">
        <w:t xml:space="preserve"> </w:t>
      </w:r>
      <w:proofErr w:type="spellStart"/>
      <w:r w:rsidRPr="00EC5F9D">
        <w:t>January</w:t>
      </w:r>
      <w:proofErr w:type="spellEnd"/>
      <w:r w:rsidRPr="00EC5F9D">
        <w:t xml:space="preserve"> 15, 2020.</w:t>
      </w:r>
    </w:p>
    <w:p w14:paraId="3B84DCEE" w14:textId="77777777" w:rsidR="00907755" w:rsidRPr="00471061" w:rsidRDefault="00907755">
      <w:pPr>
        <w:pStyle w:val="FootnoteText"/>
        <w:rPr>
          <w:color w:val="000000" w:themeColor="text1"/>
          <w:lang w:val="en-US"/>
        </w:rPr>
      </w:pPr>
    </w:p>
  </w:footnote>
  <w:footnote w:id="88">
    <w:p w14:paraId="750C027E" w14:textId="08D9A785" w:rsidR="00907755" w:rsidRPr="00EC5F9D" w:rsidRDefault="00907755" w:rsidP="00EC5F9D">
      <w:pPr>
        <w:pBdr>
          <w:top w:val="nil"/>
          <w:left w:val="nil"/>
          <w:bottom w:val="nil"/>
          <w:right w:val="nil"/>
          <w:between w:val="nil"/>
        </w:pBdr>
        <w:rPr>
          <w:color w:val="000000"/>
        </w:rPr>
      </w:pPr>
      <w:r w:rsidRPr="002768A6">
        <w:rPr>
          <w:rStyle w:val="FootnoteReference"/>
          <w:sz w:val="20"/>
          <w:szCs w:val="20"/>
        </w:rPr>
        <w:footnoteRef/>
      </w:r>
      <w:r w:rsidRPr="002768A6">
        <w:rPr>
          <w:sz w:val="20"/>
          <w:szCs w:val="20"/>
        </w:rPr>
        <w:t xml:space="preserve"> </w:t>
      </w:r>
      <w:hyperlink r:id="rId9" w:history="1">
        <w:r w:rsidRPr="00071A05">
          <w:rPr>
            <w:rStyle w:val="Hyperlink"/>
            <w:sz w:val="20"/>
          </w:rPr>
          <w:t>https://www.moodys.com/research/Moodys-EIBs-credit-profile-reflects-sound-capital-and-liquidity-positions--PR_388900</w:t>
        </w:r>
      </w:hyperlink>
      <w:r>
        <w:rPr>
          <w:sz w:val="20"/>
          <w:szCs w:val="20"/>
        </w:rPr>
        <w:t xml:space="preserve">. </w:t>
      </w:r>
      <w:r>
        <w:rPr>
          <w:color w:val="000000"/>
          <w:sz w:val="20"/>
          <w:szCs w:val="20"/>
        </w:rPr>
        <w:t>A</w:t>
      </w:r>
      <w:r w:rsidRPr="002768A6">
        <w:rPr>
          <w:color w:val="000000"/>
          <w:sz w:val="20"/>
          <w:szCs w:val="20"/>
        </w:rPr>
        <w:t xml:space="preserve">ccessed </w:t>
      </w:r>
      <w:proofErr w:type="spellStart"/>
      <w:r w:rsidRPr="002768A6">
        <w:rPr>
          <w:color w:val="000000"/>
          <w:sz w:val="20"/>
          <w:szCs w:val="20"/>
        </w:rPr>
        <w:t>on</w:t>
      </w:r>
      <w:proofErr w:type="spellEnd"/>
      <w:r w:rsidRPr="002768A6">
        <w:rPr>
          <w:color w:val="000000"/>
          <w:sz w:val="20"/>
          <w:szCs w:val="20"/>
        </w:rPr>
        <w:t xml:space="preserve"> </w:t>
      </w:r>
      <w:proofErr w:type="spellStart"/>
      <w:r>
        <w:rPr>
          <w:color w:val="000000"/>
          <w:sz w:val="20"/>
          <w:szCs w:val="20"/>
        </w:rPr>
        <w:t>January</w:t>
      </w:r>
      <w:proofErr w:type="spellEnd"/>
      <w:r>
        <w:rPr>
          <w:color w:val="000000"/>
          <w:sz w:val="20"/>
          <w:szCs w:val="20"/>
        </w:rPr>
        <w:t xml:space="preserve"> 15, 2020.</w:t>
      </w:r>
    </w:p>
  </w:footnote>
  <w:footnote w:id="89">
    <w:p w14:paraId="4DFA1EDE" w14:textId="0ED49A43" w:rsidR="00907755" w:rsidRPr="00471061" w:rsidRDefault="00907755">
      <w:pPr>
        <w:pStyle w:val="FootnoteText"/>
        <w:rPr>
          <w:lang w:val="en-US"/>
        </w:rPr>
      </w:pPr>
      <w:r>
        <w:rPr>
          <w:rStyle w:val="FootnoteReference"/>
        </w:rPr>
        <w:footnoteRef/>
      </w:r>
      <w:r>
        <w:t xml:space="preserve"> </w:t>
      </w:r>
      <w:proofErr w:type="spellStart"/>
      <w:r>
        <w:t>Regulation</w:t>
      </w:r>
      <w:proofErr w:type="spellEnd"/>
      <w:r>
        <w:t xml:space="preserve"> (EU) 2015/1017 of the European </w:t>
      </w:r>
      <w:proofErr w:type="spellStart"/>
      <w:r>
        <w:t>Parliament</w:t>
      </w:r>
      <w:proofErr w:type="spellEnd"/>
      <w:r>
        <w:t xml:space="preserve"> and the </w:t>
      </w:r>
      <w:proofErr w:type="spellStart"/>
      <w:r>
        <w:t>Council</w:t>
      </w:r>
      <w:proofErr w:type="spellEnd"/>
      <w:r>
        <w:t xml:space="preserve"> of 25 </w:t>
      </w:r>
      <w:proofErr w:type="spellStart"/>
      <w:r>
        <w:t>June</w:t>
      </w:r>
      <w:proofErr w:type="spellEnd"/>
      <w:r>
        <w:t xml:space="preserve"> 2015, </w:t>
      </w:r>
      <w:hyperlink r:id="rId10" w:history="1">
        <w:r w:rsidRPr="00DB0D41">
          <w:rPr>
            <w:rStyle w:val="Hyperlink"/>
            <w:lang w:val="en-GB"/>
          </w:rPr>
          <w:t>https://eur-lex.europa.eu/legal-content/EN/TXT/PDF/?uri=CELEX:32015R1017&amp;from=ES</w:t>
        </w:r>
      </w:hyperlink>
      <w:r>
        <w:rPr>
          <w:rStyle w:val="Hyperlink"/>
          <w:color w:val="auto"/>
          <w:u w:val="none"/>
          <w:lang w:val="en-GB"/>
        </w:rPr>
        <w:t>.</w:t>
      </w:r>
      <w:r>
        <w:rPr>
          <w:lang w:val="en-GB"/>
        </w:rPr>
        <w:t xml:space="preserve"> A</w:t>
      </w:r>
      <w:r w:rsidRPr="00CA07AF">
        <w:rPr>
          <w:lang w:val="en-GB"/>
        </w:rPr>
        <w:t xml:space="preserve">ccessed on </w:t>
      </w:r>
      <w:r>
        <w:rPr>
          <w:lang w:val="en-GB"/>
        </w:rPr>
        <w:t>January 15, 2020.</w:t>
      </w:r>
    </w:p>
  </w:footnote>
  <w:footnote w:id="90">
    <w:p w14:paraId="67824EB3" w14:textId="5F01532A" w:rsidR="00907755" w:rsidRPr="00471061" w:rsidRDefault="00907755">
      <w:pPr>
        <w:pStyle w:val="FootnoteText"/>
        <w:rPr>
          <w:lang w:val="en-US"/>
        </w:rPr>
      </w:pPr>
      <w:r>
        <w:rPr>
          <w:rStyle w:val="FootnoteReference"/>
        </w:rPr>
        <w:footnoteRef/>
      </w:r>
      <w:r>
        <w:t xml:space="preserve"> </w:t>
      </w:r>
      <w:r w:rsidRPr="00CA07AF">
        <w:rPr>
          <w:lang w:val="en-GB"/>
        </w:rPr>
        <w:t xml:space="preserve">An additional </w:t>
      </w:r>
      <w:r w:rsidRPr="00CA07AF">
        <w:rPr>
          <w:rFonts w:cstheme="minorHAnsi"/>
          <w:lang w:val="en-GB"/>
        </w:rPr>
        <w:t xml:space="preserve">advantage of EIB and EFSI is that </w:t>
      </w:r>
      <w:r>
        <w:rPr>
          <w:rFonts w:cstheme="minorHAnsi"/>
          <w:lang w:val="en-GB"/>
        </w:rPr>
        <w:t>their</w:t>
      </w:r>
      <w:r w:rsidRPr="00CA07AF">
        <w:rPr>
          <w:rFonts w:cstheme="minorHAnsi"/>
          <w:lang w:val="en-GB"/>
        </w:rPr>
        <w:t xml:space="preserve"> operation</w:t>
      </w:r>
      <w:r>
        <w:rPr>
          <w:rFonts w:cstheme="minorHAnsi"/>
          <w:lang w:val="en-GB"/>
        </w:rPr>
        <w:t>s</w:t>
      </w:r>
      <w:r w:rsidRPr="00CA07AF">
        <w:rPr>
          <w:rFonts w:cstheme="minorHAnsi"/>
          <w:lang w:val="en-GB"/>
        </w:rPr>
        <w:t xml:space="preserve"> </w:t>
      </w:r>
      <w:r>
        <w:rPr>
          <w:rFonts w:cstheme="minorHAnsi"/>
          <w:lang w:val="en-GB"/>
        </w:rPr>
        <w:t>are</w:t>
      </w:r>
      <w:r w:rsidRPr="00CA07AF">
        <w:rPr>
          <w:rFonts w:cstheme="minorHAnsi"/>
          <w:lang w:val="en-GB"/>
        </w:rPr>
        <w:t xml:space="preserve"> largely exempt from state aid regulation in post-crisis investment promotion.</w:t>
      </w:r>
    </w:p>
  </w:footnote>
  <w:footnote w:id="91">
    <w:p w14:paraId="4054FE66" w14:textId="7E93C14C" w:rsidR="00907755" w:rsidRPr="00471061" w:rsidRDefault="00907755">
      <w:pPr>
        <w:pStyle w:val="FootnoteText"/>
        <w:rPr>
          <w:lang w:val="en-US"/>
        </w:rPr>
      </w:pPr>
      <w:r>
        <w:rPr>
          <w:rStyle w:val="FootnoteReference"/>
        </w:rPr>
        <w:footnoteRef/>
      </w:r>
      <w:r>
        <w:t xml:space="preserve"> </w:t>
      </w:r>
      <w:r w:rsidRPr="00471061">
        <w:rPr>
          <w:lang w:val="en-US"/>
        </w:rPr>
        <w:t>Mertens and Thiemann 2017.</w:t>
      </w:r>
    </w:p>
  </w:footnote>
  <w:footnote w:id="92">
    <w:p w14:paraId="669C4D57" w14:textId="619F6CF9" w:rsidR="00907755" w:rsidRPr="00471061" w:rsidRDefault="00907755">
      <w:pPr>
        <w:pStyle w:val="FootnoteText"/>
        <w:rPr>
          <w:lang w:val="en-US"/>
        </w:rPr>
      </w:pPr>
      <w:r>
        <w:rPr>
          <w:rStyle w:val="FootnoteReference"/>
        </w:rPr>
        <w:footnoteRef/>
      </w:r>
      <w:r>
        <w:t xml:space="preserve"> EFSI </w:t>
      </w:r>
      <w:proofErr w:type="spellStart"/>
      <w:r>
        <w:t>Steering</w:t>
      </w:r>
      <w:proofErr w:type="spellEnd"/>
      <w:r>
        <w:t xml:space="preserve"> </w:t>
      </w:r>
      <w:proofErr w:type="spellStart"/>
      <w:r>
        <w:t>Board</w:t>
      </w:r>
      <w:proofErr w:type="spellEnd"/>
      <w:r>
        <w:t xml:space="preserve">, EIB EFSI </w:t>
      </w:r>
      <w:proofErr w:type="spellStart"/>
      <w:r>
        <w:t>Multiplier</w:t>
      </w:r>
      <w:proofErr w:type="spellEnd"/>
      <w:r>
        <w:t xml:space="preserve"> </w:t>
      </w:r>
      <w:proofErr w:type="spellStart"/>
      <w:r>
        <w:t>Methodology</w:t>
      </w:r>
      <w:proofErr w:type="spellEnd"/>
      <w:r>
        <w:t xml:space="preserve"> </w:t>
      </w:r>
      <w:proofErr w:type="spellStart"/>
      <w:r>
        <w:t>Calculation</w:t>
      </w:r>
      <w:proofErr w:type="spellEnd"/>
      <w:r>
        <w:t xml:space="preserve"> (Update of </w:t>
      </w:r>
      <w:proofErr w:type="spellStart"/>
      <w:r>
        <w:t>July</w:t>
      </w:r>
      <w:proofErr w:type="spellEnd"/>
      <w:r>
        <w:t xml:space="preserve"> 2018), </w:t>
      </w:r>
      <w:hyperlink r:id="rId11" w:history="1">
        <w:r w:rsidRPr="00966427">
          <w:rPr>
            <w:rStyle w:val="Hyperlink"/>
          </w:rPr>
          <w:t>https://www.eib.org/attachments/strategies/efsi_steering_board_efsi_multiplier_methodology_calculation_en.pdf</w:t>
        </w:r>
      </w:hyperlink>
      <w:r w:rsidRPr="00EC5F9D">
        <w:t xml:space="preserve">. </w:t>
      </w:r>
      <w:r>
        <w:rPr>
          <w:color w:val="000000"/>
        </w:rPr>
        <w:t xml:space="preserve">Accessed </w:t>
      </w:r>
      <w:proofErr w:type="spellStart"/>
      <w:r>
        <w:rPr>
          <w:color w:val="000000"/>
        </w:rPr>
        <w:t>on</w:t>
      </w:r>
      <w:proofErr w:type="spellEnd"/>
      <w:r>
        <w:rPr>
          <w:color w:val="000000"/>
        </w:rPr>
        <w:t xml:space="preserve"> </w:t>
      </w:r>
      <w:proofErr w:type="spellStart"/>
      <w:r>
        <w:rPr>
          <w:color w:val="000000"/>
        </w:rPr>
        <w:t>January</w:t>
      </w:r>
      <w:proofErr w:type="spellEnd"/>
      <w:r>
        <w:rPr>
          <w:color w:val="000000"/>
        </w:rPr>
        <w:t xml:space="preserve"> 15, 2020.</w:t>
      </w:r>
    </w:p>
  </w:footnote>
  <w:footnote w:id="93">
    <w:p w14:paraId="4CD89CC4" w14:textId="3D6B9CCD" w:rsidR="00907755" w:rsidRPr="00471061" w:rsidRDefault="00907755">
      <w:pPr>
        <w:pStyle w:val="FootnoteText"/>
        <w:rPr>
          <w:lang w:val="en-US"/>
        </w:rPr>
      </w:pPr>
      <w:r>
        <w:rPr>
          <w:rStyle w:val="FootnoteReference"/>
        </w:rPr>
        <w:footnoteRef/>
      </w:r>
      <w:r>
        <w:t xml:space="preserve"> </w:t>
      </w:r>
      <w:r w:rsidRPr="00471061">
        <w:rPr>
          <w:lang w:val="en-US"/>
        </w:rPr>
        <w:t>Mertens and Thiemann 2019.</w:t>
      </w:r>
    </w:p>
  </w:footnote>
  <w:footnote w:id="94">
    <w:p w14:paraId="311E1356" w14:textId="02B4C98A" w:rsidR="00907755" w:rsidRPr="00471061" w:rsidRDefault="00907755">
      <w:pPr>
        <w:pStyle w:val="FootnoteText"/>
        <w:rPr>
          <w:lang w:val="en-US"/>
        </w:rPr>
      </w:pPr>
      <w:r>
        <w:rPr>
          <w:rStyle w:val="FootnoteReference"/>
        </w:rPr>
        <w:footnoteRef/>
      </w:r>
      <w:r>
        <w:t xml:space="preserve"> European </w:t>
      </w:r>
      <w:proofErr w:type="spellStart"/>
      <w:r>
        <w:t>Court</w:t>
      </w:r>
      <w:proofErr w:type="spellEnd"/>
      <w:r>
        <w:t xml:space="preserve"> of Auditors, European </w:t>
      </w:r>
      <w:proofErr w:type="spellStart"/>
      <w:r>
        <w:t>Fund</w:t>
      </w:r>
      <w:proofErr w:type="spellEnd"/>
      <w:r>
        <w:t xml:space="preserve"> for </w:t>
      </w:r>
      <w:proofErr w:type="spellStart"/>
      <w:r>
        <w:t>Strategic</w:t>
      </w:r>
      <w:proofErr w:type="spellEnd"/>
      <w:r>
        <w:t xml:space="preserve"> </w:t>
      </w:r>
      <w:proofErr w:type="spellStart"/>
      <w:r>
        <w:t>Investments</w:t>
      </w:r>
      <w:proofErr w:type="spellEnd"/>
      <w:r>
        <w:t xml:space="preserve">: </w:t>
      </w:r>
      <w:proofErr w:type="spellStart"/>
      <w:r>
        <w:t>Actions</w:t>
      </w:r>
      <w:proofErr w:type="spellEnd"/>
      <w:r>
        <w:t xml:space="preserve"> </w:t>
      </w:r>
      <w:proofErr w:type="spellStart"/>
      <w:r>
        <w:t>needed</w:t>
      </w:r>
      <w:proofErr w:type="spellEnd"/>
      <w:r>
        <w:t xml:space="preserve"> </w:t>
      </w:r>
      <w:proofErr w:type="spellStart"/>
      <w:r>
        <w:t>to</w:t>
      </w:r>
      <w:proofErr w:type="spellEnd"/>
      <w:r>
        <w:t xml:space="preserve"> </w:t>
      </w:r>
      <w:proofErr w:type="spellStart"/>
      <w:r>
        <w:t>make</w:t>
      </w:r>
      <w:proofErr w:type="spellEnd"/>
      <w:r>
        <w:t xml:space="preserve"> EFSI a </w:t>
      </w:r>
      <w:proofErr w:type="spellStart"/>
      <w:r>
        <w:t>full</w:t>
      </w:r>
      <w:proofErr w:type="spellEnd"/>
      <w:r>
        <w:t xml:space="preserve"> </w:t>
      </w:r>
      <w:proofErr w:type="spellStart"/>
      <w:r>
        <w:t>success</w:t>
      </w:r>
      <w:proofErr w:type="spellEnd"/>
      <w:r>
        <w:t xml:space="preserve">, 2019, </w:t>
      </w:r>
      <w:hyperlink r:id="rId12" w:history="1">
        <w:r w:rsidRPr="00374E5A">
          <w:rPr>
            <w:rStyle w:val="Hyperlink"/>
          </w:rPr>
          <w:t>https://www.eca.europa.eu/Lists/ECADocuments/SR19_03/SR_EFSI_EN.pdf</w:t>
        </w:r>
      </w:hyperlink>
      <w:r>
        <w:rPr>
          <w:color w:val="000000"/>
        </w:rPr>
        <w:t xml:space="preserve">, 31. Accessed </w:t>
      </w:r>
      <w:proofErr w:type="spellStart"/>
      <w:r>
        <w:rPr>
          <w:color w:val="000000"/>
        </w:rPr>
        <w:t>on</w:t>
      </w:r>
      <w:proofErr w:type="spellEnd"/>
      <w:r>
        <w:rPr>
          <w:color w:val="000000"/>
        </w:rPr>
        <w:t xml:space="preserve"> </w:t>
      </w:r>
      <w:proofErr w:type="spellStart"/>
      <w:r>
        <w:rPr>
          <w:color w:val="000000"/>
        </w:rPr>
        <w:t>January</w:t>
      </w:r>
      <w:proofErr w:type="spellEnd"/>
      <w:r>
        <w:rPr>
          <w:color w:val="000000"/>
        </w:rPr>
        <w:t xml:space="preserve"> 15, 2020.</w:t>
      </w:r>
    </w:p>
  </w:footnote>
  <w:footnote w:id="95">
    <w:p w14:paraId="221B7BAA" w14:textId="394960E6" w:rsidR="00907755" w:rsidRPr="00471061" w:rsidRDefault="00907755">
      <w:pPr>
        <w:pStyle w:val="FootnoteText"/>
        <w:rPr>
          <w:lang w:val="en-US"/>
        </w:rPr>
      </w:pPr>
      <w:r>
        <w:rPr>
          <w:rStyle w:val="FootnoteReference"/>
        </w:rPr>
        <w:footnoteRef/>
      </w:r>
      <w:r>
        <w:t xml:space="preserve"> </w:t>
      </w:r>
      <w:proofErr w:type="spellStart"/>
      <w:r w:rsidRPr="00471061">
        <w:rPr>
          <w:lang w:val="en-US"/>
        </w:rPr>
        <w:t>Nyikos</w:t>
      </w:r>
      <w:proofErr w:type="spellEnd"/>
      <w:r w:rsidRPr="00471061">
        <w:rPr>
          <w:lang w:val="en-US"/>
        </w:rPr>
        <w:t xml:space="preserve"> 2019, 109.</w:t>
      </w:r>
    </w:p>
  </w:footnote>
  <w:footnote w:id="96">
    <w:p w14:paraId="3FACFC5A" w14:textId="6D5F9944" w:rsidR="00907755" w:rsidRPr="00471061" w:rsidRDefault="00907755">
      <w:pPr>
        <w:pStyle w:val="FootnoteText"/>
        <w:rPr>
          <w:lang w:val="en-US"/>
        </w:rPr>
      </w:pPr>
      <w:r>
        <w:rPr>
          <w:rStyle w:val="FootnoteReference"/>
        </w:rPr>
        <w:footnoteRef/>
      </w:r>
      <w:r>
        <w:t xml:space="preserve"> Mérő </w:t>
      </w:r>
      <w:r w:rsidRPr="00471061">
        <w:rPr>
          <w:lang w:val="en-US"/>
        </w:rPr>
        <w:t xml:space="preserve">and </w:t>
      </w:r>
      <w:proofErr w:type="spellStart"/>
      <w:r w:rsidRPr="00471061">
        <w:rPr>
          <w:lang w:val="en-US"/>
        </w:rPr>
        <w:t>Bethlendi</w:t>
      </w:r>
      <w:proofErr w:type="spellEnd"/>
      <w:r w:rsidRPr="00471061">
        <w:rPr>
          <w:lang w:val="en-US"/>
        </w:rPr>
        <w:t xml:space="preserve"> 2021.</w:t>
      </w:r>
    </w:p>
  </w:footnote>
  <w:footnote w:id="97">
    <w:p w14:paraId="0E9CCF12" w14:textId="4EB0D396" w:rsidR="00907755" w:rsidRPr="00471061" w:rsidRDefault="00907755">
      <w:pPr>
        <w:pStyle w:val="FootnoteText"/>
        <w:rPr>
          <w:lang w:val="en-US"/>
        </w:rPr>
      </w:pPr>
      <w:r>
        <w:rPr>
          <w:rStyle w:val="FootnoteReference"/>
        </w:rPr>
        <w:footnoteRef/>
      </w:r>
      <w:r>
        <w:t xml:space="preserve"> </w:t>
      </w:r>
      <w:r w:rsidRPr="00471061">
        <w:rPr>
          <w:lang w:val="en-US"/>
        </w:rPr>
        <w:t>Mertens and Thiemann 2019.</w:t>
      </w:r>
    </w:p>
  </w:footnote>
  <w:footnote w:id="98">
    <w:p w14:paraId="1BC51A50" w14:textId="7AB32C6D" w:rsidR="00907755" w:rsidRPr="00471061" w:rsidRDefault="00907755">
      <w:pPr>
        <w:pStyle w:val="FootnoteText"/>
        <w:rPr>
          <w:lang w:val="en-US"/>
        </w:rPr>
      </w:pPr>
      <w:r>
        <w:rPr>
          <w:rStyle w:val="FootnoteReference"/>
        </w:rPr>
        <w:footnoteRef/>
      </w:r>
      <w:r>
        <w:t xml:space="preserve"> </w:t>
      </w:r>
      <w:r w:rsidRPr="00471061">
        <w:rPr>
          <w:lang w:val="en-US"/>
        </w:rPr>
        <w:t>Sunstein 1988.</w:t>
      </w:r>
    </w:p>
  </w:footnote>
  <w:footnote w:id="99">
    <w:p w14:paraId="661983DA" w14:textId="2E971FBD" w:rsidR="00907755" w:rsidRPr="00471061" w:rsidRDefault="00907755">
      <w:pPr>
        <w:pStyle w:val="FootnoteText"/>
        <w:rPr>
          <w:lang w:val="en-US"/>
        </w:rPr>
      </w:pPr>
      <w:r>
        <w:rPr>
          <w:rStyle w:val="FootnoteReference"/>
        </w:rPr>
        <w:footnoteRef/>
      </w:r>
      <w:r>
        <w:t xml:space="preserve"> </w:t>
      </w:r>
      <w:r w:rsidRPr="00471061">
        <w:rPr>
          <w:lang w:val="en-US"/>
        </w:rPr>
        <w:t xml:space="preserve">For comparative studies on these federal regimes, see </w:t>
      </w:r>
      <w:proofErr w:type="spellStart"/>
      <w:r>
        <w:t>Börzel</w:t>
      </w:r>
      <w:proofErr w:type="spellEnd"/>
      <w:r>
        <w:t xml:space="preserve"> 2003, 2005; </w:t>
      </w:r>
      <w:r w:rsidRPr="00471061">
        <w:rPr>
          <w:lang w:val="en-US"/>
        </w:rPr>
        <w:t xml:space="preserve">Parsons et al. 2021; Verdun 2016; von </w:t>
      </w:r>
      <w:proofErr w:type="spellStart"/>
      <w:r w:rsidRPr="00471061">
        <w:rPr>
          <w:lang w:val="en-US"/>
        </w:rPr>
        <w:t>Beyme</w:t>
      </w:r>
      <w:proofErr w:type="spellEnd"/>
      <w:r w:rsidRPr="00471061">
        <w:rPr>
          <w:lang w:val="en-US"/>
        </w:rPr>
        <w:t xml:space="preserve"> 2005.</w:t>
      </w:r>
    </w:p>
  </w:footnote>
  <w:footnote w:id="100">
    <w:p w14:paraId="76128309" w14:textId="288D31C9" w:rsidR="00907755" w:rsidRPr="00EC5F9D" w:rsidRDefault="00907755">
      <w:pPr>
        <w:pStyle w:val="FootnoteText"/>
        <w:rPr>
          <w:lang w:val="de-DE"/>
        </w:rPr>
      </w:pPr>
      <w:r>
        <w:rPr>
          <w:rStyle w:val="FootnoteReference"/>
        </w:rPr>
        <w:footnoteRef/>
      </w:r>
      <w:r>
        <w:t xml:space="preserve"> </w:t>
      </w:r>
      <w:r>
        <w:rPr>
          <w:lang w:val="de-DE"/>
        </w:rPr>
        <w:t xml:space="preserve">Weiler 1999; </w:t>
      </w:r>
      <w:proofErr w:type="spellStart"/>
      <w:r>
        <w:rPr>
          <w:lang w:val="de-DE"/>
        </w:rPr>
        <w:t>Kukovec</w:t>
      </w:r>
      <w:proofErr w:type="spellEnd"/>
      <w:r>
        <w:rPr>
          <w:lang w:val="de-DE"/>
        </w:rPr>
        <w:t xml:space="preserve"> 2015.</w:t>
      </w:r>
    </w:p>
  </w:footnote>
  <w:footnote w:id="101">
    <w:p w14:paraId="52275B16" w14:textId="5D7A3CC3" w:rsidR="00907755" w:rsidRPr="00EC5F9D" w:rsidRDefault="00907755">
      <w:pPr>
        <w:pStyle w:val="FootnoteText"/>
        <w:rPr>
          <w:lang w:val="de-DE"/>
        </w:rPr>
      </w:pPr>
      <w:r>
        <w:rPr>
          <w:rStyle w:val="FootnoteReference"/>
        </w:rPr>
        <w:footnoteRef/>
      </w:r>
      <w:r>
        <w:t xml:space="preserve"> </w:t>
      </w:r>
      <w:proofErr w:type="spellStart"/>
      <w:r>
        <w:rPr>
          <w:lang w:val="de-DE"/>
        </w:rPr>
        <w:t>Höpner</w:t>
      </w:r>
      <w:proofErr w:type="spellEnd"/>
      <w:r>
        <w:rPr>
          <w:lang w:val="de-DE"/>
        </w:rPr>
        <w:t xml:space="preserve"> </w:t>
      </w:r>
      <w:proofErr w:type="spellStart"/>
      <w:r>
        <w:rPr>
          <w:lang w:val="de-DE"/>
        </w:rPr>
        <w:t>and</w:t>
      </w:r>
      <w:proofErr w:type="spellEnd"/>
      <w:r>
        <w:rPr>
          <w:lang w:val="de-DE"/>
        </w:rPr>
        <w:t xml:space="preserve"> Schäfer 2012.</w:t>
      </w:r>
    </w:p>
  </w:footnote>
  <w:footnote w:id="102">
    <w:p w14:paraId="6885020D" w14:textId="35D7359F" w:rsidR="00907755" w:rsidRPr="00EC5F9D" w:rsidRDefault="00907755">
      <w:pPr>
        <w:pStyle w:val="FootnoteText"/>
        <w:rPr>
          <w:lang w:val="de-DE"/>
        </w:rPr>
      </w:pPr>
      <w:r>
        <w:rPr>
          <w:rStyle w:val="FootnoteReference"/>
        </w:rPr>
        <w:footnoteRef/>
      </w:r>
      <w:r>
        <w:t xml:space="preserve"> </w:t>
      </w:r>
      <w:proofErr w:type="spellStart"/>
      <w:r>
        <w:rPr>
          <w:lang w:val="de-DE"/>
        </w:rPr>
        <w:t>Kochenov</w:t>
      </w:r>
      <w:proofErr w:type="spellEnd"/>
      <w:r>
        <w:rPr>
          <w:lang w:val="de-DE"/>
        </w:rPr>
        <w:t xml:space="preserve"> et al. 2015; Wilkinson 2015.</w:t>
      </w:r>
    </w:p>
  </w:footnote>
  <w:footnote w:id="103">
    <w:p w14:paraId="086C5B54" w14:textId="3174B616" w:rsidR="00907755" w:rsidRPr="00EC5F9D" w:rsidRDefault="00907755">
      <w:pPr>
        <w:pStyle w:val="FootnoteText"/>
        <w:rPr>
          <w:lang w:val="de-DE"/>
        </w:rPr>
      </w:pPr>
      <w:r>
        <w:rPr>
          <w:rStyle w:val="FootnoteReference"/>
        </w:rPr>
        <w:footnoteRef/>
      </w:r>
      <w:r>
        <w:t xml:space="preserve"> </w:t>
      </w:r>
      <w:r>
        <w:rPr>
          <w:lang w:val="de-DE"/>
        </w:rPr>
        <w:t>Offe 2015.</w:t>
      </w:r>
    </w:p>
  </w:footnote>
  <w:footnote w:id="104">
    <w:p w14:paraId="1209A6DA" w14:textId="17A29A23" w:rsidR="00907755" w:rsidRPr="00EC5F9D" w:rsidRDefault="00907755">
      <w:pPr>
        <w:pStyle w:val="FootnoteText"/>
        <w:rPr>
          <w:lang w:val="de-DE"/>
        </w:rPr>
      </w:pPr>
      <w:r>
        <w:rPr>
          <w:rStyle w:val="FootnoteReference"/>
        </w:rPr>
        <w:footnoteRef/>
      </w:r>
      <w:r>
        <w:t xml:space="preserve"> </w:t>
      </w:r>
      <w:r>
        <w:rPr>
          <w:lang w:val="de-DE"/>
        </w:rPr>
        <w:t xml:space="preserve">Bremer et al. 2020; </w:t>
      </w:r>
      <w:proofErr w:type="spellStart"/>
      <w:r>
        <w:rPr>
          <w:lang w:val="de-DE"/>
        </w:rPr>
        <w:t>Baccaro</w:t>
      </w:r>
      <w:proofErr w:type="spellEnd"/>
      <w:r>
        <w:rPr>
          <w:lang w:val="de-DE"/>
        </w:rPr>
        <w:t xml:space="preserve"> et al. 2021.</w:t>
      </w:r>
    </w:p>
  </w:footnote>
  <w:footnote w:id="105">
    <w:p w14:paraId="644249EA" w14:textId="34FD279B" w:rsidR="00907755" w:rsidRPr="00EC5F9D" w:rsidRDefault="00907755">
      <w:pPr>
        <w:pStyle w:val="FootnoteText"/>
        <w:rPr>
          <w:lang w:val="de-DE"/>
        </w:rPr>
      </w:pPr>
      <w:r>
        <w:rPr>
          <w:rStyle w:val="FootnoteReference"/>
        </w:rPr>
        <w:footnoteRef/>
      </w:r>
      <w:r>
        <w:t xml:space="preserve"> </w:t>
      </w:r>
      <w:proofErr w:type="spellStart"/>
      <w:r>
        <w:rPr>
          <w:lang w:val="de-DE"/>
        </w:rPr>
        <w:t>Schelke</w:t>
      </w:r>
      <w:proofErr w:type="spellEnd"/>
      <w:r>
        <w:rPr>
          <w:lang w:val="de-DE"/>
        </w:rPr>
        <w:t xml:space="preserve"> 2017.</w:t>
      </w:r>
    </w:p>
  </w:footnote>
  <w:footnote w:id="106">
    <w:p w14:paraId="72940AB1" w14:textId="04A3D5F9" w:rsidR="00907755" w:rsidRPr="00471061" w:rsidRDefault="00907755">
      <w:pPr>
        <w:pStyle w:val="FootnoteText"/>
        <w:rPr>
          <w:lang w:val="en-US"/>
        </w:rPr>
      </w:pPr>
      <w:r>
        <w:rPr>
          <w:rStyle w:val="FootnoteReference"/>
        </w:rPr>
        <w:footnoteRef/>
      </w:r>
      <w:r>
        <w:t xml:space="preserve"> </w:t>
      </w:r>
      <w:proofErr w:type="spellStart"/>
      <w:r w:rsidRPr="00471061">
        <w:rPr>
          <w:lang w:val="en-US"/>
        </w:rPr>
        <w:t>Beramendi</w:t>
      </w:r>
      <w:proofErr w:type="spellEnd"/>
      <w:r w:rsidRPr="00471061">
        <w:rPr>
          <w:lang w:val="en-US"/>
        </w:rPr>
        <w:t xml:space="preserve"> 2007.</w:t>
      </w:r>
    </w:p>
  </w:footnote>
  <w:footnote w:id="107">
    <w:p w14:paraId="3145FAC5" w14:textId="501A4497" w:rsidR="00907755" w:rsidRPr="00471061" w:rsidRDefault="00907755">
      <w:pPr>
        <w:pStyle w:val="FootnoteText"/>
        <w:rPr>
          <w:lang w:val="en-US"/>
        </w:rPr>
      </w:pPr>
      <w:r>
        <w:rPr>
          <w:rStyle w:val="FootnoteReference"/>
        </w:rPr>
        <w:footnoteRef/>
      </w:r>
      <w:r>
        <w:t xml:space="preserve"> </w:t>
      </w:r>
      <w:r w:rsidRPr="00471061">
        <w:rPr>
          <w:lang w:val="en-US"/>
        </w:rPr>
        <w:t xml:space="preserve">See, e.g., Hix 1988; </w:t>
      </w:r>
      <w:proofErr w:type="spellStart"/>
      <w:r w:rsidRPr="00471061">
        <w:rPr>
          <w:lang w:val="en-US"/>
        </w:rPr>
        <w:t>Börzel</w:t>
      </w:r>
      <w:proofErr w:type="spellEnd"/>
      <w:r w:rsidRPr="00471061">
        <w:rPr>
          <w:lang w:val="en-US"/>
        </w:rPr>
        <w:t xml:space="preserve"> and </w:t>
      </w:r>
      <w:proofErr w:type="spellStart"/>
      <w:r w:rsidRPr="00471061">
        <w:rPr>
          <w:lang w:val="en-US"/>
        </w:rPr>
        <w:t>Risse</w:t>
      </w:r>
      <w:proofErr w:type="spellEnd"/>
      <w:r w:rsidRPr="00471061">
        <w:rPr>
          <w:lang w:val="en-US"/>
        </w:rPr>
        <w:t xml:space="preserve"> 2000.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73108"/>
    <w:multiLevelType w:val="multilevel"/>
    <w:tmpl w:val="7F50B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DB35BC"/>
    <w:multiLevelType w:val="multilevel"/>
    <w:tmpl w:val="56F437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41679B"/>
    <w:multiLevelType w:val="hybridMultilevel"/>
    <w:tmpl w:val="B858A426"/>
    <w:lvl w:ilvl="0" w:tplc="C7209B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6"/>
  <w:removePersonalInformation/>
  <w:removeDateAndTime/>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0NTY2tTAyNzI1NLNU0lEKTi0uzszPAykwNKwFADpzhOUtAAAA"/>
  </w:docVars>
  <w:rsids>
    <w:rsidRoot w:val="00C92A1E"/>
    <w:rsid w:val="00000562"/>
    <w:rsid w:val="00001B3C"/>
    <w:rsid w:val="00004B3C"/>
    <w:rsid w:val="000121FE"/>
    <w:rsid w:val="000134EB"/>
    <w:rsid w:val="0001379C"/>
    <w:rsid w:val="000177AA"/>
    <w:rsid w:val="00024A89"/>
    <w:rsid w:val="000250DD"/>
    <w:rsid w:val="00026753"/>
    <w:rsid w:val="0003103D"/>
    <w:rsid w:val="000315A2"/>
    <w:rsid w:val="00035D44"/>
    <w:rsid w:val="00041F2E"/>
    <w:rsid w:val="000444B5"/>
    <w:rsid w:val="00046369"/>
    <w:rsid w:val="00047AAD"/>
    <w:rsid w:val="000517F5"/>
    <w:rsid w:val="0005322A"/>
    <w:rsid w:val="0005594C"/>
    <w:rsid w:val="00057157"/>
    <w:rsid w:val="000643B4"/>
    <w:rsid w:val="000645AA"/>
    <w:rsid w:val="000648D7"/>
    <w:rsid w:val="00066471"/>
    <w:rsid w:val="000676CD"/>
    <w:rsid w:val="0007086C"/>
    <w:rsid w:val="00070EF6"/>
    <w:rsid w:val="000717EB"/>
    <w:rsid w:val="000845D3"/>
    <w:rsid w:val="00086ED1"/>
    <w:rsid w:val="000961BC"/>
    <w:rsid w:val="000A0480"/>
    <w:rsid w:val="000A080A"/>
    <w:rsid w:val="000A654E"/>
    <w:rsid w:val="000B0E16"/>
    <w:rsid w:val="000B15E8"/>
    <w:rsid w:val="000B2D8E"/>
    <w:rsid w:val="000B5308"/>
    <w:rsid w:val="000B57D6"/>
    <w:rsid w:val="000B7DBD"/>
    <w:rsid w:val="000C16AE"/>
    <w:rsid w:val="000C2C6C"/>
    <w:rsid w:val="000C494A"/>
    <w:rsid w:val="000C647B"/>
    <w:rsid w:val="000D1623"/>
    <w:rsid w:val="000D2ECD"/>
    <w:rsid w:val="000D5A2C"/>
    <w:rsid w:val="000D7ABB"/>
    <w:rsid w:val="000E06E5"/>
    <w:rsid w:val="000E0833"/>
    <w:rsid w:val="000E2655"/>
    <w:rsid w:val="000E2D79"/>
    <w:rsid w:val="000E2EFF"/>
    <w:rsid w:val="000E3951"/>
    <w:rsid w:val="000F34E0"/>
    <w:rsid w:val="000F3F5C"/>
    <w:rsid w:val="000F4DDC"/>
    <w:rsid w:val="000F5A95"/>
    <w:rsid w:val="000F6231"/>
    <w:rsid w:val="00100530"/>
    <w:rsid w:val="001018AD"/>
    <w:rsid w:val="00107ECD"/>
    <w:rsid w:val="0011012F"/>
    <w:rsid w:val="0011052C"/>
    <w:rsid w:val="001113A7"/>
    <w:rsid w:val="00111D52"/>
    <w:rsid w:val="001131EF"/>
    <w:rsid w:val="00113D9E"/>
    <w:rsid w:val="00114346"/>
    <w:rsid w:val="00114D63"/>
    <w:rsid w:val="001157ED"/>
    <w:rsid w:val="001165D6"/>
    <w:rsid w:val="00117BA9"/>
    <w:rsid w:val="00122580"/>
    <w:rsid w:val="00122F3F"/>
    <w:rsid w:val="0012476E"/>
    <w:rsid w:val="001257E2"/>
    <w:rsid w:val="00127179"/>
    <w:rsid w:val="0013020B"/>
    <w:rsid w:val="00131591"/>
    <w:rsid w:val="001316A1"/>
    <w:rsid w:val="00132203"/>
    <w:rsid w:val="001349F4"/>
    <w:rsid w:val="001351B3"/>
    <w:rsid w:val="00136A1F"/>
    <w:rsid w:val="0014019D"/>
    <w:rsid w:val="00142223"/>
    <w:rsid w:val="0014267E"/>
    <w:rsid w:val="00146147"/>
    <w:rsid w:val="0014642B"/>
    <w:rsid w:val="00146926"/>
    <w:rsid w:val="00155B4B"/>
    <w:rsid w:val="0015655F"/>
    <w:rsid w:val="00161338"/>
    <w:rsid w:val="00162079"/>
    <w:rsid w:val="00163AF2"/>
    <w:rsid w:val="00164B60"/>
    <w:rsid w:val="00164D92"/>
    <w:rsid w:val="0016605C"/>
    <w:rsid w:val="00166FC3"/>
    <w:rsid w:val="00171562"/>
    <w:rsid w:val="001719CF"/>
    <w:rsid w:val="00171AA4"/>
    <w:rsid w:val="00173AA9"/>
    <w:rsid w:val="0017608C"/>
    <w:rsid w:val="001823C6"/>
    <w:rsid w:val="001839E4"/>
    <w:rsid w:val="0019046C"/>
    <w:rsid w:val="00190B77"/>
    <w:rsid w:val="001A1C63"/>
    <w:rsid w:val="001A3295"/>
    <w:rsid w:val="001A52E4"/>
    <w:rsid w:val="001B1A0A"/>
    <w:rsid w:val="001B541E"/>
    <w:rsid w:val="001C2302"/>
    <w:rsid w:val="001D1444"/>
    <w:rsid w:val="001D49C0"/>
    <w:rsid w:val="001D5988"/>
    <w:rsid w:val="001D66AA"/>
    <w:rsid w:val="001D7182"/>
    <w:rsid w:val="001D760D"/>
    <w:rsid w:val="001D794F"/>
    <w:rsid w:val="001D79D2"/>
    <w:rsid w:val="001E228D"/>
    <w:rsid w:val="001E2BE7"/>
    <w:rsid w:val="001E2F32"/>
    <w:rsid w:val="001F3353"/>
    <w:rsid w:val="001F3A9D"/>
    <w:rsid w:val="001F612E"/>
    <w:rsid w:val="00201C31"/>
    <w:rsid w:val="00203771"/>
    <w:rsid w:val="00205446"/>
    <w:rsid w:val="00205854"/>
    <w:rsid w:val="0020657F"/>
    <w:rsid w:val="00206802"/>
    <w:rsid w:val="00210A1B"/>
    <w:rsid w:val="00211065"/>
    <w:rsid w:val="00211171"/>
    <w:rsid w:val="002128C6"/>
    <w:rsid w:val="0021334E"/>
    <w:rsid w:val="00213B36"/>
    <w:rsid w:val="00213FFA"/>
    <w:rsid w:val="0021588A"/>
    <w:rsid w:val="002168B9"/>
    <w:rsid w:val="0021788B"/>
    <w:rsid w:val="0022017A"/>
    <w:rsid w:val="00220FFF"/>
    <w:rsid w:val="0022173D"/>
    <w:rsid w:val="00222563"/>
    <w:rsid w:val="0022263A"/>
    <w:rsid w:val="0022566B"/>
    <w:rsid w:val="0022598D"/>
    <w:rsid w:val="00226F3E"/>
    <w:rsid w:val="002341E3"/>
    <w:rsid w:val="002358FA"/>
    <w:rsid w:val="002359E4"/>
    <w:rsid w:val="00237E71"/>
    <w:rsid w:val="00237E93"/>
    <w:rsid w:val="00244D04"/>
    <w:rsid w:val="002455EB"/>
    <w:rsid w:val="00252519"/>
    <w:rsid w:val="00254CD8"/>
    <w:rsid w:val="00255A3F"/>
    <w:rsid w:val="002566CE"/>
    <w:rsid w:val="00261049"/>
    <w:rsid w:val="00261F3D"/>
    <w:rsid w:val="00263F4F"/>
    <w:rsid w:val="00264F99"/>
    <w:rsid w:val="00265A13"/>
    <w:rsid w:val="0026681F"/>
    <w:rsid w:val="00270463"/>
    <w:rsid w:val="00273329"/>
    <w:rsid w:val="00274D42"/>
    <w:rsid w:val="002768A6"/>
    <w:rsid w:val="002773F5"/>
    <w:rsid w:val="002810D6"/>
    <w:rsid w:val="00281911"/>
    <w:rsid w:val="0028411B"/>
    <w:rsid w:val="00287580"/>
    <w:rsid w:val="00291B02"/>
    <w:rsid w:val="00293A80"/>
    <w:rsid w:val="0029467F"/>
    <w:rsid w:val="0029567D"/>
    <w:rsid w:val="002A0754"/>
    <w:rsid w:val="002A0E91"/>
    <w:rsid w:val="002A282B"/>
    <w:rsid w:val="002A5410"/>
    <w:rsid w:val="002B3AB0"/>
    <w:rsid w:val="002B55B3"/>
    <w:rsid w:val="002C05C0"/>
    <w:rsid w:val="002C19EA"/>
    <w:rsid w:val="002C2A36"/>
    <w:rsid w:val="002C2A5B"/>
    <w:rsid w:val="002C2EEF"/>
    <w:rsid w:val="002C3C25"/>
    <w:rsid w:val="002D2C2F"/>
    <w:rsid w:val="002D342F"/>
    <w:rsid w:val="002D5391"/>
    <w:rsid w:val="002D5E1A"/>
    <w:rsid w:val="002D6004"/>
    <w:rsid w:val="002D6215"/>
    <w:rsid w:val="002E06AC"/>
    <w:rsid w:val="002E1DC4"/>
    <w:rsid w:val="002E7291"/>
    <w:rsid w:val="002F1ECA"/>
    <w:rsid w:val="002F31BC"/>
    <w:rsid w:val="0030342D"/>
    <w:rsid w:val="00305035"/>
    <w:rsid w:val="00311ED2"/>
    <w:rsid w:val="00314683"/>
    <w:rsid w:val="00314F60"/>
    <w:rsid w:val="00316756"/>
    <w:rsid w:val="00321947"/>
    <w:rsid w:val="00322F97"/>
    <w:rsid w:val="003230D4"/>
    <w:rsid w:val="00324261"/>
    <w:rsid w:val="00331078"/>
    <w:rsid w:val="00332BF2"/>
    <w:rsid w:val="00335294"/>
    <w:rsid w:val="0033619E"/>
    <w:rsid w:val="00336E25"/>
    <w:rsid w:val="00337A9F"/>
    <w:rsid w:val="00340513"/>
    <w:rsid w:val="00343B34"/>
    <w:rsid w:val="00345261"/>
    <w:rsid w:val="003513FF"/>
    <w:rsid w:val="00351B29"/>
    <w:rsid w:val="003523C5"/>
    <w:rsid w:val="003538E6"/>
    <w:rsid w:val="00356302"/>
    <w:rsid w:val="003615AE"/>
    <w:rsid w:val="00361D52"/>
    <w:rsid w:val="0036455F"/>
    <w:rsid w:val="00366DF1"/>
    <w:rsid w:val="00367F09"/>
    <w:rsid w:val="003731BD"/>
    <w:rsid w:val="00375173"/>
    <w:rsid w:val="003772FE"/>
    <w:rsid w:val="00377469"/>
    <w:rsid w:val="00381C63"/>
    <w:rsid w:val="003842B4"/>
    <w:rsid w:val="00386834"/>
    <w:rsid w:val="00386EDB"/>
    <w:rsid w:val="00387837"/>
    <w:rsid w:val="003915B0"/>
    <w:rsid w:val="003924F2"/>
    <w:rsid w:val="00394941"/>
    <w:rsid w:val="00394B1F"/>
    <w:rsid w:val="00395040"/>
    <w:rsid w:val="003A0031"/>
    <w:rsid w:val="003A00DA"/>
    <w:rsid w:val="003A07EE"/>
    <w:rsid w:val="003A1027"/>
    <w:rsid w:val="003A2BC8"/>
    <w:rsid w:val="003A3818"/>
    <w:rsid w:val="003A53D4"/>
    <w:rsid w:val="003A55BA"/>
    <w:rsid w:val="003A7258"/>
    <w:rsid w:val="003A7B01"/>
    <w:rsid w:val="003A7E88"/>
    <w:rsid w:val="003B0BE7"/>
    <w:rsid w:val="003B2DD9"/>
    <w:rsid w:val="003B5A96"/>
    <w:rsid w:val="003B6017"/>
    <w:rsid w:val="003B7E15"/>
    <w:rsid w:val="003C0521"/>
    <w:rsid w:val="003C24F1"/>
    <w:rsid w:val="003C4BED"/>
    <w:rsid w:val="003C58E2"/>
    <w:rsid w:val="003C6F66"/>
    <w:rsid w:val="003C766E"/>
    <w:rsid w:val="003D137E"/>
    <w:rsid w:val="003D1A48"/>
    <w:rsid w:val="003D5E93"/>
    <w:rsid w:val="003D6439"/>
    <w:rsid w:val="003D6C7E"/>
    <w:rsid w:val="003D75A9"/>
    <w:rsid w:val="003D7911"/>
    <w:rsid w:val="003D7D9D"/>
    <w:rsid w:val="003E19EC"/>
    <w:rsid w:val="003E42B8"/>
    <w:rsid w:val="003E7069"/>
    <w:rsid w:val="003E7190"/>
    <w:rsid w:val="003E72BE"/>
    <w:rsid w:val="003F5569"/>
    <w:rsid w:val="003F6558"/>
    <w:rsid w:val="0040028B"/>
    <w:rsid w:val="00400FBA"/>
    <w:rsid w:val="004022EA"/>
    <w:rsid w:val="00403060"/>
    <w:rsid w:val="00403BAD"/>
    <w:rsid w:val="00403EE5"/>
    <w:rsid w:val="00405374"/>
    <w:rsid w:val="0040575D"/>
    <w:rsid w:val="00406A26"/>
    <w:rsid w:val="00407FEE"/>
    <w:rsid w:val="0041027A"/>
    <w:rsid w:val="004127F0"/>
    <w:rsid w:val="0041316F"/>
    <w:rsid w:val="0042040F"/>
    <w:rsid w:val="004255F6"/>
    <w:rsid w:val="00427D70"/>
    <w:rsid w:val="004317A2"/>
    <w:rsid w:val="00434D25"/>
    <w:rsid w:val="00435035"/>
    <w:rsid w:val="00436C7E"/>
    <w:rsid w:val="0043723C"/>
    <w:rsid w:val="0044273A"/>
    <w:rsid w:val="00445B74"/>
    <w:rsid w:val="00454758"/>
    <w:rsid w:val="00455958"/>
    <w:rsid w:val="00457A8F"/>
    <w:rsid w:val="0046024C"/>
    <w:rsid w:val="00460B77"/>
    <w:rsid w:val="004617CB"/>
    <w:rsid w:val="0046768E"/>
    <w:rsid w:val="00471061"/>
    <w:rsid w:val="00472B03"/>
    <w:rsid w:val="00475A1A"/>
    <w:rsid w:val="00475D94"/>
    <w:rsid w:val="00476FEC"/>
    <w:rsid w:val="00477D42"/>
    <w:rsid w:val="00480AF0"/>
    <w:rsid w:val="00484230"/>
    <w:rsid w:val="00485B30"/>
    <w:rsid w:val="004935E1"/>
    <w:rsid w:val="004A1878"/>
    <w:rsid w:val="004A36E7"/>
    <w:rsid w:val="004A37FE"/>
    <w:rsid w:val="004A48A4"/>
    <w:rsid w:val="004B23DC"/>
    <w:rsid w:val="004B3DCB"/>
    <w:rsid w:val="004B3EE6"/>
    <w:rsid w:val="004B4A50"/>
    <w:rsid w:val="004B60B2"/>
    <w:rsid w:val="004B702F"/>
    <w:rsid w:val="004B73B8"/>
    <w:rsid w:val="004C38F0"/>
    <w:rsid w:val="004C5FB2"/>
    <w:rsid w:val="004D0D96"/>
    <w:rsid w:val="004E002D"/>
    <w:rsid w:val="004E0317"/>
    <w:rsid w:val="004E14CA"/>
    <w:rsid w:val="004E295F"/>
    <w:rsid w:val="004E3515"/>
    <w:rsid w:val="004F093C"/>
    <w:rsid w:val="004F2C74"/>
    <w:rsid w:val="004F4251"/>
    <w:rsid w:val="004F49EA"/>
    <w:rsid w:val="004F5578"/>
    <w:rsid w:val="004F61A5"/>
    <w:rsid w:val="004F762D"/>
    <w:rsid w:val="00500464"/>
    <w:rsid w:val="005012B4"/>
    <w:rsid w:val="005030B4"/>
    <w:rsid w:val="0050675B"/>
    <w:rsid w:val="00507BC9"/>
    <w:rsid w:val="00510DA0"/>
    <w:rsid w:val="0051112B"/>
    <w:rsid w:val="00514214"/>
    <w:rsid w:val="0051602A"/>
    <w:rsid w:val="00516BBC"/>
    <w:rsid w:val="00517B90"/>
    <w:rsid w:val="00521438"/>
    <w:rsid w:val="00523399"/>
    <w:rsid w:val="005234EE"/>
    <w:rsid w:val="005236E5"/>
    <w:rsid w:val="00523DAC"/>
    <w:rsid w:val="00527414"/>
    <w:rsid w:val="00527F5F"/>
    <w:rsid w:val="0053111D"/>
    <w:rsid w:val="005324F9"/>
    <w:rsid w:val="0053420D"/>
    <w:rsid w:val="00534EE1"/>
    <w:rsid w:val="00537373"/>
    <w:rsid w:val="00537E41"/>
    <w:rsid w:val="00547542"/>
    <w:rsid w:val="00550567"/>
    <w:rsid w:val="0055307B"/>
    <w:rsid w:val="005544C8"/>
    <w:rsid w:val="00561532"/>
    <w:rsid w:val="00564668"/>
    <w:rsid w:val="0056741C"/>
    <w:rsid w:val="005704F5"/>
    <w:rsid w:val="00571E3E"/>
    <w:rsid w:val="005721CD"/>
    <w:rsid w:val="00572826"/>
    <w:rsid w:val="005728E3"/>
    <w:rsid w:val="00575674"/>
    <w:rsid w:val="005773EA"/>
    <w:rsid w:val="00582DD9"/>
    <w:rsid w:val="005830D9"/>
    <w:rsid w:val="005865EF"/>
    <w:rsid w:val="00587184"/>
    <w:rsid w:val="00590414"/>
    <w:rsid w:val="00592E90"/>
    <w:rsid w:val="00597993"/>
    <w:rsid w:val="005A0864"/>
    <w:rsid w:val="005A10AE"/>
    <w:rsid w:val="005A21C4"/>
    <w:rsid w:val="005A423A"/>
    <w:rsid w:val="005A48E1"/>
    <w:rsid w:val="005A5281"/>
    <w:rsid w:val="005B06CB"/>
    <w:rsid w:val="005B594C"/>
    <w:rsid w:val="005B6AE9"/>
    <w:rsid w:val="005C3417"/>
    <w:rsid w:val="005C43F6"/>
    <w:rsid w:val="005C4915"/>
    <w:rsid w:val="005C52FB"/>
    <w:rsid w:val="005D1585"/>
    <w:rsid w:val="005D2575"/>
    <w:rsid w:val="005D4FE0"/>
    <w:rsid w:val="005D58FC"/>
    <w:rsid w:val="005D7A2E"/>
    <w:rsid w:val="005D7EF2"/>
    <w:rsid w:val="005E241A"/>
    <w:rsid w:val="005E3E27"/>
    <w:rsid w:val="005E4B82"/>
    <w:rsid w:val="005E68F3"/>
    <w:rsid w:val="005E695E"/>
    <w:rsid w:val="005F09A7"/>
    <w:rsid w:val="005F468E"/>
    <w:rsid w:val="005F51AF"/>
    <w:rsid w:val="005F748B"/>
    <w:rsid w:val="00600B55"/>
    <w:rsid w:val="006137A9"/>
    <w:rsid w:val="00613913"/>
    <w:rsid w:val="0061515A"/>
    <w:rsid w:val="00631284"/>
    <w:rsid w:val="00632F06"/>
    <w:rsid w:val="0064644B"/>
    <w:rsid w:val="00646613"/>
    <w:rsid w:val="0065118B"/>
    <w:rsid w:val="00652048"/>
    <w:rsid w:val="00653FEB"/>
    <w:rsid w:val="00655846"/>
    <w:rsid w:val="006568CA"/>
    <w:rsid w:val="0065787A"/>
    <w:rsid w:val="00660408"/>
    <w:rsid w:val="00665EA5"/>
    <w:rsid w:val="00667995"/>
    <w:rsid w:val="00671545"/>
    <w:rsid w:val="006719EB"/>
    <w:rsid w:val="00671FAE"/>
    <w:rsid w:val="006729AC"/>
    <w:rsid w:val="006761B6"/>
    <w:rsid w:val="0067662F"/>
    <w:rsid w:val="006778ED"/>
    <w:rsid w:val="00677BFC"/>
    <w:rsid w:val="00680570"/>
    <w:rsid w:val="00684DA7"/>
    <w:rsid w:val="00685EA8"/>
    <w:rsid w:val="00693A8E"/>
    <w:rsid w:val="00695CB4"/>
    <w:rsid w:val="006A45D2"/>
    <w:rsid w:val="006A59BC"/>
    <w:rsid w:val="006A7A32"/>
    <w:rsid w:val="006B1B4A"/>
    <w:rsid w:val="006B1FC0"/>
    <w:rsid w:val="006B4DB1"/>
    <w:rsid w:val="006C34EE"/>
    <w:rsid w:val="006C722F"/>
    <w:rsid w:val="006D2783"/>
    <w:rsid w:val="006D3D13"/>
    <w:rsid w:val="006D688D"/>
    <w:rsid w:val="006D6A3E"/>
    <w:rsid w:val="006E18E8"/>
    <w:rsid w:val="006E1E29"/>
    <w:rsid w:val="006E361B"/>
    <w:rsid w:val="006E5074"/>
    <w:rsid w:val="006E5866"/>
    <w:rsid w:val="006E5FAF"/>
    <w:rsid w:val="006F1646"/>
    <w:rsid w:val="006F4E98"/>
    <w:rsid w:val="006F6708"/>
    <w:rsid w:val="006F74DB"/>
    <w:rsid w:val="007008B4"/>
    <w:rsid w:val="00702F45"/>
    <w:rsid w:val="007050DC"/>
    <w:rsid w:val="00711FB2"/>
    <w:rsid w:val="00713C50"/>
    <w:rsid w:val="00714100"/>
    <w:rsid w:val="007229E7"/>
    <w:rsid w:val="00723FA3"/>
    <w:rsid w:val="00723FB8"/>
    <w:rsid w:val="00725D24"/>
    <w:rsid w:val="00725F57"/>
    <w:rsid w:val="007275F7"/>
    <w:rsid w:val="00730C31"/>
    <w:rsid w:val="0073213C"/>
    <w:rsid w:val="0073345D"/>
    <w:rsid w:val="00735B55"/>
    <w:rsid w:val="00736D2B"/>
    <w:rsid w:val="00740956"/>
    <w:rsid w:val="00742580"/>
    <w:rsid w:val="0074334A"/>
    <w:rsid w:val="00743350"/>
    <w:rsid w:val="007440A6"/>
    <w:rsid w:val="00744E7E"/>
    <w:rsid w:val="0074627A"/>
    <w:rsid w:val="00753394"/>
    <w:rsid w:val="00753C78"/>
    <w:rsid w:val="00755179"/>
    <w:rsid w:val="00756E9B"/>
    <w:rsid w:val="00761168"/>
    <w:rsid w:val="00761513"/>
    <w:rsid w:val="007623F6"/>
    <w:rsid w:val="00764017"/>
    <w:rsid w:val="00764638"/>
    <w:rsid w:val="007706F2"/>
    <w:rsid w:val="00775570"/>
    <w:rsid w:val="00776C1E"/>
    <w:rsid w:val="00776C82"/>
    <w:rsid w:val="007801F3"/>
    <w:rsid w:val="007805F8"/>
    <w:rsid w:val="007819D0"/>
    <w:rsid w:val="00783CDC"/>
    <w:rsid w:val="00797F71"/>
    <w:rsid w:val="007A1578"/>
    <w:rsid w:val="007A1E8A"/>
    <w:rsid w:val="007A358D"/>
    <w:rsid w:val="007A5154"/>
    <w:rsid w:val="007A6A61"/>
    <w:rsid w:val="007A6D43"/>
    <w:rsid w:val="007B0913"/>
    <w:rsid w:val="007B39CE"/>
    <w:rsid w:val="007B3D2C"/>
    <w:rsid w:val="007C0F4B"/>
    <w:rsid w:val="007C165A"/>
    <w:rsid w:val="007C173F"/>
    <w:rsid w:val="007C3158"/>
    <w:rsid w:val="007C4E6F"/>
    <w:rsid w:val="007D0475"/>
    <w:rsid w:val="007D24EC"/>
    <w:rsid w:val="007D2E77"/>
    <w:rsid w:val="007D4606"/>
    <w:rsid w:val="007F1266"/>
    <w:rsid w:val="00801280"/>
    <w:rsid w:val="0080143A"/>
    <w:rsid w:val="00801DC5"/>
    <w:rsid w:val="0080401E"/>
    <w:rsid w:val="00806BC9"/>
    <w:rsid w:val="00816D2D"/>
    <w:rsid w:val="008200ED"/>
    <w:rsid w:val="00826A42"/>
    <w:rsid w:val="00827753"/>
    <w:rsid w:val="0083658E"/>
    <w:rsid w:val="008367B2"/>
    <w:rsid w:val="008437BD"/>
    <w:rsid w:val="00844B33"/>
    <w:rsid w:val="0084513F"/>
    <w:rsid w:val="008462CE"/>
    <w:rsid w:val="00847914"/>
    <w:rsid w:val="0085244E"/>
    <w:rsid w:val="00852CE5"/>
    <w:rsid w:val="00854F20"/>
    <w:rsid w:val="00857368"/>
    <w:rsid w:val="0086015F"/>
    <w:rsid w:val="00860595"/>
    <w:rsid w:val="00860EC2"/>
    <w:rsid w:val="008618EF"/>
    <w:rsid w:val="00864AA6"/>
    <w:rsid w:val="00865620"/>
    <w:rsid w:val="0086705F"/>
    <w:rsid w:val="00867673"/>
    <w:rsid w:val="008715D4"/>
    <w:rsid w:val="00877FB5"/>
    <w:rsid w:val="00880210"/>
    <w:rsid w:val="00881FDC"/>
    <w:rsid w:val="008841C1"/>
    <w:rsid w:val="008857D2"/>
    <w:rsid w:val="00885C95"/>
    <w:rsid w:val="0088648E"/>
    <w:rsid w:val="00893504"/>
    <w:rsid w:val="00893BB6"/>
    <w:rsid w:val="008957A4"/>
    <w:rsid w:val="008A17AF"/>
    <w:rsid w:val="008A2945"/>
    <w:rsid w:val="008A3E80"/>
    <w:rsid w:val="008A4005"/>
    <w:rsid w:val="008A520A"/>
    <w:rsid w:val="008A6299"/>
    <w:rsid w:val="008A66C5"/>
    <w:rsid w:val="008B22C4"/>
    <w:rsid w:val="008B341F"/>
    <w:rsid w:val="008B5DBA"/>
    <w:rsid w:val="008B6453"/>
    <w:rsid w:val="008B6CCC"/>
    <w:rsid w:val="008C02F8"/>
    <w:rsid w:val="008C1EDF"/>
    <w:rsid w:val="008C504A"/>
    <w:rsid w:val="008C6257"/>
    <w:rsid w:val="008C6D6B"/>
    <w:rsid w:val="008C7A44"/>
    <w:rsid w:val="008D44DB"/>
    <w:rsid w:val="008E0045"/>
    <w:rsid w:val="008E1FDA"/>
    <w:rsid w:val="008E5F67"/>
    <w:rsid w:val="008E600E"/>
    <w:rsid w:val="008F0410"/>
    <w:rsid w:val="008F1CD3"/>
    <w:rsid w:val="008F517B"/>
    <w:rsid w:val="008F6E28"/>
    <w:rsid w:val="009010A1"/>
    <w:rsid w:val="00901376"/>
    <w:rsid w:val="00902535"/>
    <w:rsid w:val="009037CA"/>
    <w:rsid w:val="00905A97"/>
    <w:rsid w:val="00906B8C"/>
    <w:rsid w:val="00907755"/>
    <w:rsid w:val="00907EBD"/>
    <w:rsid w:val="00912815"/>
    <w:rsid w:val="00913374"/>
    <w:rsid w:val="009143BB"/>
    <w:rsid w:val="009145E6"/>
    <w:rsid w:val="00917162"/>
    <w:rsid w:val="009174FE"/>
    <w:rsid w:val="00921F64"/>
    <w:rsid w:val="00923204"/>
    <w:rsid w:val="00927F3A"/>
    <w:rsid w:val="00930C24"/>
    <w:rsid w:val="009310C6"/>
    <w:rsid w:val="00935968"/>
    <w:rsid w:val="00936101"/>
    <w:rsid w:val="0094015B"/>
    <w:rsid w:val="009419D7"/>
    <w:rsid w:val="00941C8C"/>
    <w:rsid w:val="009428B6"/>
    <w:rsid w:val="00942F45"/>
    <w:rsid w:val="0094438F"/>
    <w:rsid w:val="00944D1A"/>
    <w:rsid w:val="009458B5"/>
    <w:rsid w:val="009460A4"/>
    <w:rsid w:val="0094638E"/>
    <w:rsid w:val="009549EA"/>
    <w:rsid w:val="00954B76"/>
    <w:rsid w:val="00955C3E"/>
    <w:rsid w:val="0095618C"/>
    <w:rsid w:val="00963B0D"/>
    <w:rsid w:val="009649BB"/>
    <w:rsid w:val="009659FC"/>
    <w:rsid w:val="00966427"/>
    <w:rsid w:val="00966F58"/>
    <w:rsid w:val="00967F6D"/>
    <w:rsid w:val="0097067D"/>
    <w:rsid w:val="00970954"/>
    <w:rsid w:val="00970A8B"/>
    <w:rsid w:val="00970C1D"/>
    <w:rsid w:val="009728F8"/>
    <w:rsid w:val="00972A25"/>
    <w:rsid w:val="00972B2C"/>
    <w:rsid w:val="009763DA"/>
    <w:rsid w:val="00976E01"/>
    <w:rsid w:val="00977084"/>
    <w:rsid w:val="0098236E"/>
    <w:rsid w:val="00986DA9"/>
    <w:rsid w:val="00990E1E"/>
    <w:rsid w:val="009942A2"/>
    <w:rsid w:val="00995CD0"/>
    <w:rsid w:val="009965B7"/>
    <w:rsid w:val="009976C4"/>
    <w:rsid w:val="009A0B84"/>
    <w:rsid w:val="009A1698"/>
    <w:rsid w:val="009A69EE"/>
    <w:rsid w:val="009B1F96"/>
    <w:rsid w:val="009B409D"/>
    <w:rsid w:val="009B4EC6"/>
    <w:rsid w:val="009B5BE5"/>
    <w:rsid w:val="009B7554"/>
    <w:rsid w:val="009C3B20"/>
    <w:rsid w:val="009C45BC"/>
    <w:rsid w:val="009C6958"/>
    <w:rsid w:val="009D0608"/>
    <w:rsid w:val="009D3ACC"/>
    <w:rsid w:val="009E030A"/>
    <w:rsid w:val="009E1F55"/>
    <w:rsid w:val="009E2B40"/>
    <w:rsid w:val="009E39F3"/>
    <w:rsid w:val="009E3FEC"/>
    <w:rsid w:val="009E52CB"/>
    <w:rsid w:val="009E642E"/>
    <w:rsid w:val="009E7154"/>
    <w:rsid w:val="009F0155"/>
    <w:rsid w:val="009F179F"/>
    <w:rsid w:val="009F2373"/>
    <w:rsid w:val="009F264E"/>
    <w:rsid w:val="009F4C4B"/>
    <w:rsid w:val="009F73B4"/>
    <w:rsid w:val="00A006F9"/>
    <w:rsid w:val="00A02854"/>
    <w:rsid w:val="00A031E1"/>
    <w:rsid w:val="00A03AD3"/>
    <w:rsid w:val="00A0423A"/>
    <w:rsid w:val="00A06ACC"/>
    <w:rsid w:val="00A1226C"/>
    <w:rsid w:val="00A13FC1"/>
    <w:rsid w:val="00A16D75"/>
    <w:rsid w:val="00A20C63"/>
    <w:rsid w:val="00A24B34"/>
    <w:rsid w:val="00A25EA8"/>
    <w:rsid w:val="00A27548"/>
    <w:rsid w:val="00A30FF7"/>
    <w:rsid w:val="00A32F34"/>
    <w:rsid w:val="00A3380C"/>
    <w:rsid w:val="00A33A74"/>
    <w:rsid w:val="00A36535"/>
    <w:rsid w:val="00A37D07"/>
    <w:rsid w:val="00A421FD"/>
    <w:rsid w:val="00A4225E"/>
    <w:rsid w:val="00A42C7D"/>
    <w:rsid w:val="00A4704A"/>
    <w:rsid w:val="00A522F9"/>
    <w:rsid w:val="00A52306"/>
    <w:rsid w:val="00A52E06"/>
    <w:rsid w:val="00A53D55"/>
    <w:rsid w:val="00A56D21"/>
    <w:rsid w:val="00A609FC"/>
    <w:rsid w:val="00A60BD7"/>
    <w:rsid w:val="00A63667"/>
    <w:rsid w:val="00A643BE"/>
    <w:rsid w:val="00A64AED"/>
    <w:rsid w:val="00A66819"/>
    <w:rsid w:val="00A66AC4"/>
    <w:rsid w:val="00A7063E"/>
    <w:rsid w:val="00A76229"/>
    <w:rsid w:val="00A76CF8"/>
    <w:rsid w:val="00A800D2"/>
    <w:rsid w:val="00A804A6"/>
    <w:rsid w:val="00A80560"/>
    <w:rsid w:val="00A83D07"/>
    <w:rsid w:val="00A8424A"/>
    <w:rsid w:val="00A862E8"/>
    <w:rsid w:val="00A90937"/>
    <w:rsid w:val="00A93239"/>
    <w:rsid w:val="00A947B7"/>
    <w:rsid w:val="00A96747"/>
    <w:rsid w:val="00AA0279"/>
    <w:rsid w:val="00AA0535"/>
    <w:rsid w:val="00AA32D6"/>
    <w:rsid w:val="00AA3792"/>
    <w:rsid w:val="00AA3E00"/>
    <w:rsid w:val="00AA6C97"/>
    <w:rsid w:val="00AB070C"/>
    <w:rsid w:val="00AB43AA"/>
    <w:rsid w:val="00AB6520"/>
    <w:rsid w:val="00AB6808"/>
    <w:rsid w:val="00AC193A"/>
    <w:rsid w:val="00AC21A6"/>
    <w:rsid w:val="00AC3A53"/>
    <w:rsid w:val="00AC3FB0"/>
    <w:rsid w:val="00AC4E46"/>
    <w:rsid w:val="00AD0D0A"/>
    <w:rsid w:val="00AD0EB2"/>
    <w:rsid w:val="00AD1C60"/>
    <w:rsid w:val="00AD7254"/>
    <w:rsid w:val="00AD78C5"/>
    <w:rsid w:val="00AE45B1"/>
    <w:rsid w:val="00AF0770"/>
    <w:rsid w:val="00AF0E0E"/>
    <w:rsid w:val="00AF13CE"/>
    <w:rsid w:val="00AF5E0B"/>
    <w:rsid w:val="00AF6C03"/>
    <w:rsid w:val="00B0395B"/>
    <w:rsid w:val="00B06171"/>
    <w:rsid w:val="00B11E38"/>
    <w:rsid w:val="00B153F0"/>
    <w:rsid w:val="00B2138D"/>
    <w:rsid w:val="00B21BE4"/>
    <w:rsid w:val="00B220A9"/>
    <w:rsid w:val="00B242BD"/>
    <w:rsid w:val="00B254AB"/>
    <w:rsid w:val="00B25BAE"/>
    <w:rsid w:val="00B26841"/>
    <w:rsid w:val="00B27EB1"/>
    <w:rsid w:val="00B30876"/>
    <w:rsid w:val="00B33205"/>
    <w:rsid w:val="00B33715"/>
    <w:rsid w:val="00B40B91"/>
    <w:rsid w:val="00B4478E"/>
    <w:rsid w:val="00B45BA4"/>
    <w:rsid w:val="00B46FA2"/>
    <w:rsid w:val="00B47894"/>
    <w:rsid w:val="00B51BB1"/>
    <w:rsid w:val="00B51EFB"/>
    <w:rsid w:val="00B52FF0"/>
    <w:rsid w:val="00B604C2"/>
    <w:rsid w:val="00B60D57"/>
    <w:rsid w:val="00B6357B"/>
    <w:rsid w:val="00B667B5"/>
    <w:rsid w:val="00B67185"/>
    <w:rsid w:val="00B677AB"/>
    <w:rsid w:val="00B67950"/>
    <w:rsid w:val="00B70C9B"/>
    <w:rsid w:val="00B77236"/>
    <w:rsid w:val="00B80799"/>
    <w:rsid w:val="00B833A1"/>
    <w:rsid w:val="00B857A3"/>
    <w:rsid w:val="00B85ED0"/>
    <w:rsid w:val="00B916B6"/>
    <w:rsid w:val="00B9344D"/>
    <w:rsid w:val="00B93588"/>
    <w:rsid w:val="00B95032"/>
    <w:rsid w:val="00B96963"/>
    <w:rsid w:val="00B97637"/>
    <w:rsid w:val="00BA27EA"/>
    <w:rsid w:val="00BA5AB3"/>
    <w:rsid w:val="00BB0259"/>
    <w:rsid w:val="00BB08CD"/>
    <w:rsid w:val="00BB24A0"/>
    <w:rsid w:val="00BB58C1"/>
    <w:rsid w:val="00BB5B3F"/>
    <w:rsid w:val="00BB5DA2"/>
    <w:rsid w:val="00BB7E92"/>
    <w:rsid w:val="00BC1E34"/>
    <w:rsid w:val="00BD224D"/>
    <w:rsid w:val="00BD34D5"/>
    <w:rsid w:val="00BD5FD8"/>
    <w:rsid w:val="00BE136C"/>
    <w:rsid w:val="00BE32E5"/>
    <w:rsid w:val="00BE402B"/>
    <w:rsid w:val="00BE65AE"/>
    <w:rsid w:val="00BE6FBF"/>
    <w:rsid w:val="00BF109C"/>
    <w:rsid w:val="00BF1508"/>
    <w:rsid w:val="00BF19BC"/>
    <w:rsid w:val="00BF2802"/>
    <w:rsid w:val="00BF32AC"/>
    <w:rsid w:val="00BF4206"/>
    <w:rsid w:val="00BF4E0E"/>
    <w:rsid w:val="00C00012"/>
    <w:rsid w:val="00C03510"/>
    <w:rsid w:val="00C057AA"/>
    <w:rsid w:val="00C11DD5"/>
    <w:rsid w:val="00C1515F"/>
    <w:rsid w:val="00C153C0"/>
    <w:rsid w:val="00C1581E"/>
    <w:rsid w:val="00C15976"/>
    <w:rsid w:val="00C15F8D"/>
    <w:rsid w:val="00C162CA"/>
    <w:rsid w:val="00C17E66"/>
    <w:rsid w:val="00C22AED"/>
    <w:rsid w:val="00C27665"/>
    <w:rsid w:val="00C3101C"/>
    <w:rsid w:val="00C412A7"/>
    <w:rsid w:val="00C4210F"/>
    <w:rsid w:val="00C44880"/>
    <w:rsid w:val="00C47937"/>
    <w:rsid w:val="00C47AA1"/>
    <w:rsid w:val="00C47FF6"/>
    <w:rsid w:val="00C51346"/>
    <w:rsid w:val="00C528CA"/>
    <w:rsid w:val="00C559CC"/>
    <w:rsid w:val="00C57480"/>
    <w:rsid w:val="00C6079E"/>
    <w:rsid w:val="00C60D57"/>
    <w:rsid w:val="00C6121A"/>
    <w:rsid w:val="00C61CDF"/>
    <w:rsid w:val="00C62764"/>
    <w:rsid w:val="00C70A10"/>
    <w:rsid w:val="00C70CC6"/>
    <w:rsid w:val="00C7137E"/>
    <w:rsid w:val="00C7329F"/>
    <w:rsid w:val="00C7526B"/>
    <w:rsid w:val="00C76DD9"/>
    <w:rsid w:val="00C76F81"/>
    <w:rsid w:val="00C772F4"/>
    <w:rsid w:val="00C7750D"/>
    <w:rsid w:val="00C77657"/>
    <w:rsid w:val="00C77E1D"/>
    <w:rsid w:val="00C826D4"/>
    <w:rsid w:val="00C82E3F"/>
    <w:rsid w:val="00C832C0"/>
    <w:rsid w:val="00C8575D"/>
    <w:rsid w:val="00C86DA7"/>
    <w:rsid w:val="00C902AF"/>
    <w:rsid w:val="00C91BC6"/>
    <w:rsid w:val="00C92A1E"/>
    <w:rsid w:val="00C93942"/>
    <w:rsid w:val="00C939AA"/>
    <w:rsid w:val="00C93ABF"/>
    <w:rsid w:val="00C94182"/>
    <w:rsid w:val="00C946B2"/>
    <w:rsid w:val="00C9749D"/>
    <w:rsid w:val="00CA07AF"/>
    <w:rsid w:val="00CA0B75"/>
    <w:rsid w:val="00CA21EB"/>
    <w:rsid w:val="00CA4559"/>
    <w:rsid w:val="00CA7AEE"/>
    <w:rsid w:val="00CA7B81"/>
    <w:rsid w:val="00CB360F"/>
    <w:rsid w:val="00CB4713"/>
    <w:rsid w:val="00CB6D63"/>
    <w:rsid w:val="00CC1737"/>
    <w:rsid w:val="00CC28E4"/>
    <w:rsid w:val="00CC3E5E"/>
    <w:rsid w:val="00CC433B"/>
    <w:rsid w:val="00CC50D1"/>
    <w:rsid w:val="00CC7FF7"/>
    <w:rsid w:val="00CD45CB"/>
    <w:rsid w:val="00CD58C9"/>
    <w:rsid w:val="00CD7549"/>
    <w:rsid w:val="00CD7D99"/>
    <w:rsid w:val="00CE003E"/>
    <w:rsid w:val="00CE0168"/>
    <w:rsid w:val="00CE0CC3"/>
    <w:rsid w:val="00CE23AF"/>
    <w:rsid w:val="00CE380F"/>
    <w:rsid w:val="00CE63ED"/>
    <w:rsid w:val="00CE64E4"/>
    <w:rsid w:val="00CF0883"/>
    <w:rsid w:val="00CF13CC"/>
    <w:rsid w:val="00CF219A"/>
    <w:rsid w:val="00CF2407"/>
    <w:rsid w:val="00CF5730"/>
    <w:rsid w:val="00CF6370"/>
    <w:rsid w:val="00D00FB9"/>
    <w:rsid w:val="00D01C95"/>
    <w:rsid w:val="00D02090"/>
    <w:rsid w:val="00D021DB"/>
    <w:rsid w:val="00D051FB"/>
    <w:rsid w:val="00D05264"/>
    <w:rsid w:val="00D0539B"/>
    <w:rsid w:val="00D056D3"/>
    <w:rsid w:val="00D06A53"/>
    <w:rsid w:val="00D06C43"/>
    <w:rsid w:val="00D102EE"/>
    <w:rsid w:val="00D13810"/>
    <w:rsid w:val="00D14793"/>
    <w:rsid w:val="00D21FF2"/>
    <w:rsid w:val="00D22CC9"/>
    <w:rsid w:val="00D30B79"/>
    <w:rsid w:val="00D33B60"/>
    <w:rsid w:val="00D34012"/>
    <w:rsid w:val="00D3654D"/>
    <w:rsid w:val="00D371D2"/>
    <w:rsid w:val="00D37E20"/>
    <w:rsid w:val="00D40869"/>
    <w:rsid w:val="00D445BA"/>
    <w:rsid w:val="00D44D57"/>
    <w:rsid w:val="00D46573"/>
    <w:rsid w:val="00D46BDE"/>
    <w:rsid w:val="00D50651"/>
    <w:rsid w:val="00D52B8C"/>
    <w:rsid w:val="00D53FFD"/>
    <w:rsid w:val="00D55FA0"/>
    <w:rsid w:val="00D573F5"/>
    <w:rsid w:val="00D5786A"/>
    <w:rsid w:val="00D634FA"/>
    <w:rsid w:val="00D63DDC"/>
    <w:rsid w:val="00D6490E"/>
    <w:rsid w:val="00D6507D"/>
    <w:rsid w:val="00D8293D"/>
    <w:rsid w:val="00D83F7A"/>
    <w:rsid w:val="00D85E18"/>
    <w:rsid w:val="00D91229"/>
    <w:rsid w:val="00D95F3C"/>
    <w:rsid w:val="00DA394A"/>
    <w:rsid w:val="00DA3D13"/>
    <w:rsid w:val="00DA403F"/>
    <w:rsid w:val="00DB0D41"/>
    <w:rsid w:val="00DB3BA4"/>
    <w:rsid w:val="00DB48FD"/>
    <w:rsid w:val="00DB5048"/>
    <w:rsid w:val="00DB621F"/>
    <w:rsid w:val="00DC1299"/>
    <w:rsid w:val="00DC277F"/>
    <w:rsid w:val="00DC547F"/>
    <w:rsid w:val="00DC64C5"/>
    <w:rsid w:val="00DC6609"/>
    <w:rsid w:val="00DD0B88"/>
    <w:rsid w:val="00DD5468"/>
    <w:rsid w:val="00DD6426"/>
    <w:rsid w:val="00DD6553"/>
    <w:rsid w:val="00DE05F7"/>
    <w:rsid w:val="00DE2AEF"/>
    <w:rsid w:val="00DE45C3"/>
    <w:rsid w:val="00DE4AA6"/>
    <w:rsid w:val="00DE4C70"/>
    <w:rsid w:val="00DE558C"/>
    <w:rsid w:val="00DE56F9"/>
    <w:rsid w:val="00DE5AD4"/>
    <w:rsid w:val="00DE6CAA"/>
    <w:rsid w:val="00DE769D"/>
    <w:rsid w:val="00DF1C48"/>
    <w:rsid w:val="00DF4E45"/>
    <w:rsid w:val="00E0038F"/>
    <w:rsid w:val="00E0477A"/>
    <w:rsid w:val="00E060ED"/>
    <w:rsid w:val="00E07350"/>
    <w:rsid w:val="00E10500"/>
    <w:rsid w:val="00E1058F"/>
    <w:rsid w:val="00E12B56"/>
    <w:rsid w:val="00E1586E"/>
    <w:rsid w:val="00E235E7"/>
    <w:rsid w:val="00E24B90"/>
    <w:rsid w:val="00E27FFE"/>
    <w:rsid w:val="00E30634"/>
    <w:rsid w:val="00E31795"/>
    <w:rsid w:val="00E322B8"/>
    <w:rsid w:val="00E329B9"/>
    <w:rsid w:val="00E330FC"/>
    <w:rsid w:val="00E332CE"/>
    <w:rsid w:val="00E36693"/>
    <w:rsid w:val="00E374DA"/>
    <w:rsid w:val="00E37FCB"/>
    <w:rsid w:val="00E42DFA"/>
    <w:rsid w:val="00E43B61"/>
    <w:rsid w:val="00E43BF5"/>
    <w:rsid w:val="00E44F3A"/>
    <w:rsid w:val="00E46079"/>
    <w:rsid w:val="00E4665E"/>
    <w:rsid w:val="00E53488"/>
    <w:rsid w:val="00E536D0"/>
    <w:rsid w:val="00E5412C"/>
    <w:rsid w:val="00E5472F"/>
    <w:rsid w:val="00E5494B"/>
    <w:rsid w:val="00E5575E"/>
    <w:rsid w:val="00E56D5C"/>
    <w:rsid w:val="00E5736F"/>
    <w:rsid w:val="00E60C47"/>
    <w:rsid w:val="00E809D2"/>
    <w:rsid w:val="00E92471"/>
    <w:rsid w:val="00E93CBE"/>
    <w:rsid w:val="00E9630D"/>
    <w:rsid w:val="00E96818"/>
    <w:rsid w:val="00E97F45"/>
    <w:rsid w:val="00EA09D2"/>
    <w:rsid w:val="00EA220B"/>
    <w:rsid w:val="00EA6D71"/>
    <w:rsid w:val="00EA7AEA"/>
    <w:rsid w:val="00EB3567"/>
    <w:rsid w:val="00EB7B75"/>
    <w:rsid w:val="00EC03A2"/>
    <w:rsid w:val="00EC23D6"/>
    <w:rsid w:val="00EC4997"/>
    <w:rsid w:val="00EC4ED2"/>
    <w:rsid w:val="00EC5F9D"/>
    <w:rsid w:val="00EC6A4D"/>
    <w:rsid w:val="00ED0CDE"/>
    <w:rsid w:val="00ED2789"/>
    <w:rsid w:val="00ED3B0B"/>
    <w:rsid w:val="00EE0E11"/>
    <w:rsid w:val="00EE29E7"/>
    <w:rsid w:val="00EE2A0F"/>
    <w:rsid w:val="00EE32A2"/>
    <w:rsid w:val="00EE37AC"/>
    <w:rsid w:val="00EE7627"/>
    <w:rsid w:val="00EF2126"/>
    <w:rsid w:val="00F00BD9"/>
    <w:rsid w:val="00F00E34"/>
    <w:rsid w:val="00F016E0"/>
    <w:rsid w:val="00F035B0"/>
    <w:rsid w:val="00F03D34"/>
    <w:rsid w:val="00F07F0B"/>
    <w:rsid w:val="00F109ED"/>
    <w:rsid w:val="00F11449"/>
    <w:rsid w:val="00F12A7F"/>
    <w:rsid w:val="00F1637D"/>
    <w:rsid w:val="00F16E70"/>
    <w:rsid w:val="00F17682"/>
    <w:rsid w:val="00F2079D"/>
    <w:rsid w:val="00F20E33"/>
    <w:rsid w:val="00F21896"/>
    <w:rsid w:val="00F21CC4"/>
    <w:rsid w:val="00F220F6"/>
    <w:rsid w:val="00F22701"/>
    <w:rsid w:val="00F25173"/>
    <w:rsid w:val="00F27F37"/>
    <w:rsid w:val="00F31C12"/>
    <w:rsid w:val="00F341DA"/>
    <w:rsid w:val="00F34DA7"/>
    <w:rsid w:val="00F35247"/>
    <w:rsid w:val="00F43276"/>
    <w:rsid w:val="00F43E60"/>
    <w:rsid w:val="00F46FD0"/>
    <w:rsid w:val="00F4703F"/>
    <w:rsid w:val="00F473EC"/>
    <w:rsid w:val="00F51F57"/>
    <w:rsid w:val="00F54D86"/>
    <w:rsid w:val="00F55D89"/>
    <w:rsid w:val="00F60C14"/>
    <w:rsid w:val="00F63B7C"/>
    <w:rsid w:val="00F6485C"/>
    <w:rsid w:val="00F664A2"/>
    <w:rsid w:val="00F67100"/>
    <w:rsid w:val="00F715D1"/>
    <w:rsid w:val="00F73A60"/>
    <w:rsid w:val="00F755A8"/>
    <w:rsid w:val="00F8038A"/>
    <w:rsid w:val="00F80527"/>
    <w:rsid w:val="00F83FEE"/>
    <w:rsid w:val="00F845A7"/>
    <w:rsid w:val="00F847FD"/>
    <w:rsid w:val="00F85A20"/>
    <w:rsid w:val="00F9158A"/>
    <w:rsid w:val="00F96715"/>
    <w:rsid w:val="00FB15B7"/>
    <w:rsid w:val="00FB283E"/>
    <w:rsid w:val="00FB4153"/>
    <w:rsid w:val="00FC080A"/>
    <w:rsid w:val="00FC155C"/>
    <w:rsid w:val="00FC42F2"/>
    <w:rsid w:val="00FC5571"/>
    <w:rsid w:val="00FC5A5D"/>
    <w:rsid w:val="00FC5BB8"/>
    <w:rsid w:val="00FD5228"/>
    <w:rsid w:val="00FD538E"/>
    <w:rsid w:val="00FE152B"/>
    <w:rsid w:val="00FE3659"/>
    <w:rsid w:val="00FE467D"/>
    <w:rsid w:val="00FE4AE3"/>
    <w:rsid w:val="00FE57C8"/>
    <w:rsid w:val="00FF0AF7"/>
    <w:rsid w:val="00FF4492"/>
    <w:rsid w:val="00FF7D0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1A3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2A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EE32A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C21A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E32A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A7AEE"/>
    <w:rPr>
      <w:sz w:val="20"/>
      <w:szCs w:val="20"/>
    </w:rPr>
  </w:style>
  <w:style w:type="character" w:customStyle="1" w:styleId="FootnoteTextChar">
    <w:name w:val="Footnote Text Char"/>
    <w:basedOn w:val="DefaultParagraphFont"/>
    <w:link w:val="FootnoteText"/>
    <w:uiPriority w:val="99"/>
    <w:semiHidden/>
    <w:rsid w:val="00CA7AEE"/>
    <w:rPr>
      <w:sz w:val="20"/>
      <w:szCs w:val="20"/>
    </w:rPr>
  </w:style>
  <w:style w:type="character" w:styleId="FootnoteReference">
    <w:name w:val="footnote reference"/>
    <w:basedOn w:val="DefaultParagraphFont"/>
    <w:uiPriority w:val="99"/>
    <w:semiHidden/>
    <w:unhideWhenUsed/>
    <w:rsid w:val="00CA7AEE"/>
    <w:rPr>
      <w:vertAlign w:val="superscript"/>
    </w:rPr>
  </w:style>
  <w:style w:type="character" w:styleId="Hyperlink">
    <w:name w:val="Hyperlink"/>
    <w:basedOn w:val="DefaultParagraphFont"/>
    <w:uiPriority w:val="99"/>
    <w:unhideWhenUsed/>
    <w:rsid w:val="00CA7AEE"/>
    <w:rPr>
      <w:color w:val="0000FF"/>
      <w:u w:val="single"/>
    </w:rPr>
  </w:style>
  <w:style w:type="paragraph" w:styleId="Header">
    <w:name w:val="header"/>
    <w:basedOn w:val="Normal"/>
    <w:link w:val="HeaderChar"/>
    <w:uiPriority w:val="99"/>
    <w:unhideWhenUsed/>
    <w:rsid w:val="003C0521"/>
    <w:pPr>
      <w:tabs>
        <w:tab w:val="center" w:pos="4536"/>
        <w:tab w:val="right" w:pos="9072"/>
      </w:tabs>
    </w:pPr>
  </w:style>
  <w:style w:type="character" w:customStyle="1" w:styleId="HeaderChar">
    <w:name w:val="Header Char"/>
    <w:basedOn w:val="DefaultParagraphFont"/>
    <w:link w:val="Header"/>
    <w:uiPriority w:val="99"/>
    <w:rsid w:val="003C0521"/>
  </w:style>
  <w:style w:type="paragraph" w:styleId="Footer">
    <w:name w:val="footer"/>
    <w:basedOn w:val="Normal"/>
    <w:link w:val="FooterChar"/>
    <w:uiPriority w:val="99"/>
    <w:unhideWhenUsed/>
    <w:rsid w:val="003C0521"/>
    <w:pPr>
      <w:tabs>
        <w:tab w:val="center" w:pos="4536"/>
        <w:tab w:val="right" w:pos="9072"/>
      </w:tabs>
    </w:pPr>
  </w:style>
  <w:style w:type="character" w:customStyle="1" w:styleId="FooterChar">
    <w:name w:val="Footer Char"/>
    <w:basedOn w:val="DefaultParagraphFont"/>
    <w:link w:val="Footer"/>
    <w:uiPriority w:val="99"/>
    <w:rsid w:val="003C0521"/>
  </w:style>
  <w:style w:type="paragraph" w:styleId="Bibliography">
    <w:name w:val="Bibliography"/>
    <w:basedOn w:val="Normal"/>
    <w:next w:val="Normal"/>
    <w:uiPriority w:val="37"/>
    <w:unhideWhenUsed/>
    <w:rsid w:val="00DC64C5"/>
    <w:pPr>
      <w:spacing w:after="240"/>
      <w:ind w:left="720" w:hanging="720"/>
    </w:pPr>
  </w:style>
  <w:style w:type="paragraph" w:styleId="NormalWeb">
    <w:name w:val="Normal (Web)"/>
    <w:basedOn w:val="Normal"/>
    <w:uiPriority w:val="99"/>
    <w:unhideWhenUsed/>
    <w:rsid w:val="00725F57"/>
    <w:pPr>
      <w:spacing w:before="100" w:beforeAutospacing="1" w:after="100" w:afterAutospacing="1"/>
    </w:pPr>
    <w:rPr>
      <w:lang w:eastAsia="hu-HU"/>
    </w:rPr>
  </w:style>
  <w:style w:type="character" w:customStyle="1" w:styleId="A0">
    <w:name w:val="A0"/>
    <w:uiPriority w:val="99"/>
    <w:rsid w:val="004A37FE"/>
    <w:rPr>
      <w:rFonts w:cs="Minion Pro"/>
      <w:color w:val="000000"/>
    </w:rPr>
  </w:style>
  <w:style w:type="character" w:customStyle="1" w:styleId="A7">
    <w:name w:val="A7"/>
    <w:uiPriority w:val="99"/>
    <w:rsid w:val="004A37FE"/>
    <w:rPr>
      <w:rFonts w:cs="Minion Pro"/>
      <w:color w:val="000000"/>
      <w:sz w:val="14"/>
      <w:szCs w:val="14"/>
    </w:rPr>
  </w:style>
  <w:style w:type="table" w:styleId="TableGrid">
    <w:name w:val="Table Grid"/>
    <w:basedOn w:val="TableNormal"/>
    <w:uiPriority w:val="39"/>
    <w:rsid w:val="00646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15A2"/>
    <w:rPr>
      <w:sz w:val="18"/>
      <w:szCs w:val="18"/>
    </w:rPr>
  </w:style>
  <w:style w:type="character" w:customStyle="1" w:styleId="BalloonTextChar">
    <w:name w:val="Balloon Text Char"/>
    <w:basedOn w:val="DefaultParagraphFont"/>
    <w:link w:val="BalloonText"/>
    <w:uiPriority w:val="99"/>
    <w:semiHidden/>
    <w:rsid w:val="000315A2"/>
    <w:rPr>
      <w:rFonts w:ascii="Times New Roman" w:hAnsi="Times New Roman" w:cs="Times New Roman"/>
      <w:sz w:val="18"/>
      <w:szCs w:val="18"/>
    </w:rPr>
  </w:style>
  <w:style w:type="paragraph" w:styleId="ListParagraph">
    <w:name w:val="List Paragraph"/>
    <w:basedOn w:val="Normal"/>
    <w:uiPriority w:val="34"/>
    <w:qFormat/>
    <w:rsid w:val="00AB6520"/>
    <w:pPr>
      <w:ind w:left="720"/>
      <w:contextualSpacing/>
    </w:pPr>
    <w:rPr>
      <w:lang w:val="en-US"/>
    </w:rPr>
  </w:style>
  <w:style w:type="character" w:styleId="CommentReference">
    <w:name w:val="annotation reference"/>
    <w:basedOn w:val="DefaultParagraphFont"/>
    <w:uiPriority w:val="99"/>
    <w:semiHidden/>
    <w:unhideWhenUsed/>
    <w:rsid w:val="00AB6520"/>
    <w:rPr>
      <w:sz w:val="16"/>
      <w:szCs w:val="16"/>
    </w:rPr>
  </w:style>
  <w:style w:type="paragraph" w:styleId="CommentText">
    <w:name w:val="annotation text"/>
    <w:basedOn w:val="Normal"/>
    <w:link w:val="CommentTextChar"/>
    <w:uiPriority w:val="99"/>
    <w:semiHidden/>
    <w:unhideWhenUsed/>
    <w:rsid w:val="00AB6520"/>
    <w:rPr>
      <w:sz w:val="20"/>
      <w:szCs w:val="20"/>
      <w:lang w:val="en-US"/>
    </w:rPr>
  </w:style>
  <w:style w:type="character" w:customStyle="1" w:styleId="CommentTextChar">
    <w:name w:val="Comment Text Char"/>
    <w:basedOn w:val="DefaultParagraphFont"/>
    <w:link w:val="CommentText"/>
    <w:uiPriority w:val="99"/>
    <w:semiHidden/>
    <w:rsid w:val="00AB6520"/>
    <w:rPr>
      <w:sz w:val="20"/>
      <w:szCs w:val="20"/>
      <w:lang w:val="en-US"/>
    </w:rPr>
  </w:style>
  <w:style w:type="paragraph" w:customStyle="1" w:styleId="Default">
    <w:name w:val="Default"/>
    <w:rsid w:val="003B2DD9"/>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UnresolvedMention1">
    <w:name w:val="Unresolved Mention1"/>
    <w:basedOn w:val="DefaultParagraphFont"/>
    <w:uiPriority w:val="99"/>
    <w:semiHidden/>
    <w:unhideWhenUsed/>
    <w:rsid w:val="003B2DD9"/>
    <w:rPr>
      <w:color w:val="605E5C"/>
      <w:shd w:val="clear" w:color="auto" w:fill="E1DFDD"/>
    </w:rPr>
  </w:style>
  <w:style w:type="character" w:styleId="FollowedHyperlink">
    <w:name w:val="FollowedHyperlink"/>
    <w:basedOn w:val="DefaultParagraphFont"/>
    <w:uiPriority w:val="99"/>
    <w:semiHidden/>
    <w:unhideWhenUsed/>
    <w:rsid w:val="003B2DD9"/>
    <w:rPr>
      <w:color w:val="954F72" w:themeColor="followedHyperlink"/>
      <w:u w:val="single"/>
    </w:rPr>
  </w:style>
  <w:style w:type="character" w:customStyle="1" w:styleId="Heading2Char">
    <w:name w:val="Heading 2 Char"/>
    <w:basedOn w:val="DefaultParagraphFont"/>
    <w:link w:val="Heading2"/>
    <w:uiPriority w:val="9"/>
    <w:semiHidden/>
    <w:rsid w:val="00AC21A6"/>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A006F9"/>
    <w:rPr>
      <w:b/>
      <w:bCs/>
    </w:rPr>
  </w:style>
  <w:style w:type="paragraph" w:styleId="CommentSubject">
    <w:name w:val="annotation subject"/>
    <w:basedOn w:val="CommentText"/>
    <w:next w:val="CommentText"/>
    <w:link w:val="CommentSubjectChar"/>
    <w:uiPriority w:val="99"/>
    <w:semiHidden/>
    <w:unhideWhenUsed/>
    <w:rsid w:val="00963B0D"/>
    <w:pPr>
      <w:spacing w:after="160"/>
    </w:pPr>
    <w:rPr>
      <w:b/>
      <w:bCs/>
      <w:lang w:val="hu-HU"/>
    </w:rPr>
  </w:style>
  <w:style w:type="character" w:customStyle="1" w:styleId="CommentSubjectChar">
    <w:name w:val="Comment Subject Char"/>
    <w:basedOn w:val="CommentTextChar"/>
    <w:link w:val="CommentSubject"/>
    <w:uiPriority w:val="99"/>
    <w:semiHidden/>
    <w:rsid w:val="00963B0D"/>
    <w:rPr>
      <w:b/>
      <w:bCs/>
      <w:sz w:val="20"/>
      <w:szCs w:val="20"/>
      <w:lang w:val="en-US"/>
    </w:rPr>
  </w:style>
  <w:style w:type="paragraph" w:styleId="Revision">
    <w:name w:val="Revision"/>
    <w:hidden/>
    <w:uiPriority w:val="99"/>
    <w:semiHidden/>
    <w:rsid w:val="00D46573"/>
    <w:pPr>
      <w:spacing w:after="0" w:line="240" w:lineRule="auto"/>
    </w:pPr>
  </w:style>
  <w:style w:type="character" w:customStyle="1" w:styleId="apple-converted-space">
    <w:name w:val="apple-converted-space"/>
    <w:basedOn w:val="DefaultParagraphFont"/>
    <w:rsid w:val="00F54D86"/>
  </w:style>
  <w:style w:type="character" w:customStyle="1" w:styleId="UnresolvedMention2">
    <w:name w:val="Unresolved Mention2"/>
    <w:basedOn w:val="DefaultParagraphFont"/>
    <w:uiPriority w:val="99"/>
    <w:semiHidden/>
    <w:unhideWhenUsed/>
    <w:rsid w:val="005C52FB"/>
    <w:rPr>
      <w:color w:val="605E5C"/>
      <w:shd w:val="clear" w:color="auto" w:fill="E1DFDD"/>
    </w:rPr>
  </w:style>
  <w:style w:type="character" w:styleId="EndnoteReference">
    <w:name w:val="endnote reference"/>
    <w:basedOn w:val="DefaultParagraphFont"/>
    <w:uiPriority w:val="99"/>
    <w:semiHidden/>
    <w:unhideWhenUsed/>
    <w:rsid w:val="005E4B82"/>
    <w:rPr>
      <w:vertAlign w:val="superscript"/>
    </w:rPr>
  </w:style>
  <w:style w:type="character" w:customStyle="1" w:styleId="UnresolvedMention3">
    <w:name w:val="Unresolved Mention3"/>
    <w:basedOn w:val="DefaultParagraphFont"/>
    <w:uiPriority w:val="99"/>
    <w:semiHidden/>
    <w:unhideWhenUsed/>
    <w:rsid w:val="00B67950"/>
    <w:rPr>
      <w:color w:val="605E5C"/>
      <w:shd w:val="clear" w:color="auto" w:fill="E1DFDD"/>
    </w:rPr>
  </w:style>
  <w:style w:type="character" w:customStyle="1" w:styleId="Heading1Char">
    <w:name w:val="Heading 1 Char"/>
    <w:basedOn w:val="DefaultParagraphFont"/>
    <w:link w:val="Heading1"/>
    <w:uiPriority w:val="9"/>
    <w:rsid w:val="00EE32A2"/>
    <w:rPr>
      <w:rFonts w:asciiTheme="majorHAnsi" w:eastAsiaTheme="majorEastAsia" w:hAnsiTheme="majorHAnsi" w:cstheme="majorBidi"/>
      <w:color w:val="2E74B5" w:themeColor="accent1" w:themeShade="BF"/>
      <w:sz w:val="32"/>
      <w:szCs w:val="32"/>
      <w:lang w:eastAsia="en-GB"/>
    </w:rPr>
  </w:style>
  <w:style w:type="character" w:customStyle="1" w:styleId="Heading3Char">
    <w:name w:val="Heading 3 Char"/>
    <w:basedOn w:val="DefaultParagraphFont"/>
    <w:link w:val="Heading3"/>
    <w:uiPriority w:val="9"/>
    <w:semiHidden/>
    <w:rsid w:val="00EE32A2"/>
    <w:rPr>
      <w:rFonts w:asciiTheme="majorHAnsi" w:eastAsiaTheme="majorEastAsia" w:hAnsiTheme="majorHAnsi" w:cstheme="majorBidi"/>
      <w:color w:val="1F4D78" w:themeColor="accent1" w:themeShade="7F"/>
      <w:sz w:val="24"/>
      <w:szCs w:val="24"/>
      <w:lang w:eastAsia="en-GB"/>
    </w:rPr>
  </w:style>
  <w:style w:type="paragraph" w:styleId="EndnoteText">
    <w:name w:val="endnote text"/>
    <w:basedOn w:val="Normal"/>
    <w:link w:val="EndnoteTextChar"/>
    <w:uiPriority w:val="99"/>
    <w:unhideWhenUsed/>
    <w:rsid w:val="00DF1C48"/>
    <w:rPr>
      <w:sz w:val="20"/>
      <w:szCs w:val="20"/>
    </w:rPr>
  </w:style>
  <w:style w:type="character" w:customStyle="1" w:styleId="EndnoteTextChar">
    <w:name w:val="Endnote Text Char"/>
    <w:basedOn w:val="DefaultParagraphFont"/>
    <w:link w:val="EndnoteText"/>
    <w:uiPriority w:val="99"/>
    <w:rsid w:val="00DF1C48"/>
    <w:rPr>
      <w:rFonts w:ascii="Times New Roman" w:eastAsia="Times New Roman" w:hAnsi="Times New Roman" w:cs="Times New Roman"/>
      <w:sz w:val="20"/>
      <w:szCs w:val="20"/>
      <w:lang w:eastAsia="en-GB"/>
    </w:rPr>
  </w:style>
  <w:style w:type="character" w:customStyle="1" w:styleId="UnresolvedMention4">
    <w:name w:val="Unresolved Mention4"/>
    <w:basedOn w:val="DefaultParagraphFont"/>
    <w:uiPriority w:val="99"/>
    <w:semiHidden/>
    <w:unhideWhenUsed/>
    <w:rsid w:val="006E5FAF"/>
    <w:rPr>
      <w:color w:val="605E5C"/>
      <w:shd w:val="clear" w:color="auto" w:fill="E1DFDD"/>
    </w:rPr>
  </w:style>
  <w:style w:type="character" w:customStyle="1" w:styleId="UnresolvedMention5">
    <w:name w:val="Unresolved Mention5"/>
    <w:basedOn w:val="DefaultParagraphFont"/>
    <w:uiPriority w:val="99"/>
    <w:semiHidden/>
    <w:unhideWhenUsed/>
    <w:rsid w:val="00457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0460">
      <w:bodyDiv w:val="1"/>
      <w:marLeft w:val="0"/>
      <w:marRight w:val="0"/>
      <w:marTop w:val="0"/>
      <w:marBottom w:val="0"/>
      <w:divBdr>
        <w:top w:val="none" w:sz="0" w:space="0" w:color="auto"/>
        <w:left w:val="none" w:sz="0" w:space="0" w:color="auto"/>
        <w:bottom w:val="none" w:sz="0" w:space="0" w:color="auto"/>
        <w:right w:val="none" w:sz="0" w:space="0" w:color="auto"/>
      </w:divBdr>
    </w:div>
    <w:div w:id="59987540">
      <w:bodyDiv w:val="1"/>
      <w:marLeft w:val="0"/>
      <w:marRight w:val="0"/>
      <w:marTop w:val="0"/>
      <w:marBottom w:val="0"/>
      <w:divBdr>
        <w:top w:val="none" w:sz="0" w:space="0" w:color="auto"/>
        <w:left w:val="none" w:sz="0" w:space="0" w:color="auto"/>
        <w:bottom w:val="none" w:sz="0" w:space="0" w:color="auto"/>
        <w:right w:val="none" w:sz="0" w:space="0" w:color="auto"/>
      </w:divBdr>
      <w:divsChild>
        <w:div w:id="434642689">
          <w:marLeft w:val="0"/>
          <w:marRight w:val="0"/>
          <w:marTop w:val="0"/>
          <w:marBottom w:val="0"/>
          <w:divBdr>
            <w:top w:val="none" w:sz="0" w:space="0" w:color="auto"/>
            <w:left w:val="none" w:sz="0" w:space="0" w:color="auto"/>
            <w:bottom w:val="none" w:sz="0" w:space="0" w:color="auto"/>
            <w:right w:val="none" w:sz="0" w:space="0" w:color="auto"/>
          </w:divBdr>
          <w:divsChild>
            <w:div w:id="778910361">
              <w:marLeft w:val="0"/>
              <w:marRight w:val="0"/>
              <w:marTop w:val="0"/>
              <w:marBottom w:val="0"/>
              <w:divBdr>
                <w:top w:val="none" w:sz="0" w:space="0" w:color="auto"/>
                <w:left w:val="none" w:sz="0" w:space="0" w:color="auto"/>
                <w:bottom w:val="none" w:sz="0" w:space="0" w:color="auto"/>
                <w:right w:val="none" w:sz="0" w:space="0" w:color="auto"/>
              </w:divBdr>
              <w:divsChild>
                <w:div w:id="21015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86851">
      <w:bodyDiv w:val="1"/>
      <w:marLeft w:val="0"/>
      <w:marRight w:val="0"/>
      <w:marTop w:val="0"/>
      <w:marBottom w:val="0"/>
      <w:divBdr>
        <w:top w:val="none" w:sz="0" w:space="0" w:color="auto"/>
        <w:left w:val="none" w:sz="0" w:space="0" w:color="auto"/>
        <w:bottom w:val="none" w:sz="0" w:space="0" w:color="auto"/>
        <w:right w:val="none" w:sz="0" w:space="0" w:color="auto"/>
      </w:divBdr>
      <w:divsChild>
        <w:div w:id="1952542821">
          <w:marLeft w:val="0"/>
          <w:marRight w:val="0"/>
          <w:marTop w:val="0"/>
          <w:marBottom w:val="0"/>
          <w:divBdr>
            <w:top w:val="none" w:sz="0" w:space="0" w:color="auto"/>
            <w:left w:val="none" w:sz="0" w:space="0" w:color="auto"/>
            <w:bottom w:val="none" w:sz="0" w:space="0" w:color="auto"/>
            <w:right w:val="none" w:sz="0" w:space="0" w:color="auto"/>
          </w:divBdr>
          <w:divsChild>
            <w:div w:id="1117022128">
              <w:marLeft w:val="0"/>
              <w:marRight w:val="0"/>
              <w:marTop w:val="0"/>
              <w:marBottom w:val="0"/>
              <w:divBdr>
                <w:top w:val="none" w:sz="0" w:space="0" w:color="auto"/>
                <w:left w:val="none" w:sz="0" w:space="0" w:color="auto"/>
                <w:bottom w:val="none" w:sz="0" w:space="0" w:color="auto"/>
                <w:right w:val="none" w:sz="0" w:space="0" w:color="auto"/>
              </w:divBdr>
              <w:divsChild>
                <w:div w:id="9966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026234">
      <w:bodyDiv w:val="1"/>
      <w:marLeft w:val="0"/>
      <w:marRight w:val="0"/>
      <w:marTop w:val="0"/>
      <w:marBottom w:val="0"/>
      <w:divBdr>
        <w:top w:val="none" w:sz="0" w:space="0" w:color="auto"/>
        <w:left w:val="none" w:sz="0" w:space="0" w:color="auto"/>
        <w:bottom w:val="none" w:sz="0" w:space="0" w:color="auto"/>
        <w:right w:val="none" w:sz="0" w:space="0" w:color="auto"/>
      </w:divBdr>
      <w:divsChild>
        <w:div w:id="1954897887">
          <w:marLeft w:val="0"/>
          <w:marRight w:val="0"/>
          <w:marTop w:val="0"/>
          <w:marBottom w:val="0"/>
          <w:divBdr>
            <w:top w:val="none" w:sz="0" w:space="0" w:color="auto"/>
            <w:left w:val="none" w:sz="0" w:space="0" w:color="auto"/>
            <w:bottom w:val="none" w:sz="0" w:space="0" w:color="auto"/>
            <w:right w:val="none" w:sz="0" w:space="0" w:color="auto"/>
          </w:divBdr>
          <w:divsChild>
            <w:div w:id="1947691008">
              <w:marLeft w:val="0"/>
              <w:marRight w:val="0"/>
              <w:marTop w:val="0"/>
              <w:marBottom w:val="0"/>
              <w:divBdr>
                <w:top w:val="none" w:sz="0" w:space="0" w:color="auto"/>
                <w:left w:val="none" w:sz="0" w:space="0" w:color="auto"/>
                <w:bottom w:val="none" w:sz="0" w:space="0" w:color="auto"/>
                <w:right w:val="none" w:sz="0" w:space="0" w:color="auto"/>
              </w:divBdr>
              <w:divsChild>
                <w:div w:id="55038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039218">
      <w:bodyDiv w:val="1"/>
      <w:marLeft w:val="0"/>
      <w:marRight w:val="0"/>
      <w:marTop w:val="0"/>
      <w:marBottom w:val="0"/>
      <w:divBdr>
        <w:top w:val="none" w:sz="0" w:space="0" w:color="auto"/>
        <w:left w:val="none" w:sz="0" w:space="0" w:color="auto"/>
        <w:bottom w:val="none" w:sz="0" w:space="0" w:color="auto"/>
        <w:right w:val="none" w:sz="0" w:space="0" w:color="auto"/>
      </w:divBdr>
    </w:div>
    <w:div w:id="305622604">
      <w:bodyDiv w:val="1"/>
      <w:marLeft w:val="0"/>
      <w:marRight w:val="0"/>
      <w:marTop w:val="0"/>
      <w:marBottom w:val="0"/>
      <w:divBdr>
        <w:top w:val="none" w:sz="0" w:space="0" w:color="auto"/>
        <w:left w:val="none" w:sz="0" w:space="0" w:color="auto"/>
        <w:bottom w:val="none" w:sz="0" w:space="0" w:color="auto"/>
        <w:right w:val="none" w:sz="0" w:space="0" w:color="auto"/>
      </w:divBdr>
      <w:divsChild>
        <w:div w:id="674065903">
          <w:marLeft w:val="0"/>
          <w:marRight w:val="0"/>
          <w:marTop w:val="0"/>
          <w:marBottom w:val="0"/>
          <w:divBdr>
            <w:top w:val="none" w:sz="0" w:space="0" w:color="auto"/>
            <w:left w:val="none" w:sz="0" w:space="0" w:color="auto"/>
            <w:bottom w:val="none" w:sz="0" w:space="0" w:color="auto"/>
            <w:right w:val="none" w:sz="0" w:space="0" w:color="auto"/>
          </w:divBdr>
          <w:divsChild>
            <w:div w:id="264963113">
              <w:marLeft w:val="0"/>
              <w:marRight w:val="0"/>
              <w:marTop w:val="0"/>
              <w:marBottom w:val="0"/>
              <w:divBdr>
                <w:top w:val="none" w:sz="0" w:space="0" w:color="auto"/>
                <w:left w:val="none" w:sz="0" w:space="0" w:color="auto"/>
                <w:bottom w:val="none" w:sz="0" w:space="0" w:color="auto"/>
                <w:right w:val="none" w:sz="0" w:space="0" w:color="auto"/>
              </w:divBdr>
              <w:divsChild>
                <w:div w:id="516848876">
                  <w:marLeft w:val="0"/>
                  <w:marRight w:val="0"/>
                  <w:marTop w:val="0"/>
                  <w:marBottom w:val="0"/>
                  <w:divBdr>
                    <w:top w:val="none" w:sz="0" w:space="0" w:color="auto"/>
                    <w:left w:val="none" w:sz="0" w:space="0" w:color="auto"/>
                    <w:bottom w:val="none" w:sz="0" w:space="0" w:color="auto"/>
                    <w:right w:val="none" w:sz="0" w:space="0" w:color="auto"/>
                  </w:divBdr>
                  <w:divsChild>
                    <w:div w:id="1764255525">
                      <w:marLeft w:val="0"/>
                      <w:marRight w:val="0"/>
                      <w:marTop w:val="0"/>
                      <w:marBottom w:val="0"/>
                      <w:divBdr>
                        <w:top w:val="none" w:sz="0" w:space="0" w:color="auto"/>
                        <w:left w:val="none" w:sz="0" w:space="0" w:color="auto"/>
                        <w:bottom w:val="none" w:sz="0" w:space="0" w:color="auto"/>
                        <w:right w:val="none" w:sz="0" w:space="0" w:color="auto"/>
                      </w:divBdr>
                    </w:div>
                    <w:div w:id="567686155">
                      <w:marLeft w:val="0"/>
                      <w:marRight w:val="0"/>
                      <w:marTop w:val="0"/>
                      <w:marBottom w:val="0"/>
                      <w:divBdr>
                        <w:top w:val="none" w:sz="0" w:space="0" w:color="auto"/>
                        <w:left w:val="none" w:sz="0" w:space="0" w:color="auto"/>
                        <w:bottom w:val="none" w:sz="0" w:space="0" w:color="auto"/>
                        <w:right w:val="none" w:sz="0" w:space="0" w:color="auto"/>
                      </w:divBdr>
                    </w:div>
                  </w:divsChild>
                </w:div>
                <w:div w:id="990986538">
                  <w:marLeft w:val="0"/>
                  <w:marRight w:val="0"/>
                  <w:marTop w:val="0"/>
                  <w:marBottom w:val="0"/>
                  <w:divBdr>
                    <w:top w:val="none" w:sz="0" w:space="0" w:color="auto"/>
                    <w:left w:val="none" w:sz="0" w:space="0" w:color="auto"/>
                    <w:bottom w:val="none" w:sz="0" w:space="0" w:color="auto"/>
                    <w:right w:val="none" w:sz="0" w:space="0" w:color="auto"/>
                  </w:divBdr>
                  <w:divsChild>
                    <w:div w:id="367923806">
                      <w:marLeft w:val="0"/>
                      <w:marRight w:val="0"/>
                      <w:marTop w:val="0"/>
                      <w:marBottom w:val="0"/>
                      <w:divBdr>
                        <w:top w:val="none" w:sz="0" w:space="0" w:color="auto"/>
                        <w:left w:val="none" w:sz="0" w:space="0" w:color="auto"/>
                        <w:bottom w:val="none" w:sz="0" w:space="0" w:color="auto"/>
                        <w:right w:val="none" w:sz="0" w:space="0" w:color="auto"/>
                      </w:divBdr>
                    </w:div>
                  </w:divsChild>
                </w:div>
                <w:div w:id="955986614">
                  <w:marLeft w:val="0"/>
                  <w:marRight w:val="0"/>
                  <w:marTop w:val="0"/>
                  <w:marBottom w:val="0"/>
                  <w:divBdr>
                    <w:top w:val="none" w:sz="0" w:space="0" w:color="auto"/>
                    <w:left w:val="none" w:sz="0" w:space="0" w:color="auto"/>
                    <w:bottom w:val="none" w:sz="0" w:space="0" w:color="auto"/>
                    <w:right w:val="none" w:sz="0" w:space="0" w:color="auto"/>
                  </w:divBdr>
                  <w:divsChild>
                    <w:div w:id="20985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345757">
      <w:bodyDiv w:val="1"/>
      <w:marLeft w:val="0"/>
      <w:marRight w:val="0"/>
      <w:marTop w:val="0"/>
      <w:marBottom w:val="0"/>
      <w:divBdr>
        <w:top w:val="none" w:sz="0" w:space="0" w:color="auto"/>
        <w:left w:val="none" w:sz="0" w:space="0" w:color="auto"/>
        <w:bottom w:val="none" w:sz="0" w:space="0" w:color="auto"/>
        <w:right w:val="none" w:sz="0" w:space="0" w:color="auto"/>
      </w:divBdr>
    </w:div>
    <w:div w:id="506679444">
      <w:bodyDiv w:val="1"/>
      <w:marLeft w:val="0"/>
      <w:marRight w:val="0"/>
      <w:marTop w:val="0"/>
      <w:marBottom w:val="0"/>
      <w:divBdr>
        <w:top w:val="none" w:sz="0" w:space="0" w:color="auto"/>
        <w:left w:val="none" w:sz="0" w:space="0" w:color="auto"/>
        <w:bottom w:val="none" w:sz="0" w:space="0" w:color="auto"/>
        <w:right w:val="none" w:sz="0" w:space="0" w:color="auto"/>
      </w:divBdr>
    </w:div>
    <w:div w:id="506868006">
      <w:bodyDiv w:val="1"/>
      <w:marLeft w:val="0"/>
      <w:marRight w:val="0"/>
      <w:marTop w:val="0"/>
      <w:marBottom w:val="0"/>
      <w:divBdr>
        <w:top w:val="none" w:sz="0" w:space="0" w:color="auto"/>
        <w:left w:val="none" w:sz="0" w:space="0" w:color="auto"/>
        <w:bottom w:val="none" w:sz="0" w:space="0" w:color="auto"/>
        <w:right w:val="none" w:sz="0" w:space="0" w:color="auto"/>
      </w:divBdr>
      <w:divsChild>
        <w:div w:id="640694420">
          <w:marLeft w:val="0"/>
          <w:marRight w:val="0"/>
          <w:marTop w:val="0"/>
          <w:marBottom w:val="0"/>
          <w:divBdr>
            <w:top w:val="none" w:sz="0" w:space="0" w:color="auto"/>
            <w:left w:val="none" w:sz="0" w:space="0" w:color="auto"/>
            <w:bottom w:val="none" w:sz="0" w:space="0" w:color="auto"/>
            <w:right w:val="none" w:sz="0" w:space="0" w:color="auto"/>
          </w:divBdr>
          <w:divsChild>
            <w:div w:id="1600795719">
              <w:marLeft w:val="0"/>
              <w:marRight w:val="0"/>
              <w:marTop w:val="0"/>
              <w:marBottom w:val="0"/>
              <w:divBdr>
                <w:top w:val="none" w:sz="0" w:space="0" w:color="auto"/>
                <w:left w:val="none" w:sz="0" w:space="0" w:color="auto"/>
                <w:bottom w:val="none" w:sz="0" w:space="0" w:color="auto"/>
                <w:right w:val="none" w:sz="0" w:space="0" w:color="auto"/>
              </w:divBdr>
              <w:divsChild>
                <w:div w:id="6646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420376">
      <w:bodyDiv w:val="1"/>
      <w:marLeft w:val="0"/>
      <w:marRight w:val="0"/>
      <w:marTop w:val="0"/>
      <w:marBottom w:val="0"/>
      <w:divBdr>
        <w:top w:val="none" w:sz="0" w:space="0" w:color="auto"/>
        <w:left w:val="none" w:sz="0" w:space="0" w:color="auto"/>
        <w:bottom w:val="none" w:sz="0" w:space="0" w:color="auto"/>
        <w:right w:val="none" w:sz="0" w:space="0" w:color="auto"/>
      </w:divBdr>
    </w:div>
    <w:div w:id="542406312">
      <w:bodyDiv w:val="1"/>
      <w:marLeft w:val="0"/>
      <w:marRight w:val="0"/>
      <w:marTop w:val="0"/>
      <w:marBottom w:val="0"/>
      <w:divBdr>
        <w:top w:val="none" w:sz="0" w:space="0" w:color="auto"/>
        <w:left w:val="none" w:sz="0" w:space="0" w:color="auto"/>
        <w:bottom w:val="none" w:sz="0" w:space="0" w:color="auto"/>
        <w:right w:val="none" w:sz="0" w:space="0" w:color="auto"/>
      </w:divBdr>
    </w:div>
    <w:div w:id="553809326">
      <w:bodyDiv w:val="1"/>
      <w:marLeft w:val="0"/>
      <w:marRight w:val="0"/>
      <w:marTop w:val="0"/>
      <w:marBottom w:val="0"/>
      <w:divBdr>
        <w:top w:val="none" w:sz="0" w:space="0" w:color="auto"/>
        <w:left w:val="none" w:sz="0" w:space="0" w:color="auto"/>
        <w:bottom w:val="none" w:sz="0" w:space="0" w:color="auto"/>
        <w:right w:val="none" w:sz="0" w:space="0" w:color="auto"/>
      </w:divBdr>
    </w:div>
    <w:div w:id="579023000">
      <w:bodyDiv w:val="1"/>
      <w:marLeft w:val="0"/>
      <w:marRight w:val="0"/>
      <w:marTop w:val="0"/>
      <w:marBottom w:val="0"/>
      <w:divBdr>
        <w:top w:val="none" w:sz="0" w:space="0" w:color="auto"/>
        <w:left w:val="none" w:sz="0" w:space="0" w:color="auto"/>
        <w:bottom w:val="none" w:sz="0" w:space="0" w:color="auto"/>
        <w:right w:val="none" w:sz="0" w:space="0" w:color="auto"/>
      </w:divBdr>
      <w:divsChild>
        <w:div w:id="429160337">
          <w:marLeft w:val="0"/>
          <w:marRight w:val="0"/>
          <w:marTop w:val="0"/>
          <w:marBottom w:val="0"/>
          <w:divBdr>
            <w:top w:val="none" w:sz="0" w:space="0" w:color="auto"/>
            <w:left w:val="none" w:sz="0" w:space="0" w:color="auto"/>
            <w:bottom w:val="none" w:sz="0" w:space="0" w:color="auto"/>
            <w:right w:val="none" w:sz="0" w:space="0" w:color="auto"/>
          </w:divBdr>
          <w:divsChild>
            <w:div w:id="2020426921">
              <w:marLeft w:val="0"/>
              <w:marRight w:val="0"/>
              <w:marTop w:val="0"/>
              <w:marBottom w:val="0"/>
              <w:divBdr>
                <w:top w:val="none" w:sz="0" w:space="0" w:color="auto"/>
                <w:left w:val="none" w:sz="0" w:space="0" w:color="auto"/>
                <w:bottom w:val="none" w:sz="0" w:space="0" w:color="auto"/>
                <w:right w:val="none" w:sz="0" w:space="0" w:color="auto"/>
              </w:divBdr>
              <w:divsChild>
                <w:div w:id="13850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99266">
      <w:bodyDiv w:val="1"/>
      <w:marLeft w:val="0"/>
      <w:marRight w:val="0"/>
      <w:marTop w:val="0"/>
      <w:marBottom w:val="0"/>
      <w:divBdr>
        <w:top w:val="none" w:sz="0" w:space="0" w:color="auto"/>
        <w:left w:val="none" w:sz="0" w:space="0" w:color="auto"/>
        <w:bottom w:val="none" w:sz="0" w:space="0" w:color="auto"/>
        <w:right w:val="none" w:sz="0" w:space="0" w:color="auto"/>
      </w:divBdr>
      <w:divsChild>
        <w:div w:id="1821844223">
          <w:marLeft w:val="0"/>
          <w:marRight w:val="0"/>
          <w:marTop w:val="0"/>
          <w:marBottom w:val="0"/>
          <w:divBdr>
            <w:top w:val="none" w:sz="0" w:space="0" w:color="auto"/>
            <w:left w:val="none" w:sz="0" w:space="0" w:color="auto"/>
            <w:bottom w:val="none" w:sz="0" w:space="0" w:color="auto"/>
            <w:right w:val="none" w:sz="0" w:space="0" w:color="auto"/>
          </w:divBdr>
          <w:divsChild>
            <w:div w:id="1842113510">
              <w:marLeft w:val="375"/>
              <w:marRight w:val="375"/>
              <w:marTop w:val="0"/>
              <w:marBottom w:val="0"/>
              <w:divBdr>
                <w:top w:val="none" w:sz="0" w:space="0" w:color="auto"/>
                <w:left w:val="none" w:sz="0" w:space="0" w:color="auto"/>
                <w:bottom w:val="none" w:sz="0" w:space="0" w:color="auto"/>
                <w:right w:val="none" w:sz="0" w:space="0" w:color="auto"/>
              </w:divBdr>
              <w:divsChild>
                <w:div w:id="131668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08739">
      <w:bodyDiv w:val="1"/>
      <w:marLeft w:val="0"/>
      <w:marRight w:val="0"/>
      <w:marTop w:val="0"/>
      <w:marBottom w:val="0"/>
      <w:divBdr>
        <w:top w:val="none" w:sz="0" w:space="0" w:color="auto"/>
        <w:left w:val="none" w:sz="0" w:space="0" w:color="auto"/>
        <w:bottom w:val="none" w:sz="0" w:space="0" w:color="auto"/>
        <w:right w:val="none" w:sz="0" w:space="0" w:color="auto"/>
      </w:divBdr>
    </w:div>
    <w:div w:id="643198383">
      <w:bodyDiv w:val="1"/>
      <w:marLeft w:val="0"/>
      <w:marRight w:val="0"/>
      <w:marTop w:val="0"/>
      <w:marBottom w:val="0"/>
      <w:divBdr>
        <w:top w:val="none" w:sz="0" w:space="0" w:color="auto"/>
        <w:left w:val="none" w:sz="0" w:space="0" w:color="auto"/>
        <w:bottom w:val="none" w:sz="0" w:space="0" w:color="auto"/>
        <w:right w:val="none" w:sz="0" w:space="0" w:color="auto"/>
      </w:divBdr>
      <w:divsChild>
        <w:div w:id="1118916084">
          <w:marLeft w:val="0"/>
          <w:marRight w:val="0"/>
          <w:marTop w:val="0"/>
          <w:marBottom w:val="0"/>
          <w:divBdr>
            <w:top w:val="none" w:sz="0" w:space="0" w:color="auto"/>
            <w:left w:val="none" w:sz="0" w:space="0" w:color="auto"/>
            <w:bottom w:val="none" w:sz="0" w:space="0" w:color="auto"/>
            <w:right w:val="none" w:sz="0" w:space="0" w:color="auto"/>
          </w:divBdr>
          <w:divsChild>
            <w:div w:id="1194222027">
              <w:marLeft w:val="0"/>
              <w:marRight w:val="0"/>
              <w:marTop w:val="0"/>
              <w:marBottom w:val="0"/>
              <w:divBdr>
                <w:top w:val="none" w:sz="0" w:space="0" w:color="auto"/>
                <w:left w:val="none" w:sz="0" w:space="0" w:color="auto"/>
                <w:bottom w:val="none" w:sz="0" w:space="0" w:color="auto"/>
                <w:right w:val="none" w:sz="0" w:space="0" w:color="auto"/>
              </w:divBdr>
              <w:divsChild>
                <w:div w:id="1996298517">
                  <w:marLeft w:val="0"/>
                  <w:marRight w:val="0"/>
                  <w:marTop w:val="0"/>
                  <w:marBottom w:val="0"/>
                  <w:divBdr>
                    <w:top w:val="none" w:sz="0" w:space="0" w:color="auto"/>
                    <w:left w:val="none" w:sz="0" w:space="0" w:color="auto"/>
                    <w:bottom w:val="none" w:sz="0" w:space="0" w:color="auto"/>
                    <w:right w:val="none" w:sz="0" w:space="0" w:color="auto"/>
                  </w:divBdr>
                  <w:divsChild>
                    <w:div w:id="9229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77663">
      <w:bodyDiv w:val="1"/>
      <w:marLeft w:val="0"/>
      <w:marRight w:val="0"/>
      <w:marTop w:val="0"/>
      <w:marBottom w:val="0"/>
      <w:divBdr>
        <w:top w:val="none" w:sz="0" w:space="0" w:color="auto"/>
        <w:left w:val="none" w:sz="0" w:space="0" w:color="auto"/>
        <w:bottom w:val="none" w:sz="0" w:space="0" w:color="auto"/>
        <w:right w:val="none" w:sz="0" w:space="0" w:color="auto"/>
      </w:divBdr>
    </w:div>
    <w:div w:id="689137178">
      <w:bodyDiv w:val="1"/>
      <w:marLeft w:val="0"/>
      <w:marRight w:val="0"/>
      <w:marTop w:val="0"/>
      <w:marBottom w:val="0"/>
      <w:divBdr>
        <w:top w:val="none" w:sz="0" w:space="0" w:color="auto"/>
        <w:left w:val="none" w:sz="0" w:space="0" w:color="auto"/>
        <w:bottom w:val="none" w:sz="0" w:space="0" w:color="auto"/>
        <w:right w:val="none" w:sz="0" w:space="0" w:color="auto"/>
      </w:divBdr>
      <w:divsChild>
        <w:div w:id="2003005562">
          <w:marLeft w:val="0"/>
          <w:marRight w:val="0"/>
          <w:marTop w:val="0"/>
          <w:marBottom w:val="0"/>
          <w:divBdr>
            <w:top w:val="none" w:sz="0" w:space="0" w:color="auto"/>
            <w:left w:val="none" w:sz="0" w:space="0" w:color="auto"/>
            <w:bottom w:val="none" w:sz="0" w:space="0" w:color="auto"/>
            <w:right w:val="none" w:sz="0" w:space="0" w:color="auto"/>
          </w:divBdr>
          <w:divsChild>
            <w:div w:id="995458273">
              <w:marLeft w:val="0"/>
              <w:marRight w:val="0"/>
              <w:marTop w:val="0"/>
              <w:marBottom w:val="0"/>
              <w:divBdr>
                <w:top w:val="none" w:sz="0" w:space="0" w:color="auto"/>
                <w:left w:val="none" w:sz="0" w:space="0" w:color="auto"/>
                <w:bottom w:val="none" w:sz="0" w:space="0" w:color="auto"/>
                <w:right w:val="none" w:sz="0" w:space="0" w:color="auto"/>
              </w:divBdr>
              <w:divsChild>
                <w:div w:id="157558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252657">
      <w:bodyDiv w:val="1"/>
      <w:marLeft w:val="0"/>
      <w:marRight w:val="0"/>
      <w:marTop w:val="0"/>
      <w:marBottom w:val="0"/>
      <w:divBdr>
        <w:top w:val="none" w:sz="0" w:space="0" w:color="auto"/>
        <w:left w:val="none" w:sz="0" w:space="0" w:color="auto"/>
        <w:bottom w:val="none" w:sz="0" w:space="0" w:color="auto"/>
        <w:right w:val="none" w:sz="0" w:space="0" w:color="auto"/>
      </w:divBdr>
      <w:divsChild>
        <w:div w:id="1789667775">
          <w:marLeft w:val="0"/>
          <w:marRight w:val="0"/>
          <w:marTop w:val="0"/>
          <w:marBottom w:val="0"/>
          <w:divBdr>
            <w:top w:val="none" w:sz="0" w:space="0" w:color="auto"/>
            <w:left w:val="none" w:sz="0" w:space="0" w:color="auto"/>
            <w:bottom w:val="none" w:sz="0" w:space="0" w:color="auto"/>
            <w:right w:val="none" w:sz="0" w:space="0" w:color="auto"/>
          </w:divBdr>
          <w:divsChild>
            <w:div w:id="1950578719">
              <w:marLeft w:val="0"/>
              <w:marRight w:val="0"/>
              <w:marTop w:val="0"/>
              <w:marBottom w:val="0"/>
              <w:divBdr>
                <w:top w:val="none" w:sz="0" w:space="0" w:color="auto"/>
                <w:left w:val="none" w:sz="0" w:space="0" w:color="auto"/>
                <w:bottom w:val="none" w:sz="0" w:space="0" w:color="auto"/>
                <w:right w:val="none" w:sz="0" w:space="0" w:color="auto"/>
              </w:divBdr>
              <w:divsChild>
                <w:div w:id="147090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608920">
      <w:bodyDiv w:val="1"/>
      <w:marLeft w:val="0"/>
      <w:marRight w:val="0"/>
      <w:marTop w:val="0"/>
      <w:marBottom w:val="0"/>
      <w:divBdr>
        <w:top w:val="none" w:sz="0" w:space="0" w:color="auto"/>
        <w:left w:val="none" w:sz="0" w:space="0" w:color="auto"/>
        <w:bottom w:val="none" w:sz="0" w:space="0" w:color="auto"/>
        <w:right w:val="none" w:sz="0" w:space="0" w:color="auto"/>
      </w:divBdr>
      <w:divsChild>
        <w:div w:id="1059747626">
          <w:marLeft w:val="0"/>
          <w:marRight w:val="0"/>
          <w:marTop w:val="0"/>
          <w:marBottom w:val="0"/>
          <w:divBdr>
            <w:top w:val="none" w:sz="0" w:space="0" w:color="auto"/>
            <w:left w:val="none" w:sz="0" w:space="0" w:color="auto"/>
            <w:bottom w:val="none" w:sz="0" w:space="0" w:color="auto"/>
            <w:right w:val="none" w:sz="0" w:space="0" w:color="auto"/>
          </w:divBdr>
          <w:divsChild>
            <w:div w:id="1245529718">
              <w:marLeft w:val="0"/>
              <w:marRight w:val="0"/>
              <w:marTop w:val="0"/>
              <w:marBottom w:val="0"/>
              <w:divBdr>
                <w:top w:val="none" w:sz="0" w:space="0" w:color="auto"/>
                <w:left w:val="none" w:sz="0" w:space="0" w:color="auto"/>
                <w:bottom w:val="none" w:sz="0" w:space="0" w:color="auto"/>
                <w:right w:val="none" w:sz="0" w:space="0" w:color="auto"/>
              </w:divBdr>
              <w:divsChild>
                <w:div w:id="7512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073748">
      <w:bodyDiv w:val="1"/>
      <w:marLeft w:val="0"/>
      <w:marRight w:val="0"/>
      <w:marTop w:val="0"/>
      <w:marBottom w:val="0"/>
      <w:divBdr>
        <w:top w:val="none" w:sz="0" w:space="0" w:color="auto"/>
        <w:left w:val="none" w:sz="0" w:space="0" w:color="auto"/>
        <w:bottom w:val="none" w:sz="0" w:space="0" w:color="auto"/>
        <w:right w:val="none" w:sz="0" w:space="0" w:color="auto"/>
      </w:divBdr>
    </w:div>
    <w:div w:id="877543295">
      <w:bodyDiv w:val="1"/>
      <w:marLeft w:val="0"/>
      <w:marRight w:val="0"/>
      <w:marTop w:val="0"/>
      <w:marBottom w:val="0"/>
      <w:divBdr>
        <w:top w:val="none" w:sz="0" w:space="0" w:color="auto"/>
        <w:left w:val="none" w:sz="0" w:space="0" w:color="auto"/>
        <w:bottom w:val="none" w:sz="0" w:space="0" w:color="auto"/>
        <w:right w:val="none" w:sz="0" w:space="0" w:color="auto"/>
      </w:divBdr>
      <w:divsChild>
        <w:div w:id="1763642343">
          <w:marLeft w:val="0"/>
          <w:marRight w:val="0"/>
          <w:marTop w:val="0"/>
          <w:marBottom w:val="0"/>
          <w:divBdr>
            <w:top w:val="none" w:sz="0" w:space="0" w:color="auto"/>
            <w:left w:val="none" w:sz="0" w:space="0" w:color="auto"/>
            <w:bottom w:val="none" w:sz="0" w:space="0" w:color="auto"/>
            <w:right w:val="none" w:sz="0" w:space="0" w:color="auto"/>
          </w:divBdr>
          <w:divsChild>
            <w:div w:id="640579722">
              <w:marLeft w:val="0"/>
              <w:marRight w:val="0"/>
              <w:marTop w:val="0"/>
              <w:marBottom w:val="0"/>
              <w:divBdr>
                <w:top w:val="none" w:sz="0" w:space="0" w:color="auto"/>
                <w:left w:val="none" w:sz="0" w:space="0" w:color="auto"/>
                <w:bottom w:val="none" w:sz="0" w:space="0" w:color="auto"/>
                <w:right w:val="none" w:sz="0" w:space="0" w:color="auto"/>
              </w:divBdr>
              <w:divsChild>
                <w:div w:id="620844027">
                  <w:marLeft w:val="0"/>
                  <w:marRight w:val="0"/>
                  <w:marTop w:val="0"/>
                  <w:marBottom w:val="0"/>
                  <w:divBdr>
                    <w:top w:val="none" w:sz="0" w:space="0" w:color="auto"/>
                    <w:left w:val="none" w:sz="0" w:space="0" w:color="auto"/>
                    <w:bottom w:val="none" w:sz="0" w:space="0" w:color="auto"/>
                    <w:right w:val="none" w:sz="0" w:space="0" w:color="auto"/>
                  </w:divBdr>
                  <w:divsChild>
                    <w:div w:id="1201169175">
                      <w:marLeft w:val="0"/>
                      <w:marRight w:val="0"/>
                      <w:marTop w:val="0"/>
                      <w:marBottom w:val="0"/>
                      <w:divBdr>
                        <w:top w:val="none" w:sz="0" w:space="0" w:color="auto"/>
                        <w:left w:val="none" w:sz="0" w:space="0" w:color="auto"/>
                        <w:bottom w:val="none" w:sz="0" w:space="0" w:color="auto"/>
                        <w:right w:val="none" w:sz="0" w:space="0" w:color="auto"/>
                      </w:divBdr>
                    </w:div>
                    <w:div w:id="239170729">
                      <w:marLeft w:val="0"/>
                      <w:marRight w:val="0"/>
                      <w:marTop w:val="0"/>
                      <w:marBottom w:val="0"/>
                      <w:divBdr>
                        <w:top w:val="none" w:sz="0" w:space="0" w:color="auto"/>
                        <w:left w:val="none" w:sz="0" w:space="0" w:color="auto"/>
                        <w:bottom w:val="none" w:sz="0" w:space="0" w:color="auto"/>
                        <w:right w:val="none" w:sz="0" w:space="0" w:color="auto"/>
                      </w:divBdr>
                    </w:div>
                  </w:divsChild>
                </w:div>
                <w:div w:id="576864977">
                  <w:marLeft w:val="0"/>
                  <w:marRight w:val="0"/>
                  <w:marTop w:val="0"/>
                  <w:marBottom w:val="0"/>
                  <w:divBdr>
                    <w:top w:val="none" w:sz="0" w:space="0" w:color="auto"/>
                    <w:left w:val="none" w:sz="0" w:space="0" w:color="auto"/>
                    <w:bottom w:val="none" w:sz="0" w:space="0" w:color="auto"/>
                    <w:right w:val="none" w:sz="0" w:space="0" w:color="auto"/>
                  </w:divBdr>
                  <w:divsChild>
                    <w:div w:id="1613511925">
                      <w:marLeft w:val="0"/>
                      <w:marRight w:val="0"/>
                      <w:marTop w:val="0"/>
                      <w:marBottom w:val="0"/>
                      <w:divBdr>
                        <w:top w:val="none" w:sz="0" w:space="0" w:color="auto"/>
                        <w:left w:val="none" w:sz="0" w:space="0" w:color="auto"/>
                        <w:bottom w:val="none" w:sz="0" w:space="0" w:color="auto"/>
                        <w:right w:val="none" w:sz="0" w:space="0" w:color="auto"/>
                      </w:divBdr>
                    </w:div>
                  </w:divsChild>
                </w:div>
                <w:div w:id="1690526448">
                  <w:marLeft w:val="0"/>
                  <w:marRight w:val="0"/>
                  <w:marTop w:val="0"/>
                  <w:marBottom w:val="0"/>
                  <w:divBdr>
                    <w:top w:val="none" w:sz="0" w:space="0" w:color="auto"/>
                    <w:left w:val="none" w:sz="0" w:space="0" w:color="auto"/>
                    <w:bottom w:val="none" w:sz="0" w:space="0" w:color="auto"/>
                    <w:right w:val="none" w:sz="0" w:space="0" w:color="auto"/>
                  </w:divBdr>
                  <w:divsChild>
                    <w:div w:id="18742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424634">
      <w:bodyDiv w:val="1"/>
      <w:marLeft w:val="0"/>
      <w:marRight w:val="0"/>
      <w:marTop w:val="0"/>
      <w:marBottom w:val="0"/>
      <w:divBdr>
        <w:top w:val="none" w:sz="0" w:space="0" w:color="auto"/>
        <w:left w:val="none" w:sz="0" w:space="0" w:color="auto"/>
        <w:bottom w:val="none" w:sz="0" w:space="0" w:color="auto"/>
        <w:right w:val="none" w:sz="0" w:space="0" w:color="auto"/>
      </w:divBdr>
    </w:div>
    <w:div w:id="908925252">
      <w:bodyDiv w:val="1"/>
      <w:marLeft w:val="0"/>
      <w:marRight w:val="0"/>
      <w:marTop w:val="0"/>
      <w:marBottom w:val="0"/>
      <w:divBdr>
        <w:top w:val="none" w:sz="0" w:space="0" w:color="auto"/>
        <w:left w:val="none" w:sz="0" w:space="0" w:color="auto"/>
        <w:bottom w:val="none" w:sz="0" w:space="0" w:color="auto"/>
        <w:right w:val="none" w:sz="0" w:space="0" w:color="auto"/>
      </w:divBdr>
      <w:divsChild>
        <w:div w:id="2127457863">
          <w:marLeft w:val="0"/>
          <w:marRight w:val="0"/>
          <w:marTop w:val="0"/>
          <w:marBottom w:val="0"/>
          <w:divBdr>
            <w:top w:val="none" w:sz="0" w:space="0" w:color="auto"/>
            <w:left w:val="none" w:sz="0" w:space="0" w:color="auto"/>
            <w:bottom w:val="none" w:sz="0" w:space="0" w:color="auto"/>
            <w:right w:val="none" w:sz="0" w:space="0" w:color="auto"/>
          </w:divBdr>
          <w:divsChild>
            <w:div w:id="1241670122">
              <w:marLeft w:val="0"/>
              <w:marRight w:val="0"/>
              <w:marTop w:val="0"/>
              <w:marBottom w:val="0"/>
              <w:divBdr>
                <w:top w:val="none" w:sz="0" w:space="0" w:color="auto"/>
                <w:left w:val="none" w:sz="0" w:space="0" w:color="auto"/>
                <w:bottom w:val="none" w:sz="0" w:space="0" w:color="auto"/>
                <w:right w:val="none" w:sz="0" w:space="0" w:color="auto"/>
              </w:divBdr>
              <w:divsChild>
                <w:div w:id="87904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081589">
      <w:bodyDiv w:val="1"/>
      <w:marLeft w:val="0"/>
      <w:marRight w:val="0"/>
      <w:marTop w:val="0"/>
      <w:marBottom w:val="0"/>
      <w:divBdr>
        <w:top w:val="none" w:sz="0" w:space="0" w:color="auto"/>
        <w:left w:val="none" w:sz="0" w:space="0" w:color="auto"/>
        <w:bottom w:val="none" w:sz="0" w:space="0" w:color="auto"/>
        <w:right w:val="none" w:sz="0" w:space="0" w:color="auto"/>
      </w:divBdr>
      <w:divsChild>
        <w:div w:id="1428620970">
          <w:marLeft w:val="0"/>
          <w:marRight w:val="0"/>
          <w:marTop w:val="0"/>
          <w:marBottom w:val="0"/>
          <w:divBdr>
            <w:top w:val="none" w:sz="0" w:space="0" w:color="auto"/>
            <w:left w:val="none" w:sz="0" w:space="0" w:color="auto"/>
            <w:bottom w:val="none" w:sz="0" w:space="0" w:color="auto"/>
            <w:right w:val="none" w:sz="0" w:space="0" w:color="auto"/>
          </w:divBdr>
          <w:divsChild>
            <w:div w:id="818234238">
              <w:marLeft w:val="0"/>
              <w:marRight w:val="0"/>
              <w:marTop w:val="0"/>
              <w:marBottom w:val="0"/>
              <w:divBdr>
                <w:top w:val="none" w:sz="0" w:space="0" w:color="auto"/>
                <w:left w:val="none" w:sz="0" w:space="0" w:color="auto"/>
                <w:bottom w:val="none" w:sz="0" w:space="0" w:color="auto"/>
                <w:right w:val="none" w:sz="0" w:space="0" w:color="auto"/>
              </w:divBdr>
              <w:divsChild>
                <w:div w:id="1349067489">
                  <w:marLeft w:val="0"/>
                  <w:marRight w:val="0"/>
                  <w:marTop w:val="0"/>
                  <w:marBottom w:val="0"/>
                  <w:divBdr>
                    <w:top w:val="none" w:sz="0" w:space="0" w:color="auto"/>
                    <w:left w:val="none" w:sz="0" w:space="0" w:color="auto"/>
                    <w:bottom w:val="none" w:sz="0" w:space="0" w:color="auto"/>
                    <w:right w:val="none" w:sz="0" w:space="0" w:color="auto"/>
                  </w:divBdr>
                  <w:divsChild>
                    <w:div w:id="18274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128826">
      <w:bodyDiv w:val="1"/>
      <w:marLeft w:val="0"/>
      <w:marRight w:val="0"/>
      <w:marTop w:val="0"/>
      <w:marBottom w:val="0"/>
      <w:divBdr>
        <w:top w:val="none" w:sz="0" w:space="0" w:color="auto"/>
        <w:left w:val="none" w:sz="0" w:space="0" w:color="auto"/>
        <w:bottom w:val="none" w:sz="0" w:space="0" w:color="auto"/>
        <w:right w:val="none" w:sz="0" w:space="0" w:color="auto"/>
      </w:divBdr>
      <w:divsChild>
        <w:div w:id="1806578069">
          <w:marLeft w:val="0"/>
          <w:marRight w:val="0"/>
          <w:marTop w:val="0"/>
          <w:marBottom w:val="0"/>
          <w:divBdr>
            <w:top w:val="none" w:sz="0" w:space="0" w:color="auto"/>
            <w:left w:val="none" w:sz="0" w:space="0" w:color="auto"/>
            <w:bottom w:val="none" w:sz="0" w:space="0" w:color="auto"/>
            <w:right w:val="none" w:sz="0" w:space="0" w:color="auto"/>
          </w:divBdr>
          <w:divsChild>
            <w:div w:id="210117380">
              <w:marLeft w:val="0"/>
              <w:marRight w:val="0"/>
              <w:marTop w:val="0"/>
              <w:marBottom w:val="0"/>
              <w:divBdr>
                <w:top w:val="none" w:sz="0" w:space="0" w:color="auto"/>
                <w:left w:val="none" w:sz="0" w:space="0" w:color="auto"/>
                <w:bottom w:val="none" w:sz="0" w:space="0" w:color="auto"/>
                <w:right w:val="none" w:sz="0" w:space="0" w:color="auto"/>
              </w:divBdr>
              <w:divsChild>
                <w:div w:id="51269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034092">
      <w:bodyDiv w:val="1"/>
      <w:marLeft w:val="0"/>
      <w:marRight w:val="0"/>
      <w:marTop w:val="0"/>
      <w:marBottom w:val="0"/>
      <w:divBdr>
        <w:top w:val="none" w:sz="0" w:space="0" w:color="auto"/>
        <w:left w:val="none" w:sz="0" w:space="0" w:color="auto"/>
        <w:bottom w:val="none" w:sz="0" w:space="0" w:color="auto"/>
        <w:right w:val="none" w:sz="0" w:space="0" w:color="auto"/>
      </w:divBdr>
      <w:divsChild>
        <w:div w:id="1495994741">
          <w:marLeft w:val="0"/>
          <w:marRight w:val="0"/>
          <w:marTop w:val="0"/>
          <w:marBottom w:val="0"/>
          <w:divBdr>
            <w:top w:val="none" w:sz="0" w:space="0" w:color="auto"/>
            <w:left w:val="none" w:sz="0" w:space="0" w:color="auto"/>
            <w:bottom w:val="none" w:sz="0" w:space="0" w:color="auto"/>
            <w:right w:val="none" w:sz="0" w:space="0" w:color="auto"/>
          </w:divBdr>
          <w:divsChild>
            <w:div w:id="1018847174">
              <w:marLeft w:val="0"/>
              <w:marRight w:val="0"/>
              <w:marTop w:val="0"/>
              <w:marBottom w:val="0"/>
              <w:divBdr>
                <w:top w:val="none" w:sz="0" w:space="0" w:color="auto"/>
                <w:left w:val="none" w:sz="0" w:space="0" w:color="auto"/>
                <w:bottom w:val="none" w:sz="0" w:space="0" w:color="auto"/>
                <w:right w:val="none" w:sz="0" w:space="0" w:color="auto"/>
              </w:divBdr>
              <w:divsChild>
                <w:div w:id="1472819753">
                  <w:marLeft w:val="0"/>
                  <w:marRight w:val="0"/>
                  <w:marTop w:val="0"/>
                  <w:marBottom w:val="0"/>
                  <w:divBdr>
                    <w:top w:val="none" w:sz="0" w:space="0" w:color="auto"/>
                    <w:left w:val="none" w:sz="0" w:space="0" w:color="auto"/>
                    <w:bottom w:val="none" w:sz="0" w:space="0" w:color="auto"/>
                    <w:right w:val="none" w:sz="0" w:space="0" w:color="auto"/>
                  </w:divBdr>
                  <w:divsChild>
                    <w:div w:id="117480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229533">
      <w:bodyDiv w:val="1"/>
      <w:marLeft w:val="0"/>
      <w:marRight w:val="0"/>
      <w:marTop w:val="0"/>
      <w:marBottom w:val="0"/>
      <w:divBdr>
        <w:top w:val="none" w:sz="0" w:space="0" w:color="auto"/>
        <w:left w:val="none" w:sz="0" w:space="0" w:color="auto"/>
        <w:bottom w:val="none" w:sz="0" w:space="0" w:color="auto"/>
        <w:right w:val="none" w:sz="0" w:space="0" w:color="auto"/>
      </w:divBdr>
      <w:divsChild>
        <w:div w:id="1709641040">
          <w:marLeft w:val="0"/>
          <w:marRight w:val="0"/>
          <w:marTop w:val="0"/>
          <w:marBottom w:val="0"/>
          <w:divBdr>
            <w:top w:val="none" w:sz="0" w:space="0" w:color="auto"/>
            <w:left w:val="none" w:sz="0" w:space="0" w:color="auto"/>
            <w:bottom w:val="none" w:sz="0" w:space="0" w:color="auto"/>
            <w:right w:val="none" w:sz="0" w:space="0" w:color="auto"/>
          </w:divBdr>
          <w:divsChild>
            <w:div w:id="1273318878">
              <w:marLeft w:val="0"/>
              <w:marRight w:val="0"/>
              <w:marTop w:val="0"/>
              <w:marBottom w:val="0"/>
              <w:divBdr>
                <w:top w:val="none" w:sz="0" w:space="0" w:color="auto"/>
                <w:left w:val="none" w:sz="0" w:space="0" w:color="auto"/>
                <w:bottom w:val="none" w:sz="0" w:space="0" w:color="auto"/>
                <w:right w:val="none" w:sz="0" w:space="0" w:color="auto"/>
              </w:divBdr>
              <w:divsChild>
                <w:div w:id="158610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946762">
      <w:bodyDiv w:val="1"/>
      <w:marLeft w:val="0"/>
      <w:marRight w:val="0"/>
      <w:marTop w:val="0"/>
      <w:marBottom w:val="0"/>
      <w:divBdr>
        <w:top w:val="none" w:sz="0" w:space="0" w:color="auto"/>
        <w:left w:val="none" w:sz="0" w:space="0" w:color="auto"/>
        <w:bottom w:val="none" w:sz="0" w:space="0" w:color="auto"/>
        <w:right w:val="none" w:sz="0" w:space="0" w:color="auto"/>
      </w:divBdr>
      <w:divsChild>
        <w:div w:id="136459129">
          <w:marLeft w:val="0"/>
          <w:marRight w:val="0"/>
          <w:marTop w:val="0"/>
          <w:marBottom w:val="0"/>
          <w:divBdr>
            <w:top w:val="none" w:sz="0" w:space="0" w:color="auto"/>
            <w:left w:val="none" w:sz="0" w:space="0" w:color="auto"/>
            <w:bottom w:val="none" w:sz="0" w:space="0" w:color="auto"/>
            <w:right w:val="none" w:sz="0" w:space="0" w:color="auto"/>
          </w:divBdr>
          <w:divsChild>
            <w:div w:id="1971401618">
              <w:marLeft w:val="0"/>
              <w:marRight w:val="0"/>
              <w:marTop w:val="0"/>
              <w:marBottom w:val="0"/>
              <w:divBdr>
                <w:top w:val="none" w:sz="0" w:space="0" w:color="auto"/>
                <w:left w:val="none" w:sz="0" w:space="0" w:color="auto"/>
                <w:bottom w:val="none" w:sz="0" w:space="0" w:color="auto"/>
                <w:right w:val="none" w:sz="0" w:space="0" w:color="auto"/>
              </w:divBdr>
              <w:divsChild>
                <w:div w:id="276105500">
                  <w:marLeft w:val="0"/>
                  <w:marRight w:val="0"/>
                  <w:marTop w:val="0"/>
                  <w:marBottom w:val="0"/>
                  <w:divBdr>
                    <w:top w:val="none" w:sz="0" w:space="0" w:color="auto"/>
                    <w:left w:val="none" w:sz="0" w:space="0" w:color="auto"/>
                    <w:bottom w:val="none" w:sz="0" w:space="0" w:color="auto"/>
                    <w:right w:val="none" w:sz="0" w:space="0" w:color="auto"/>
                  </w:divBdr>
                  <w:divsChild>
                    <w:div w:id="13953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726350">
      <w:bodyDiv w:val="1"/>
      <w:marLeft w:val="0"/>
      <w:marRight w:val="0"/>
      <w:marTop w:val="0"/>
      <w:marBottom w:val="0"/>
      <w:divBdr>
        <w:top w:val="none" w:sz="0" w:space="0" w:color="auto"/>
        <w:left w:val="none" w:sz="0" w:space="0" w:color="auto"/>
        <w:bottom w:val="none" w:sz="0" w:space="0" w:color="auto"/>
        <w:right w:val="none" w:sz="0" w:space="0" w:color="auto"/>
      </w:divBdr>
      <w:divsChild>
        <w:div w:id="1361317247">
          <w:marLeft w:val="0"/>
          <w:marRight w:val="0"/>
          <w:marTop w:val="0"/>
          <w:marBottom w:val="0"/>
          <w:divBdr>
            <w:top w:val="none" w:sz="0" w:space="0" w:color="auto"/>
            <w:left w:val="none" w:sz="0" w:space="0" w:color="auto"/>
            <w:bottom w:val="none" w:sz="0" w:space="0" w:color="auto"/>
            <w:right w:val="none" w:sz="0" w:space="0" w:color="auto"/>
          </w:divBdr>
          <w:divsChild>
            <w:div w:id="1061558362">
              <w:marLeft w:val="0"/>
              <w:marRight w:val="0"/>
              <w:marTop w:val="0"/>
              <w:marBottom w:val="0"/>
              <w:divBdr>
                <w:top w:val="none" w:sz="0" w:space="0" w:color="auto"/>
                <w:left w:val="none" w:sz="0" w:space="0" w:color="auto"/>
                <w:bottom w:val="none" w:sz="0" w:space="0" w:color="auto"/>
                <w:right w:val="none" w:sz="0" w:space="0" w:color="auto"/>
              </w:divBdr>
              <w:divsChild>
                <w:div w:id="5072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823225">
      <w:bodyDiv w:val="1"/>
      <w:marLeft w:val="0"/>
      <w:marRight w:val="0"/>
      <w:marTop w:val="0"/>
      <w:marBottom w:val="0"/>
      <w:divBdr>
        <w:top w:val="none" w:sz="0" w:space="0" w:color="auto"/>
        <w:left w:val="none" w:sz="0" w:space="0" w:color="auto"/>
        <w:bottom w:val="none" w:sz="0" w:space="0" w:color="auto"/>
        <w:right w:val="none" w:sz="0" w:space="0" w:color="auto"/>
      </w:divBdr>
      <w:divsChild>
        <w:div w:id="1026641307">
          <w:marLeft w:val="0"/>
          <w:marRight w:val="0"/>
          <w:marTop w:val="0"/>
          <w:marBottom w:val="0"/>
          <w:divBdr>
            <w:top w:val="none" w:sz="0" w:space="0" w:color="auto"/>
            <w:left w:val="none" w:sz="0" w:space="0" w:color="auto"/>
            <w:bottom w:val="none" w:sz="0" w:space="0" w:color="auto"/>
            <w:right w:val="none" w:sz="0" w:space="0" w:color="auto"/>
          </w:divBdr>
          <w:divsChild>
            <w:div w:id="32117032">
              <w:marLeft w:val="0"/>
              <w:marRight w:val="0"/>
              <w:marTop w:val="0"/>
              <w:marBottom w:val="0"/>
              <w:divBdr>
                <w:top w:val="none" w:sz="0" w:space="0" w:color="auto"/>
                <w:left w:val="none" w:sz="0" w:space="0" w:color="auto"/>
                <w:bottom w:val="none" w:sz="0" w:space="0" w:color="auto"/>
                <w:right w:val="none" w:sz="0" w:space="0" w:color="auto"/>
              </w:divBdr>
              <w:divsChild>
                <w:div w:id="50262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105932">
      <w:bodyDiv w:val="1"/>
      <w:marLeft w:val="0"/>
      <w:marRight w:val="0"/>
      <w:marTop w:val="0"/>
      <w:marBottom w:val="0"/>
      <w:divBdr>
        <w:top w:val="none" w:sz="0" w:space="0" w:color="auto"/>
        <w:left w:val="none" w:sz="0" w:space="0" w:color="auto"/>
        <w:bottom w:val="none" w:sz="0" w:space="0" w:color="auto"/>
        <w:right w:val="none" w:sz="0" w:space="0" w:color="auto"/>
      </w:divBdr>
      <w:divsChild>
        <w:div w:id="865295561">
          <w:marLeft w:val="0"/>
          <w:marRight w:val="0"/>
          <w:marTop w:val="0"/>
          <w:marBottom w:val="0"/>
          <w:divBdr>
            <w:top w:val="none" w:sz="0" w:space="0" w:color="auto"/>
            <w:left w:val="none" w:sz="0" w:space="0" w:color="auto"/>
            <w:bottom w:val="none" w:sz="0" w:space="0" w:color="auto"/>
            <w:right w:val="none" w:sz="0" w:space="0" w:color="auto"/>
          </w:divBdr>
          <w:divsChild>
            <w:div w:id="1822308037">
              <w:marLeft w:val="0"/>
              <w:marRight w:val="0"/>
              <w:marTop w:val="0"/>
              <w:marBottom w:val="0"/>
              <w:divBdr>
                <w:top w:val="none" w:sz="0" w:space="0" w:color="auto"/>
                <w:left w:val="none" w:sz="0" w:space="0" w:color="auto"/>
                <w:bottom w:val="none" w:sz="0" w:space="0" w:color="auto"/>
                <w:right w:val="none" w:sz="0" w:space="0" w:color="auto"/>
              </w:divBdr>
              <w:divsChild>
                <w:div w:id="9210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62443">
      <w:bodyDiv w:val="1"/>
      <w:marLeft w:val="0"/>
      <w:marRight w:val="0"/>
      <w:marTop w:val="0"/>
      <w:marBottom w:val="0"/>
      <w:divBdr>
        <w:top w:val="none" w:sz="0" w:space="0" w:color="auto"/>
        <w:left w:val="none" w:sz="0" w:space="0" w:color="auto"/>
        <w:bottom w:val="none" w:sz="0" w:space="0" w:color="auto"/>
        <w:right w:val="none" w:sz="0" w:space="0" w:color="auto"/>
      </w:divBdr>
      <w:divsChild>
        <w:div w:id="2083792757">
          <w:marLeft w:val="0"/>
          <w:marRight w:val="0"/>
          <w:marTop w:val="0"/>
          <w:marBottom w:val="0"/>
          <w:divBdr>
            <w:top w:val="none" w:sz="0" w:space="0" w:color="auto"/>
            <w:left w:val="none" w:sz="0" w:space="0" w:color="auto"/>
            <w:bottom w:val="none" w:sz="0" w:space="0" w:color="auto"/>
            <w:right w:val="none" w:sz="0" w:space="0" w:color="auto"/>
          </w:divBdr>
          <w:divsChild>
            <w:div w:id="1120035223">
              <w:marLeft w:val="0"/>
              <w:marRight w:val="0"/>
              <w:marTop w:val="0"/>
              <w:marBottom w:val="0"/>
              <w:divBdr>
                <w:top w:val="none" w:sz="0" w:space="0" w:color="auto"/>
                <w:left w:val="none" w:sz="0" w:space="0" w:color="auto"/>
                <w:bottom w:val="none" w:sz="0" w:space="0" w:color="auto"/>
                <w:right w:val="none" w:sz="0" w:space="0" w:color="auto"/>
              </w:divBdr>
              <w:divsChild>
                <w:div w:id="173828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033944">
      <w:bodyDiv w:val="1"/>
      <w:marLeft w:val="0"/>
      <w:marRight w:val="0"/>
      <w:marTop w:val="0"/>
      <w:marBottom w:val="0"/>
      <w:divBdr>
        <w:top w:val="none" w:sz="0" w:space="0" w:color="auto"/>
        <w:left w:val="none" w:sz="0" w:space="0" w:color="auto"/>
        <w:bottom w:val="none" w:sz="0" w:space="0" w:color="auto"/>
        <w:right w:val="none" w:sz="0" w:space="0" w:color="auto"/>
      </w:divBdr>
      <w:divsChild>
        <w:div w:id="929852966">
          <w:marLeft w:val="0"/>
          <w:marRight w:val="0"/>
          <w:marTop w:val="0"/>
          <w:marBottom w:val="0"/>
          <w:divBdr>
            <w:top w:val="none" w:sz="0" w:space="0" w:color="auto"/>
            <w:left w:val="none" w:sz="0" w:space="0" w:color="auto"/>
            <w:bottom w:val="none" w:sz="0" w:space="0" w:color="auto"/>
            <w:right w:val="none" w:sz="0" w:space="0" w:color="auto"/>
          </w:divBdr>
          <w:divsChild>
            <w:div w:id="730731586">
              <w:marLeft w:val="0"/>
              <w:marRight w:val="0"/>
              <w:marTop w:val="0"/>
              <w:marBottom w:val="0"/>
              <w:divBdr>
                <w:top w:val="none" w:sz="0" w:space="0" w:color="auto"/>
                <w:left w:val="none" w:sz="0" w:space="0" w:color="auto"/>
                <w:bottom w:val="none" w:sz="0" w:space="0" w:color="auto"/>
                <w:right w:val="none" w:sz="0" w:space="0" w:color="auto"/>
              </w:divBdr>
              <w:divsChild>
                <w:div w:id="65831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629118">
      <w:bodyDiv w:val="1"/>
      <w:marLeft w:val="0"/>
      <w:marRight w:val="0"/>
      <w:marTop w:val="0"/>
      <w:marBottom w:val="0"/>
      <w:divBdr>
        <w:top w:val="none" w:sz="0" w:space="0" w:color="auto"/>
        <w:left w:val="none" w:sz="0" w:space="0" w:color="auto"/>
        <w:bottom w:val="none" w:sz="0" w:space="0" w:color="auto"/>
        <w:right w:val="none" w:sz="0" w:space="0" w:color="auto"/>
      </w:divBdr>
    </w:div>
    <w:div w:id="1270089466">
      <w:bodyDiv w:val="1"/>
      <w:marLeft w:val="0"/>
      <w:marRight w:val="0"/>
      <w:marTop w:val="0"/>
      <w:marBottom w:val="0"/>
      <w:divBdr>
        <w:top w:val="none" w:sz="0" w:space="0" w:color="auto"/>
        <w:left w:val="none" w:sz="0" w:space="0" w:color="auto"/>
        <w:bottom w:val="none" w:sz="0" w:space="0" w:color="auto"/>
        <w:right w:val="none" w:sz="0" w:space="0" w:color="auto"/>
      </w:divBdr>
      <w:divsChild>
        <w:div w:id="1066026277">
          <w:marLeft w:val="0"/>
          <w:marRight w:val="0"/>
          <w:marTop w:val="0"/>
          <w:marBottom w:val="0"/>
          <w:divBdr>
            <w:top w:val="none" w:sz="0" w:space="0" w:color="auto"/>
            <w:left w:val="none" w:sz="0" w:space="0" w:color="auto"/>
            <w:bottom w:val="none" w:sz="0" w:space="0" w:color="auto"/>
            <w:right w:val="none" w:sz="0" w:space="0" w:color="auto"/>
          </w:divBdr>
          <w:divsChild>
            <w:div w:id="1395857898">
              <w:marLeft w:val="0"/>
              <w:marRight w:val="0"/>
              <w:marTop w:val="0"/>
              <w:marBottom w:val="0"/>
              <w:divBdr>
                <w:top w:val="none" w:sz="0" w:space="0" w:color="auto"/>
                <w:left w:val="none" w:sz="0" w:space="0" w:color="auto"/>
                <w:bottom w:val="none" w:sz="0" w:space="0" w:color="auto"/>
                <w:right w:val="none" w:sz="0" w:space="0" w:color="auto"/>
              </w:divBdr>
              <w:divsChild>
                <w:div w:id="11847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96597">
      <w:bodyDiv w:val="1"/>
      <w:marLeft w:val="0"/>
      <w:marRight w:val="0"/>
      <w:marTop w:val="0"/>
      <w:marBottom w:val="0"/>
      <w:divBdr>
        <w:top w:val="none" w:sz="0" w:space="0" w:color="auto"/>
        <w:left w:val="none" w:sz="0" w:space="0" w:color="auto"/>
        <w:bottom w:val="none" w:sz="0" w:space="0" w:color="auto"/>
        <w:right w:val="none" w:sz="0" w:space="0" w:color="auto"/>
      </w:divBdr>
      <w:divsChild>
        <w:div w:id="577372736">
          <w:marLeft w:val="0"/>
          <w:marRight w:val="0"/>
          <w:marTop w:val="0"/>
          <w:marBottom w:val="0"/>
          <w:divBdr>
            <w:top w:val="none" w:sz="0" w:space="0" w:color="auto"/>
            <w:left w:val="none" w:sz="0" w:space="0" w:color="auto"/>
            <w:bottom w:val="none" w:sz="0" w:space="0" w:color="auto"/>
            <w:right w:val="none" w:sz="0" w:space="0" w:color="auto"/>
          </w:divBdr>
          <w:divsChild>
            <w:div w:id="1496603335">
              <w:marLeft w:val="0"/>
              <w:marRight w:val="0"/>
              <w:marTop w:val="0"/>
              <w:marBottom w:val="0"/>
              <w:divBdr>
                <w:top w:val="none" w:sz="0" w:space="0" w:color="auto"/>
                <w:left w:val="none" w:sz="0" w:space="0" w:color="auto"/>
                <w:bottom w:val="none" w:sz="0" w:space="0" w:color="auto"/>
                <w:right w:val="none" w:sz="0" w:space="0" w:color="auto"/>
              </w:divBdr>
              <w:divsChild>
                <w:div w:id="7759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31111">
      <w:bodyDiv w:val="1"/>
      <w:marLeft w:val="0"/>
      <w:marRight w:val="0"/>
      <w:marTop w:val="0"/>
      <w:marBottom w:val="0"/>
      <w:divBdr>
        <w:top w:val="none" w:sz="0" w:space="0" w:color="auto"/>
        <w:left w:val="none" w:sz="0" w:space="0" w:color="auto"/>
        <w:bottom w:val="none" w:sz="0" w:space="0" w:color="auto"/>
        <w:right w:val="none" w:sz="0" w:space="0" w:color="auto"/>
      </w:divBdr>
      <w:divsChild>
        <w:div w:id="1222596526">
          <w:marLeft w:val="0"/>
          <w:marRight w:val="0"/>
          <w:marTop w:val="0"/>
          <w:marBottom w:val="0"/>
          <w:divBdr>
            <w:top w:val="none" w:sz="0" w:space="0" w:color="auto"/>
            <w:left w:val="none" w:sz="0" w:space="0" w:color="auto"/>
            <w:bottom w:val="none" w:sz="0" w:space="0" w:color="auto"/>
            <w:right w:val="none" w:sz="0" w:space="0" w:color="auto"/>
          </w:divBdr>
          <w:divsChild>
            <w:div w:id="1215042119">
              <w:marLeft w:val="0"/>
              <w:marRight w:val="0"/>
              <w:marTop w:val="0"/>
              <w:marBottom w:val="0"/>
              <w:divBdr>
                <w:top w:val="none" w:sz="0" w:space="0" w:color="auto"/>
                <w:left w:val="none" w:sz="0" w:space="0" w:color="auto"/>
                <w:bottom w:val="none" w:sz="0" w:space="0" w:color="auto"/>
                <w:right w:val="none" w:sz="0" w:space="0" w:color="auto"/>
              </w:divBdr>
              <w:divsChild>
                <w:div w:id="17424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88063">
      <w:bodyDiv w:val="1"/>
      <w:marLeft w:val="0"/>
      <w:marRight w:val="0"/>
      <w:marTop w:val="0"/>
      <w:marBottom w:val="0"/>
      <w:divBdr>
        <w:top w:val="none" w:sz="0" w:space="0" w:color="auto"/>
        <w:left w:val="none" w:sz="0" w:space="0" w:color="auto"/>
        <w:bottom w:val="none" w:sz="0" w:space="0" w:color="auto"/>
        <w:right w:val="none" w:sz="0" w:space="0" w:color="auto"/>
      </w:divBdr>
      <w:divsChild>
        <w:div w:id="1284384803">
          <w:marLeft w:val="0"/>
          <w:marRight w:val="0"/>
          <w:marTop w:val="0"/>
          <w:marBottom w:val="0"/>
          <w:divBdr>
            <w:top w:val="none" w:sz="0" w:space="0" w:color="auto"/>
            <w:left w:val="none" w:sz="0" w:space="0" w:color="auto"/>
            <w:bottom w:val="none" w:sz="0" w:space="0" w:color="auto"/>
            <w:right w:val="none" w:sz="0" w:space="0" w:color="auto"/>
          </w:divBdr>
          <w:divsChild>
            <w:div w:id="72090936">
              <w:marLeft w:val="0"/>
              <w:marRight w:val="0"/>
              <w:marTop w:val="0"/>
              <w:marBottom w:val="0"/>
              <w:divBdr>
                <w:top w:val="none" w:sz="0" w:space="0" w:color="auto"/>
                <w:left w:val="none" w:sz="0" w:space="0" w:color="auto"/>
                <w:bottom w:val="none" w:sz="0" w:space="0" w:color="auto"/>
                <w:right w:val="none" w:sz="0" w:space="0" w:color="auto"/>
              </w:divBdr>
              <w:divsChild>
                <w:div w:id="868757894">
                  <w:marLeft w:val="0"/>
                  <w:marRight w:val="0"/>
                  <w:marTop w:val="0"/>
                  <w:marBottom w:val="0"/>
                  <w:divBdr>
                    <w:top w:val="none" w:sz="0" w:space="0" w:color="auto"/>
                    <w:left w:val="none" w:sz="0" w:space="0" w:color="auto"/>
                    <w:bottom w:val="none" w:sz="0" w:space="0" w:color="auto"/>
                    <w:right w:val="none" w:sz="0" w:space="0" w:color="auto"/>
                  </w:divBdr>
                  <w:divsChild>
                    <w:div w:id="67207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17565">
      <w:bodyDiv w:val="1"/>
      <w:marLeft w:val="0"/>
      <w:marRight w:val="0"/>
      <w:marTop w:val="0"/>
      <w:marBottom w:val="0"/>
      <w:divBdr>
        <w:top w:val="none" w:sz="0" w:space="0" w:color="auto"/>
        <w:left w:val="none" w:sz="0" w:space="0" w:color="auto"/>
        <w:bottom w:val="none" w:sz="0" w:space="0" w:color="auto"/>
        <w:right w:val="none" w:sz="0" w:space="0" w:color="auto"/>
      </w:divBdr>
    </w:div>
    <w:div w:id="1457984494">
      <w:bodyDiv w:val="1"/>
      <w:marLeft w:val="0"/>
      <w:marRight w:val="0"/>
      <w:marTop w:val="0"/>
      <w:marBottom w:val="0"/>
      <w:divBdr>
        <w:top w:val="none" w:sz="0" w:space="0" w:color="auto"/>
        <w:left w:val="none" w:sz="0" w:space="0" w:color="auto"/>
        <w:bottom w:val="none" w:sz="0" w:space="0" w:color="auto"/>
        <w:right w:val="none" w:sz="0" w:space="0" w:color="auto"/>
      </w:divBdr>
    </w:div>
    <w:div w:id="1464812227">
      <w:bodyDiv w:val="1"/>
      <w:marLeft w:val="0"/>
      <w:marRight w:val="0"/>
      <w:marTop w:val="0"/>
      <w:marBottom w:val="0"/>
      <w:divBdr>
        <w:top w:val="none" w:sz="0" w:space="0" w:color="auto"/>
        <w:left w:val="none" w:sz="0" w:space="0" w:color="auto"/>
        <w:bottom w:val="none" w:sz="0" w:space="0" w:color="auto"/>
        <w:right w:val="none" w:sz="0" w:space="0" w:color="auto"/>
      </w:divBdr>
      <w:divsChild>
        <w:div w:id="1983774986">
          <w:marLeft w:val="0"/>
          <w:marRight w:val="0"/>
          <w:marTop w:val="0"/>
          <w:marBottom w:val="0"/>
          <w:divBdr>
            <w:top w:val="none" w:sz="0" w:space="0" w:color="auto"/>
            <w:left w:val="none" w:sz="0" w:space="0" w:color="auto"/>
            <w:bottom w:val="none" w:sz="0" w:space="0" w:color="auto"/>
            <w:right w:val="none" w:sz="0" w:space="0" w:color="auto"/>
          </w:divBdr>
          <w:divsChild>
            <w:div w:id="633025182">
              <w:marLeft w:val="0"/>
              <w:marRight w:val="0"/>
              <w:marTop w:val="0"/>
              <w:marBottom w:val="0"/>
              <w:divBdr>
                <w:top w:val="none" w:sz="0" w:space="0" w:color="auto"/>
                <w:left w:val="none" w:sz="0" w:space="0" w:color="auto"/>
                <w:bottom w:val="none" w:sz="0" w:space="0" w:color="auto"/>
                <w:right w:val="none" w:sz="0" w:space="0" w:color="auto"/>
              </w:divBdr>
              <w:divsChild>
                <w:div w:id="179563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21201">
      <w:bodyDiv w:val="1"/>
      <w:marLeft w:val="0"/>
      <w:marRight w:val="0"/>
      <w:marTop w:val="0"/>
      <w:marBottom w:val="0"/>
      <w:divBdr>
        <w:top w:val="none" w:sz="0" w:space="0" w:color="auto"/>
        <w:left w:val="none" w:sz="0" w:space="0" w:color="auto"/>
        <w:bottom w:val="none" w:sz="0" w:space="0" w:color="auto"/>
        <w:right w:val="none" w:sz="0" w:space="0" w:color="auto"/>
      </w:divBdr>
    </w:div>
    <w:div w:id="1550192599">
      <w:bodyDiv w:val="1"/>
      <w:marLeft w:val="0"/>
      <w:marRight w:val="0"/>
      <w:marTop w:val="0"/>
      <w:marBottom w:val="0"/>
      <w:divBdr>
        <w:top w:val="none" w:sz="0" w:space="0" w:color="auto"/>
        <w:left w:val="none" w:sz="0" w:space="0" w:color="auto"/>
        <w:bottom w:val="none" w:sz="0" w:space="0" w:color="auto"/>
        <w:right w:val="none" w:sz="0" w:space="0" w:color="auto"/>
      </w:divBdr>
      <w:divsChild>
        <w:div w:id="1342971341">
          <w:marLeft w:val="0"/>
          <w:marRight w:val="0"/>
          <w:marTop w:val="0"/>
          <w:marBottom w:val="0"/>
          <w:divBdr>
            <w:top w:val="none" w:sz="0" w:space="0" w:color="auto"/>
            <w:left w:val="none" w:sz="0" w:space="0" w:color="auto"/>
            <w:bottom w:val="none" w:sz="0" w:space="0" w:color="auto"/>
            <w:right w:val="none" w:sz="0" w:space="0" w:color="auto"/>
          </w:divBdr>
          <w:divsChild>
            <w:div w:id="583419124">
              <w:marLeft w:val="0"/>
              <w:marRight w:val="0"/>
              <w:marTop w:val="0"/>
              <w:marBottom w:val="0"/>
              <w:divBdr>
                <w:top w:val="none" w:sz="0" w:space="0" w:color="auto"/>
                <w:left w:val="none" w:sz="0" w:space="0" w:color="auto"/>
                <w:bottom w:val="none" w:sz="0" w:space="0" w:color="auto"/>
                <w:right w:val="none" w:sz="0" w:space="0" w:color="auto"/>
              </w:divBdr>
              <w:divsChild>
                <w:div w:id="1342506215">
                  <w:marLeft w:val="0"/>
                  <w:marRight w:val="0"/>
                  <w:marTop w:val="0"/>
                  <w:marBottom w:val="0"/>
                  <w:divBdr>
                    <w:top w:val="none" w:sz="0" w:space="0" w:color="auto"/>
                    <w:left w:val="none" w:sz="0" w:space="0" w:color="auto"/>
                    <w:bottom w:val="none" w:sz="0" w:space="0" w:color="auto"/>
                    <w:right w:val="none" w:sz="0" w:space="0" w:color="auto"/>
                  </w:divBdr>
                  <w:divsChild>
                    <w:div w:id="20760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035700">
      <w:bodyDiv w:val="1"/>
      <w:marLeft w:val="0"/>
      <w:marRight w:val="0"/>
      <w:marTop w:val="0"/>
      <w:marBottom w:val="0"/>
      <w:divBdr>
        <w:top w:val="none" w:sz="0" w:space="0" w:color="auto"/>
        <w:left w:val="none" w:sz="0" w:space="0" w:color="auto"/>
        <w:bottom w:val="none" w:sz="0" w:space="0" w:color="auto"/>
        <w:right w:val="none" w:sz="0" w:space="0" w:color="auto"/>
      </w:divBdr>
      <w:divsChild>
        <w:div w:id="1498227617">
          <w:marLeft w:val="0"/>
          <w:marRight w:val="0"/>
          <w:marTop w:val="0"/>
          <w:marBottom w:val="0"/>
          <w:divBdr>
            <w:top w:val="none" w:sz="0" w:space="0" w:color="auto"/>
            <w:left w:val="none" w:sz="0" w:space="0" w:color="auto"/>
            <w:bottom w:val="none" w:sz="0" w:space="0" w:color="auto"/>
            <w:right w:val="none" w:sz="0" w:space="0" w:color="auto"/>
          </w:divBdr>
          <w:divsChild>
            <w:div w:id="373888144">
              <w:marLeft w:val="0"/>
              <w:marRight w:val="0"/>
              <w:marTop w:val="0"/>
              <w:marBottom w:val="0"/>
              <w:divBdr>
                <w:top w:val="none" w:sz="0" w:space="0" w:color="auto"/>
                <w:left w:val="none" w:sz="0" w:space="0" w:color="auto"/>
                <w:bottom w:val="none" w:sz="0" w:space="0" w:color="auto"/>
                <w:right w:val="none" w:sz="0" w:space="0" w:color="auto"/>
              </w:divBdr>
              <w:divsChild>
                <w:div w:id="4427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7714">
      <w:bodyDiv w:val="1"/>
      <w:marLeft w:val="0"/>
      <w:marRight w:val="0"/>
      <w:marTop w:val="0"/>
      <w:marBottom w:val="0"/>
      <w:divBdr>
        <w:top w:val="none" w:sz="0" w:space="0" w:color="auto"/>
        <w:left w:val="none" w:sz="0" w:space="0" w:color="auto"/>
        <w:bottom w:val="none" w:sz="0" w:space="0" w:color="auto"/>
        <w:right w:val="none" w:sz="0" w:space="0" w:color="auto"/>
      </w:divBdr>
    </w:div>
    <w:div w:id="1623227813">
      <w:bodyDiv w:val="1"/>
      <w:marLeft w:val="0"/>
      <w:marRight w:val="0"/>
      <w:marTop w:val="0"/>
      <w:marBottom w:val="0"/>
      <w:divBdr>
        <w:top w:val="none" w:sz="0" w:space="0" w:color="auto"/>
        <w:left w:val="none" w:sz="0" w:space="0" w:color="auto"/>
        <w:bottom w:val="none" w:sz="0" w:space="0" w:color="auto"/>
        <w:right w:val="none" w:sz="0" w:space="0" w:color="auto"/>
      </w:divBdr>
    </w:div>
    <w:div w:id="1634015663">
      <w:bodyDiv w:val="1"/>
      <w:marLeft w:val="0"/>
      <w:marRight w:val="0"/>
      <w:marTop w:val="0"/>
      <w:marBottom w:val="0"/>
      <w:divBdr>
        <w:top w:val="none" w:sz="0" w:space="0" w:color="auto"/>
        <w:left w:val="none" w:sz="0" w:space="0" w:color="auto"/>
        <w:bottom w:val="none" w:sz="0" w:space="0" w:color="auto"/>
        <w:right w:val="none" w:sz="0" w:space="0" w:color="auto"/>
      </w:divBdr>
      <w:divsChild>
        <w:div w:id="2076971455">
          <w:marLeft w:val="0"/>
          <w:marRight w:val="0"/>
          <w:marTop w:val="0"/>
          <w:marBottom w:val="0"/>
          <w:divBdr>
            <w:top w:val="none" w:sz="0" w:space="0" w:color="auto"/>
            <w:left w:val="none" w:sz="0" w:space="0" w:color="auto"/>
            <w:bottom w:val="none" w:sz="0" w:space="0" w:color="auto"/>
            <w:right w:val="none" w:sz="0" w:space="0" w:color="auto"/>
          </w:divBdr>
          <w:divsChild>
            <w:div w:id="374694622">
              <w:marLeft w:val="0"/>
              <w:marRight w:val="0"/>
              <w:marTop w:val="0"/>
              <w:marBottom w:val="0"/>
              <w:divBdr>
                <w:top w:val="none" w:sz="0" w:space="0" w:color="auto"/>
                <w:left w:val="none" w:sz="0" w:space="0" w:color="auto"/>
                <w:bottom w:val="none" w:sz="0" w:space="0" w:color="auto"/>
                <w:right w:val="none" w:sz="0" w:space="0" w:color="auto"/>
              </w:divBdr>
              <w:divsChild>
                <w:div w:id="116158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727549">
      <w:bodyDiv w:val="1"/>
      <w:marLeft w:val="0"/>
      <w:marRight w:val="0"/>
      <w:marTop w:val="0"/>
      <w:marBottom w:val="0"/>
      <w:divBdr>
        <w:top w:val="none" w:sz="0" w:space="0" w:color="auto"/>
        <w:left w:val="none" w:sz="0" w:space="0" w:color="auto"/>
        <w:bottom w:val="none" w:sz="0" w:space="0" w:color="auto"/>
        <w:right w:val="none" w:sz="0" w:space="0" w:color="auto"/>
      </w:divBdr>
      <w:divsChild>
        <w:div w:id="1896165362">
          <w:marLeft w:val="0"/>
          <w:marRight w:val="0"/>
          <w:marTop w:val="0"/>
          <w:marBottom w:val="0"/>
          <w:divBdr>
            <w:top w:val="none" w:sz="0" w:space="0" w:color="auto"/>
            <w:left w:val="none" w:sz="0" w:space="0" w:color="auto"/>
            <w:bottom w:val="none" w:sz="0" w:space="0" w:color="auto"/>
            <w:right w:val="none" w:sz="0" w:space="0" w:color="auto"/>
          </w:divBdr>
          <w:divsChild>
            <w:div w:id="2135561540">
              <w:marLeft w:val="0"/>
              <w:marRight w:val="0"/>
              <w:marTop w:val="0"/>
              <w:marBottom w:val="0"/>
              <w:divBdr>
                <w:top w:val="none" w:sz="0" w:space="0" w:color="auto"/>
                <w:left w:val="none" w:sz="0" w:space="0" w:color="auto"/>
                <w:bottom w:val="none" w:sz="0" w:space="0" w:color="auto"/>
                <w:right w:val="none" w:sz="0" w:space="0" w:color="auto"/>
              </w:divBdr>
              <w:divsChild>
                <w:div w:id="63648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74966">
      <w:bodyDiv w:val="1"/>
      <w:marLeft w:val="0"/>
      <w:marRight w:val="0"/>
      <w:marTop w:val="0"/>
      <w:marBottom w:val="0"/>
      <w:divBdr>
        <w:top w:val="none" w:sz="0" w:space="0" w:color="auto"/>
        <w:left w:val="none" w:sz="0" w:space="0" w:color="auto"/>
        <w:bottom w:val="none" w:sz="0" w:space="0" w:color="auto"/>
        <w:right w:val="none" w:sz="0" w:space="0" w:color="auto"/>
      </w:divBdr>
    </w:div>
    <w:div w:id="1710568024">
      <w:bodyDiv w:val="1"/>
      <w:marLeft w:val="0"/>
      <w:marRight w:val="0"/>
      <w:marTop w:val="0"/>
      <w:marBottom w:val="0"/>
      <w:divBdr>
        <w:top w:val="none" w:sz="0" w:space="0" w:color="auto"/>
        <w:left w:val="none" w:sz="0" w:space="0" w:color="auto"/>
        <w:bottom w:val="none" w:sz="0" w:space="0" w:color="auto"/>
        <w:right w:val="none" w:sz="0" w:space="0" w:color="auto"/>
      </w:divBdr>
      <w:divsChild>
        <w:div w:id="498620405">
          <w:marLeft w:val="0"/>
          <w:marRight w:val="0"/>
          <w:marTop w:val="0"/>
          <w:marBottom w:val="0"/>
          <w:divBdr>
            <w:top w:val="none" w:sz="0" w:space="0" w:color="auto"/>
            <w:left w:val="none" w:sz="0" w:space="0" w:color="auto"/>
            <w:bottom w:val="none" w:sz="0" w:space="0" w:color="auto"/>
            <w:right w:val="none" w:sz="0" w:space="0" w:color="auto"/>
          </w:divBdr>
          <w:divsChild>
            <w:div w:id="1357661460">
              <w:marLeft w:val="0"/>
              <w:marRight w:val="0"/>
              <w:marTop w:val="0"/>
              <w:marBottom w:val="0"/>
              <w:divBdr>
                <w:top w:val="none" w:sz="0" w:space="0" w:color="auto"/>
                <w:left w:val="none" w:sz="0" w:space="0" w:color="auto"/>
                <w:bottom w:val="none" w:sz="0" w:space="0" w:color="auto"/>
                <w:right w:val="none" w:sz="0" w:space="0" w:color="auto"/>
              </w:divBdr>
              <w:divsChild>
                <w:div w:id="14216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854275">
      <w:bodyDiv w:val="1"/>
      <w:marLeft w:val="0"/>
      <w:marRight w:val="0"/>
      <w:marTop w:val="0"/>
      <w:marBottom w:val="0"/>
      <w:divBdr>
        <w:top w:val="none" w:sz="0" w:space="0" w:color="auto"/>
        <w:left w:val="none" w:sz="0" w:space="0" w:color="auto"/>
        <w:bottom w:val="none" w:sz="0" w:space="0" w:color="auto"/>
        <w:right w:val="none" w:sz="0" w:space="0" w:color="auto"/>
      </w:divBdr>
      <w:divsChild>
        <w:div w:id="153685836">
          <w:marLeft w:val="0"/>
          <w:marRight w:val="0"/>
          <w:marTop w:val="0"/>
          <w:marBottom w:val="0"/>
          <w:divBdr>
            <w:top w:val="none" w:sz="0" w:space="0" w:color="auto"/>
            <w:left w:val="none" w:sz="0" w:space="0" w:color="auto"/>
            <w:bottom w:val="none" w:sz="0" w:space="0" w:color="auto"/>
            <w:right w:val="none" w:sz="0" w:space="0" w:color="auto"/>
          </w:divBdr>
          <w:divsChild>
            <w:div w:id="1044401468">
              <w:marLeft w:val="0"/>
              <w:marRight w:val="0"/>
              <w:marTop w:val="0"/>
              <w:marBottom w:val="0"/>
              <w:divBdr>
                <w:top w:val="none" w:sz="0" w:space="0" w:color="auto"/>
                <w:left w:val="none" w:sz="0" w:space="0" w:color="auto"/>
                <w:bottom w:val="none" w:sz="0" w:space="0" w:color="auto"/>
                <w:right w:val="none" w:sz="0" w:space="0" w:color="auto"/>
              </w:divBdr>
              <w:divsChild>
                <w:div w:id="203025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192735">
      <w:bodyDiv w:val="1"/>
      <w:marLeft w:val="0"/>
      <w:marRight w:val="0"/>
      <w:marTop w:val="0"/>
      <w:marBottom w:val="0"/>
      <w:divBdr>
        <w:top w:val="none" w:sz="0" w:space="0" w:color="auto"/>
        <w:left w:val="none" w:sz="0" w:space="0" w:color="auto"/>
        <w:bottom w:val="none" w:sz="0" w:space="0" w:color="auto"/>
        <w:right w:val="none" w:sz="0" w:space="0" w:color="auto"/>
      </w:divBdr>
      <w:divsChild>
        <w:div w:id="226770874">
          <w:marLeft w:val="0"/>
          <w:marRight w:val="0"/>
          <w:marTop w:val="0"/>
          <w:marBottom w:val="0"/>
          <w:divBdr>
            <w:top w:val="none" w:sz="0" w:space="0" w:color="auto"/>
            <w:left w:val="none" w:sz="0" w:space="0" w:color="auto"/>
            <w:bottom w:val="none" w:sz="0" w:space="0" w:color="auto"/>
            <w:right w:val="none" w:sz="0" w:space="0" w:color="auto"/>
          </w:divBdr>
          <w:divsChild>
            <w:div w:id="1184632400">
              <w:marLeft w:val="0"/>
              <w:marRight w:val="0"/>
              <w:marTop w:val="0"/>
              <w:marBottom w:val="0"/>
              <w:divBdr>
                <w:top w:val="none" w:sz="0" w:space="0" w:color="auto"/>
                <w:left w:val="none" w:sz="0" w:space="0" w:color="auto"/>
                <w:bottom w:val="none" w:sz="0" w:space="0" w:color="auto"/>
                <w:right w:val="none" w:sz="0" w:space="0" w:color="auto"/>
              </w:divBdr>
              <w:divsChild>
                <w:div w:id="4339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14933">
      <w:bodyDiv w:val="1"/>
      <w:marLeft w:val="0"/>
      <w:marRight w:val="0"/>
      <w:marTop w:val="0"/>
      <w:marBottom w:val="0"/>
      <w:divBdr>
        <w:top w:val="none" w:sz="0" w:space="0" w:color="auto"/>
        <w:left w:val="none" w:sz="0" w:space="0" w:color="auto"/>
        <w:bottom w:val="none" w:sz="0" w:space="0" w:color="auto"/>
        <w:right w:val="none" w:sz="0" w:space="0" w:color="auto"/>
      </w:divBdr>
      <w:divsChild>
        <w:div w:id="1579245534">
          <w:marLeft w:val="0"/>
          <w:marRight w:val="0"/>
          <w:marTop w:val="0"/>
          <w:marBottom w:val="0"/>
          <w:divBdr>
            <w:top w:val="none" w:sz="0" w:space="0" w:color="auto"/>
            <w:left w:val="none" w:sz="0" w:space="0" w:color="auto"/>
            <w:bottom w:val="none" w:sz="0" w:space="0" w:color="auto"/>
            <w:right w:val="none" w:sz="0" w:space="0" w:color="auto"/>
          </w:divBdr>
          <w:divsChild>
            <w:div w:id="1011837892">
              <w:marLeft w:val="0"/>
              <w:marRight w:val="0"/>
              <w:marTop w:val="0"/>
              <w:marBottom w:val="0"/>
              <w:divBdr>
                <w:top w:val="none" w:sz="0" w:space="0" w:color="auto"/>
                <w:left w:val="none" w:sz="0" w:space="0" w:color="auto"/>
                <w:bottom w:val="none" w:sz="0" w:space="0" w:color="auto"/>
                <w:right w:val="none" w:sz="0" w:space="0" w:color="auto"/>
              </w:divBdr>
              <w:divsChild>
                <w:div w:id="896740617">
                  <w:marLeft w:val="0"/>
                  <w:marRight w:val="0"/>
                  <w:marTop w:val="0"/>
                  <w:marBottom w:val="0"/>
                  <w:divBdr>
                    <w:top w:val="none" w:sz="0" w:space="0" w:color="auto"/>
                    <w:left w:val="none" w:sz="0" w:space="0" w:color="auto"/>
                    <w:bottom w:val="none" w:sz="0" w:space="0" w:color="auto"/>
                    <w:right w:val="none" w:sz="0" w:space="0" w:color="auto"/>
                  </w:divBdr>
                  <w:divsChild>
                    <w:div w:id="46635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486428">
      <w:bodyDiv w:val="1"/>
      <w:marLeft w:val="0"/>
      <w:marRight w:val="0"/>
      <w:marTop w:val="0"/>
      <w:marBottom w:val="0"/>
      <w:divBdr>
        <w:top w:val="none" w:sz="0" w:space="0" w:color="auto"/>
        <w:left w:val="none" w:sz="0" w:space="0" w:color="auto"/>
        <w:bottom w:val="none" w:sz="0" w:space="0" w:color="auto"/>
        <w:right w:val="none" w:sz="0" w:space="0" w:color="auto"/>
      </w:divBdr>
    </w:div>
    <w:div w:id="1843548550">
      <w:bodyDiv w:val="1"/>
      <w:marLeft w:val="0"/>
      <w:marRight w:val="0"/>
      <w:marTop w:val="0"/>
      <w:marBottom w:val="0"/>
      <w:divBdr>
        <w:top w:val="none" w:sz="0" w:space="0" w:color="auto"/>
        <w:left w:val="none" w:sz="0" w:space="0" w:color="auto"/>
        <w:bottom w:val="none" w:sz="0" w:space="0" w:color="auto"/>
        <w:right w:val="none" w:sz="0" w:space="0" w:color="auto"/>
      </w:divBdr>
    </w:div>
    <w:div w:id="1871214854">
      <w:bodyDiv w:val="1"/>
      <w:marLeft w:val="0"/>
      <w:marRight w:val="0"/>
      <w:marTop w:val="0"/>
      <w:marBottom w:val="0"/>
      <w:divBdr>
        <w:top w:val="none" w:sz="0" w:space="0" w:color="auto"/>
        <w:left w:val="none" w:sz="0" w:space="0" w:color="auto"/>
        <w:bottom w:val="none" w:sz="0" w:space="0" w:color="auto"/>
        <w:right w:val="none" w:sz="0" w:space="0" w:color="auto"/>
      </w:divBdr>
      <w:divsChild>
        <w:div w:id="323969534">
          <w:marLeft w:val="0"/>
          <w:marRight w:val="0"/>
          <w:marTop w:val="0"/>
          <w:marBottom w:val="0"/>
          <w:divBdr>
            <w:top w:val="none" w:sz="0" w:space="0" w:color="auto"/>
            <w:left w:val="none" w:sz="0" w:space="0" w:color="auto"/>
            <w:bottom w:val="none" w:sz="0" w:space="0" w:color="auto"/>
            <w:right w:val="none" w:sz="0" w:space="0" w:color="auto"/>
          </w:divBdr>
          <w:divsChild>
            <w:div w:id="10451797">
              <w:marLeft w:val="0"/>
              <w:marRight w:val="0"/>
              <w:marTop w:val="0"/>
              <w:marBottom w:val="0"/>
              <w:divBdr>
                <w:top w:val="none" w:sz="0" w:space="0" w:color="auto"/>
                <w:left w:val="none" w:sz="0" w:space="0" w:color="auto"/>
                <w:bottom w:val="none" w:sz="0" w:space="0" w:color="auto"/>
                <w:right w:val="none" w:sz="0" w:space="0" w:color="auto"/>
              </w:divBdr>
              <w:divsChild>
                <w:div w:id="193131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47299">
      <w:bodyDiv w:val="1"/>
      <w:marLeft w:val="0"/>
      <w:marRight w:val="0"/>
      <w:marTop w:val="0"/>
      <w:marBottom w:val="0"/>
      <w:divBdr>
        <w:top w:val="none" w:sz="0" w:space="0" w:color="auto"/>
        <w:left w:val="none" w:sz="0" w:space="0" w:color="auto"/>
        <w:bottom w:val="none" w:sz="0" w:space="0" w:color="auto"/>
        <w:right w:val="none" w:sz="0" w:space="0" w:color="auto"/>
      </w:divBdr>
      <w:divsChild>
        <w:div w:id="142815582">
          <w:marLeft w:val="0"/>
          <w:marRight w:val="0"/>
          <w:marTop w:val="0"/>
          <w:marBottom w:val="0"/>
          <w:divBdr>
            <w:top w:val="none" w:sz="0" w:space="0" w:color="auto"/>
            <w:left w:val="none" w:sz="0" w:space="0" w:color="auto"/>
            <w:bottom w:val="none" w:sz="0" w:space="0" w:color="auto"/>
            <w:right w:val="none" w:sz="0" w:space="0" w:color="auto"/>
          </w:divBdr>
          <w:divsChild>
            <w:div w:id="1891645234">
              <w:marLeft w:val="0"/>
              <w:marRight w:val="0"/>
              <w:marTop w:val="0"/>
              <w:marBottom w:val="0"/>
              <w:divBdr>
                <w:top w:val="none" w:sz="0" w:space="0" w:color="auto"/>
                <w:left w:val="none" w:sz="0" w:space="0" w:color="auto"/>
                <w:bottom w:val="none" w:sz="0" w:space="0" w:color="auto"/>
                <w:right w:val="none" w:sz="0" w:space="0" w:color="auto"/>
              </w:divBdr>
              <w:divsChild>
                <w:div w:id="106240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3798">
      <w:bodyDiv w:val="1"/>
      <w:marLeft w:val="0"/>
      <w:marRight w:val="0"/>
      <w:marTop w:val="0"/>
      <w:marBottom w:val="0"/>
      <w:divBdr>
        <w:top w:val="none" w:sz="0" w:space="0" w:color="auto"/>
        <w:left w:val="none" w:sz="0" w:space="0" w:color="auto"/>
        <w:bottom w:val="none" w:sz="0" w:space="0" w:color="auto"/>
        <w:right w:val="none" w:sz="0" w:space="0" w:color="auto"/>
      </w:divBdr>
      <w:divsChild>
        <w:div w:id="401415033">
          <w:marLeft w:val="0"/>
          <w:marRight w:val="0"/>
          <w:marTop w:val="0"/>
          <w:marBottom w:val="0"/>
          <w:divBdr>
            <w:top w:val="none" w:sz="0" w:space="0" w:color="auto"/>
            <w:left w:val="none" w:sz="0" w:space="0" w:color="auto"/>
            <w:bottom w:val="none" w:sz="0" w:space="0" w:color="auto"/>
            <w:right w:val="none" w:sz="0" w:space="0" w:color="auto"/>
          </w:divBdr>
          <w:divsChild>
            <w:div w:id="681474808">
              <w:marLeft w:val="0"/>
              <w:marRight w:val="0"/>
              <w:marTop w:val="0"/>
              <w:marBottom w:val="0"/>
              <w:divBdr>
                <w:top w:val="none" w:sz="0" w:space="0" w:color="auto"/>
                <w:left w:val="none" w:sz="0" w:space="0" w:color="auto"/>
                <w:bottom w:val="none" w:sz="0" w:space="0" w:color="auto"/>
                <w:right w:val="none" w:sz="0" w:space="0" w:color="auto"/>
              </w:divBdr>
              <w:divsChild>
                <w:div w:id="13709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68422">
      <w:bodyDiv w:val="1"/>
      <w:marLeft w:val="0"/>
      <w:marRight w:val="0"/>
      <w:marTop w:val="0"/>
      <w:marBottom w:val="0"/>
      <w:divBdr>
        <w:top w:val="none" w:sz="0" w:space="0" w:color="auto"/>
        <w:left w:val="none" w:sz="0" w:space="0" w:color="auto"/>
        <w:bottom w:val="none" w:sz="0" w:space="0" w:color="auto"/>
        <w:right w:val="none" w:sz="0" w:space="0" w:color="auto"/>
      </w:divBdr>
    </w:div>
    <w:div w:id="1955138247">
      <w:bodyDiv w:val="1"/>
      <w:marLeft w:val="0"/>
      <w:marRight w:val="0"/>
      <w:marTop w:val="0"/>
      <w:marBottom w:val="0"/>
      <w:divBdr>
        <w:top w:val="none" w:sz="0" w:space="0" w:color="auto"/>
        <w:left w:val="none" w:sz="0" w:space="0" w:color="auto"/>
        <w:bottom w:val="none" w:sz="0" w:space="0" w:color="auto"/>
        <w:right w:val="none" w:sz="0" w:space="0" w:color="auto"/>
      </w:divBdr>
    </w:div>
    <w:div w:id="1957369322">
      <w:bodyDiv w:val="1"/>
      <w:marLeft w:val="0"/>
      <w:marRight w:val="0"/>
      <w:marTop w:val="0"/>
      <w:marBottom w:val="0"/>
      <w:divBdr>
        <w:top w:val="none" w:sz="0" w:space="0" w:color="auto"/>
        <w:left w:val="none" w:sz="0" w:space="0" w:color="auto"/>
        <w:bottom w:val="none" w:sz="0" w:space="0" w:color="auto"/>
        <w:right w:val="none" w:sz="0" w:space="0" w:color="auto"/>
      </w:divBdr>
      <w:divsChild>
        <w:div w:id="559092390">
          <w:marLeft w:val="0"/>
          <w:marRight w:val="0"/>
          <w:marTop w:val="0"/>
          <w:marBottom w:val="0"/>
          <w:divBdr>
            <w:top w:val="none" w:sz="0" w:space="0" w:color="auto"/>
            <w:left w:val="none" w:sz="0" w:space="0" w:color="auto"/>
            <w:bottom w:val="none" w:sz="0" w:space="0" w:color="auto"/>
            <w:right w:val="none" w:sz="0" w:space="0" w:color="auto"/>
          </w:divBdr>
          <w:divsChild>
            <w:div w:id="494801392">
              <w:marLeft w:val="0"/>
              <w:marRight w:val="0"/>
              <w:marTop w:val="0"/>
              <w:marBottom w:val="0"/>
              <w:divBdr>
                <w:top w:val="none" w:sz="0" w:space="0" w:color="auto"/>
                <w:left w:val="none" w:sz="0" w:space="0" w:color="auto"/>
                <w:bottom w:val="none" w:sz="0" w:space="0" w:color="auto"/>
                <w:right w:val="none" w:sz="0" w:space="0" w:color="auto"/>
              </w:divBdr>
              <w:divsChild>
                <w:div w:id="196222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31803">
      <w:bodyDiv w:val="1"/>
      <w:marLeft w:val="0"/>
      <w:marRight w:val="0"/>
      <w:marTop w:val="0"/>
      <w:marBottom w:val="0"/>
      <w:divBdr>
        <w:top w:val="none" w:sz="0" w:space="0" w:color="auto"/>
        <w:left w:val="none" w:sz="0" w:space="0" w:color="auto"/>
        <w:bottom w:val="none" w:sz="0" w:space="0" w:color="auto"/>
        <w:right w:val="none" w:sz="0" w:space="0" w:color="auto"/>
      </w:divBdr>
    </w:div>
    <w:div w:id="1990594466">
      <w:bodyDiv w:val="1"/>
      <w:marLeft w:val="0"/>
      <w:marRight w:val="0"/>
      <w:marTop w:val="0"/>
      <w:marBottom w:val="0"/>
      <w:divBdr>
        <w:top w:val="none" w:sz="0" w:space="0" w:color="auto"/>
        <w:left w:val="none" w:sz="0" w:space="0" w:color="auto"/>
        <w:bottom w:val="none" w:sz="0" w:space="0" w:color="auto"/>
        <w:right w:val="none" w:sz="0" w:space="0" w:color="auto"/>
      </w:divBdr>
      <w:divsChild>
        <w:div w:id="2124376962">
          <w:marLeft w:val="0"/>
          <w:marRight w:val="0"/>
          <w:marTop w:val="0"/>
          <w:marBottom w:val="0"/>
          <w:divBdr>
            <w:top w:val="none" w:sz="0" w:space="0" w:color="auto"/>
            <w:left w:val="none" w:sz="0" w:space="0" w:color="auto"/>
            <w:bottom w:val="none" w:sz="0" w:space="0" w:color="auto"/>
            <w:right w:val="none" w:sz="0" w:space="0" w:color="auto"/>
          </w:divBdr>
          <w:divsChild>
            <w:div w:id="1311711274">
              <w:marLeft w:val="0"/>
              <w:marRight w:val="0"/>
              <w:marTop w:val="0"/>
              <w:marBottom w:val="0"/>
              <w:divBdr>
                <w:top w:val="none" w:sz="0" w:space="0" w:color="auto"/>
                <w:left w:val="none" w:sz="0" w:space="0" w:color="auto"/>
                <w:bottom w:val="none" w:sz="0" w:space="0" w:color="auto"/>
                <w:right w:val="none" w:sz="0" w:space="0" w:color="auto"/>
              </w:divBdr>
              <w:divsChild>
                <w:div w:id="3881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629865">
      <w:bodyDiv w:val="1"/>
      <w:marLeft w:val="0"/>
      <w:marRight w:val="0"/>
      <w:marTop w:val="0"/>
      <w:marBottom w:val="0"/>
      <w:divBdr>
        <w:top w:val="none" w:sz="0" w:space="0" w:color="auto"/>
        <w:left w:val="none" w:sz="0" w:space="0" w:color="auto"/>
        <w:bottom w:val="none" w:sz="0" w:space="0" w:color="auto"/>
        <w:right w:val="none" w:sz="0" w:space="0" w:color="auto"/>
      </w:divBdr>
      <w:divsChild>
        <w:div w:id="2031639852">
          <w:marLeft w:val="0"/>
          <w:marRight w:val="0"/>
          <w:marTop w:val="0"/>
          <w:marBottom w:val="0"/>
          <w:divBdr>
            <w:top w:val="none" w:sz="0" w:space="0" w:color="auto"/>
            <w:left w:val="none" w:sz="0" w:space="0" w:color="auto"/>
            <w:bottom w:val="none" w:sz="0" w:space="0" w:color="auto"/>
            <w:right w:val="none" w:sz="0" w:space="0" w:color="auto"/>
          </w:divBdr>
          <w:divsChild>
            <w:div w:id="1746341392">
              <w:marLeft w:val="375"/>
              <w:marRight w:val="375"/>
              <w:marTop w:val="0"/>
              <w:marBottom w:val="0"/>
              <w:divBdr>
                <w:top w:val="none" w:sz="0" w:space="0" w:color="auto"/>
                <w:left w:val="none" w:sz="0" w:space="0" w:color="auto"/>
                <w:bottom w:val="none" w:sz="0" w:space="0" w:color="auto"/>
                <w:right w:val="none" w:sz="0" w:space="0" w:color="auto"/>
              </w:divBdr>
              <w:divsChild>
                <w:div w:id="83573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417002">
      <w:bodyDiv w:val="1"/>
      <w:marLeft w:val="0"/>
      <w:marRight w:val="0"/>
      <w:marTop w:val="0"/>
      <w:marBottom w:val="0"/>
      <w:divBdr>
        <w:top w:val="none" w:sz="0" w:space="0" w:color="auto"/>
        <w:left w:val="none" w:sz="0" w:space="0" w:color="auto"/>
        <w:bottom w:val="none" w:sz="0" w:space="0" w:color="auto"/>
        <w:right w:val="none" w:sz="0" w:space="0" w:color="auto"/>
      </w:divBdr>
      <w:divsChild>
        <w:div w:id="275210787">
          <w:marLeft w:val="0"/>
          <w:marRight w:val="0"/>
          <w:marTop w:val="0"/>
          <w:marBottom w:val="0"/>
          <w:divBdr>
            <w:top w:val="none" w:sz="0" w:space="0" w:color="auto"/>
            <w:left w:val="none" w:sz="0" w:space="0" w:color="auto"/>
            <w:bottom w:val="none" w:sz="0" w:space="0" w:color="auto"/>
            <w:right w:val="none" w:sz="0" w:space="0" w:color="auto"/>
          </w:divBdr>
          <w:divsChild>
            <w:div w:id="904876962">
              <w:marLeft w:val="0"/>
              <w:marRight w:val="0"/>
              <w:marTop w:val="0"/>
              <w:marBottom w:val="0"/>
              <w:divBdr>
                <w:top w:val="none" w:sz="0" w:space="0" w:color="auto"/>
                <w:left w:val="none" w:sz="0" w:space="0" w:color="auto"/>
                <w:bottom w:val="none" w:sz="0" w:space="0" w:color="auto"/>
                <w:right w:val="none" w:sz="0" w:space="0" w:color="auto"/>
              </w:divBdr>
              <w:divsChild>
                <w:div w:id="15257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usztL@ceu.edu" TargetMode="External"/><Relationship Id="rId13" Type="http://schemas.openxmlformats.org/officeDocument/2006/relationships/chart" Target="charts/chart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yperlink" Target="mailto:PiroskaD@ceu.edu" TargetMode="External"/><Relationship Id="rId19" Type="http://schemas.openxmlformats.org/officeDocument/2006/relationships/hyperlink" Target="https://www.euractiv.com/section/economy-jobs/news/germanys-massive-use-of-state-aid-could-serve-as-locomotive-vestager-says/" TargetMode="External"/><Relationship Id="rId4" Type="http://schemas.openxmlformats.org/officeDocument/2006/relationships/settings" Target="settings.xml"/><Relationship Id="rId9" Type="http://schemas.openxmlformats.org/officeDocument/2006/relationships/hyperlink" Target="mailto:Medve-Balint.Gergo@tk.hu" TargetMode="External"/><Relationship Id="rId14" Type="http://schemas.openxmlformats.org/officeDocument/2006/relationships/chart" Target="charts/chart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moodys.com/research/Moodys-EIBs-credit-profile-reflects-sound-capital-and-liquidity-positions--PR_388900" TargetMode="External"/><Relationship Id="rId3" Type="http://schemas.openxmlformats.org/officeDocument/2006/relationships/hyperlink" Target="https://eur-lex.europa.eu/legal-content/EN/TXT/HTML/?uri=CELEX:52020XC0320(03)&amp;from=HU)" TargetMode="External"/><Relationship Id="rId7" Type="http://schemas.openxmlformats.org/officeDocument/2006/relationships/hyperlink" Target="http://transparency.eu/eib/" TargetMode="External"/><Relationship Id="rId12" Type="http://schemas.openxmlformats.org/officeDocument/2006/relationships/hyperlink" Target="https://www.eca.europa.eu/Lists/ECADocuments/SR19_03/SR_EFSI_EN.pdf" TargetMode="External"/><Relationship Id="rId2" Type="http://schemas.openxmlformats.org/officeDocument/2006/relationships/hyperlink" Target="https://ec.europa.eu/competition-policy/state-aid/scoreboard_en" TargetMode="External"/><Relationship Id="rId1" Type="http://schemas.openxmlformats.org/officeDocument/2006/relationships/hyperlink" Target="https://ec.europa.eu/competition/state_aid/cases/252478/252478_1564060_56_2.pdf" TargetMode="External"/><Relationship Id="rId6" Type="http://schemas.openxmlformats.org/officeDocument/2006/relationships/hyperlink" Target="http://www.eib.org/attachments/general/governance_of_the_eib_en.pdf" TargetMode="External"/><Relationship Id="rId11" Type="http://schemas.openxmlformats.org/officeDocument/2006/relationships/hyperlink" Target="https://www.eib.org/attachments/strategies/efsi_steering_board_efsi_multiplier_methodology_calculation_en.pdf" TargetMode="External"/><Relationship Id="rId5" Type="http://schemas.openxmlformats.org/officeDocument/2006/relationships/hyperlink" Target="https://www.eib.org/en/about/governance-and-structure/shareholders/index.htm" TargetMode="External"/><Relationship Id="rId10" Type="http://schemas.openxmlformats.org/officeDocument/2006/relationships/hyperlink" Target="https://eur-lex.europa.eu/legal-content/EN/TXT/PDF/?uri=CELEX:32015R1017&amp;from=ES" TargetMode="External"/><Relationship Id="rId4" Type="http://schemas.openxmlformats.org/officeDocument/2006/relationships/hyperlink" Target="https://netaffair.org/documents/1957-rome-treaty.pdf" TargetMode="External"/><Relationship Id="rId9" Type="http://schemas.openxmlformats.org/officeDocument/2006/relationships/hyperlink" Target="https://www.moodys.com/research/Moodys-EIBs-credit-profile-reflects-sound-capital-and-liquidity-positions--PR_3889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a%20Piroska\Documents\Bruszt-Medve-Piroska\Mind_the_Gap_May1_2019_Bruszt_Piroska_Medve-B&#225;lint%5b1%5d%20(1).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medve-balint\Dropbox\Core-periphery%20paper\Data\State_aid_Cohesion_Pol_CAP_payments_2004-1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3" Type="http://schemas.openxmlformats.org/officeDocument/2006/relationships/oleObject" Target="file:///C:\Users\Dora%20Piroska\Documents\EIB%20conference\EIB_v6.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Dora%20Piroska\Documents\EIB%20conference\EIB_v6.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Dora%20Piroska\Downloads\EIB_v3.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State aid</c:v>
          </c:tx>
          <c:spPr>
            <a:ln w="28575" cap="rnd">
              <a:solidFill>
                <a:schemeClr val="accent1"/>
              </a:solidFill>
              <a:round/>
            </a:ln>
            <a:effectLst/>
          </c:spPr>
          <c:marker>
            <c:symbol val="square"/>
            <c:size val="5"/>
            <c:spPr>
              <a:solidFill>
                <a:schemeClr val="accent1"/>
              </a:solidFill>
              <a:ln w="9525">
                <a:solidFill>
                  <a:schemeClr val="accent1"/>
                </a:solidFill>
              </a:ln>
              <a:effectLst/>
            </c:spPr>
          </c:marker>
          <c:cat>
            <c:strRef>
              <c:f>GDP!$B$73:$Q$73</c:f>
              <c:strCach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strCache>
            </c:strRef>
          </c:cat>
          <c:val>
            <c:numRef>
              <c:f>'STATE AID'!$C$107:$Q$107</c:f>
              <c:numCache>
                <c:formatCode>General</c:formatCode>
                <c:ptCount val="15"/>
                <c:pt idx="0">
                  <c:v>63.220186137781639</c:v>
                </c:pt>
                <c:pt idx="1">
                  <c:v>63.434900984556123</c:v>
                </c:pt>
                <c:pt idx="2">
                  <c:v>64.686868652013658</c:v>
                </c:pt>
                <c:pt idx="3">
                  <c:v>62.835266484885658</c:v>
                </c:pt>
                <c:pt idx="4">
                  <c:v>60.817260741255161</c:v>
                </c:pt>
                <c:pt idx="5">
                  <c:v>65.240096117289696</c:v>
                </c:pt>
                <c:pt idx="6">
                  <c:v>65.989811273924929</c:v>
                </c:pt>
                <c:pt idx="7">
                  <c:v>62.790894415804942</c:v>
                </c:pt>
                <c:pt idx="8">
                  <c:v>63.159826727968273</c:v>
                </c:pt>
                <c:pt idx="9">
                  <c:v>62.03419914171522</c:v>
                </c:pt>
                <c:pt idx="10">
                  <c:v>67.558514136865412</c:v>
                </c:pt>
                <c:pt idx="11">
                  <c:v>70.756624217616576</c:v>
                </c:pt>
                <c:pt idx="12">
                  <c:v>71.431180094263723</c:v>
                </c:pt>
                <c:pt idx="13">
                  <c:v>68.78393299716889</c:v>
                </c:pt>
                <c:pt idx="14">
                  <c:v>70.94600417263301</c:v>
                </c:pt>
              </c:numCache>
            </c:numRef>
          </c:val>
          <c:smooth val="0"/>
          <c:extLst>
            <c:ext xmlns:c16="http://schemas.microsoft.com/office/drawing/2014/chart" uri="{C3380CC4-5D6E-409C-BE32-E72D297353CC}">
              <c16:uniqueId val="{00000000-FB7F-B349-9142-B9EA8F92DC77}"/>
            </c:ext>
          </c:extLst>
        </c:ser>
        <c:ser>
          <c:idx val="1"/>
          <c:order val="1"/>
          <c:tx>
            <c:v>GDP</c:v>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GDP!$B$73:$Q$73</c:f>
              <c:strCach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strCache>
            </c:strRef>
          </c:cat>
          <c:val>
            <c:numRef>
              <c:f>GDP!$B$110:$Q$110</c:f>
              <c:numCache>
                <c:formatCode>General</c:formatCode>
                <c:ptCount val="16"/>
                <c:pt idx="0">
                  <c:v>64.774017166887504</c:v>
                </c:pt>
                <c:pt idx="1">
                  <c:v>64.588798699138124</c:v>
                </c:pt>
                <c:pt idx="2">
                  <c:v>64.101981465224242</c:v>
                </c:pt>
                <c:pt idx="3">
                  <c:v>62.192523597446517</c:v>
                </c:pt>
                <c:pt idx="4">
                  <c:v>61.693951052785344</c:v>
                </c:pt>
                <c:pt idx="5">
                  <c:v>61.456894414555933</c:v>
                </c:pt>
                <c:pt idx="6">
                  <c:v>62.086379270988481</c:v>
                </c:pt>
                <c:pt idx="7">
                  <c:v>62.493874046561494</c:v>
                </c:pt>
                <c:pt idx="8">
                  <c:v>62.853307747871014</c:v>
                </c:pt>
                <c:pt idx="9">
                  <c:v>62.985467750623471</c:v>
                </c:pt>
                <c:pt idx="10">
                  <c:v>63.188183422761448</c:v>
                </c:pt>
                <c:pt idx="11">
                  <c:v>63.0939867231994</c:v>
                </c:pt>
                <c:pt idx="12">
                  <c:v>62.851840447566644</c:v>
                </c:pt>
                <c:pt idx="13">
                  <c:v>62.644545440032616</c:v>
                </c:pt>
                <c:pt idx="14">
                  <c:v>62.569520962510474</c:v>
                </c:pt>
                <c:pt idx="15">
                  <c:v>62.308612323783251</c:v>
                </c:pt>
              </c:numCache>
            </c:numRef>
          </c:val>
          <c:smooth val="0"/>
          <c:extLst>
            <c:ext xmlns:c16="http://schemas.microsoft.com/office/drawing/2014/chart" uri="{C3380CC4-5D6E-409C-BE32-E72D297353CC}">
              <c16:uniqueId val="{00000001-FB7F-B349-9142-B9EA8F92DC77}"/>
            </c:ext>
          </c:extLst>
        </c:ser>
        <c:dLbls>
          <c:showLegendKey val="0"/>
          <c:showVal val="0"/>
          <c:showCatName val="0"/>
          <c:showSerName val="0"/>
          <c:showPercent val="0"/>
          <c:showBubbleSize val="0"/>
        </c:dLbls>
        <c:marker val="1"/>
        <c:smooth val="0"/>
        <c:axId val="-1480761136"/>
        <c:axId val="-1480757328"/>
      </c:lineChart>
      <c:catAx>
        <c:axId val="-1480761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HU"/>
          </a:p>
        </c:txPr>
        <c:crossAx val="-1480757328"/>
        <c:crosses val="autoZero"/>
        <c:auto val="1"/>
        <c:lblAlgn val="ctr"/>
        <c:lblOffset val="100"/>
        <c:noMultiLvlLbl val="0"/>
      </c:catAx>
      <c:valAx>
        <c:axId val="-1480757328"/>
        <c:scaling>
          <c:orientation val="minMax"/>
          <c:max val="72"/>
          <c:min val="6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HU"/>
          </a:p>
        </c:txPr>
        <c:crossAx val="-1480761136"/>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HU"/>
        </a:p>
      </c:txPr>
    </c:legend>
    <c:plotVisOnly val="1"/>
    <c:dispBlanksAs val="gap"/>
    <c:showDLblsOverMax val="0"/>
  </c:chart>
  <c:spPr>
    <a:solidFill>
      <a:schemeClr val="bg1"/>
    </a:solidFill>
    <a:ln w="9525" cap="flat" cmpd="sng" algn="ctr">
      <a:noFill/>
      <a:round/>
    </a:ln>
    <a:effectLst/>
  </c:spPr>
  <c:txPr>
    <a:bodyPr/>
    <a:lstStyle/>
    <a:p>
      <a:pPr>
        <a:defRPr/>
      </a:pPr>
      <a:endParaRPr lang="en-H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SUMMARY!$E$37</c:f>
              <c:strCache>
                <c:ptCount val="1"/>
                <c:pt idx="0">
                  <c:v>Eastern periphery</c:v>
                </c:pt>
              </c:strCache>
            </c:strRef>
          </c:tx>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2405-2345-A4D6-2CF4383CE8CA}"/>
              </c:ext>
            </c:extLst>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Total state aid per capita (2004-2018) in constant 2010 EUR, adjusted with price levels</c:v>
              </c:pt>
            </c:strLit>
          </c:cat>
          <c:val>
            <c:numRef>
              <c:f>SUMMARY!$F$37</c:f>
              <c:numCache>
                <c:formatCode>0.00</c:formatCode>
                <c:ptCount val="1"/>
                <c:pt idx="0">
                  <c:v>1998.8703500937008</c:v>
                </c:pt>
              </c:numCache>
            </c:numRef>
          </c:val>
          <c:extLst>
            <c:ext xmlns:c16="http://schemas.microsoft.com/office/drawing/2014/chart" uri="{C3380CC4-5D6E-409C-BE32-E72D297353CC}">
              <c16:uniqueId val="{00000002-2405-2345-A4D6-2CF4383CE8CA}"/>
            </c:ext>
          </c:extLst>
        </c:ser>
        <c:ser>
          <c:idx val="1"/>
          <c:order val="1"/>
          <c:tx>
            <c:strRef>
              <c:f>SUMMARY!$E$38</c:f>
              <c:strCache>
                <c:ptCount val="1"/>
                <c:pt idx="0">
                  <c:v>Southern periphery</c:v>
                </c:pt>
              </c:strCache>
            </c:strRef>
          </c:tx>
          <c:spPr>
            <a:solidFill>
              <a:srgbClr val="C00000"/>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Total state aid per capita (2004-2018) in constant 2010 EUR, adjusted with price levels</c:v>
              </c:pt>
            </c:strLit>
          </c:cat>
          <c:val>
            <c:numRef>
              <c:f>SUMMARY!$F$38</c:f>
              <c:numCache>
                <c:formatCode>0.00</c:formatCode>
                <c:ptCount val="1"/>
                <c:pt idx="0">
                  <c:v>1326.0883782657556</c:v>
                </c:pt>
              </c:numCache>
            </c:numRef>
          </c:val>
          <c:extLst>
            <c:ext xmlns:c16="http://schemas.microsoft.com/office/drawing/2014/chart" uri="{C3380CC4-5D6E-409C-BE32-E72D297353CC}">
              <c16:uniqueId val="{00000003-2405-2345-A4D6-2CF4383CE8CA}"/>
            </c:ext>
          </c:extLst>
        </c:ser>
        <c:ser>
          <c:idx val="2"/>
          <c:order val="2"/>
          <c:tx>
            <c:strRef>
              <c:f>SUMMARY!$E$39</c:f>
              <c:strCache>
                <c:ptCount val="1"/>
                <c:pt idx="0">
                  <c:v>Core</c:v>
                </c:pt>
              </c:strCache>
            </c:strRef>
          </c:tx>
          <c:spPr>
            <a:solidFill>
              <a:srgbClr val="00B050"/>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Total state aid per capita (2004-2018) in constant 2010 EUR, adjusted with price levels</c:v>
              </c:pt>
            </c:strLit>
          </c:cat>
          <c:val>
            <c:numRef>
              <c:f>SUMMARY!$F$39</c:f>
              <c:numCache>
                <c:formatCode>0.00</c:formatCode>
                <c:ptCount val="1"/>
                <c:pt idx="0">
                  <c:v>2727.5929894168112</c:v>
                </c:pt>
              </c:numCache>
            </c:numRef>
          </c:val>
          <c:extLst>
            <c:ext xmlns:c16="http://schemas.microsoft.com/office/drawing/2014/chart" uri="{C3380CC4-5D6E-409C-BE32-E72D297353CC}">
              <c16:uniqueId val="{00000004-2405-2345-A4D6-2CF4383CE8CA}"/>
            </c:ext>
          </c:extLst>
        </c:ser>
        <c:dLbls>
          <c:showLegendKey val="0"/>
          <c:showVal val="0"/>
          <c:showCatName val="0"/>
          <c:showSerName val="0"/>
          <c:showPercent val="0"/>
          <c:showBubbleSize val="0"/>
        </c:dLbls>
        <c:gapWidth val="219"/>
        <c:overlap val="-27"/>
        <c:axId val="-1480759504"/>
        <c:axId val="-1480758960"/>
      </c:barChart>
      <c:catAx>
        <c:axId val="-1480759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HU"/>
          </a:p>
        </c:txPr>
        <c:crossAx val="-1480758960"/>
        <c:crosses val="autoZero"/>
        <c:auto val="1"/>
        <c:lblAlgn val="ctr"/>
        <c:lblOffset val="100"/>
        <c:noMultiLvlLbl val="0"/>
      </c:catAx>
      <c:valAx>
        <c:axId val="-1480758960"/>
        <c:scaling>
          <c:orientation val="minMax"/>
        </c:scaling>
        <c:delete val="1"/>
        <c:axPos val="l"/>
        <c:numFmt formatCode="0" sourceLinked="0"/>
        <c:majorTickMark val="none"/>
        <c:minorTickMark val="none"/>
        <c:tickLblPos val="nextTo"/>
        <c:crossAx val="-1480759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HU"/>
        </a:p>
      </c:txPr>
    </c:legend>
    <c:plotVisOnly val="1"/>
    <c:dispBlanksAs val="gap"/>
    <c:showDLblsOverMax val="0"/>
  </c:chart>
  <c:spPr>
    <a:solidFill>
      <a:schemeClr val="bg1"/>
    </a:solidFill>
    <a:ln w="9525" cap="flat" cmpd="sng" algn="ctr">
      <a:noFill/>
      <a:round/>
    </a:ln>
    <a:effectLst/>
  </c:spPr>
  <c:txPr>
    <a:bodyPr/>
    <a:lstStyle/>
    <a:p>
      <a:pPr>
        <a:defRPr/>
      </a:pPr>
      <a:endParaRPr lang="en-H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'Country aggregates'!$O$1</c:f>
              <c:strCache>
                <c:ptCount val="1"/>
                <c:pt idx="0">
                  <c:v>Total aid/capita adjusted with PLI</c:v>
                </c:pt>
              </c:strCache>
            </c:strRef>
          </c:tx>
          <c:spPr>
            <a:solidFill>
              <a:schemeClr val="accent1">
                <a:lumMod val="75000"/>
              </a:schemeClr>
            </a:solidFill>
            <a:ln>
              <a:noFill/>
            </a:ln>
            <a:effectLst/>
          </c:spPr>
          <c:invertIfNegative val="0"/>
          <c:dPt>
            <c:idx val="1"/>
            <c:invertIfNegative val="0"/>
            <c:bubble3D val="0"/>
            <c:spPr>
              <a:solidFill>
                <a:srgbClr val="C00000"/>
              </a:solidFill>
              <a:ln>
                <a:noFill/>
              </a:ln>
              <a:effectLst/>
            </c:spPr>
            <c:extLst>
              <c:ext xmlns:c16="http://schemas.microsoft.com/office/drawing/2014/chart" uri="{C3380CC4-5D6E-409C-BE32-E72D297353CC}">
                <c16:uniqueId val="{00000001-EF69-DB4B-8385-092A5E187FBB}"/>
              </c:ext>
            </c:extLst>
          </c:dPt>
          <c:dPt>
            <c:idx val="2"/>
            <c:invertIfNegative val="0"/>
            <c:bubble3D val="0"/>
            <c:spPr>
              <a:solidFill>
                <a:schemeClr val="accent6"/>
              </a:solidFill>
              <a:ln>
                <a:noFill/>
              </a:ln>
              <a:effectLst/>
            </c:spPr>
            <c:extLst>
              <c:ext xmlns:c16="http://schemas.microsoft.com/office/drawing/2014/chart" uri="{C3380CC4-5D6E-409C-BE32-E72D297353CC}">
                <c16:uniqueId val="{00000003-EF69-DB4B-8385-092A5E187FBB}"/>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'Country aggregates'!$M$2:$M$4</c:f>
              <c:strCache>
                <c:ptCount val="3"/>
                <c:pt idx="0">
                  <c:v>Eastern periphery</c:v>
                </c:pt>
                <c:pt idx="1">
                  <c:v>Southern periphery</c:v>
                </c:pt>
                <c:pt idx="2">
                  <c:v>Core</c:v>
                </c:pt>
              </c:strCache>
            </c:strRef>
          </c:cat>
          <c:val>
            <c:numRef>
              <c:f>'Country aggregates'!$O$2:$O$4</c:f>
              <c:numCache>
                <c:formatCode>0</c:formatCode>
                <c:ptCount val="3"/>
                <c:pt idx="0">
                  <c:v>2050.8472723600762</c:v>
                </c:pt>
                <c:pt idx="1">
                  <c:v>1798.7761038351607</c:v>
                </c:pt>
                <c:pt idx="2">
                  <c:v>4457.6562256952875</c:v>
                </c:pt>
              </c:numCache>
            </c:numRef>
          </c:val>
          <c:extLst>
            <c:ext xmlns:c16="http://schemas.microsoft.com/office/drawing/2014/chart" uri="{C3380CC4-5D6E-409C-BE32-E72D297353CC}">
              <c16:uniqueId val="{00000004-EF69-DB4B-8385-092A5E187FBB}"/>
            </c:ext>
          </c:extLst>
        </c:ser>
        <c:dLbls>
          <c:showLegendKey val="0"/>
          <c:showVal val="0"/>
          <c:showCatName val="0"/>
          <c:showSerName val="0"/>
          <c:showPercent val="0"/>
          <c:showBubbleSize val="0"/>
        </c:dLbls>
        <c:gapWidth val="219"/>
        <c:overlap val="-27"/>
        <c:axId val="-1480758416"/>
        <c:axId val="-1480757872"/>
      </c:barChart>
      <c:catAx>
        <c:axId val="-1480758416"/>
        <c:scaling>
          <c:orientation val="minMax"/>
        </c:scaling>
        <c:delete val="1"/>
        <c:axPos val="b"/>
        <c:numFmt formatCode="General" sourceLinked="1"/>
        <c:majorTickMark val="none"/>
        <c:minorTickMark val="none"/>
        <c:tickLblPos val="nextTo"/>
        <c:crossAx val="-1480757872"/>
        <c:crosses val="autoZero"/>
        <c:auto val="1"/>
        <c:lblAlgn val="ctr"/>
        <c:lblOffset val="100"/>
        <c:noMultiLvlLbl val="0"/>
      </c:catAx>
      <c:valAx>
        <c:axId val="-1480757872"/>
        <c:scaling>
          <c:orientation val="minMax"/>
        </c:scaling>
        <c:delete val="1"/>
        <c:axPos val="l"/>
        <c:numFmt formatCode="0" sourceLinked="1"/>
        <c:majorTickMark val="none"/>
        <c:minorTickMark val="none"/>
        <c:tickLblPos val="nextTo"/>
        <c:crossAx val="-1480758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HU"/>
        </a:p>
      </c:txPr>
    </c:legend>
    <c:plotVisOnly val="1"/>
    <c:dispBlanksAs val="gap"/>
    <c:showDLblsOverMax val="0"/>
  </c:chart>
  <c:spPr>
    <a:solidFill>
      <a:schemeClr val="bg1"/>
    </a:solidFill>
    <a:ln w="9525" cap="flat" cmpd="sng" algn="ctr">
      <a:noFill/>
      <a:round/>
    </a:ln>
    <a:effectLst/>
  </c:spPr>
  <c:txPr>
    <a:bodyPr/>
    <a:lstStyle/>
    <a:p>
      <a:pPr>
        <a:defRPr/>
      </a:pPr>
      <a:endParaRPr lang="en-H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SUMMARY!$E$37</c:f>
              <c:strCache>
                <c:ptCount val="1"/>
                <c:pt idx="0">
                  <c:v>Eastern periphery</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SUMMARY!$F$36:$G$36</c:f>
              <c:strCache>
                <c:ptCount val="1"/>
                <c:pt idx="0">
                  <c:v>Total Cohesion Policy payments per capita (2004-2019) in constant 2010 EUR, adjusted with price levels</c:v>
                </c:pt>
              </c:strCache>
            </c:strRef>
          </c:cat>
          <c:val>
            <c:numRef>
              <c:f>SUMMARY!$F$37:$G$37</c:f>
              <c:numCache>
                <c:formatCode>General</c:formatCode>
                <c:ptCount val="1"/>
                <c:pt idx="0">
                  <c:v>4726.8166433315082</c:v>
                </c:pt>
              </c:numCache>
            </c:numRef>
          </c:val>
          <c:extLst>
            <c:ext xmlns:c16="http://schemas.microsoft.com/office/drawing/2014/chart" uri="{C3380CC4-5D6E-409C-BE32-E72D297353CC}">
              <c16:uniqueId val="{00000000-D0FE-9546-9AE6-A55FC3FC542A}"/>
            </c:ext>
          </c:extLst>
        </c:ser>
        <c:ser>
          <c:idx val="1"/>
          <c:order val="1"/>
          <c:tx>
            <c:strRef>
              <c:f>SUMMARY!$E$38</c:f>
              <c:strCache>
                <c:ptCount val="1"/>
                <c:pt idx="0">
                  <c:v>Southern periphery</c:v>
                </c:pt>
              </c:strCache>
            </c:strRef>
          </c:tx>
          <c:spPr>
            <a:solidFill>
              <a:schemeClr val="accent2"/>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SUMMARY!$F$36:$G$36</c:f>
              <c:strCache>
                <c:ptCount val="1"/>
                <c:pt idx="0">
                  <c:v>Total Cohesion Policy payments per capita (2004-2019) in constant 2010 EUR, adjusted with price levels</c:v>
                </c:pt>
              </c:strCache>
            </c:strRef>
          </c:cat>
          <c:val>
            <c:numRef>
              <c:f>SUMMARY!$F$38:$G$38</c:f>
              <c:numCache>
                <c:formatCode>General</c:formatCode>
                <c:ptCount val="1"/>
                <c:pt idx="0">
                  <c:v>2037.7264212776233</c:v>
                </c:pt>
              </c:numCache>
            </c:numRef>
          </c:val>
          <c:extLst>
            <c:ext xmlns:c16="http://schemas.microsoft.com/office/drawing/2014/chart" uri="{C3380CC4-5D6E-409C-BE32-E72D297353CC}">
              <c16:uniqueId val="{00000001-D0FE-9546-9AE6-A55FC3FC542A}"/>
            </c:ext>
          </c:extLst>
        </c:ser>
        <c:ser>
          <c:idx val="2"/>
          <c:order val="2"/>
          <c:tx>
            <c:strRef>
              <c:f>SUMMARY!$E$39</c:f>
              <c:strCache>
                <c:ptCount val="1"/>
                <c:pt idx="0">
                  <c:v>Core</c:v>
                </c:pt>
              </c:strCache>
            </c:strRef>
          </c:tx>
          <c:spPr>
            <a:solidFill>
              <a:schemeClr val="accent3"/>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SUMMARY!$F$36:$G$36</c:f>
              <c:strCache>
                <c:ptCount val="1"/>
                <c:pt idx="0">
                  <c:v>Total Cohesion Policy payments per capita (2004-2019) in constant 2010 EUR, adjusted with price levels</c:v>
                </c:pt>
              </c:strCache>
            </c:strRef>
          </c:cat>
          <c:val>
            <c:numRef>
              <c:f>SUMMARY!$F$39:$G$39</c:f>
              <c:numCache>
                <c:formatCode>General</c:formatCode>
                <c:ptCount val="1"/>
                <c:pt idx="0">
                  <c:v>456.11844565786225</c:v>
                </c:pt>
              </c:numCache>
            </c:numRef>
          </c:val>
          <c:extLst>
            <c:ext xmlns:c16="http://schemas.microsoft.com/office/drawing/2014/chart" uri="{C3380CC4-5D6E-409C-BE32-E72D297353CC}">
              <c16:uniqueId val="{00000002-D0FE-9546-9AE6-A55FC3FC542A}"/>
            </c:ext>
          </c:extLst>
        </c:ser>
        <c:dLbls>
          <c:showLegendKey val="0"/>
          <c:showVal val="0"/>
          <c:showCatName val="0"/>
          <c:showSerName val="0"/>
          <c:showPercent val="0"/>
          <c:showBubbleSize val="0"/>
        </c:dLbls>
        <c:gapWidth val="219"/>
        <c:overlap val="-27"/>
        <c:axId val="-831462144"/>
        <c:axId val="-831459968"/>
      </c:barChart>
      <c:catAx>
        <c:axId val="-831462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HU"/>
          </a:p>
        </c:txPr>
        <c:crossAx val="-831459968"/>
        <c:crosses val="autoZero"/>
        <c:auto val="1"/>
        <c:lblAlgn val="ctr"/>
        <c:lblOffset val="100"/>
        <c:noMultiLvlLbl val="0"/>
      </c:catAx>
      <c:valAx>
        <c:axId val="-831459968"/>
        <c:scaling>
          <c:orientation val="minMax"/>
        </c:scaling>
        <c:delete val="1"/>
        <c:axPos val="l"/>
        <c:numFmt formatCode="General" sourceLinked="1"/>
        <c:majorTickMark val="none"/>
        <c:minorTickMark val="none"/>
        <c:tickLblPos val="nextTo"/>
        <c:crossAx val="-831462144"/>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HU"/>
        </a:p>
      </c:txPr>
    </c:legend>
    <c:plotVisOnly val="1"/>
    <c:dispBlanksAs val="gap"/>
    <c:showDLblsOverMax val="0"/>
  </c:chart>
  <c:spPr>
    <a:solidFill>
      <a:schemeClr val="bg1"/>
    </a:solidFill>
    <a:ln w="9525" cap="flat" cmpd="sng" algn="ctr">
      <a:noFill/>
      <a:round/>
    </a:ln>
    <a:effectLst/>
  </c:spPr>
  <c:txPr>
    <a:bodyPr/>
    <a:lstStyle/>
    <a:p>
      <a:pPr>
        <a:defRPr/>
      </a:pPr>
      <a:endParaRPr lang="en-H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Final!$C$120</c:f>
              <c:strCache>
                <c:ptCount val="1"/>
                <c:pt idx="0">
                  <c:v>Eastern Periphery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Final!$B$173:$B$176</c:f>
              <c:strCache>
                <c:ptCount val="4"/>
                <c:pt idx="0">
                  <c:v>Infrastructure investment</c:v>
                </c:pt>
                <c:pt idx="1">
                  <c:v>R&amp;D investment</c:v>
                </c:pt>
                <c:pt idx="2">
                  <c:v>Small and targeted investment</c:v>
                </c:pt>
                <c:pt idx="3">
                  <c:v>All sectors</c:v>
                </c:pt>
              </c:strCache>
            </c:strRef>
          </c:cat>
          <c:val>
            <c:numRef>
              <c:f>Final!$C$173:$C$176</c:f>
              <c:numCache>
                <c:formatCode>0.0%</c:formatCode>
                <c:ptCount val="4"/>
                <c:pt idx="0">
                  <c:v>0.16959888915045276</c:v>
                </c:pt>
                <c:pt idx="1">
                  <c:v>0.12001134411852028</c:v>
                </c:pt>
                <c:pt idx="2">
                  <c:v>0.17445866128177134</c:v>
                </c:pt>
                <c:pt idx="3">
                  <c:v>0.16781958972632111</c:v>
                </c:pt>
              </c:numCache>
            </c:numRef>
          </c:val>
          <c:extLst>
            <c:ext xmlns:c16="http://schemas.microsoft.com/office/drawing/2014/chart" uri="{C3380CC4-5D6E-409C-BE32-E72D297353CC}">
              <c16:uniqueId val="{00000000-11A0-44DC-8979-855928DA1BC8}"/>
            </c:ext>
          </c:extLst>
        </c:ser>
        <c:ser>
          <c:idx val="1"/>
          <c:order val="1"/>
          <c:tx>
            <c:strRef>
              <c:f>Final!$D$120</c:f>
              <c:strCache>
                <c:ptCount val="1"/>
                <c:pt idx="0">
                  <c:v>Core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Final!$B$173:$B$176</c:f>
              <c:strCache>
                <c:ptCount val="4"/>
                <c:pt idx="0">
                  <c:v>Infrastructure investment</c:v>
                </c:pt>
                <c:pt idx="1">
                  <c:v>R&amp;D investment</c:v>
                </c:pt>
                <c:pt idx="2">
                  <c:v>Small and targeted investment</c:v>
                </c:pt>
                <c:pt idx="3">
                  <c:v>All sectors</c:v>
                </c:pt>
              </c:strCache>
            </c:strRef>
          </c:cat>
          <c:val>
            <c:numRef>
              <c:f>Final!$D$173:$D$176</c:f>
              <c:numCache>
                <c:formatCode>0.0%</c:formatCode>
                <c:ptCount val="4"/>
                <c:pt idx="0">
                  <c:v>0.47688839388054188</c:v>
                </c:pt>
                <c:pt idx="1">
                  <c:v>0.66534970211957145</c:v>
                </c:pt>
                <c:pt idx="2">
                  <c:v>0.36800346453639493</c:v>
                </c:pt>
                <c:pt idx="3">
                  <c:v>0.44969230601721688</c:v>
                </c:pt>
              </c:numCache>
            </c:numRef>
          </c:val>
          <c:extLst>
            <c:ext xmlns:c16="http://schemas.microsoft.com/office/drawing/2014/chart" uri="{C3380CC4-5D6E-409C-BE32-E72D297353CC}">
              <c16:uniqueId val="{00000001-11A0-44DC-8979-855928DA1BC8}"/>
            </c:ext>
          </c:extLst>
        </c:ser>
        <c:ser>
          <c:idx val="2"/>
          <c:order val="2"/>
          <c:tx>
            <c:strRef>
              <c:f>Final!$E$120</c:f>
              <c:strCache>
                <c:ptCount val="1"/>
                <c:pt idx="0">
                  <c:v>Southern Periphery</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Final!$B$173:$B$176</c:f>
              <c:strCache>
                <c:ptCount val="4"/>
                <c:pt idx="0">
                  <c:v>Infrastructure investment</c:v>
                </c:pt>
                <c:pt idx="1">
                  <c:v>R&amp;D investment</c:v>
                </c:pt>
                <c:pt idx="2">
                  <c:v>Small and targeted investment</c:v>
                </c:pt>
                <c:pt idx="3">
                  <c:v>All sectors</c:v>
                </c:pt>
              </c:strCache>
            </c:strRef>
          </c:cat>
          <c:val>
            <c:numRef>
              <c:f>Final!$E$173:$E$176</c:f>
              <c:numCache>
                <c:formatCode>0.0%</c:formatCode>
                <c:ptCount val="4"/>
                <c:pt idx="0">
                  <c:v>0.35351271696900544</c:v>
                </c:pt>
                <c:pt idx="1">
                  <c:v>0.21463895376190825</c:v>
                </c:pt>
                <c:pt idx="2">
                  <c:v>0.45753787418183384</c:v>
                </c:pt>
                <c:pt idx="3">
                  <c:v>0.38248810425646201</c:v>
                </c:pt>
              </c:numCache>
            </c:numRef>
          </c:val>
          <c:extLst>
            <c:ext xmlns:c16="http://schemas.microsoft.com/office/drawing/2014/chart" uri="{C3380CC4-5D6E-409C-BE32-E72D297353CC}">
              <c16:uniqueId val="{00000002-11A0-44DC-8979-855928DA1BC8}"/>
            </c:ext>
          </c:extLst>
        </c:ser>
        <c:dLbls>
          <c:showLegendKey val="0"/>
          <c:showVal val="0"/>
          <c:showCatName val="0"/>
          <c:showSerName val="0"/>
          <c:showPercent val="0"/>
          <c:showBubbleSize val="0"/>
        </c:dLbls>
        <c:gapWidth val="45"/>
        <c:overlap val="100"/>
        <c:axId val="-831455616"/>
        <c:axId val="-831462688"/>
      </c:barChart>
      <c:catAx>
        <c:axId val="-831455616"/>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HU"/>
          </a:p>
        </c:txPr>
        <c:crossAx val="-831462688"/>
        <c:crosses val="autoZero"/>
        <c:auto val="1"/>
        <c:lblAlgn val="ctr"/>
        <c:lblOffset val="100"/>
        <c:noMultiLvlLbl val="0"/>
      </c:catAx>
      <c:valAx>
        <c:axId val="-831462688"/>
        <c:scaling>
          <c:orientation val="minMax"/>
        </c:scaling>
        <c:delete val="1"/>
        <c:axPos val="b"/>
        <c:numFmt formatCode="0%" sourceLinked="1"/>
        <c:majorTickMark val="none"/>
        <c:minorTickMark val="none"/>
        <c:tickLblPos val="nextTo"/>
        <c:crossAx val="-831455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H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en-H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Final!$C$120</c:f>
              <c:strCache>
                <c:ptCount val="1"/>
                <c:pt idx="0">
                  <c:v>Eastern Periphery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Final!$B$128:$B$131</c:f>
              <c:strCache>
                <c:ptCount val="4"/>
                <c:pt idx="0">
                  <c:v>Infrastructure investment</c:v>
                </c:pt>
                <c:pt idx="1">
                  <c:v>R&amp;D investment</c:v>
                </c:pt>
                <c:pt idx="2">
                  <c:v>Small and targeted investment</c:v>
                </c:pt>
                <c:pt idx="3">
                  <c:v>All sectors</c:v>
                </c:pt>
              </c:strCache>
            </c:strRef>
          </c:cat>
          <c:val>
            <c:numRef>
              <c:f>Final!$C$128:$C$131</c:f>
              <c:numCache>
                <c:formatCode>0.0%</c:formatCode>
                <c:ptCount val="4"/>
                <c:pt idx="0">
                  <c:v>0.12209336164525036</c:v>
                </c:pt>
                <c:pt idx="1">
                  <c:v>4.7346927370109509E-2</c:v>
                </c:pt>
                <c:pt idx="2">
                  <c:v>0.2318031141708867</c:v>
                </c:pt>
                <c:pt idx="3">
                  <c:v>0.12817276122449128</c:v>
                </c:pt>
              </c:numCache>
            </c:numRef>
          </c:val>
          <c:extLst>
            <c:ext xmlns:c16="http://schemas.microsoft.com/office/drawing/2014/chart" uri="{C3380CC4-5D6E-409C-BE32-E72D297353CC}">
              <c16:uniqueId val="{00000000-BD46-4CE5-912A-12B052FEED2F}"/>
            </c:ext>
          </c:extLst>
        </c:ser>
        <c:ser>
          <c:idx val="1"/>
          <c:order val="1"/>
          <c:tx>
            <c:strRef>
              <c:f>Final!$D$120</c:f>
              <c:strCache>
                <c:ptCount val="1"/>
                <c:pt idx="0">
                  <c:v>Core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Final!$B$128:$B$131</c:f>
              <c:strCache>
                <c:ptCount val="4"/>
                <c:pt idx="0">
                  <c:v>Infrastructure investment</c:v>
                </c:pt>
                <c:pt idx="1">
                  <c:v>R&amp;D investment</c:v>
                </c:pt>
                <c:pt idx="2">
                  <c:v>Small and targeted investment</c:v>
                </c:pt>
                <c:pt idx="3">
                  <c:v>All sectors</c:v>
                </c:pt>
              </c:strCache>
            </c:strRef>
          </c:cat>
          <c:val>
            <c:numRef>
              <c:f>Final!$D$128:$D$131</c:f>
              <c:numCache>
                <c:formatCode>0.0%</c:formatCode>
                <c:ptCount val="4"/>
                <c:pt idx="0">
                  <c:v>0.52898304823958198</c:v>
                </c:pt>
                <c:pt idx="1">
                  <c:v>0.66793425696276532</c:v>
                </c:pt>
                <c:pt idx="2">
                  <c:v>0.34789667984492406</c:v>
                </c:pt>
                <c:pt idx="3">
                  <c:v>0.52290855719653018</c:v>
                </c:pt>
              </c:numCache>
            </c:numRef>
          </c:val>
          <c:extLst>
            <c:ext xmlns:c16="http://schemas.microsoft.com/office/drawing/2014/chart" uri="{C3380CC4-5D6E-409C-BE32-E72D297353CC}">
              <c16:uniqueId val="{00000001-BD46-4CE5-912A-12B052FEED2F}"/>
            </c:ext>
          </c:extLst>
        </c:ser>
        <c:ser>
          <c:idx val="2"/>
          <c:order val="2"/>
          <c:tx>
            <c:strRef>
              <c:f>Final!$E$120</c:f>
              <c:strCache>
                <c:ptCount val="1"/>
                <c:pt idx="0">
                  <c:v>Southern Periphery</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Final!$B$128:$B$131</c:f>
              <c:strCache>
                <c:ptCount val="4"/>
                <c:pt idx="0">
                  <c:v>Infrastructure investment</c:v>
                </c:pt>
                <c:pt idx="1">
                  <c:v>R&amp;D investment</c:v>
                </c:pt>
                <c:pt idx="2">
                  <c:v>Small and targeted investment</c:v>
                </c:pt>
                <c:pt idx="3">
                  <c:v>All sectors</c:v>
                </c:pt>
              </c:strCache>
            </c:strRef>
          </c:cat>
          <c:val>
            <c:numRef>
              <c:f>Final!$E$128:$E$131</c:f>
              <c:numCache>
                <c:formatCode>0.0%</c:formatCode>
                <c:ptCount val="4"/>
                <c:pt idx="0">
                  <c:v>0.34892359011516771</c:v>
                </c:pt>
                <c:pt idx="1">
                  <c:v>0.28471881566712509</c:v>
                </c:pt>
                <c:pt idx="2">
                  <c:v>0.42030020598418921</c:v>
                </c:pt>
                <c:pt idx="3">
                  <c:v>0.3489186815789786</c:v>
                </c:pt>
              </c:numCache>
            </c:numRef>
          </c:val>
          <c:extLst>
            <c:ext xmlns:c16="http://schemas.microsoft.com/office/drawing/2014/chart" uri="{C3380CC4-5D6E-409C-BE32-E72D297353CC}">
              <c16:uniqueId val="{00000002-BD46-4CE5-912A-12B052FEED2F}"/>
            </c:ext>
          </c:extLst>
        </c:ser>
        <c:dLbls>
          <c:showLegendKey val="0"/>
          <c:showVal val="0"/>
          <c:showCatName val="0"/>
          <c:showSerName val="0"/>
          <c:showPercent val="0"/>
          <c:showBubbleSize val="0"/>
        </c:dLbls>
        <c:gapWidth val="45"/>
        <c:overlap val="100"/>
        <c:axId val="-831459424"/>
        <c:axId val="-831458880"/>
      </c:barChart>
      <c:catAx>
        <c:axId val="-831459424"/>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HU"/>
          </a:p>
        </c:txPr>
        <c:crossAx val="-831458880"/>
        <c:crosses val="autoZero"/>
        <c:auto val="1"/>
        <c:lblAlgn val="ctr"/>
        <c:lblOffset val="100"/>
        <c:noMultiLvlLbl val="0"/>
      </c:catAx>
      <c:valAx>
        <c:axId val="-831458880"/>
        <c:scaling>
          <c:orientation val="minMax"/>
        </c:scaling>
        <c:delete val="1"/>
        <c:axPos val="b"/>
        <c:numFmt formatCode="0%" sourceLinked="1"/>
        <c:majorTickMark val="none"/>
        <c:minorTickMark val="none"/>
        <c:tickLblPos val="nextTo"/>
        <c:crossAx val="-831459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H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en-H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Final!$G$19</c:f>
              <c:strCache>
                <c:ptCount val="1"/>
                <c:pt idx="0">
                  <c:v>One region</c:v>
                </c:pt>
              </c:strCache>
            </c:strRef>
          </c:tx>
          <c:spPr>
            <a:solidFill>
              <a:schemeClr val="accent1">
                <a:alpha val="85000"/>
              </a:schemeClr>
            </a:solidFill>
            <a:ln w="9525">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H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Final!$F$20:$F$22</c:f>
              <c:strCache>
                <c:ptCount val="3"/>
                <c:pt idx="0">
                  <c:v>EFSI signed projects</c:v>
                </c:pt>
                <c:pt idx="1">
                  <c:v>EFSI approved projects</c:v>
                </c:pt>
                <c:pt idx="2">
                  <c:v>EIB projects financed</c:v>
                </c:pt>
              </c:strCache>
            </c:strRef>
          </c:cat>
          <c:val>
            <c:numRef>
              <c:f>Final!$G$20:$G$22</c:f>
              <c:numCache>
                <c:formatCode>0.0%</c:formatCode>
                <c:ptCount val="3"/>
                <c:pt idx="0">
                  <c:v>0.80029674196861456</c:v>
                </c:pt>
                <c:pt idx="1">
                  <c:v>0.94688674979417242</c:v>
                </c:pt>
                <c:pt idx="2">
                  <c:v>0.99675991611056591</c:v>
                </c:pt>
              </c:numCache>
            </c:numRef>
          </c:val>
          <c:extLst>
            <c:ext xmlns:c16="http://schemas.microsoft.com/office/drawing/2014/chart" uri="{C3380CC4-5D6E-409C-BE32-E72D297353CC}">
              <c16:uniqueId val="{00000000-0D37-4EDC-8852-990BB6E803D1}"/>
            </c:ext>
          </c:extLst>
        </c:ser>
        <c:ser>
          <c:idx val="1"/>
          <c:order val="1"/>
          <c:tx>
            <c:strRef>
              <c:f>Final!$H$19</c:f>
              <c:strCache>
                <c:ptCount val="1"/>
                <c:pt idx="0">
                  <c:v>Multiple regions</c:v>
                </c:pt>
              </c:strCache>
            </c:strRef>
          </c:tx>
          <c:spPr>
            <a:solidFill>
              <a:schemeClr val="accent3">
                <a:alpha val="85000"/>
              </a:schemeClr>
            </a:solidFill>
            <a:ln w="9525">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H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Final!$F$20:$F$22</c:f>
              <c:strCache>
                <c:ptCount val="3"/>
                <c:pt idx="0">
                  <c:v>EFSI signed projects</c:v>
                </c:pt>
                <c:pt idx="1">
                  <c:v>EFSI approved projects</c:v>
                </c:pt>
                <c:pt idx="2">
                  <c:v>EIB projects financed</c:v>
                </c:pt>
              </c:strCache>
            </c:strRef>
          </c:cat>
          <c:val>
            <c:numRef>
              <c:f>Final!$H$20:$H$22</c:f>
              <c:numCache>
                <c:formatCode>0.0%</c:formatCode>
                <c:ptCount val="3"/>
                <c:pt idx="0">
                  <c:v>0.19970325803138542</c:v>
                </c:pt>
                <c:pt idx="1">
                  <c:v>5.3113250205827571E-2</c:v>
                </c:pt>
                <c:pt idx="2">
                  <c:v>3.240083889434071E-3</c:v>
                </c:pt>
              </c:numCache>
            </c:numRef>
          </c:val>
          <c:extLst>
            <c:ext xmlns:c16="http://schemas.microsoft.com/office/drawing/2014/chart" uri="{C3380CC4-5D6E-409C-BE32-E72D297353CC}">
              <c16:uniqueId val="{00000001-0D37-4EDC-8852-990BB6E803D1}"/>
            </c:ext>
          </c:extLst>
        </c:ser>
        <c:dLbls>
          <c:dLblPos val="inEnd"/>
          <c:showLegendKey val="0"/>
          <c:showVal val="1"/>
          <c:showCatName val="0"/>
          <c:showSerName val="0"/>
          <c:showPercent val="0"/>
          <c:showBubbleSize val="0"/>
        </c:dLbls>
        <c:gapWidth val="65"/>
        <c:axId val="-831460512"/>
        <c:axId val="-831458336"/>
      </c:barChart>
      <c:catAx>
        <c:axId val="-831460512"/>
        <c:scaling>
          <c:orientation val="minMax"/>
        </c:scaling>
        <c:delete val="0"/>
        <c:axPos val="b"/>
        <c:numFmt formatCode="General" sourceLinked="1"/>
        <c:majorTickMark val="none"/>
        <c:minorTickMark val="none"/>
        <c:tickLblPos val="nextTo"/>
        <c:spPr>
          <a:noFill/>
          <a:ln w="19050">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HU"/>
          </a:p>
        </c:txPr>
        <c:crossAx val="-831458336"/>
        <c:crosses val="autoZero"/>
        <c:auto val="1"/>
        <c:lblAlgn val="ctr"/>
        <c:lblOffset val="100"/>
        <c:noMultiLvlLbl val="0"/>
      </c:catAx>
      <c:valAx>
        <c:axId val="-831458336"/>
        <c:scaling>
          <c:orientation val="minMax"/>
        </c:scaling>
        <c:delete val="1"/>
        <c:axPos val="l"/>
        <c:majorGridlines>
          <c:spPr>
            <a:ln w="9525">
              <a:gradFill rotWithShape="1">
                <a:gsLst>
                  <a:gs pos="0">
                    <a:schemeClr val="lt1">
                      <a:lumMod val="75000"/>
                      <a:alpha val="36000"/>
                    </a:schemeClr>
                  </a:gs>
                  <a:gs pos="100000">
                    <a:schemeClr val="dk1">
                      <a:lumMod val="95000"/>
                      <a:lumOff val="5000"/>
                      <a:alpha val="42000"/>
                    </a:schemeClr>
                  </a:gs>
                </a:gsLst>
                <a:lin ang="5400000" scaled="0"/>
              </a:gradFill>
              <a:round/>
            </a:ln>
            <a:effectLst/>
          </c:spPr>
        </c:majorGridlines>
        <c:numFmt formatCode="0.0%" sourceLinked="1"/>
        <c:majorTickMark val="none"/>
        <c:minorTickMark val="none"/>
        <c:tickLblPos val="nextTo"/>
        <c:crossAx val="-83146051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HU"/>
        </a:p>
      </c:txPr>
    </c:legend>
    <c:plotVisOnly val="1"/>
    <c:dispBlanksAs val="gap"/>
    <c:showDLblsOverMax val="0"/>
  </c:chart>
  <c:spPr>
    <a:gradFill rotWithShape="1">
      <a:gsLst>
        <a:gs pos="0">
          <a:schemeClr val="lt1"/>
        </a:gs>
        <a:gs pos="39000">
          <a:schemeClr val="lt1"/>
        </a:gs>
        <a:gs pos="100000">
          <a:schemeClr val="lt1">
            <a:lumMod val="75000"/>
          </a:schemeClr>
        </a:gs>
      </a:gsLst>
      <a:path path="circle">
        <a:fillToRect l="50000" t="-80000" r="50000" b="180000"/>
      </a:path>
    </a:gradFill>
    <a:ln w="9525">
      <a:solidFill>
        <a:schemeClr val="dk1">
          <a:lumMod val="25000"/>
          <a:lumOff val="75000"/>
        </a:schemeClr>
      </a:solidFill>
      <a:round/>
    </a:ln>
    <a:effectLst/>
  </c:spPr>
  <c:txPr>
    <a:bodyPr/>
    <a:lstStyle/>
    <a:p>
      <a:pPr>
        <a:defRPr/>
      </a:pPr>
      <a:endParaRPr lang="en-H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rotWithShape="1">
        <a:gsLst>
          <a:gs pos="0">
            <a:schemeClr val="lt1"/>
          </a:gs>
          <a:gs pos="39000">
            <a:schemeClr val="lt1"/>
          </a:gs>
          <a:gs pos="100000">
            <a:schemeClr val="lt1">
              <a:lumMod val="75000"/>
            </a:schemeClr>
          </a:gs>
        </a:gsLst>
        <a:path path="circle">
          <a:fillToRect l="50000" t="-80000" r="50000" b="180000"/>
        </a:path>
      </a:gradFill>
      <a:ln w="9525">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gradFill rotWithShape="1">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rotWithShape="1">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Chicago" Version="6"/>
</file>

<file path=customXml/itemProps1.xml><?xml version="1.0" encoding="utf-8"?>
<ds:datastoreItem xmlns:ds="http://schemas.openxmlformats.org/officeDocument/2006/customXml" ds:itemID="{86863C84-D3A6-414C-B42A-1F73176B9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C:\Users\Dora Piroska\Documents\Bruszt-Medve-Piroska\Mind_the_Gap_May1_2019_Bruszt_Piroska_Medve-Bálint[1] (1).dotx</Template>
  <TotalTime>0</TotalTime>
  <Pages>32</Pages>
  <Words>13029</Words>
  <Characters>74269</Characters>
  <Application>Microsoft Office Word</Application>
  <DocSecurity>0</DocSecurity>
  <Lines>618</Lines>
  <Paragraphs>174</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87124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2022-04-13T11:10:00Z</dcterms:created>
  <dcterms:modified xsi:type="dcterms:W3CDTF">2022-04-13T11:10:00Z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id="aG0OjgCT"/&gt;&lt;style id="http://www.zotero.org/styles/american-sociological-association" locale="en-GB" hasBibliography="1" bibliographyStyleHasBeenSet="1"/&gt;&lt;prefs&gt;&lt;pref name="fieldType" value="Fi</vt:lpwstr>
  </property>
  <property fmtid="{D5CDD505-2E9C-101B-9397-08002B2CF9AE}" pid="3" name="ZOTERO_PREF_2">
    <vt:lpwstr>eld"/&gt;&lt;pref name="automaticJournalAbbreviations" value="true"/&gt;&lt;/prefs&gt;&lt;/data&gt;</vt:lpwstr>
  </property>
</Properties>
</file>