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EEF0" w14:textId="62DF6B7B" w:rsidR="00E543F6" w:rsidRPr="00756908" w:rsidRDefault="00213B7E" w:rsidP="00756908">
      <w:pPr>
        <w:spacing w:line="480" w:lineRule="auto"/>
        <w:jc w:val="center"/>
        <w:rPr>
          <w:rStyle w:val="SubtleReference"/>
          <w:b/>
          <w:bCs/>
          <w:i/>
          <w:iCs/>
          <w:smallCaps w:val="0"/>
          <w:color w:val="auto"/>
          <w:sz w:val="28"/>
          <w:szCs w:val="28"/>
        </w:rPr>
      </w:pPr>
      <w:r w:rsidRPr="0048559C">
        <w:rPr>
          <w:b/>
          <w:bCs/>
          <w:i/>
          <w:iCs/>
          <w:sz w:val="28"/>
          <w:szCs w:val="28"/>
        </w:rPr>
        <w:t xml:space="preserve">A gendered EU Settlement Scheme: </w:t>
      </w:r>
      <w:r w:rsidR="00567E75">
        <w:rPr>
          <w:b/>
          <w:bCs/>
          <w:i/>
          <w:iCs/>
          <w:sz w:val="28"/>
          <w:szCs w:val="28"/>
        </w:rPr>
        <w:t>intersectional oppression</w:t>
      </w:r>
      <w:r w:rsidR="00CD030C" w:rsidRPr="0048559C">
        <w:rPr>
          <w:b/>
          <w:bCs/>
          <w:i/>
          <w:iCs/>
          <w:sz w:val="28"/>
          <w:szCs w:val="28"/>
        </w:rPr>
        <w:t xml:space="preserve"> </w:t>
      </w:r>
      <w:r w:rsidR="00567E75">
        <w:rPr>
          <w:b/>
          <w:bCs/>
          <w:i/>
          <w:iCs/>
          <w:sz w:val="28"/>
          <w:szCs w:val="28"/>
        </w:rPr>
        <w:t xml:space="preserve">of immigrant women </w:t>
      </w:r>
      <w:r w:rsidR="00CD030C" w:rsidRPr="0048559C">
        <w:rPr>
          <w:b/>
          <w:bCs/>
          <w:i/>
          <w:iCs/>
          <w:sz w:val="28"/>
          <w:szCs w:val="28"/>
        </w:rPr>
        <w:t xml:space="preserve">in </w:t>
      </w:r>
      <w:r w:rsidR="008C06EC" w:rsidRPr="0048559C">
        <w:rPr>
          <w:b/>
          <w:bCs/>
          <w:i/>
          <w:iCs/>
          <w:sz w:val="28"/>
          <w:szCs w:val="28"/>
        </w:rPr>
        <w:t>a post-Brexit Britain</w:t>
      </w:r>
      <w:r w:rsidR="00E543F6">
        <w:rPr>
          <w:rStyle w:val="FootnoteReference"/>
          <w:smallCaps/>
        </w:rPr>
        <w:footnoteReference w:id="1"/>
      </w:r>
    </w:p>
    <w:p w14:paraId="36CEB86D" w14:textId="77777777" w:rsidR="00E543F6" w:rsidRPr="0048559C" w:rsidRDefault="00E543F6" w:rsidP="00C911B6">
      <w:pPr>
        <w:spacing w:line="480" w:lineRule="auto"/>
      </w:pPr>
    </w:p>
    <w:p w14:paraId="09A0EA24" w14:textId="70616433" w:rsidR="00F1765A" w:rsidRPr="0002369B" w:rsidRDefault="005E30E8" w:rsidP="0002369B">
      <w:pPr>
        <w:spacing w:line="480" w:lineRule="auto"/>
      </w:pPr>
      <w:r w:rsidRPr="0002369B">
        <w:t xml:space="preserve">The EU Settlement Scheme (EUSS) </w:t>
      </w:r>
      <w:r w:rsidR="00C350A6" w:rsidRPr="0002369B">
        <w:t>is</w:t>
      </w:r>
      <w:r w:rsidRPr="0002369B">
        <w:t xml:space="preserve"> a transitory immigration regime rolled out by the Home Office as part of the measures prepar</w:t>
      </w:r>
      <w:r w:rsidR="00810218" w:rsidRPr="0002369B">
        <w:t xml:space="preserve">ing </w:t>
      </w:r>
      <w:r w:rsidRPr="0002369B">
        <w:t xml:space="preserve">the UK from its withdrawal from the EU. </w:t>
      </w:r>
      <w:r w:rsidR="007D3A88" w:rsidRPr="0002369B">
        <w:t xml:space="preserve">More </w:t>
      </w:r>
      <w:r w:rsidR="00B15A0C" w:rsidRPr="0002369B">
        <w:t xml:space="preserve">can be said about </w:t>
      </w:r>
      <w:r w:rsidR="003F0652" w:rsidRPr="0002369B">
        <w:t xml:space="preserve">whether </w:t>
      </w:r>
      <w:r w:rsidR="00231B64" w:rsidRPr="0002369B">
        <w:t>the EUSS</w:t>
      </w:r>
      <w:r w:rsidR="003F0652" w:rsidRPr="0002369B">
        <w:t xml:space="preserve"> </w:t>
      </w:r>
      <w:r w:rsidR="00E62198" w:rsidRPr="0002369B">
        <w:t xml:space="preserve">can </w:t>
      </w:r>
      <w:r w:rsidR="003F0652" w:rsidRPr="0002369B">
        <w:t>truly be hailed a</w:t>
      </w:r>
      <w:r w:rsidR="00E62198" w:rsidRPr="0002369B">
        <w:t>n overall</w:t>
      </w:r>
      <w:r w:rsidR="003F0652" w:rsidRPr="0002369B">
        <w:t xml:space="preserve"> </w:t>
      </w:r>
      <w:r w:rsidR="00B15A0C" w:rsidRPr="0002369B">
        <w:t>“success”</w:t>
      </w:r>
      <w:r w:rsidR="007D3A88" w:rsidRPr="0002369B">
        <w:t xml:space="preserve"> </w:t>
      </w:r>
      <w:r w:rsidR="001C4A99">
        <w:t xml:space="preserve">several </w:t>
      </w:r>
      <w:r w:rsidR="007D3A88" w:rsidRPr="0002369B">
        <w:t>years on from its original introduction</w:t>
      </w:r>
      <w:r w:rsidR="00B15A0C" w:rsidRPr="0002369B">
        <w:t xml:space="preserve">. This paper evaluates the </w:t>
      </w:r>
      <w:r w:rsidR="00A04397" w:rsidRPr="0002369B">
        <w:t>supposed “</w:t>
      </w:r>
      <w:r w:rsidR="00B15A0C" w:rsidRPr="0002369B">
        <w:t>success</w:t>
      </w:r>
      <w:r w:rsidR="00A04397" w:rsidRPr="0002369B">
        <w:t xml:space="preserve">” </w:t>
      </w:r>
      <w:r w:rsidR="00B15A0C" w:rsidRPr="0002369B">
        <w:t xml:space="preserve">of the EUSS by </w:t>
      </w:r>
      <w:r w:rsidR="00326F06" w:rsidRPr="0002369B">
        <w:t>considering t</w:t>
      </w:r>
      <w:r w:rsidR="00814B2F" w:rsidRPr="0002369B">
        <w:t xml:space="preserve">wo case studies of </w:t>
      </w:r>
      <w:r w:rsidR="00326F06" w:rsidRPr="0002369B">
        <w:t xml:space="preserve">experiences of </w:t>
      </w:r>
      <w:r w:rsidR="003F0652" w:rsidRPr="0002369B">
        <w:t>vulnerable female immigrants required to apply to the Scheme to remain in the UK after the transition period</w:t>
      </w:r>
      <w:r w:rsidR="00814B2F" w:rsidRPr="0002369B">
        <w:t>:</w:t>
      </w:r>
      <w:r w:rsidR="003F0652" w:rsidRPr="0002369B">
        <w:t xml:space="preserve"> </w:t>
      </w:r>
      <w:r w:rsidR="00814B2F" w:rsidRPr="0002369B">
        <w:t xml:space="preserve">those </w:t>
      </w:r>
      <w:r w:rsidR="00760355" w:rsidRPr="0002369B">
        <w:t>at risk of or facing violence against wom</w:t>
      </w:r>
      <w:r w:rsidR="00F461D2" w:rsidRPr="0002369B">
        <w:t>e</w:t>
      </w:r>
      <w:r w:rsidR="00760355" w:rsidRPr="0002369B">
        <w:t>n and girls (VAWG), and</w:t>
      </w:r>
      <w:r w:rsidR="00814B2F" w:rsidRPr="0002369B">
        <w:t xml:space="preserve"> those who are </w:t>
      </w:r>
      <w:r w:rsidR="00F1765A" w:rsidRPr="0002369B">
        <w:t xml:space="preserve">a </w:t>
      </w:r>
      <w:r w:rsidR="00760355" w:rsidRPr="0002369B">
        <w:t>non-EU family member</w:t>
      </w:r>
      <w:r w:rsidR="00F1765A" w:rsidRPr="0002369B">
        <w:t xml:space="preserve"> </w:t>
      </w:r>
      <w:r w:rsidR="00760355" w:rsidRPr="0002369B">
        <w:t>(NEFM)</w:t>
      </w:r>
      <w:r w:rsidR="00814B2F" w:rsidRPr="0002369B">
        <w:t xml:space="preserve"> of an EU citizen</w:t>
      </w:r>
      <w:r w:rsidR="002D6B8A" w:rsidRPr="0002369B">
        <w:t>.</w:t>
      </w:r>
      <w:r w:rsidR="00814B2F" w:rsidRPr="0002369B">
        <w:t xml:space="preserve"> </w:t>
      </w:r>
      <w:r w:rsidR="00E5380F" w:rsidRPr="0002369B">
        <w:t xml:space="preserve">Using </w:t>
      </w:r>
      <w:r w:rsidR="004C4340" w:rsidRPr="0002369B">
        <w:t>theories of intersectionality and vulnerability</w:t>
      </w:r>
      <w:r w:rsidR="00E5380F" w:rsidRPr="0002369B">
        <w:t>, this paper outlines how gender and immigration status intersect to make women more vulnerable by virtue of the legal framework of the EUSS</w:t>
      </w:r>
      <w:r w:rsidR="00E62198" w:rsidRPr="0002369B">
        <w:t xml:space="preserve">, entrenching </w:t>
      </w:r>
      <w:r w:rsidR="001C287B" w:rsidRPr="0002369B">
        <w:t>intersectional</w:t>
      </w:r>
      <w:r w:rsidR="00E62198" w:rsidRPr="0002369B">
        <w:t xml:space="preserve"> oppression </w:t>
      </w:r>
      <w:r w:rsidR="001C287B" w:rsidRPr="0002369B">
        <w:t xml:space="preserve">faced uniquely by these </w:t>
      </w:r>
      <w:r w:rsidR="00E62198" w:rsidRPr="0002369B">
        <w:t>women</w:t>
      </w:r>
      <w:r w:rsidR="00803B25" w:rsidRPr="0002369B">
        <w:t>.</w:t>
      </w:r>
    </w:p>
    <w:p w14:paraId="35BF0DBD" w14:textId="77777777" w:rsidR="005E30E8" w:rsidRPr="0048559C" w:rsidRDefault="005E30E8" w:rsidP="00C911B6">
      <w:pPr>
        <w:spacing w:line="480" w:lineRule="auto"/>
      </w:pPr>
    </w:p>
    <w:p w14:paraId="3D08B05C" w14:textId="4A8CC2F0" w:rsidR="00776029" w:rsidRPr="0048559C" w:rsidRDefault="00E720D6" w:rsidP="00C911B6">
      <w:pPr>
        <w:spacing w:line="480" w:lineRule="auto"/>
        <w:sectPr w:rsidR="00776029" w:rsidRPr="0048559C" w:rsidSect="00515D4B">
          <w:footerReference w:type="even" r:id="rId8"/>
          <w:footerReference w:type="default" r:id="rId9"/>
          <w:footnotePr>
            <w:numFmt w:val="chicago"/>
            <w:numRestart w:val="eachSect"/>
          </w:footnotePr>
          <w:pgSz w:w="11900" w:h="16840"/>
          <w:pgMar w:top="1440" w:right="1440" w:bottom="1440" w:left="1440" w:header="720" w:footer="720" w:gutter="0"/>
          <w:cols w:space="720"/>
          <w:titlePg/>
          <w:docGrid w:linePitch="360"/>
        </w:sectPr>
      </w:pPr>
      <w:r w:rsidRPr="00C911B6">
        <w:rPr>
          <w:b/>
          <w:bCs/>
        </w:rPr>
        <w:t>Keywords</w:t>
      </w:r>
      <w:r w:rsidR="00326F06" w:rsidRPr="0048559C">
        <w:t xml:space="preserve">: Brexit, EU Settlement Scheme, violence against women and girls, non-EU family members, </w:t>
      </w:r>
      <w:r w:rsidR="008B0152" w:rsidRPr="0048559C">
        <w:t>intersectionality</w:t>
      </w:r>
      <w:r w:rsidR="00582F1F">
        <w:t>, vulnerability.</w:t>
      </w:r>
    </w:p>
    <w:p w14:paraId="0C60697D" w14:textId="77777777" w:rsidR="0025316A" w:rsidRPr="0048559C" w:rsidRDefault="0025316A" w:rsidP="00C911B6">
      <w:pPr>
        <w:spacing w:line="480" w:lineRule="auto"/>
      </w:pPr>
    </w:p>
    <w:p w14:paraId="6825C1AB" w14:textId="7FD16708" w:rsidR="00AA5E36" w:rsidRPr="00C911B6" w:rsidRDefault="00C1091A" w:rsidP="0061492E">
      <w:pPr>
        <w:pStyle w:val="Heading1"/>
        <w:numPr>
          <w:ilvl w:val="0"/>
          <w:numId w:val="0"/>
        </w:numPr>
        <w:rPr>
          <w:b/>
          <w:bCs/>
        </w:rPr>
      </w:pPr>
      <w:r w:rsidRPr="0048559C">
        <w:br w:type="page"/>
      </w:r>
      <w:r w:rsidR="00B8294A" w:rsidRPr="00C911B6">
        <w:rPr>
          <w:b/>
          <w:bCs/>
        </w:rPr>
        <w:lastRenderedPageBreak/>
        <w:t>INTRODUCTION</w:t>
      </w:r>
    </w:p>
    <w:p w14:paraId="4C3B5724" w14:textId="2D318D2C" w:rsidR="00E0040A" w:rsidRPr="0048559C" w:rsidRDefault="005257C3" w:rsidP="00C911B6">
      <w:pPr>
        <w:spacing w:line="480" w:lineRule="auto"/>
      </w:pPr>
      <w:r w:rsidRPr="0048559C">
        <w:t xml:space="preserve">The UK’s withdrawal from the EU </w:t>
      </w:r>
      <w:r w:rsidR="00535DC8">
        <w:t xml:space="preserve">was </w:t>
      </w:r>
      <w:r w:rsidRPr="0048559C">
        <w:t>a long drawn-out process for many reasons</w:t>
      </w:r>
      <w:r w:rsidR="00541547">
        <w:t xml:space="preserve">, </w:t>
      </w:r>
      <w:r w:rsidR="008D146B">
        <w:t xml:space="preserve">with </w:t>
      </w:r>
      <w:r w:rsidR="001B2C7F">
        <w:t xml:space="preserve">the </w:t>
      </w:r>
      <w:r w:rsidR="00515D4B">
        <w:t>unfortunate consequence</w:t>
      </w:r>
      <w:r w:rsidR="001B2C7F">
        <w:t xml:space="preserve"> of </w:t>
      </w:r>
      <w:r w:rsidR="00B86F01">
        <w:t xml:space="preserve">adding </w:t>
      </w:r>
      <w:r w:rsidR="00535DC8">
        <w:t xml:space="preserve">to </w:t>
      </w:r>
      <w:r w:rsidR="001B2C7F">
        <w:t xml:space="preserve">significant </w:t>
      </w:r>
      <w:r w:rsidR="00535DC8">
        <w:t xml:space="preserve">uncertainty around </w:t>
      </w:r>
      <w:r w:rsidR="001B2C7F">
        <w:t xml:space="preserve">Brexit’s </w:t>
      </w:r>
      <w:r w:rsidRPr="0048559C">
        <w:t xml:space="preserve">effect </w:t>
      </w:r>
      <w:r w:rsidR="00321A48" w:rsidRPr="0048559C">
        <w:t>on the lives and livelihoods of EU citizens in the UK</w:t>
      </w:r>
      <w:r w:rsidR="001B2C7F">
        <w:t xml:space="preserve"> after withdrawal</w:t>
      </w:r>
      <w:r w:rsidR="00321A48" w:rsidRPr="0048559C">
        <w:t xml:space="preserve">. </w:t>
      </w:r>
      <w:r w:rsidR="00515D4B">
        <w:t xml:space="preserve">A majority of this </w:t>
      </w:r>
      <w:r w:rsidR="00321A48" w:rsidRPr="0048559C">
        <w:t xml:space="preserve">group </w:t>
      </w:r>
      <w:r w:rsidR="00515D4B">
        <w:t xml:space="preserve">of EU citizens could </w:t>
      </w:r>
      <w:r w:rsidR="00321A48" w:rsidRPr="0048559C">
        <w:t xml:space="preserve">not vote in the crucial referendum that ultimately decided their fate </w:t>
      </w:r>
      <w:r w:rsidR="0006527B">
        <w:t xml:space="preserve">upon the end of </w:t>
      </w:r>
      <w:r w:rsidR="00927E3C" w:rsidRPr="0048559C">
        <w:t>free movement on 1 January 2021</w:t>
      </w:r>
      <w:r w:rsidR="00321A48" w:rsidRPr="0048559C">
        <w:t xml:space="preserve">. </w:t>
      </w:r>
      <w:r w:rsidR="00E62198">
        <w:t>M</w:t>
      </w:r>
      <w:r w:rsidR="00321A48" w:rsidRPr="0048559C">
        <w:t xml:space="preserve">uch </w:t>
      </w:r>
      <w:r w:rsidR="00E62198">
        <w:t xml:space="preserve">early </w:t>
      </w:r>
      <w:r w:rsidR="00321A48" w:rsidRPr="0048559C">
        <w:t xml:space="preserve">attention </w:t>
      </w:r>
      <w:r w:rsidR="001B2C7F">
        <w:t xml:space="preserve">was </w:t>
      </w:r>
      <w:r w:rsidR="00746CFB" w:rsidRPr="0048559C">
        <w:t>dedicated</w:t>
      </w:r>
      <w:r w:rsidR="00321A48" w:rsidRPr="0048559C">
        <w:t xml:space="preserve"> </w:t>
      </w:r>
      <w:r w:rsidR="00383F77" w:rsidRPr="0048559C">
        <w:t xml:space="preserve">to </w:t>
      </w:r>
      <w:r w:rsidR="00515D4B">
        <w:t xml:space="preserve">their plight </w:t>
      </w:r>
      <w:r w:rsidR="00383F77" w:rsidRPr="0048559C">
        <w:t xml:space="preserve">via </w:t>
      </w:r>
      <w:r w:rsidR="00746CFB" w:rsidRPr="0048559C">
        <w:t>campaigns and subsequent governmental policies ai</w:t>
      </w:r>
      <w:r w:rsidR="00283356" w:rsidRPr="0048559C">
        <w:t>med</w:t>
      </w:r>
      <w:r w:rsidR="00746CFB" w:rsidRPr="0048559C">
        <w:t xml:space="preserve"> </w:t>
      </w:r>
      <w:r w:rsidR="002932F5" w:rsidRPr="0048559C">
        <w:t>at</w:t>
      </w:r>
      <w:r w:rsidR="00746CFB" w:rsidRPr="0048559C">
        <w:t xml:space="preserve"> </w:t>
      </w:r>
      <w:r w:rsidR="002932F5" w:rsidRPr="0048559C">
        <w:t xml:space="preserve">protecting </w:t>
      </w:r>
      <w:r w:rsidR="00771974" w:rsidRPr="0048559C">
        <w:t xml:space="preserve">EU citizens </w:t>
      </w:r>
      <w:r w:rsidR="00387F19" w:rsidRPr="0048559C">
        <w:t>and eligible family members</w:t>
      </w:r>
      <w:r w:rsidR="004C4BE1">
        <w:t xml:space="preserve"> </w:t>
      </w:r>
      <w:r w:rsidR="00383F77" w:rsidRPr="0048559C">
        <w:t>from losing rights as a result of Brexit</w:t>
      </w:r>
      <w:r w:rsidR="00A70CBD" w:rsidRPr="0048559C">
        <w:t>,</w:t>
      </w:r>
      <w:r w:rsidR="004C4BE1" w:rsidRPr="0048559C">
        <w:rPr>
          <w:rStyle w:val="FootnoteReference"/>
        </w:rPr>
        <w:footnoteReference w:id="2"/>
      </w:r>
      <w:r w:rsidR="004C4BE1">
        <w:t xml:space="preserve"> </w:t>
      </w:r>
      <w:r w:rsidR="00A70CBD" w:rsidRPr="0048559C">
        <w:t xml:space="preserve">most notably </w:t>
      </w:r>
      <w:r w:rsidR="00283356" w:rsidRPr="0048559C">
        <w:t xml:space="preserve">through </w:t>
      </w:r>
      <w:r w:rsidR="00A70CBD" w:rsidRPr="0048559C">
        <w:t>the EU Settlement Scheme (EUSS</w:t>
      </w:r>
      <w:r w:rsidR="00D2322B" w:rsidRPr="0048559C">
        <w:t xml:space="preserve">; </w:t>
      </w:r>
      <w:r w:rsidR="00BB76B0" w:rsidRPr="0048559C">
        <w:t>the Scheme</w:t>
      </w:r>
      <w:r w:rsidR="00A70CBD" w:rsidRPr="0048559C">
        <w:t>)</w:t>
      </w:r>
      <w:r w:rsidR="00515D4B">
        <w:t xml:space="preserve">. </w:t>
      </w:r>
      <w:r w:rsidR="0016159B">
        <w:t>A</w:t>
      </w:r>
      <w:r w:rsidR="0006527B">
        <w:t xml:space="preserve">ttention on this matter </w:t>
      </w:r>
      <w:r w:rsidR="00E62198">
        <w:t>continue</w:t>
      </w:r>
      <w:r w:rsidR="0006527B">
        <w:t xml:space="preserve">s </w:t>
      </w:r>
      <w:r w:rsidR="00E62198">
        <w:t>even beyond the EUSS’</w:t>
      </w:r>
      <w:r w:rsidR="00FF16E4">
        <w:t>s</w:t>
      </w:r>
      <w:r w:rsidR="00E62198">
        <w:t xml:space="preserve"> application deadline </w:t>
      </w:r>
      <w:r w:rsidR="00FF16E4">
        <w:t xml:space="preserve">of </w:t>
      </w:r>
      <w:r w:rsidR="00E62198">
        <w:t>30 June 2021</w:t>
      </w:r>
      <w:r w:rsidR="00746CFB" w:rsidRPr="0048559C">
        <w:t xml:space="preserve">. </w:t>
      </w:r>
      <w:r w:rsidR="00E62198">
        <w:t xml:space="preserve">With this </w:t>
      </w:r>
      <w:r w:rsidR="00A46805">
        <w:t>context in mind, t</w:t>
      </w:r>
      <w:r w:rsidR="00260825" w:rsidRPr="0048559C">
        <w:t xml:space="preserve">his paper </w:t>
      </w:r>
      <w:r w:rsidR="00A842C3">
        <w:t xml:space="preserve">seeks to more </w:t>
      </w:r>
      <w:r w:rsidR="00260825" w:rsidRPr="0048559C">
        <w:t xml:space="preserve">closely </w:t>
      </w:r>
      <w:r w:rsidR="00E45A00" w:rsidRPr="0048559C">
        <w:t>examine</w:t>
      </w:r>
      <w:r w:rsidR="00260825" w:rsidRPr="0048559C">
        <w:t xml:space="preserve"> a specific group of </w:t>
      </w:r>
      <w:r w:rsidR="00387F19" w:rsidRPr="0048559C">
        <w:t>individuals</w:t>
      </w:r>
      <w:r w:rsidR="006F38C3">
        <w:t xml:space="preserve"> argued to be</w:t>
      </w:r>
      <w:r w:rsidR="00387F19" w:rsidRPr="0048559C">
        <w:t xml:space="preserve"> </w:t>
      </w:r>
      <w:r w:rsidR="00260825" w:rsidRPr="0048559C">
        <w:t xml:space="preserve">at </w:t>
      </w:r>
      <w:r w:rsidR="00FF16E4">
        <w:t xml:space="preserve">higher </w:t>
      </w:r>
      <w:r w:rsidR="00260825" w:rsidRPr="0048559C">
        <w:t>risk of greater vulnerability in post-Brexit Britain</w:t>
      </w:r>
      <w:r w:rsidR="00383F77" w:rsidRPr="0048559C">
        <w:t xml:space="preserve"> </w:t>
      </w:r>
      <w:r w:rsidR="00D84E2F" w:rsidRPr="0048559C">
        <w:t>because of</w:t>
      </w:r>
      <w:r w:rsidR="00F27992" w:rsidRPr="0048559C">
        <w:t xml:space="preserve"> </w:t>
      </w:r>
      <w:r w:rsidR="00D02F92" w:rsidRPr="0048559C">
        <w:t>the</w:t>
      </w:r>
      <w:r w:rsidR="00D84E2F" w:rsidRPr="0048559C">
        <w:t xml:space="preserve"> </w:t>
      </w:r>
      <w:r w:rsidR="00A46805">
        <w:t xml:space="preserve">EUSS’s </w:t>
      </w:r>
      <w:r w:rsidR="00383F77" w:rsidRPr="0048559C">
        <w:t>constitutive</w:t>
      </w:r>
      <w:r w:rsidR="00CE42BC" w:rsidRPr="0048559C">
        <w:t xml:space="preserve"> </w:t>
      </w:r>
      <w:r w:rsidR="00D84E2F" w:rsidRPr="0048559C">
        <w:t xml:space="preserve">immigration </w:t>
      </w:r>
      <w:r w:rsidR="00E45A00" w:rsidRPr="0048559C">
        <w:t>framework</w:t>
      </w:r>
      <w:r w:rsidR="00260825" w:rsidRPr="0048559C">
        <w:t xml:space="preserve">: </w:t>
      </w:r>
      <w:r w:rsidR="003B57A8">
        <w:t xml:space="preserve">immigrant </w:t>
      </w:r>
      <w:r w:rsidR="00260825" w:rsidRPr="0048559C">
        <w:t>women.</w:t>
      </w:r>
      <w:r w:rsidR="00CE42BC" w:rsidRPr="0048559C">
        <w:rPr>
          <w:rStyle w:val="FootnoteReference"/>
        </w:rPr>
        <w:footnoteReference w:id="3"/>
      </w:r>
      <w:r w:rsidR="00A25E9B" w:rsidRPr="0048559C">
        <w:t xml:space="preserve"> </w:t>
      </w:r>
      <w:r w:rsidR="00A842C3">
        <w:t>A</w:t>
      </w:r>
      <w:r w:rsidR="00F27992" w:rsidRPr="0048559C">
        <w:t>dopt</w:t>
      </w:r>
      <w:r w:rsidR="00A842C3">
        <w:t xml:space="preserve">ing </w:t>
      </w:r>
      <w:r w:rsidR="00F27992" w:rsidRPr="0048559C">
        <w:t>a</w:t>
      </w:r>
      <w:r w:rsidR="007D3A88">
        <w:t>n</w:t>
      </w:r>
      <w:r w:rsidR="00F27992" w:rsidRPr="0048559C">
        <w:t xml:space="preserve"> intersectional analysis to two groups of vulnerable </w:t>
      </w:r>
      <w:r w:rsidR="003B57A8">
        <w:t xml:space="preserve">immigrant </w:t>
      </w:r>
      <w:r w:rsidR="00F27992" w:rsidRPr="0048559C">
        <w:t>women – victims of violence against women and girls (VAWG) and non-EU family member</w:t>
      </w:r>
      <w:r w:rsidR="008D6474">
        <w:t>s</w:t>
      </w:r>
      <w:r w:rsidR="00F27992" w:rsidRPr="0048559C">
        <w:t xml:space="preserve"> (NEFMs) of EU citizens –</w:t>
      </w:r>
      <w:r w:rsidR="00A842C3">
        <w:t xml:space="preserve"> the paper </w:t>
      </w:r>
      <w:r w:rsidR="00F27992" w:rsidRPr="0048559C">
        <w:t>argue</w:t>
      </w:r>
      <w:r w:rsidR="00A842C3">
        <w:t>s</w:t>
      </w:r>
      <w:r w:rsidR="00221E6A">
        <w:t xml:space="preserve"> </w:t>
      </w:r>
      <w:r w:rsidR="00F27992" w:rsidRPr="0048559C">
        <w:t xml:space="preserve">that the </w:t>
      </w:r>
      <w:r w:rsidR="007304F4" w:rsidRPr="0048559C">
        <w:t xml:space="preserve">application of the </w:t>
      </w:r>
      <w:r w:rsidR="00F27992" w:rsidRPr="0048559C">
        <w:t>EUSS legal framework</w:t>
      </w:r>
      <w:r w:rsidR="00DC7C91">
        <w:t xml:space="preserve"> as established by Appendix EU of the UK’s Immigration Rules</w:t>
      </w:r>
      <w:r w:rsidR="00F27992" w:rsidRPr="0048559C">
        <w:t xml:space="preserve"> </w:t>
      </w:r>
      <w:r w:rsidR="007304F4" w:rsidRPr="0048559C">
        <w:t xml:space="preserve">is </w:t>
      </w:r>
      <w:r w:rsidR="00CB26E4">
        <w:t>perpetuat</w:t>
      </w:r>
      <w:r w:rsidR="008D146B">
        <w:t xml:space="preserve">ing </w:t>
      </w:r>
      <w:r w:rsidR="001920B8">
        <w:t xml:space="preserve">unique </w:t>
      </w:r>
      <w:r w:rsidR="00E50213">
        <w:t xml:space="preserve">oppression of </w:t>
      </w:r>
      <w:r w:rsidR="00D07F7F">
        <w:t>these</w:t>
      </w:r>
      <w:r w:rsidR="00E50213">
        <w:t xml:space="preserve"> women</w:t>
      </w:r>
      <w:r w:rsidR="00B1210C">
        <w:t>,</w:t>
      </w:r>
      <w:r w:rsidR="008D146B">
        <w:t xml:space="preserve"> </w:t>
      </w:r>
      <w:r w:rsidR="003118F2">
        <w:t>a</w:t>
      </w:r>
      <w:r w:rsidR="00D24649">
        <w:t>t</w:t>
      </w:r>
      <w:r w:rsidR="003118F2">
        <w:t xml:space="preserve"> </w:t>
      </w:r>
      <w:r w:rsidR="00B1210C">
        <w:t xml:space="preserve">the intersection of </w:t>
      </w:r>
      <w:r w:rsidR="00920A14">
        <w:t xml:space="preserve">their </w:t>
      </w:r>
      <w:r w:rsidR="00B1210C">
        <w:t xml:space="preserve">gender and </w:t>
      </w:r>
      <w:r w:rsidR="008D146B">
        <w:t>immigra</w:t>
      </w:r>
      <w:r w:rsidR="00B1210C">
        <w:t>tion status</w:t>
      </w:r>
      <w:r w:rsidR="007304F4" w:rsidRPr="0048559C">
        <w:t>.</w:t>
      </w:r>
    </w:p>
    <w:p w14:paraId="4B27E216" w14:textId="77777777" w:rsidR="00F27992" w:rsidRPr="0048559C" w:rsidRDefault="00F27992" w:rsidP="00C911B6">
      <w:pPr>
        <w:spacing w:line="480" w:lineRule="auto"/>
      </w:pPr>
    </w:p>
    <w:p w14:paraId="708C14A0" w14:textId="76C2274F" w:rsidR="00E24726" w:rsidRDefault="00260825" w:rsidP="00C911B6">
      <w:pPr>
        <w:spacing w:line="480" w:lineRule="auto"/>
      </w:pPr>
      <w:r w:rsidRPr="0048559C">
        <w:t xml:space="preserve">It </w:t>
      </w:r>
      <w:r w:rsidR="007304F4" w:rsidRPr="0048559C">
        <w:t xml:space="preserve">is </w:t>
      </w:r>
      <w:r w:rsidRPr="0048559C">
        <w:t xml:space="preserve">acknowledged that there </w:t>
      </w:r>
      <w:r w:rsidR="00920A14">
        <w:t xml:space="preserve">were </w:t>
      </w:r>
      <w:r w:rsidR="007304F4" w:rsidRPr="0048559C">
        <w:t xml:space="preserve">great </w:t>
      </w:r>
      <w:r w:rsidRPr="0048559C">
        <w:t>strides made</w:t>
      </w:r>
      <w:r w:rsidR="007304F4" w:rsidRPr="0048559C">
        <w:t xml:space="preserve"> to try to</w:t>
      </w:r>
      <w:r w:rsidRPr="0048559C">
        <w:t xml:space="preserve"> secur</w:t>
      </w:r>
      <w:r w:rsidR="007304F4" w:rsidRPr="0048559C">
        <w:t>e</w:t>
      </w:r>
      <w:r w:rsidRPr="0048559C">
        <w:t xml:space="preserve"> the rights of EU citizens in the UK </w:t>
      </w:r>
      <w:r w:rsidR="007304F4" w:rsidRPr="0048559C">
        <w:t>after the referendum result was announced</w:t>
      </w:r>
      <w:r w:rsidRPr="0048559C">
        <w:t xml:space="preserve">. </w:t>
      </w:r>
      <w:r w:rsidR="0057410F" w:rsidRPr="0048559C">
        <w:t xml:space="preserve">The </w:t>
      </w:r>
      <w:r w:rsidR="001A7347" w:rsidRPr="0048559C">
        <w:t xml:space="preserve">quick </w:t>
      </w:r>
      <w:r w:rsidRPr="0048559C">
        <w:t xml:space="preserve">roll out of the </w:t>
      </w:r>
      <w:r w:rsidR="00A70CBD" w:rsidRPr="0048559C">
        <w:t>EUSS</w:t>
      </w:r>
      <w:r w:rsidRPr="0048559C">
        <w:t xml:space="preserve"> to the public on 30 March 2019</w:t>
      </w:r>
      <w:r w:rsidR="0057410F" w:rsidRPr="0048559C">
        <w:t xml:space="preserve"> </w:t>
      </w:r>
      <w:r w:rsidR="001A7347" w:rsidRPr="0048559C">
        <w:t xml:space="preserve">as a fully digital system was </w:t>
      </w:r>
      <w:r w:rsidR="00466A15" w:rsidRPr="0048559C">
        <w:t>a significant task</w:t>
      </w:r>
      <w:r w:rsidR="00036B23">
        <w:t xml:space="preserve"> (Home Affairs Committee</w:t>
      </w:r>
      <w:r w:rsidR="00C92F10">
        <w:t>,</w:t>
      </w:r>
      <w:r w:rsidR="00036B23">
        <w:t xml:space="preserve"> 20</w:t>
      </w:r>
      <w:r w:rsidR="00C92F10">
        <w:t>19)</w:t>
      </w:r>
      <w:r w:rsidR="00BD0FB9" w:rsidRPr="0048559C">
        <w:t>,</w:t>
      </w:r>
      <w:r w:rsidR="00C92F10" w:rsidRPr="0048559C">
        <w:t xml:space="preserve"> </w:t>
      </w:r>
      <w:r w:rsidR="006B6F9B">
        <w:t xml:space="preserve">with Kevin Foster, Minister for Future Borders and Immigration </w:t>
      </w:r>
      <w:r w:rsidR="0024616F" w:rsidRPr="0048559C">
        <w:t>describ</w:t>
      </w:r>
      <w:r w:rsidR="006B6F9B">
        <w:t xml:space="preserve">ing </w:t>
      </w:r>
      <w:r w:rsidR="001A7347" w:rsidRPr="0048559C">
        <w:t xml:space="preserve">it </w:t>
      </w:r>
      <w:r w:rsidR="0057410F" w:rsidRPr="0048559C">
        <w:t xml:space="preserve">as </w:t>
      </w:r>
      <w:r w:rsidR="0024616F" w:rsidRPr="0048559C">
        <w:t xml:space="preserve">‘hugely </w:t>
      </w:r>
      <w:r w:rsidRPr="0048559C">
        <w:t>success</w:t>
      </w:r>
      <w:r w:rsidR="0024616F" w:rsidRPr="0048559C">
        <w:t>ful’</w:t>
      </w:r>
      <w:r w:rsidR="00C92F10">
        <w:t xml:space="preserve"> (</w:t>
      </w:r>
      <w:r w:rsidR="006B6F9B">
        <w:t>Home Office</w:t>
      </w:r>
      <w:r w:rsidR="00C92F10">
        <w:t>, 2020</w:t>
      </w:r>
      <w:r w:rsidR="006B6F9B">
        <w:t>a</w:t>
      </w:r>
      <w:r w:rsidR="00C92F10">
        <w:t>)</w:t>
      </w:r>
      <w:r w:rsidR="0038011B" w:rsidRPr="0048559C">
        <w:t>.</w:t>
      </w:r>
      <w:r w:rsidR="00C92F10" w:rsidRPr="0048559C">
        <w:t xml:space="preserve"> </w:t>
      </w:r>
      <w:r w:rsidR="00D02F92" w:rsidRPr="0048559C">
        <w:t xml:space="preserve">There has </w:t>
      </w:r>
      <w:r w:rsidR="007E3E79" w:rsidRPr="0048559C">
        <w:t>been a</w:t>
      </w:r>
      <w:r w:rsidR="00D07F7F">
        <w:t>n</w:t>
      </w:r>
      <w:r w:rsidR="007E3E79" w:rsidRPr="0048559C">
        <w:t xml:space="preserve"> </w:t>
      </w:r>
      <w:r w:rsidR="00FF16E4">
        <w:t xml:space="preserve">overwhelming </w:t>
      </w:r>
      <w:r w:rsidR="00703267" w:rsidRPr="0048559C">
        <w:t xml:space="preserve">uptake in </w:t>
      </w:r>
      <w:r w:rsidR="00D71DC4">
        <w:t xml:space="preserve">the </w:t>
      </w:r>
      <w:r w:rsidRPr="0048559C">
        <w:t>number</w:t>
      </w:r>
      <w:r w:rsidR="007E3E79" w:rsidRPr="0048559C">
        <w:t xml:space="preserve"> </w:t>
      </w:r>
      <w:r w:rsidRPr="0048559C">
        <w:t xml:space="preserve">of applicants </w:t>
      </w:r>
      <w:r w:rsidR="007E3E79" w:rsidRPr="0048559C">
        <w:t>to the Scheme</w:t>
      </w:r>
      <w:r w:rsidR="0022391B">
        <w:t xml:space="preserve"> </w:t>
      </w:r>
      <w:r w:rsidR="0022391B">
        <w:lastRenderedPageBreak/>
        <w:t>lasting even past its official deadline</w:t>
      </w:r>
      <w:r w:rsidR="00C92F10">
        <w:t xml:space="preserve"> (Home Office, 2021</w:t>
      </w:r>
      <w:r w:rsidR="00D364D1">
        <w:t>a</w:t>
      </w:r>
      <w:r w:rsidR="00C92F10">
        <w:t>)</w:t>
      </w:r>
      <w:r w:rsidR="007E3E79" w:rsidRPr="0048559C">
        <w:t>,</w:t>
      </w:r>
      <w:bookmarkStart w:id="0" w:name="_Ref78446124"/>
      <w:r w:rsidR="00A00DCC" w:rsidRPr="0048559C">
        <w:rPr>
          <w:rStyle w:val="FootnoteReference"/>
        </w:rPr>
        <w:footnoteReference w:id="4"/>
      </w:r>
      <w:bookmarkEnd w:id="0"/>
      <w:r w:rsidR="007E3E79" w:rsidRPr="0048559C">
        <w:t xml:space="preserve"> </w:t>
      </w:r>
      <w:r w:rsidRPr="0048559C">
        <w:t xml:space="preserve">and </w:t>
      </w:r>
      <w:r w:rsidR="007E3E79" w:rsidRPr="0048559C">
        <w:t xml:space="preserve">relatively </w:t>
      </w:r>
      <w:r w:rsidRPr="0048559C">
        <w:t xml:space="preserve">high percentage of successful applications. </w:t>
      </w:r>
      <w:r w:rsidR="007E3E79" w:rsidRPr="0048559C">
        <w:t>However, what is being ignored, it seems, are the smaller number of unsuccessful applications</w:t>
      </w:r>
      <w:r w:rsidR="00D04EC9">
        <w:t xml:space="preserve"> which increase as the numbers of applications submitted also increase</w:t>
      </w:r>
      <w:r w:rsidR="00C92F10">
        <w:t xml:space="preserve"> (Benn, 2020)</w:t>
      </w:r>
      <w:r w:rsidR="007E3E79" w:rsidRPr="0048559C">
        <w:t>.</w:t>
      </w:r>
      <w:r w:rsidR="003119C5" w:rsidRPr="0048559C">
        <w:rPr>
          <w:rStyle w:val="FootnoteReference"/>
        </w:rPr>
        <w:footnoteReference w:id="5"/>
      </w:r>
      <w:r w:rsidR="007E3E79" w:rsidRPr="0048559C">
        <w:t xml:space="preserve"> </w:t>
      </w:r>
      <w:r w:rsidR="00217357" w:rsidRPr="0048559C">
        <w:t xml:space="preserve">This paper </w:t>
      </w:r>
      <w:r w:rsidR="00221E6A">
        <w:t>shed</w:t>
      </w:r>
      <w:r w:rsidR="00852E79">
        <w:t xml:space="preserve"> </w:t>
      </w:r>
      <w:r w:rsidR="00221E6A">
        <w:t>light</w:t>
      </w:r>
      <w:r w:rsidR="00852E79">
        <w:t xml:space="preserve">s </w:t>
      </w:r>
      <w:r w:rsidR="00221E6A">
        <w:t xml:space="preserve">on </w:t>
      </w:r>
      <w:r w:rsidR="00217357" w:rsidRPr="0048559C">
        <w:t>th</w:t>
      </w:r>
      <w:r w:rsidR="007E3E79" w:rsidRPr="0048559C">
        <w:t>is</w:t>
      </w:r>
      <w:r w:rsidR="00217357" w:rsidRPr="0048559C">
        <w:t xml:space="preserve"> small percentage</w:t>
      </w:r>
      <w:r w:rsidR="00221E6A">
        <w:t>,</w:t>
      </w:r>
      <w:r w:rsidR="007A2115" w:rsidRPr="0048559C">
        <w:t xml:space="preserve"> </w:t>
      </w:r>
      <w:r w:rsidR="00D04EC9">
        <w:t xml:space="preserve">which </w:t>
      </w:r>
      <w:r w:rsidR="007A2115" w:rsidRPr="0048559C">
        <w:t>constitut</w:t>
      </w:r>
      <w:r w:rsidR="00D04EC9">
        <w:t xml:space="preserve">es </w:t>
      </w:r>
      <w:r w:rsidR="000040D8">
        <w:t>hundreds</w:t>
      </w:r>
      <w:r w:rsidR="007A2115" w:rsidRPr="0048559C">
        <w:t xml:space="preserve"> of thousands of individuals</w:t>
      </w:r>
      <w:r w:rsidR="00793AB1" w:rsidRPr="0048559C">
        <w:t>,</w:t>
      </w:r>
      <w:r w:rsidR="009D43E2" w:rsidRPr="0048559C">
        <w:t xml:space="preserve"> </w:t>
      </w:r>
      <w:r w:rsidR="00EF7F86">
        <w:t xml:space="preserve">arguing that it is </w:t>
      </w:r>
      <w:r w:rsidR="00CD030C" w:rsidRPr="0048559C">
        <w:t>wome</w:t>
      </w:r>
      <w:r w:rsidR="004C5787">
        <w:t>n</w:t>
      </w:r>
      <w:r w:rsidR="00EF7F86">
        <w:t xml:space="preserve"> who are</w:t>
      </w:r>
      <w:r w:rsidR="001920B8">
        <w:t xml:space="preserve"> </w:t>
      </w:r>
      <w:r w:rsidR="00216373">
        <w:t>disproportionately</w:t>
      </w:r>
      <w:r w:rsidR="00EF7F86">
        <w:t xml:space="preserve"> </w:t>
      </w:r>
      <w:r w:rsidR="00D04EC9">
        <w:t>represented in this group</w:t>
      </w:r>
      <w:r w:rsidR="00E24726">
        <w:t xml:space="preserve"> because of the intersectional vulnerabilities of victims of VAWG and the gendered nature of the category of NEFMs in EU law.</w:t>
      </w:r>
    </w:p>
    <w:p w14:paraId="03CF367A" w14:textId="3F699035" w:rsidR="00A216F4" w:rsidRDefault="00A216F4" w:rsidP="00C911B6">
      <w:pPr>
        <w:spacing w:line="480" w:lineRule="auto"/>
      </w:pPr>
    </w:p>
    <w:p w14:paraId="55060D4D" w14:textId="42E2C854" w:rsidR="00B06598" w:rsidRDefault="00E41BAA" w:rsidP="00C911B6">
      <w:pPr>
        <w:spacing w:line="480" w:lineRule="auto"/>
      </w:pPr>
      <w:r>
        <w:t xml:space="preserve">Whilst there is some </w:t>
      </w:r>
      <w:r w:rsidR="00A216F4">
        <w:t xml:space="preserve">data available on </w:t>
      </w:r>
      <w:r w:rsidR="00293D14">
        <w:t xml:space="preserve">EUSS </w:t>
      </w:r>
      <w:r w:rsidR="00A216F4">
        <w:t>applica</w:t>
      </w:r>
      <w:r w:rsidR="00293D14">
        <w:t>nts</w:t>
      </w:r>
      <w:r>
        <w:t xml:space="preserve">, this paper </w:t>
      </w:r>
      <w:r w:rsidR="001A5DDB">
        <w:t xml:space="preserve">is not a </w:t>
      </w:r>
      <w:r>
        <w:t xml:space="preserve">thorough empirical analysis </w:t>
      </w:r>
      <w:r w:rsidR="00910EF5">
        <w:t xml:space="preserve">of the data. Publicly available </w:t>
      </w:r>
      <w:r w:rsidR="00293D14">
        <w:t xml:space="preserve">Home Office </w:t>
      </w:r>
      <w:r w:rsidR="00910EF5">
        <w:t>data</w:t>
      </w:r>
      <w:r w:rsidR="0061728B">
        <w:t xml:space="preserve"> (2021a)</w:t>
      </w:r>
      <w:r w:rsidR="00910EF5">
        <w:t xml:space="preserve"> </w:t>
      </w:r>
      <w:r w:rsidR="00A216F4">
        <w:t xml:space="preserve">is limited </w:t>
      </w:r>
      <w:r w:rsidR="00F17227">
        <w:t xml:space="preserve">due to </w:t>
      </w:r>
      <w:r w:rsidR="001A5DDB">
        <w:t xml:space="preserve">the </w:t>
      </w:r>
      <w:r w:rsidR="008974C4">
        <w:t>publication</w:t>
      </w:r>
      <w:r w:rsidR="001A5DDB">
        <w:t xml:space="preserve"> of only </w:t>
      </w:r>
      <w:r w:rsidR="00A216F4">
        <w:t>narrow categori</w:t>
      </w:r>
      <w:r w:rsidR="001A5DDB">
        <w:t xml:space="preserve">es </w:t>
      </w:r>
      <w:r w:rsidR="00F17227">
        <w:t>since the Scheme was rolled out</w:t>
      </w:r>
      <w:r w:rsidR="00910EF5">
        <w:t xml:space="preserve">. </w:t>
      </w:r>
      <w:r w:rsidR="003B69C0">
        <w:t xml:space="preserve">What data </w:t>
      </w:r>
      <w:r w:rsidR="00910EF5">
        <w:t>c</w:t>
      </w:r>
      <w:r w:rsidR="00A216F4">
        <w:t xml:space="preserve">ould otherwise prove more </w:t>
      </w:r>
      <w:r w:rsidR="003B69C0">
        <w:t xml:space="preserve">concretely and </w:t>
      </w:r>
      <w:r w:rsidR="00A216F4">
        <w:t>explicitly the existence of intersectional vulnerability of certain groups of women</w:t>
      </w:r>
      <w:r w:rsidR="00FD4EA7">
        <w:t xml:space="preserve"> is not </w:t>
      </w:r>
      <w:r w:rsidR="007F2CD8">
        <w:t xml:space="preserve">easily or </w:t>
      </w:r>
      <w:r w:rsidR="00FD4EA7">
        <w:t>freely available</w:t>
      </w:r>
      <w:r w:rsidR="00A216F4">
        <w:t>.</w:t>
      </w:r>
      <w:r w:rsidR="007F2CD8">
        <w:rPr>
          <w:rStyle w:val="FootnoteReference"/>
        </w:rPr>
        <w:footnoteReference w:id="6"/>
      </w:r>
      <w:r w:rsidR="00A216F4">
        <w:t xml:space="preserve"> </w:t>
      </w:r>
      <w:r w:rsidR="007F2CD8">
        <w:t>This paper’s intention, therefore</w:t>
      </w:r>
      <w:r w:rsidR="00FA5E29">
        <w:t xml:space="preserve">, </w:t>
      </w:r>
      <w:r w:rsidR="007F2CD8">
        <w:t>is</w:t>
      </w:r>
      <w:r w:rsidR="00F17227">
        <w:t xml:space="preserve"> rather</w:t>
      </w:r>
      <w:r w:rsidR="007F2CD8">
        <w:t xml:space="preserve"> to fill an urgent gap in the research agenda pertaining to</w:t>
      </w:r>
      <w:r w:rsidR="006F3500">
        <w:t xml:space="preserve"> vulnerable migrant women, who have</w:t>
      </w:r>
      <w:r w:rsidR="007F2CD8">
        <w:t xml:space="preserve"> </w:t>
      </w:r>
      <w:r w:rsidR="006F3500">
        <w:t xml:space="preserve">fallen </w:t>
      </w:r>
      <w:r w:rsidR="007F2CD8">
        <w:t xml:space="preserve">within the cracks of </w:t>
      </w:r>
      <w:r w:rsidR="006F3500">
        <w:t>new EUSS system</w:t>
      </w:r>
      <w:r w:rsidR="00F17227">
        <w:t>.</w:t>
      </w:r>
      <w:r w:rsidR="007F2CD8">
        <w:t xml:space="preserve"> </w:t>
      </w:r>
      <w:r w:rsidR="00F17227">
        <w:t xml:space="preserve">The </w:t>
      </w:r>
      <w:r w:rsidR="00A216F4">
        <w:t>paper</w:t>
      </w:r>
      <w:r w:rsidR="00293D14">
        <w:t xml:space="preserve">’s </w:t>
      </w:r>
      <w:r w:rsidR="00F17227">
        <w:t>original</w:t>
      </w:r>
      <w:r w:rsidR="00F62CD5">
        <w:t xml:space="preserve">ity in applying an </w:t>
      </w:r>
      <w:r w:rsidR="00F17227">
        <w:t xml:space="preserve">intersectional lens </w:t>
      </w:r>
      <w:r w:rsidR="00F62CD5">
        <w:t xml:space="preserve">to the situation </w:t>
      </w:r>
      <w:r w:rsidR="00293D14">
        <w:t xml:space="preserve">allows for a </w:t>
      </w:r>
      <w:r w:rsidR="00A216F4">
        <w:t>holistic review of the existing literature</w:t>
      </w:r>
      <w:r w:rsidR="00F62CD5">
        <w:t xml:space="preserve">. By </w:t>
      </w:r>
      <w:r w:rsidR="00A216F4">
        <w:t xml:space="preserve">extrapolating from </w:t>
      </w:r>
      <w:r w:rsidR="00910EF5">
        <w:t xml:space="preserve">what </w:t>
      </w:r>
      <w:r w:rsidR="00A216F4">
        <w:t xml:space="preserve">data </w:t>
      </w:r>
      <w:r w:rsidR="00910EF5">
        <w:t>exists</w:t>
      </w:r>
      <w:r w:rsidR="00293D14">
        <w:t xml:space="preserve">, the </w:t>
      </w:r>
      <w:r w:rsidR="00A63B4D">
        <w:t xml:space="preserve">claim </w:t>
      </w:r>
      <w:r w:rsidR="00293D14">
        <w:t xml:space="preserve">can be made </w:t>
      </w:r>
      <w:r w:rsidR="00A63B4D">
        <w:t xml:space="preserve">that migrant women </w:t>
      </w:r>
      <w:r w:rsidR="00E24726">
        <w:t xml:space="preserve">without a secure immigration status </w:t>
      </w:r>
      <w:r w:rsidR="00A63B4D">
        <w:t xml:space="preserve">are </w:t>
      </w:r>
      <w:r w:rsidR="00E24726">
        <w:t xml:space="preserve">comparatively more disadvantaged than </w:t>
      </w:r>
      <w:r w:rsidR="005E576E">
        <w:t xml:space="preserve">the general population </w:t>
      </w:r>
      <w:r w:rsidR="00E24726">
        <w:t>by the new post-Brexit immigration regime</w:t>
      </w:r>
      <w:r w:rsidR="00A63B4D">
        <w:t>.</w:t>
      </w:r>
      <w:r w:rsidR="005E576E">
        <w:t xml:space="preserve"> </w:t>
      </w:r>
      <w:r w:rsidR="00293D14">
        <w:t>T</w:t>
      </w:r>
      <w:r w:rsidR="00D02F92" w:rsidRPr="0048559C">
        <w:t xml:space="preserve">urning a blind eye to the </w:t>
      </w:r>
      <w:r w:rsidR="00532873" w:rsidRPr="0048559C">
        <w:t>vulnerable</w:t>
      </w:r>
      <w:r w:rsidR="0022391B">
        <w:t xml:space="preserve"> immigrant</w:t>
      </w:r>
      <w:r w:rsidR="00532873" w:rsidRPr="0048559C">
        <w:t xml:space="preserve"> women </w:t>
      </w:r>
      <w:r w:rsidR="00D02F92" w:rsidRPr="0048559C">
        <w:t xml:space="preserve">who </w:t>
      </w:r>
      <w:r w:rsidR="00096E4F">
        <w:t xml:space="preserve">fall outside the legal protection afforded under </w:t>
      </w:r>
      <w:r w:rsidR="00340D66" w:rsidRPr="0048559C">
        <w:t xml:space="preserve">the </w:t>
      </w:r>
      <w:r w:rsidR="00096E4F">
        <w:t xml:space="preserve">EUSS </w:t>
      </w:r>
      <w:r w:rsidR="00532873" w:rsidRPr="0048559C">
        <w:t>significant</w:t>
      </w:r>
      <w:r w:rsidR="00D02F92" w:rsidRPr="0048559C">
        <w:t>ly undermine</w:t>
      </w:r>
      <w:r w:rsidR="00340D66" w:rsidRPr="0048559C">
        <w:t>s</w:t>
      </w:r>
      <w:r w:rsidR="00D02F92" w:rsidRPr="0048559C">
        <w:t xml:space="preserve"> </w:t>
      </w:r>
      <w:r w:rsidR="00532873" w:rsidRPr="0048559C">
        <w:t xml:space="preserve">the government’s claim that the EUSS is </w:t>
      </w:r>
      <w:r w:rsidR="00C0533B" w:rsidRPr="0048559C">
        <w:t>‘operating effectively’</w:t>
      </w:r>
      <w:r w:rsidR="00B06598">
        <w:t xml:space="preserve"> (Home Office, 2020</w:t>
      </w:r>
      <w:r w:rsidR="006B6F9B">
        <w:t>b</w:t>
      </w:r>
      <w:r w:rsidR="00627AFA">
        <w:t>: 3</w:t>
      </w:r>
      <w:r w:rsidR="00B06598">
        <w:t>)</w:t>
      </w:r>
      <w:r w:rsidR="003E57D6" w:rsidRPr="0048559C">
        <w:t>.</w:t>
      </w:r>
      <w:r w:rsidR="005E576E">
        <w:t xml:space="preserve"> </w:t>
      </w:r>
      <w:r w:rsidR="000E6EE9">
        <w:t xml:space="preserve">Considering  </w:t>
      </w:r>
      <w:r w:rsidR="005E576E">
        <w:t>intersectiona</w:t>
      </w:r>
      <w:r w:rsidR="000E6EE9">
        <w:t xml:space="preserve">lity </w:t>
      </w:r>
      <w:r w:rsidR="00293D14">
        <w:t xml:space="preserve">helps to explain </w:t>
      </w:r>
      <w:r w:rsidR="005E576E" w:rsidRPr="0048559C">
        <w:t xml:space="preserve">why Brexit has made women </w:t>
      </w:r>
      <w:r w:rsidR="005E576E">
        <w:t xml:space="preserve">at the intersection of their gender and immigration status uniquely </w:t>
      </w:r>
      <w:r w:rsidR="005E576E" w:rsidRPr="0048559C">
        <w:t xml:space="preserve">more vulnerable </w:t>
      </w:r>
      <w:r w:rsidR="005E576E">
        <w:t xml:space="preserve">in </w:t>
      </w:r>
      <w:r w:rsidR="005E576E" w:rsidRPr="0048559C">
        <w:t>the context of the EUSS.</w:t>
      </w:r>
    </w:p>
    <w:p w14:paraId="016BC2B3" w14:textId="77777777" w:rsidR="00096E4F" w:rsidRDefault="00096E4F" w:rsidP="00C911B6">
      <w:pPr>
        <w:spacing w:line="480" w:lineRule="auto"/>
      </w:pPr>
    </w:p>
    <w:p w14:paraId="782B4E00" w14:textId="133EC839" w:rsidR="00C75B9A" w:rsidRPr="0048559C" w:rsidRDefault="0021520C" w:rsidP="00C911B6">
      <w:pPr>
        <w:spacing w:line="480" w:lineRule="auto"/>
      </w:pPr>
      <w:r>
        <w:t>T</w:t>
      </w:r>
      <w:r w:rsidR="00096E4F">
        <w:t>he inter</w:t>
      </w:r>
      <w:r w:rsidR="0050140A">
        <w:t>se</w:t>
      </w:r>
      <w:r w:rsidR="00096E4F">
        <w:t xml:space="preserve">ction of gender (being a VAWG and/or NEFM) and immigration status </w:t>
      </w:r>
      <w:r w:rsidR="0050140A">
        <w:t>(in a post-</w:t>
      </w:r>
      <w:r w:rsidR="004C4BE1">
        <w:t xml:space="preserve">Brexit </w:t>
      </w:r>
      <w:r w:rsidR="0050140A">
        <w:t>world)</w:t>
      </w:r>
      <w:r w:rsidR="004C4BE1">
        <w:t xml:space="preserve"> </w:t>
      </w:r>
      <w:r w:rsidR="00096E4F">
        <w:t>has led to the unique oppression of these women as immigrant women under the legal framework of the EUSS.</w:t>
      </w:r>
      <w:r w:rsidR="004C5787">
        <w:t xml:space="preserve"> </w:t>
      </w:r>
      <w:r w:rsidR="00096E4F" w:rsidRPr="0048559C">
        <w:t>Given how much attention has been given to streamlining the EUSS process</w:t>
      </w:r>
      <w:r w:rsidR="00B06598">
        <w:t xml:space="preserve"> (Yong, 2018)</w:t>
      </w:r>
      <w:r w:rsidR="00096E4F" w:rsidRPr="0048559C">
        <w:t>,</w:t>
      </w:r>
      <w:r w:rsidR="00B06598" w:rsidRPr="0048559C">
        <w:t xml:space="preserve"> </w:t>
      </w:r>
      <w:r w:rsidR="00096E4F" w:rsidRPr="0048559C">
        <w:t xml:space="preserve">the </w:t>
      </w:r>
      <w:r w:rsidR="005F1434">
        <w:t xml:space="preserve">barriers faced by </w:t>
      </w:r>
      <w:r w:rsidR="00096E4F">
        <w:t xml:space="preserve">these </w:t>
      </w:r>
      <w:r w:rsidR="00180F2D">
        <w:t xml:space="preserve">immigrant </w:t>
      </w:r>
      <w:r w:rsidR="00096E4F" w:rsidRPr="0048559C">
        <w:t>women serve</w:t>
      </w:r>
      <w:r w:rsidR="006F38C3">
        <w:t>s</w:t>
      </w:r>
      <w:r w:rsidR="00096E4F" w:rsidRPr="0048559C">
        <w:t xml:space="preserve"> </w:t>
      </w:r>
      <w:r w:rsidR="005F1434">
        <w:t xml:space="preserve">in particular </w:t>
      </w:r>
      <w:r w:rsidR="00096E4F" w:rsidRPr="0048559C">
        <w:t xml:space="preserve">to demonstrate how it is the law itself </w:t>
      </w:r>
      <w:r w:rsidR="00096E4F">
        <w:t xml:space="preserve">that exacerbates their intersectional </w:t>
      </w:r>
      <w:r w:rsidR="00096E4F" w:rsidRPr="0048559C">
        <w:t>vulnerabilit</w:t>
      </w:r>
      <w:r w:rsidR="00096E4F">
        <w:t>ies</w:t>
      </w:r>
      <w:r w:rsidR="00096E4F" w:rsidRPr="0048559C">
        <w:t>.</w:t>
      </w:r>
      <w:r w:rsidR="00096E4F">
        <w:t xml:space="preserve"> </w:t>
      </w:r>
      <w:r w:rsidR="00640BE8" w:rsidRPr="0048559C">
        <w:t xml:space="preserve">Applying Crenshaw’s theory of </w:t>
      </w:r>
      <w:r w:rsidR="00F0598A" w:rsidRPr="0048559C">
        <w:t>intersectional</w:t>
      </w:r>
      <w:r w:rsidR="00640BE8" w:rsidRPr="0048559C">
        <w:t>ity</w:t>
      </w:r>
      <w:r w:rsidR="00CB26E4">
        <w:t xml:space="preserve"> </w:t>
      </w:r>
      <w:r w:rsidR="00B06598">
        <w:t xml:space="preserve">(1989) </w:t>
      </w:r>
      <w:r w:rsidR="00CB26E4">
        <w:t xml:space="preserve">and Fineman’s </w:t>
      </w:r>
      <w:r w:rsidR="002303C7">
        <w:t xml:space="preserve">theory of </w:t>
      </w:r>
      <w:r w:rsidR="00CB26E4">
        <w:t>vulnerability</w:t>
      </w:r>
      <w:r w:rsidR="00B06598">
        <w:t xml:space="preserve"> (2008)</w:t>
      </w:r>
      <w:r w:rsidR="00F0598A" w:rsidRPr="0048559C">
        <w:t>,</w:t>
      </w:r>
      <w:r w:rsidR="00B06598" w:rsidRPr="0048559C">
        <w:t xml:space="preserve"> </w:t>
      </w:r>
      <w:r w:rsidR="00640BE8" w:rsidRPr="0048559C">
        <w:t xml:space="preserve">the </w:t>
      </w:r>
      <w:r w:rsidR="00516C0F" w:rsidRPr="0048559C">
        <w:t xml:space="preserve">paper argues </w:t>
      </w:r>
      <w:r w:rsidR="00C75B9A" w:rsidRPr="0048559C">
        <w:t xml:space="preserve">that </w:t>
      </w:r>
      <w:r w:rsidR="002303C7">
        <w:t xml:space="preserve">the EUSS </w:t>
      </w:r>
      <w:r w:rsidR="00F0598A" w:rsidRPr="0048559C">
        <w:t>ignor</w:t>
      </w:r>
      <w:r w:rsidR="002303C7">
        <w:t xml:space="preserve">es the </w:t>
      </w:r>
      <w:r w:rsidR="007E7B86">
        <w:t xml:space="preserve">vulnerabilities </w:t>
      </w:r>
      <w:r w:rsidR="00F0598A" w:rsidRPr="0048559C">
        <w:t xml:space="preserve">of </w:t>
      </w:r>
      <w:r w:rsidR="00640BE8" w:rsidRPr="0048559C">
        <w:t xml:space="preserve">immigrant </w:t>
      </w:r>
      <w:r w:rsidR="00F0598A" w:rsidRPr="0048559C">
        <w:t>women</w:t>
      </w:r>
      <w:r w:rsidR="007E7B86">
        <w:t>, which have shaped the</w:t>
      </w:r>
      <w:r w:rsidR="00396265">
        <w:t>ir</w:t>
      </w:r>
      <w:r w:rsidR="007E7B86">
        <w:t xml:space="preserve"> </w:t>
      </w:r>
      <w:r w:rsidR="00CB59D9">
        <w:t xml:space="preserve">(intersectional) </w:t>
      </w:r>
      <w:r w:rsidR="007E7B86">
        <w:t xml:space="preserve">experiences of </w:t>
      </w:r>
      <w:r w:rsidR="002303C7">
        <w:t>its</w:t>
      </w:r>
      <w:r w:rsidR="007E7B86">
        <w:t xml:space="preserve"> legal</w:t>
      </w:r>
      <w:r w:rsidR="002303C7">
        <w:t xml:space="preserve"> </w:t>
      </w:r>
      <w:r w:rsidR="00B1609A" w:rsidRPr="0048559C">
        <w:t>framework</w:t>
      </w:r>
      <w:r w:rsidR="002303C7">
        <w:t xml:space="preserve">. This </w:t>
      </w:r>
      <w:r w:rsidR="00D4769F">
        <w:t xml:space="preserve">has </w:t>
      </w:r>
      <w:r w:rsidR="00F0598A" w:rsidRPr="0048559C">
        <w:t>further embed</w:t>
      </w:r>
      <w:r w:rsidR="00D4769F">
        <w:t xml:space="preserve">ded </w:t>
      </w:r>
      <w:r w:rsidR="00F0598A" w:rsidRPr="0048559C">
        <w:t>societal inequ</w:t>
      </w:r>
      <w:r w:rsidR="00640BE8" w:rsidRPr="0048559C">
        <w:t>ali</w:t>
      </w:r>
      <w:r w:rsidR="00F0598A" w:rsidRPr="0048559C">
        <w:t>ties</w:t>
      </w:r>
      <w:r w:rsidR="00723E50">
        <w:t>,</w:t>
      </w:r>
      <w:r w:rsidR="00F34923" w:rsidRPr="0048559C">
        <w:t xml:space="preserve"> </w:t>
      </w:r>
      <w:r w:rsidR="007E7B86">
        <w:t xml:space="preserve">where </w:t>
      </w:r>
      <w:r w:rsidR="004C275E">
        <w:t xml:space="preserve">the law makes </w:t>
      </w:r>
      <w:r w:rsidR="00F34923" w:rsidRPr="0048559C">
        <w:t>women</w:t>
      </w:r>
      <w:r w:rsidR="00640BE8" w:rsidRPr="0048559C">
        <w:t xml:space="preserve"> who are </w:t>
      </w:r>
      <w:r w:rsidR="007E7B86">
        <w:t xml:space="preserve">already </w:t>
      </w:r>
      <w:r w:rsidR="00640BE8" w:rsidRPr="0048559C">
        <w:t xml:space="preserve">vulnerable </w:t>
      </w:r>
      <w:r w:rsidR="007E7B86">
        <w:t xml:space="preserve">due to </w:t>
      </w:r>
      <w:r w:rsidR="00640BE8" w:rsidRPr="0048559C">
        <w:t>their gender and</w:t>
      </w:r>
      <w:r w:rsidR="00587008" w:rsidRPr="0048559C">
        <w:t xml:space="preserve"> </w:t>
      </w:r>
      <w:r w:rsidR="00640BE8" w:rsidRPr="0048559C">
        <w:t>immigration status</w:t>
      </w:r>
      <w:r w:rsidR="00F34923" w:rsidRPr="0048559C">
        <w:t xml:space="preserve"> even more vulnerable</w:t>
      </w:r>
      <w:r w:rsidR="00F0598A" w:rsidRPr="0048559C">
        <w:t xml:space="preserve">. </w:t>
      </w:r>
      <w:r w:rsidR="002303C7">
        <w:t xml:space="preserve">The paper </w:t>
      </w:r>
      <w:r w:rsidR="00D04B74" w:rsidRPr="0048559C">
        <w:t>outlines how</w:t>
      </w:r>
      <w:r w:rsidR="004637CA">
        <w:t xml:space="preserve"> </w:t>
      </w:r>
      <w:r w:rsidR="004637CA" w:rsidRPr="0048559C">
        <w:t xml:space="preserve">power relations </w:t>
      </w:r>
      <w:r w:rsidR="00D04EC9">
        <w:t xml:space="preserve">– </w:t>
      </w:r>
      <w:r w:rsidR="004637CA" w:rsidRPr="0048559C">
        <w:t>in this case, between the state</w:t>
      </w:r>
      <w:r w:rsidR="00D04EC9">
        <w:t xml:space="preserve"> under its immigration law regime, </w:t>
      </w:r>
      <w:r w:rsidR="004637CA" w:rsidRPr="0048559C">
        <w:t>and its subjects</w:t>
      </w:r>
      <w:r w:rsidR="00D04EC9">
        <w:t>, those who seek rights to remain after Brexit</w:t>
      </w:r>
      <w:r w:rsidR="001C18FC">
        <w:t xml:space="preserve"> – </w:t>
      </w:r>
      <w:r w:rsidR="004637CA">
        <w:t>play</w:t>
      </w:r>
      <w:r w:rsidR="003B57A8">
        <w:t xml:space="preserve"> </w:t>
      </w:r>
      <w:r w:rsidR="004637CA">
        <w:t>out in</w:t>
      </w:r>
      <w:r w:rsidR="004637CA" w:rsidRPr="0048559C">
        <w:t xml:space="preserve"> </w:t>
      </w:r>
      <w:r w:rsidR="004637CA">
        <w:t xml:space="preserve">an immigrant woman’s experience of </w:t>
      </w:r>
      <w:r w:rsidR="003B57A8">
        <w:t xml:space="preserve">the </w:t>
      </w:r>
      <w:r w:rsidR="00AC7F72">
        <w:t xml:space="preserve">law in a </w:t>
      </w:r>
      <w:r w:rsidR="004637CA">
        <w:t>post-Brexit Britain</w:t>
      </w:r>
      <w:r w:rsidR="003B57A8">
        <w:t>, especially</w:t>
      </w:r>
      <w:r w:rsidR="004637CA">
        <w:t xml:space="preserve"> </w:t>
      </w:r>
      <w:r w:rsidR="003B57A8">
        <w:t xml:space="preserve">outside </w:t>
      </w:r>
      <w:r w:rsidR="004637CA">
        <w:t>the</w:t>
      </w:r>
      <w:r w:rsidR="00783809">
        <w:t xml:space="preserve"> scope of the</w:t>
      </w:r>
      <w:r w:rsidR="004637CA">
        <w:t xml:space="preserve"> EU</w:t>
      </w:r>
      <w:r w:rsidR="003B57A8">
        <w:t>’s</w:t>
      </w:r>
      <w:r w:rsidR="004637CA">
        <w:t xml:space="preserve"> free</w:t>
      </w:r>
      <w:r w:rsidR="003B57A8">
        <w:t xml:space="preserve"> </w:t>
      </w:r>
      <w:r w:rsidR="004637CA">
        <w:t>movement framework</w:t>
      </w:r>
      <w:r w:rsidR="003A12C2" w:rsidRPr="0048559C">
        <w:t>.</w:t>
      </w:r>
      <w:bookmarkStart w:id="1" w:name="_Ref78446158"/>
      <w:r w:rsidR="003E25CC">
        <w:rPr>
          <w:rStyle w:val="FootnoteReference"/>
        </w:rPr>
        <w:footnoteReference w:id="7"/>
      </w:r>
      <w:bookmarkEnd w:id="1"/>
      <w:r w:rsidR="003E25CC">
        <w:t xml:space="preserve"> </w:t>
      </w:r>
      <w:r w:rsidR="00FF16E4">
        <w:t>T</w:t>
      </w:r>
      <w:r w:rsidR="001D5560" w:rsidRPr="0048559C">
        <w:t xml:space="preserve">he government </w:t>
      </w:r>
      <w:r w:rsidR="00944725" w:rsidRPr="0048559C">
        <w:t xml:space="preserve">continuously claiming that the EUSS is a success without reference to the </w:t>
      </w:r>
      <w:r w:rsidR="00D4769F">
        <w:t xml:space="preserve">large number </w:t>
      </w:r>
      <w:r w:rsidR="00944725" w:rsidRPr="0048559C">
        <w:t xml:space="preserve">of </w:t>
      </w:r>
      <w:r w:rsidR="00340D66" w:rsidRPr="0048559C">
        <w:t xml:space="preserve">potentially eligible </w:t>
      </w:r>
      <w:r w:rsidR="00D4769F">
        <w:t xml:space="preserve">women </w:t>
      </w:r>
      <w:r w:rsidR="00944725" w:rsidRPr="0048559C">
        <w:t xml:space="preserve">who </w:t>
      </w:r>
      <w:r w:rsidR="008F2CB8">
        <w:t xml:space="preserve">will </w:t>
      </w:r>
      <w:r w:rsidR="00886080">
        <w:t xml:space="preserve">have a precarious immigration status post-Brexit </w:t>
      </w:r>
      <w:r w:rsidR="000A22AF">
        <w:t>is a troubling state of affairs</w:t>
      </w:r>
      <w:r w:rsidR="00B15F7F">
        <w:t>,</w:t>
      </w:r>
      <w:r w:rsidR="000A22AF">
        <w:t xml:space="preserve"> </w:t>
      </w:r>
      <w:r w:rsidR="00CB59D9">
        <w:t xml:space="preserve">due to it </w:t>
      </w:r>
      <w:r w:rsidR="00AF3D96">
        <w:t>perpetuating</w:t>
      </w:r>
      <w:r w:rsidR="00B1210C">
        <w:t xml:space="preserve"> further</w:t>
      </w:r>
      <w:r w:rsidR="00AF3D96">
        <w:t xml:space="preserve"> intersectional oppression</w:t>
      </w:r>
      <w:r w:rsidR="00FF16E4">
        <w:t xml:space="preserve"> under the law.</w:t>
      </w:r>
    </w:p>
    <w:p w14:paraId="7B8D4206" w14:textId="752AEA0B" w:rsidR="00C75B9A" w:rsidRPr="0048559C" w:rsidRDefault="00C75B9A" w:rsidP="00C911B6">
      <w:pPr>
        <w:spacing w:line="480" w:lineRule="auto"/>
      </w:pPr>
    </w:p>
    <w:p w14:paraId="097987AB" w14:textId="6ED97359" w:rsidR="00BA243E" w:rsidRPr="0048559C" w:rsidRDefault="00C75B9A" w:rsidP="00C911B6">
      <w:pPr>
        <w:spacing w:line="480" w:lineRule="auto"/>
      </w:pPr>
      <w:r w:rsidRPr="0022391B">
        <w:t>This paper is structured as follows.</w:t>
      </w:r>
      <w:r w:rsidR="00BF0AB0" w:rsidRPr="0022391B">
        <w:t xml:space="preserve"> First, it considers </w:t>
      </w:r>
      <w:r w:rsidR="00D6014B" w:rsidRPr="0022391B">
        <w:t xml:space="preserve">where </w:t>
      </w:r>
      <w:r w:rsidR="00D95BF0" w:rsidRPr="0022391B">
        <w:t xml:space="preserve">the </w:t>
      </w:r>
      <w:r w:rsidR="00BF0AB0" w:rsidRPr="0022391B">
        <w:t xml:space="preserve">EUSS </w:t>
      </w:r>
      <w:r w:rsidR="004C5787" w:rsidRPr="0022391B">
        <w:t xml:space="preserve">has failed </w:t>
      </w:r>
      <w:r w:rsidR="00B85545" w:rsidRPr="0022391B">
        <w:t xml:space="preserve">to consider </w:t>
      </w:r>
      <w:r w:rsidR="00CE27BA">
        <w:t xml:space="preserve">immigrant </w:t>
      </w:r>
      <w:r w:rsidR="004C5787" w:rsidRPr="0022391B">
        <w:t xml:space="preserve">women </w:t>
      </w:r>
      <w:r w:rsidR="00CE27BA">
        <w:t xml:space="preserve">in a post-Brexit Britain who are </w:t>
      </w:r>
      <w:r w:rsidR="004C5787" w:rsidRPr="0022391B">
        <w:t>at the</w:t>
      </w:r>
      <w:r w:rsidR="00CE27BA">
        <w:t xml:space="preserve"> mercy of the</w:t>
      </w:r>
      <w:r w:rsidR="004C5787" w:rsidRPr="0022391B">
        <w:t xml:space="preserve"> intersection of their gender and immigration status</w:t>
      </w:r>
      <w:r w:rsidR="00B85545" w:rsidRPr="0022391B">
        <w:t xml:space="preserve">. It </w:t>
      </w:r>
      <w:r w:rsidR="00BF0AB0" w:rsidRPr="0022391B">
        <w:t>briefly outlin</w:t>
      </w:r>
      <w:r w:rsidR="00B85545" w:rsidRPr="0022391B">
        <w:t xml:space="preserve">es the EUSS’s </w:t>
      </w:r>
      <w:r w:rsidR="00E069B6" w:rsidRPr="0022391B">
        <w:t>process and criteria</w:t>
      </w:r>
      <w:r w:rsidR="00917711" w:rsidRPr="0022391B">
        <w:t>, and how these legal processes contribut</w:t>
      </w:r>
      <w:r w:rsidR="00807AC0">
        <w:t xml:space="preserve">e </w:t>
      </w:r>
      <w:r w:rsidR="00917711" w:rsidRPr="0022391B">
        <w:t xml:space="preserve">to </w:t>
      </w:r>
      <w:r w:rsidR="00807AC0">
        <w:t xml:space="preserve">exacerbating </w:t>
      </w:r>
      <w:r w:rsidR="00FF16E4" w:rsidRPr="0022391B">
        <w:t xml:space="preserve">the </w:t>
      </w:r>
      <w:r w:rsidR="003B5A10" w:rsidRPr="0022391B">
        <w:t>vulnerab</w:t>
      </w:r>
      <w:r w:rsidR="00FF16E4" w:rsidRPr="0022391B">
        <w:t xml:space="preserve">ility of </w:t>
      </w:r>
      <w:r w:rsidR="004C5787" w:rsidRPr="0022391B">
        <w:t xml:space="preserve">these </w:t>
      </w:r>
      <w:r w:rsidR="002073F0">
        <w:t xml:space="preserve">immigrant </w:t>
      </w:r>
      <w:r w:rsidR="003B5A10" w:rsidRPr="0022391B">
        <w:t>women</w:t>
      </w:r>
      <w:r w:rsidR="00FF16E4" w:rsidRPr="0022391B">
        <w:t xml:space="preserve"> who </w:t>
      </w:r>
      <w:r w:rsidR="00D71DC4" w:rsidRPr="0022391B">
        <w:t xml:space="preserve">are liable to </w:t>
      </w:r>
      <w:r w:rsidR="00FF16E4" w:rsidRPr="0022391B">
        <w:t>fall</w:t>
      </w:r>
      <w:r w:rsidR="00D71DC4" w:rsidRPr="0022391B">
        <w:t>ing</w:t>
      </w:r>
      <w:r w:rsidR="00FF16E4" w:rsidRPr="0022391B">
        <w:t xml:space="preserve"> </w:t>
      </w:r>
      <w:r w:rsidR="003B5A10" w:rsidRPr="0022391B">
        <w:t xml:space="preserve">through the cracks of </w:t>
      </w:r>
      <w:r w:rsidR="00D71DC4" w:rsidRPr="0022391B">
        <w:t xml:space="preserve">a newly </w:t>
      </w:r>
      <w:r w:rsidR="003B5A10" w:rsidRPr="0022391B">
        <w:t xml:space="preserve">constitutive system. </w:t>
      </w:r>
      <w:r w:rsidR="002368EF" w:rsidRPr="0022391B">
        <w:t>I</w:t>
      </w:r>
      <w:r w:rsidR="00D703AE" w:rsidRPr="0022391B">
        <w:t xml:space="preserve">t </w:t>
      </w:r>
      <w:r w:rsidR="00B85545" w:rsidRPr="0022391B">
        <w:t xml:space="preserve">also </w:t>
      </w:r>
      <w:r w:rsidR="002368EF" w:rsidRPr="0022391B">
        <w:t xml:space="preserve">introduces the application of </w:t>
      </w:r>
      <w:r w:rsidR="00FF16E4" w:rsidRPr="0022391B">
        <w:t xml:space="preserve">theories of </w:t>
      </w:r>
      <w:r w:rsidR="00D703AE" w:rsidRPr="0022391B">
        <w:t>intersectionality</w:t>
      </w:r>
      <w:r w:rsidR="00FF16E4" w:rsidRPr="0022391B">
        <w:t xml:space="preserve"> and vulnerability </w:t>
      </w:r>
      <w:r w:rsidR="00D703AE" w:rsidRPr="0022391B">
        <w:t>to</w:t>
      </w:r>
      <w:r w:rsidR="00FF16E4" w:rsidRPr="0022391B">
        <w:t xml:space="preserve"> </w:t>
      </w:r>
      <w:r w:rsidR="00D703AE" w:rsidRPr="0022391B">
        <w:t xml:space="preserve">emphasise </w:t>
      </w:r>
      <w:r w:rsidR="00CE43D1" w:rsidRPr="0022391B">
        <w:t xml:space="preserve">how </w:t>
      </w:r>
      <w:r w:rsidR="00D703AE" w:rsidRPr="0022391B">
        <w:t>power relations</w:t>
      </w:r>
      <w:r w:rsidR="00D95BF0" w:rsidRPr="0022391B">
        <w:t xml:space="preserve"> </w:t>
      </w:r>
      <w:r w:rsidR="00CE43D1" w:rsidRPr="0022391B">
        <w:t xml:space="preserve">affect </w:t>
      </w:r>
      <w:r w:rsidR="00D95BF0" w:rsidRPr="0022391B">
        <w:t>immigrant women</w:t>
      </w:r>
      <w:r w:rsidR="003B57A8" w:rsidRPr="0022391B">
        <w:t xml:space="preserve">’s </w:t>
      </w:r>
      <w:r w:rsidR="00D95BF0" w:rsidRPr="0022391B">
        <w:t>experienc</w:t>
      </w:r>
      <w:r w:rsidR="003B57A8" w:rsidRPr="0022391B">
        <w:t xml:space="preserve">es of </w:t>
      </w:r>
      <w:r w:rsidR="003A142F" w:rsidRPr="0022391B">
        <w:t>the EUSS</w:t>
      </w:r>
      <w:r w:rsidR="00D703AE" w:rsidRPr="0022391B">
        <w:t xml:space="preserve">. </w:t>
      </w:r>
      <w:r w:rsidR="002368EF" w:rsidRPr="0022391B">
        <w:t>Second, the case studies of VAWG and NEFMs</w:t>
      </w:r>
      <w:r w:rsidR="00D1249E" w:rsidRPr="0022391B">
        <w:t xml:space="preserve"> are considered in detail to further demonstrate how intersectional oppression plays out under the EUSS. It first </w:t>
      </w:r>
      <w:r w:rsidR="00E44623" w:rsidRPr="0022391B">
        <w:t>argu</w:t>
      </w:r>
      <w:r w:rsidR="00D1249E" w:rsidRPr="0022391B">
        <w:t xml:space="preserve">es </w:t>
      </w:r>
      <w:r w:rsidR="00E44623" w:rsidRPr="0022391B">
        <w:t xml:space="preserve">that </w:t>
      </w:r>
      <w:r w:rsidR="00BF2A0A" w:rsidRPr="0022391B">
        <w:t xml:space="preserve">a precarious immigration status </w:t>
      </w:r>
      <w:r w:rsidR="00BF2A0A" w:rsidRPr="0022391B">
        <w:lastRenderedPageBreak/>
        <w:t xml:space="preserve">heightens </w:t>
      </w:r>
      <w:r w:rsidR="00D703AE" w:rsidRPr="0022391B">
        <w:t xml:space="preserve">victims of violence against </w:t>
      </w:r>
      <w:r w:rsidR="00BF2A0A" w:rsidRPr="0022391B">
        <w:t xml:space="preserve">women and girls’ </w:t>
      </w:r>
      <w:r w:rsidR="001C0BFB" w:rsidRPr="0022391B">
        <w:t>vulnerability</w:t>
      </w:r>
      <w:r w:rsidR="00E87F26" w:rsidRPr="0022391B">
        <w:t xml:space="preserve"> </w:t>
      </w:r>
      <w:r w:rsidR="00BF6551" w:rsidRPr="0022391B">
        <w:t>by</w:t>
      </w:r>
      <w:r w:rsidR="00D703AE" w:rsidRPr="0022391B">
        <w:t xml:space="preserve"> refer</w:t>
      </w:r>
      <w:r w:rsidR="00BF6551" w:rsidRPr="0022391B">
        <w:t xml:space="preserve">ring </w:t>
      </w:r>
      <w:r w:rsidR="00D703AE" w:rsidRPr="0022391B">
        <w:t>to established literature on the failure of the law to consider intersectional qualities of victims of VAWG</w:t>
      </w:r>
      <w:r w:rsidR="00683FA6">
        <w:t>, applied to the EUSS and post-Brexit context</w:t>
      </w:r>
      <w:r w:rsidR="00D703AE" w:rsidRPr="0022391B">
        <w:t>.</w:t>
      </w:r>
      <w:r w:rsidR="001C0BFB" w:rsidRPr="0022391B">
        <w:t xml:space="preserve"> </w:t>
      </w:r>
      <w:r w:rsidR="00D1249E" w:rsidRPr="0022391B">
        <w:t>I</w:t>
      </w:r>
      <w:r w:rsidR="00D703AE" w:rsidRPr="0022391B">
        <w:t xml:space="preserve">t </w:t>
      </w:r>
      <w:r w:rsidR="00D1249E" w:rsidRPr="0022391B">
        <w:t xml:space="preserve">then </w:t>
      </w:r>
      <w:r w:rsidR="00D703AE" w:rsidRPr="0022391B">
        <w:t xml:space="preserve">considers </w:t>
      </w:r>
      <w:r w:rsidR="00FA20EB" w:rsidRPr="0022391B">
        <w:t>non-EU family</w:t>
      </w:r>
      <w:r w:rsidR="00ED3F73" w:rsidRPr="0022391B">
        <w:t xml:space="preserve"> members of EU</w:t>
      </w:r>
      <w:r w:rsidR="002A2A3D" w:rsidRPr="0022391B">
        <w:t xml:space="preserve"> citizens who </w:t>
      </w:r>
      <w:r w:rsidR="0054357E" w:rsidRPr="0022391B">
        <w:t xml:space="preserve">normally </w:t>
      </w:r>
      <w:r w:rsidR="002A2A3D" w:rsidRPr="0022391B">
        <w:t>would not have rights</w:t>
      </w:r>
      <w:r w:rsidR="0054357E" w:rsidRPr="0022391B">
        <w:t xml:space="preserve"> by virtue of their </w:t>
      </w:r>
      <w:r w:rsidR="00396265">
        <w:t>third country</w:t>
      </w:r>
      <w:r w:rsidR="00683FA6">
        <w:t xml:space="preserve"> </w:t>
      </w:r>
      <w:r w:rsidR="0054357E" w:rsidRPr="0022391B">
        <w:t>nationalit</w:t>
      </w:r>
      <w:r w:rsidR="00683FA6">
        <w:t>ies,</w:t>
      </w:r>
      <w:r w:rsidR="0022391B" w:rsidRPr="0022391B">
        <w:t xml:space="preserve"> but who </w:t>
      </w:r>
      <w:r w:rsidR="00683FA6">
        <w:t xml:space="preserve">derive rights as </w:t>
      </w:r>
      <w:r w:rsidR="00ED3F73" w:rsidRPr="0022391B">
        <w:t>carers</w:t>
      </w:r>
      <w:r w:rsidR="007D39E3" w:rsidRPr="0022391B">
        <w:t xml:space="preserve"> of children and other dependents</w:t>
      </w:r>
      <w:r w:rsidR="00783809">
        <w:t>,</w:t>
      </w:r>
      <w:r w:rsidR="001920B8">
        <w:t xml:space="preserve"> and </w:t>
      </w:r>
      <w:r w:rsidR="00683FA6">
        <w:t>are</w:t>
      </w:r>
      <w:r w:rsidR="001920B8">
        <w:t xml:space="preserve"> thus</w:t>
      </w:r>
      <w:r w:rsidR="00683FA6">
        <w:t xml:space="preserve"> </w:t>
      </w:r>
      <w:r w:rsidR="007C4FB6" w:rsidRPr="0022391B">
        <w:t xml:space="preserve">more likely </w:t>
      </w:r>
      <w:r w:rsidR="003A2C97" w:rsidRPr="0022391B">
        <w:t xml:space="preserve">to </w:t>
      </w:r>
      <w:r w:rsidR="007C4FB6" w:rsidRPr="0022391B">
        <w:t>be</w:t>
      </w:r>
      <w:r w:rsidR="009B2D0C" w:rsidRPr="0022391B">
        <w:t xml:space="preserve"> </w:t>
      </w:r>
      <w:r w:rsidR="00970DF1" w:rsidRPr="0022391B">
        <w:t>wome</w:t>
      </w:r>
      <w:r w:rsidR="00FF16E4" w:rsidRPr="0022391B">
        <w:t>n</w:t>
      </w:r>
      <w:r w:rsidR="00807AC0">
        <w:t>, which limited data shows</w:t>
      </w:r>
      <w:r w:rsidR="0022391B" w:rsidRPr="0022391B">
        <w:t xml:space="preserve">. </w:t>
      </w:r>
      <w:r w:rsidR="00807AC0">
        <w:t>W</w:t>
      </w:r>
      <w:r w:rsidR="009D176A">
        <w:t>omen in this category are uniquely subject to less favourable conditions under the EUSS’s processes</w:t>
      </w:r>
      <w:r w:rsidR="00ED3F73" w:rsidRPr="0022391B">
        <w:t>.</w:t>
      </w:r>
      <w:r w:rsidR="00D703AE" w:rsidRPr="0048559C">
        <w:t xml:space="preserve"> </w:t>
      </w:r>
      <w:r w:rsidR="00723E50">
        <w:t xml:space="preserve">Finally, </w:t>
      </w:r>
      <w:r w:rsidR="00D1249E">
        <w:t xml:space="preserve">the paper </w:t>
      </w:r>
      <w:r w:rsidR="00723E50">
        <w:t>concludes</w:t>
      </w:r>
      <w:r w:rsidR="00B85545">
        <w:t xml:space="preserve">, arguing that </w:t>
      </w:r>
      <w:r w:rsidR="00D1249E">
        <w:t>through the lenses of theories of intersectionality and vulnerability</w:t>
      </w:r>
      <w:r w:rsidR="009D61B1">
        <w:t xml:space="preserve">, </w:t>
      </w:r>
      <w:r w:rsidR="00723E50">
        <w:t>t</w:t>
      </w:r>
      <w:r w:rsidR="00CE42BC" w:rsidRPr="0048559C">
        <w:t xml:space="preserve">he </w:t>
      </w:r>
      <w:r w:rsidR="00D703AE" w:rsidRPr="0048559C">
        <w:t xml:space="preserve">case studies </w:t>
      </w:r>
      <w:r w:rsidR="00807AC0">
        <w:t xml:space="preserve">elucidate </w:t>
      </w:r>
      <w:r w:rsidR="00D703AE" w:rsidRPr="0048559C">
        <w:t xml:space="preserve">that </w:t>
      </w:r>
      <w:r w:rsidR="00BF6551" w:rsidRPr="0048559C">
        <w:t xml:space="preserve">the </w:t>
      </w:r>
      <w:r w:rsidR="00D703AE" w:rsidRPr="0048559C">
        <w:t xml:space="preserve">EUSS process </w:t>
      </w:r>
      <w:r w:rsidR="009D61B1">
        <w:t xml:space="preserve">as it applies to victims of VAWGs and NEFMs </w:t>
      </w:r>
      <w:r w:rsidR="00807AC0">
        <w:t xml:space="preserve">is </w:t>
      </w:r>
      <w:r w:rsidR="00E12411">
        <w:t>perpetuat</w:t>
      </w:r>
      <w:r w:rsidR="00807AC0">
        <w:t xml:space="preserve">ing </w:t>
      </w:r>
      <w:r w:rsidR="00274EEB">
        <w:t xml:space="preserve">intersectional </w:t>
      </w:r>
      <w:r w:rsidR="00E12411">
        <w:t xml:space="preserve">oppression </w:t>
      </w:r>
      <w:r w:rsidR="009D61B1">
        <w:t xml:space="preserve">because of </w:t>
      </w:r>
      <w:r w:rsidR="00396265">
        <w:t xml:space="preserve">how the </w:t>
      </w:r>
      <w:r w:rsidR="00E12411">
        <w:t>legal framework</w:t>
      </w:r>
      <w:r w:rsidR="00396265">
        <w:t xml:space="preserve"> applies</w:t>
      </w:r>
      <w:r w:rsidR="00E12411">
        <w:t>.</w:t>
      </w:r>
    </w:p>
    <w:p w14:paraId="52F6CB1C" w14:textId="77777777" w:rsidR="00E12411" w:rsidRDefault="00E12411" w:rsidP="00C911B6">
      <w:pPr>
        <w:pStyle w:val="Heading1"/>
        <w:numPr>
          <w:ilvl w:val="0"/>
          <w:numId w:val="0"/>
        </w:numPr>
        <w:jc w:val="both"/>
        <w:rPr>
          <w:b/>
          <w:bCs/>
        </w:rPr>
      </w:pPr>
    </w:p>
    <w:p w14:paraId="5420266C" w14:textId="5FD8F34E" w:rsidR="00AA5E36" w:rsidRPr="00C911B6" w:rsidRDefault="00347108" w:rsidP="0061492E">
      <w:pPr>
        <w:pStyle w:val="Heading1"/>
        <w:numPr>
          <w:ilvl w:val="0"/>
          <w:numId w:val="0"/>
        </w:numPr>
        <w:rPr>
          <w:b/>
          <w:bCs/>
        </w:rPr>
      </w:pPr>
      <w:r>
        <w:rPr>
          <w:b/>
          <w:bCs/>
        </w:rPr>
        <w:t>INTERSECTIONAL</w:t>
      </w:r>
      <w:r w:rsidR="00B8294A" w:rsidRPr="00C911B6">
        <w:rPr>
          <w:b/>
          <w:bCs/>
        </w:rPr>
        <w:t xml:space="preserve"> </w:t>
      </w:r>
      <w:r w:rsidR="00E12411">
        <w:rPr>
          <w:b/>
          <w:bCs/>
        </w:rPr>
        <w:t xml:space="preserve">OPPRESSION </w:t>
      </w:r>
      <w:r w:rsidR="00B075FB">
        <w:rPr>
          <w:b/>
          <w:bCs/>
        </w:rPr>
        <w:t>OF</w:t>
      </w:r>
      <w:r w:rsidR="0088508B">
        <w:rPr>
          <w:b/>
          <w:bCs/>
        </w:rPr>
        <w:t xml:space="preserve"> VULNERABLE</w:t>
      </w:r>
      <w:r w:rsidR="00B075FB">
        <w:rPr>
          <w:b/>
          <w:bCs/>
        </w:rPr>
        <w:t xml:space="preserve"> WOMEN UNDER</w:t>
      </w:r>
      <w:r w:rsidR="00B8294A" w:rsidRPr="00C911B6">
        <w:rPr>
          <w:b/>
          <w:bCs/>
        </w:rPr>
        <w:t xml:space="preserve"> THE EU SETTLEMENT SCHEME</w:t>
      </w:r>
    </w:p>
    <w:p w14:paraId="5D14C3C6" w14:textId="08401197" w:rsidR="00B85545" w:rsidRDefault="00826735" w:rsidP="00C911B6">
      <w:pPr>
        <w:spacing w:line="480" w:lineRule="auto"/>
      </w:pPr>
      <w:r w:rsidRPr="0048559C">
        <w:t>The UK’s withdrawal from the EU present</w:t>
      </w:r>
      <w:r w:rsidR="00B075FB">
        <w:t>ed</w:t>
      </w:r>
      <w:r w:rsidRPr="0048559C">
        <w:t xml:space="preserve"> a unique situation of what </w:t>
      </w:r>
      <w:r w:rsidR="00B85545">
        <w:t>was</w:t>
      </w:r>
      <w:r w:rsidRPr="0048559C">
        <w:t xml:space="preserve"> criticised as “limbo” for many EU citizens in the UK </w:t>
      </w:r>
      <w:r w:rsidR="00675DFA">
        <w:t xml:space="preserve">and their families </w:t>
      </w:r>
      <w:r w:rsidRPr="0048559C">
        <w:t xml:space="preserve">who </w:t>
      </w:r>
      <w:r w:rsidR="00B85545">
        <w:t xml:space="preserve">sought </w:t>
      </w:r>
      <w:r w:rsidRPr="0048559C">
        <w:t>to remain legally in a post-Brexit Britain</w:t>
      </w:r>
      <w:r w:rsidR="009E6F6A">
        <w:t>, gender notwithstanding</w:t>
      </w:r>
      <w:r w:rsidR="00BA243E">
        <w:t xml:space="preserve"> (</w:t>
      </w:r>
      <w:proofErr w:type="spellStart"/>
      <w:r w:rsidR="00BA243E">
        <w:t>Remigi</w:t>
      </w:r>
      <w:proofErr w:type="spellEnd"/>
      <w:r w:rsidR="00BA243E">
        <w:t>, Martin &amp; Sykes, 2017)</w:t>
      </w:r>
      <w:r w:rsidRPr="0048559C">
        <w:t>.</w:t>
      </w:r>
      <w:r w:rsidR="00BA243E" w:rsidRPr="0048559C">
        <w:t xml:space="preserve"> </w:t>
      </w:r>
      <w:r w:rsidRPr="0048559C">
        <w:t xml:space="preserve">In order to mitigate the effects of this, the government </w:t>
      </w:r>
      <w:r w:rsidR="00E2256C" w:rsidRPr="0048559C">
        <w:t xml:space="preserve">repeatedly </w:t>
      </w:r>
      <w:r w:rsidRPr="0048559C">
        <w:t>promise</w:t>
      </w:r>
      <w:r w:rsidR="00AF0D4F" w:rsidRPr="0048559C">
        <w:t xml:space="preserve">d </w:t>
      </w:r>
      <w:r w:rsidRPr="0048559C">
        <w:t xml:space="preserve">to protect the rights of EU citizens </w:t>
      </w:r>
      <w:r w:rsidR="00675DFA">
        <w:t xml:space="preserve">and their families </w:t>
      </w:r>
      <w:r w:rsidR="00CE43D1">
        <w:t xml:space="preserve">previously </w:t>
      </w:r>
      <w:r w:rsidRPr="0048559C">
        <w:t xml:space="preserve">enjoyed under </w:t>
      </w:r>
      <w:r w:rsidR="00CE43D1">
        <w:t xml:space="preserve">EU citizenship in </w:t>
      </w:r>
      <w:r w:rsidRPr="0048559C">
        <w:t>Article 20 TFEU</w:t>
      </w:r>
      <w:r w:rsidR="00BA243E">
        <w:t xml:space="preserve"> (May, 2017)</w:t>
      </w:r>
      <w:r w:rsidRPr="0048559C">
        <w:t>.</w:t>
      </w:r>
      <w:r w:rsidR="00BA243E" w:rsidRPr="0048559C">
        <w:t xml:space="preserve"> </w:t>
      </w:r>
      <w:r w:rsidRPr="0048559C">
        <w:t>As one of the negotiating priorities of the EU</w:t>
      </w:r>
      <w:r w:rsidR="00B77994" w:rsidRPr="0048559C">
        <w:t xml:space="preserve">, it was crucial that the UK government </w:t>
      </w:r>
      <w:r w:rsidR="00E2256C" w:rsidRPr="0048559C">
        <w:t>fulfil their promise with haste</w:t>
      </w:r>
      <w:r w:rsidR="00B77994" w:rsidRPr="0048559C">
        <w:t xml:space="preserve">, hence the roll out of the EUSS after </w:t>
      </w:r>
      <w:r w:rsidR="00022D4E" w:rsidRPr="0048559C">
        <w:t xml:space="preserve">several </w:t>
      </w:r>
      <w:r w:rsidR="00AF0D4F" w:rsidRPr="0048559C">
        <w:t xml:space="preserve">private </w:t>
      </w:r>
      <w:r w:rsidR="00B77994" w:rsidRPr="0048559C">
        <w:t xml:space="preserve">beta pilot stages. </w:t>
      </w:r>
      <w:r w:rsidR="003577FF">
        <w:t>T</w:t>
      </w:r>
      <w:r w:rsidR="00E1347D" w:rsidRPr="0048559C">
        <w:t xml:space="preserve">he Scheme </w:t>
      </w:r>
      <w:r w:rsidR="00B77994" w:rsidRPr="0048559C">
        <w:t>opened to the public on 30 March 2019</w:t>
      </w:r>
      <w:r w:rsidR="003577FF">
        <w:t xml:space="preserve"> offering</w:t>
      </w:r>
      <w:r w:rsidR="00B77994" w:rsidRPr="0048559C">
        <w:t xml:space="preserve"> two </w:t>
      </w:r>
      <w:r w:rsidR="003577FF">
        <w:t xml:space="preserve">legal </w:t>
      </w:r>
      <w:r w:rsidR="00B77994" w:rsidRPr="0048559C">
        <w:t>statuses: pre-settled status</w:t>
      </w:r>
      <w:r w:rsidR="00C572AB" w:rsidRPr="0048559C">
        <w:t xml:space="preserve"> (</w:t>
      </w:r>
      <w:r w:rsidR="00B77994" w:rsidRPr="0048559C">
        <w:t xml:space="preserve">for </w:t>
      </w:r>
      <w:r w:rsidR="00C572AB" w:rsidRPr="0048559C">
        <w:t xml:space="preserve">those </w:t>
      </w:r>
      <w:r w:rsidR="00504BD0" w:rsidRPr="0048559C">
        <w:t>w</w:t>
      </w:r>
      <w:r w:rsidR="00B77994" w:rsidRPr="0048559C">
        <w:t>ho ha</w:t>
      </w:r>
      <w:r w:rsidR="00974199" w:rsidRPr="0048559C">
        <w:t>ve</w:t>
      </w:r>
      <w:r w:rsidR="00B77994" w:rsidRPr="0048559C">
        <w:t xml:space="preserve"> not yet resided for five years</w:t>
      </w:r>
      <w:r w:rsidR="00C572AB" w:rsidRPr="0048559C">
        <w:t xml:space="preserve">, </w:t>
      </w:r>
      <w:r w:rsidR="00B77994" w:rsidRPr="0048559C">
        <w:t>the qualifying period for permanent residency) and settled status (to replace the status of permanent residency deriving from EU law).</w:t>
      </w:r>
      <w:r w:rsidR="002020C4" w:rsidRPr="0048559C">
        <w:rPr>
          <w:rStyle w:val="FootnoteReference"/>
        </w:rPr>
        <w:footnoteReference w:id="8"/>
      </w:r>
      <w:r w:rsidR="00B77994" w:rsidRPr="0048559C">
        <w:t xml:space="preserve"> In order to </w:t>
      </w:r>
      <w:r w:rsidR="00CE43D1">
        <w:t xml:space="preserve">obtain </w:t>
      </w:r>
      <w:r w:rsidR="003E25CC">
        <w:t>one of the two statuses</w:t>
      </w:r>
      <w:r w:rsidR="00B77994" w:rsidRPr="0048559C">
        <w:t>, three criteria ha</w:t>
      </w:r>
      <w:r w:rsidR="00783809">
        <w:t>ve</w:t>
      </w:r>
      <w:r w:rsidR="00AF3C11" w:rsidRPr="0048559C">
        <w:t xml:space="preserve"> </w:t>
      </w:r>
      <w:r w:rsidR="00B77994" w:rsidRPr="0048559C">
        <w:t xml:space="preserve">to be </w:t>
      </w:r>
      <w:r w:rsidR="00381E42" w:rsidRPr="0048559C">
        <w:t>satisfied</w:t>
      </w:r>
      <w:r w:rsidR="002020C4" w:rsidRPr="0048559C">
        <w:t xml:space="preserve"> </w:t>
      </w:r>
      <w:r w:rsidR="00B77994" w:rsidRPr="0048559C">
        <w:t>–</w:t>
      </w:r>
      <w:r w:rsidR="002020C4" w:rsidRPr="0048559C">
        <w:t xml:space="preserve"> </w:t>
      </w:r>
      <w:r w:rsidR="00783809">
        <w:t xml:space="preserve">proof of </w:t>
      </w:r>
      <w:r w:rsidR="00AF3C11" w:rsidRPr="0048559C">
        <w:t xml:space="preserve">identity, </w:t>
      </w:r>
      <w:r w:rsidR="00B77994" w:rsidRPr="0048559C">
        <w:t>eligibility</w:t>
      </w:r>
      <w:r w:rsidR="00AF3C11" w:rsidRPr="0048559C">
        <w:t xml:space="preserve"> and suitability.</w:t>
      </w:r>
      <w:r w:rsidR="005A4163" w:rsidRPr="0048559C">
        <w:rPr>
          <w:rStyle w:val="FootnoteReference"/>
        </w:rPr>
        <w:footnoteReference w:id="9"/>
      </w:r>
      <w:r w:rsidR="00022D4E" w:rsidRPr="0048559C">
        <w:t xml:space="preserve"> Identity requires proof of ID</w:t>
      </w:r>
      <w:r w:rsidR="005A4163" w:rsidRPr="0048559C">
        <w:t xml:space="preserve"> and biometrics</w:t>
      </w:r>
      <w:r w:rsidR="00022D4E" w:rsidRPr="0048559C">
        <w:t>, e</w:t>
      </w:r>
      <w:r w:rsidR="00AF3C11" w:rsidRPr="0048559C">
        <w:t xml:space="preserve">ligibility speaks to one’s residency in the UK as an EU citizen (or </w:t>
      </w:r>
      <w:r w:rsidR="00381E42" w:rsidRPr="0048559C">
        <w:t xml:space="preserve">their </w:t>
      </w:r>
      <w:r w:rsidR="00AF3C11" w:rsidRPr="0048559C">
        <w:t xml:space="preserve">family member) and suitability </w:t>
      </w:r>
      <w:r w:rsidR="00AF3C11" w:rsidRPr="0048559C">
        <w:lastRenderedPageBreak/>
        <w:t>ensure</w:t>
      </w:r>
      <w:r w:rsidR="00381E42" w:rsidRPr="0048559C">
        <w:t>s</w:t>
      </w:r>
      <w:r w:rsidR="00AF3C11" w:rsidRPr="0048559C">
        <w:t xml:space="preserve"> applicants are of good character.</w:t>
      </w:r>
      <w:r w:rsidR="00A80D99">
        <w:t xml:space="preserve"> </w:t>
      </w:r>
      <w:r w:rsidR="00AF3C11" w:rsidRPr="0048559C">
        <w:t xml:space="preserve">The Home Office branded these criteria as </w:t>
      </w:r>
      <w:r w:rsidR="00D814CB" w:rsidRPr="0048559C">
        <w:t>‘</w:t>
      </w:r>
      <w:r w:rsidR="00AF3C11" w:rsidRPr="0048559C">
        <w:t xml:space="preserve">three simple </w:t>
      </w:r>
      <w:r w:rsidR="00D814CB" w:rsidRPr="0048559C">
        <w:t>stages’</w:t>
      </w:r>
      <w:r w:rsidR="00066BAC">
        <w:t xml:space="preserve"> (Home Office, 2018: 2)</w:t>
      </w:r>
      <w:r w:rsidR="00AF3C11" w:rsidRPr="0048559C">
        <w:t>.</w:t>
      </w:r>
      <w:r w:rsidR="00066BAC" w:rsidRPr="0048559C">
        <w:t xml:space="preserve"> </w:t>
      </w:r>
      <w:r w:rsidR="00A80D99">
        <w:t>T</w:t>
      </w:r>
      <w:r w:rsidR="00AF3C11" w:rsidRPr="0048559C">
        <w:t xml:space="preserve">his paper </w:t>
      </w:r>
      <w:r w:rsidR="002F2A24" w:rsidRPr="0048559C">
        <w:t xml:space="preserve">challenges </w:t>
      </w:r>
      <w:r w:rsidR="00540C59" w:rsidRPr="0048559C">
        <w:t>th</w:t>
      </w:r>
      <w:r w:rsidR="00B85545">
        <w:t xml:space="preserve">is </w:t>
      </w:r>
      <w:r w:rsidR="00022D4E" w:rsidRPr="0048559C">
        <w:t>assertion</w:t>
      </w:r>
      <w:r w:rsidR="00FA6F75">
        <w:t xml:space="preserve">, </w:t>
      </w:r>
      <w:r w:rsidR="00022D4E" w:rsidRPr="0048559C">
        <w:t>argu</w:t>
      </w:r>
      <w:r w:rsidR="00FA6F75">
        <w:t xml:space="preserve">ing </w:t>
      </w:r>
      <w:r w:rsidR="00022D4E" w:rsidRPr="0048559C">
        <w:t>that</w:t>
      </w:r>
      <w:r w:rsidR="002F2A24" w:rsidRPr="0048559C">
        <w:t xml:space="preserve"> for</w:t>
      </w:r>
      <w:r w:rsidR="00AF3C11" w:rsidRPr="0048559C">
        <w:t xml:space="preserve"> </w:t>
      </w:r>
      <w:r w:rsidR="00347108">
        <w:t>many</w:t>
      </w:r>
      <w:r w:rsidR="00AF3C11" w:rsidRPr="0048559C">
        <w:t xml:space="preserve"> </w:t>
      </w:r>
      <w:r w:rsidR="001920B8">
        <w:t xml:space="preserve">immigrant </w:t>
      </w:r>
      <w:r w:rsidR="00AF3C11" w:rsidRPr="0048559C">
        <w:t>women</w:t>
      </w:r>
      <w:r w:rsidR="001920B8">
        <w:t xml:space="preserve"> previously protected by the EU legal framework</w:t>
      </w:r>
      <w:r w:rsidR="002F2A24" w:rsidRPr="0048559C">
        <w:t>, it</w:t>
      </w:r>
      <w:r w:rsidR="00AF3C11" w:rsidRPr="0048559C">
        <w:t xml:space="preserve"> is</w:t>
      </w:r>
      <w:r w:rsidR="001920B8">
        <w:t xml:space="preserve"> </w:t>
      </w:r>
      <w:r w:rsidR="00783809">
        <w:t xml:space="preserve">actually far from </w:t>
      </w:r>
      <w:r w:rsidR="00AF3C11" w:rsidRPr="0048559C">
        <w:t>simple</w:t>
      </w:r>
      <w:r w:rsidR="00783809">
        <w:t>,</w:t>
      </w:r>
      <w:r w:rsidR="00854EDF" w:rsidRPr="0048559C">
        <w:t xml:space="preserve"> </w:t>
      </w:r>
      <w:r w:rsidR="002020C4" w:rsidRPr="0048559C">
        <w:t xml:space="preserve">due to the </w:t>
      </w:r>
      <w:r w:rsidR="00FA6F75">
        <w:t xml:space="preserve">new post-Brexit </w:t>
      </w:r>
      <w:r w:rsidR="002020C4" w:rsidRPr="0048559C">
        <w:t>EUSS legal framework</w:t>
      </w:r>
      <w:r w:rsidR="002F2A24" w:rsidRPr="0048559C">
        <w:t xml:space="preserve"> and </w:t>
      </w:r>
      <w:r w:rsidR="00854EDF" w:rsidRPr="0048559C">
        <w:t xml:space="preserve">application of the </w:t>
      </w:r>
      <w:r w:rsidR="002F2A24" w:rsidRPr="0048559C">
        <w:t>criteria themselves</w:t>
      </w:r>
      <w:r w:rsidR="00AF3C11" w:rsidRPr="0048559C">
        <w:t>.</w:t>
      </w:r>
    </w:p>
    <w:p w14:paraId="301D3D8D" w14:textId="77777777" w:rsidR="00B85545" w:rsidRDefault="00B85545" w:rsidP="00C911B6">
      <w:pPr>
        <w:spacing w:line="480" w:lineRule="auto"/>
      </w:pPr>
    </w:p>
    <w:p w14:paraId="1E86A46B" w14:textId="00267DF4" w:rsidR="00540C59" w:rsidRPr="0048559C" w:rsidRDefault="00D2629D" w:rsidP="00C911B6">
      <w:pPr>
        <w:spacing w:line="480" w:lineRule="auto"/>
      </w:pPr>
      <w:r>
        <w:t>A</w:t>
      </w:r>
      <w:r w:rsidR="00540C59" w:rsidRPr="0048559C">
        <w:t xml:space="preserve"> “vulnerability cohort” </w:t>
      </w:r>
      <w:r>
        <w:t>was identified early on</w:t>
      </w:r>
      <w:r w:rsidR="00783809">
        <w:t xml:space="preserve"> by the Home Office to take </w:t>
      </w:r>
      <w:r>
        <w:t xml:space="preserve">part </w:t>
      </w:r>
      <w:r w:rsidR="00783809">
        <w:t>in</w:t>
      </w:r>
      <w:r>
        <w:t xml:space="preserve"> </w:t>
      </w:r>
      <w:r w:rsidR="00540C59" w:rsidRPr="0048559C">
        <w:t>private beta testing stage 2</w:t>
      </w:r>
      <w:r w:rsidR="00783809">
        <w:t xml:space="preserve"> for the EUSS several months before the Scheme opened to the public. This cohort</w:t>
      </w:r>
      <w:r w:rsidR="00B85545">
        <w:t xml:space="preserve"> includ</w:t>
      </w:r>
      <w:r w:rsidR="00783809">
        <w:t xml:space="preserve">ed </w:t>
      </w:r>
      <w:r w:rsidR="009B4BD0">
        <w:t>vulnerable immigrant</w:t>
      </w:r>
      <w:r w:rsidR="00B85545">
        <w:t xml:space="preserve"> women</w:t>
      </w:r>
      <w:r>
        <w:t>.</w:t>
      </w:r>
      <w:r w:rsidR="009B3724" w:rsidRPr="0048559C">
        <w:rPr>
          <w:rStyle w:val="FootnoteReference"/>
        </w:rPr>
        <w:footnoteReference w:id="10"/>
      </w:r>
      <w:r w:rsidR="009B3724">
        <w:t xml:space="preserve"> </w:t>
      </w:r>
      <w:r>
        <w:t>However, ve</w:t>
      </w:r>
      <w:r w:rsidR="00BD5908" w:rsidRPr="0048559C">
        <w:t>ry little of the legal framework was changed after the vulnerability cohort</w:t>
      </w:r>
      <w:r w:rsidR="00783809">
        <w:t xml:space="preserve">’s representatives were </w:t>
      </w:r>
      <w:r w:rsidR="00D529B6">
        <w:t xml:space="preserve">consulted </w:t>
      </w:r>
      <w:r w:rsidR="00783809">
        <w:t xml:space="preserve">and </w:t>
      </w:r>
      <w:r w:rsidR="00BD5908" w:rsidRPr="0048559C">
        <w:t>expressed reservations</w:t>
      </w:r>
      <w:r w:rsidR="00066BAC">
        <w:t xml:space="preserve"> (Home Affairs Committee 2019: 25ff)</w:t>
      </w:r>
      <w:r>
        <w:t>.</w:t>
      </w:r>
      <w:r w:rsidR="00194A1A">
        <w:t xml:space="preserve"> </w:t>
      </w:r>
      <w:r>
        <w:t>This c</w:t>
      </w:r>
      <w:r w:rsidR="00EA6770">
        <w:t>an</w:t>
      </w:r>
      <w:r>
        <w:t xml:space="preserve"> be seen as</w:t>
      </w:r>
      <w:r w:rsidR="00EA6770">
        <w:t xml:space="preserve"> early indication</w:t>
      </w:r>
      <w:r w:rsidR="00783809">
        <w:t>s</w:t>
      </w:r>
      <w:r w:rsidR="00EA6770">
        <w:t xml:space="preserve"> of</w:t>
      </w:r>
      <w:r w:rsidR="00783809">
        <w:t xml:space="preserve"> the</w:t>
      </w:r>
      <w:r w:rsidR="00EA6770">
        <w:t xml:space="preserve"> flaws in </w:t>
      </w:r>
      <w:r w:rsidR="00BD5908" w:rsidRPr="0048559C">
        <w:t xml:space="preserve">the EUSS </w:t>
      </w:r>
      <w:r w:rsidR="00EA6770">
        <w:t xml:space="preserve">system </w:t>
      </w:r>
      <w:r w:rsidR="00BD5908">
        <w:t>in</w:t>
      </w:r>
      <w:r w:rsidR="00EA6770">
        <w:t xml:space="preserve"> terms of</w:t>
      </w:r>
      <w:r w:rsidR="00BD5908">
        <w:t xml:space="preserve"> its legal </w:t>
      </w:r>
      <w:r w:rsidR="00BD5908" w:rsidRPr="0048559C">
        <w:t>design</w:t>
      </w:r>
      <w:r w:rsidR="00BD5908">
        <w:t xml:space="preserve">. </w:t>
      </w:r>
      <w:r w:rsidR="003E25CC">
        <w:t>From this, i</w:t>
      </w:r>
      <w:r w:rsidR="00B85545">
        <w:t xml:space="preserve">t </w:t>
      </w:r>
      <w:r w:rsidR="003E25CC">
        <w:t xml:space="preserve">can be </w:t>
      </w:r>
      <w:r w:rsidR="00B85545">
        <w:t xml:space="preserve">argued that </w:t>
      </w:r>
      <w:r w:rsidR="00B54047" w:rsidRPr="0048559C">
        <w:t>t</w:t>
      </w:r>
      <w:r w:rsidR="00540C59" w:rsidRPr="0048559C">
        <w:t>he source of th</w:t>
      </w:r>
      <w:r w:rsidR="00B85545">
        <w:t xml:space="preserve">e </w:t>
      </w:r>
      <w:r w:rsidR="00540C59" w:rsidRPr="0048559C">
        <w:t xml:space="preserve">inequality </w:t>
      </w:r>
      <w:r w:rsidR="00B85545">
        <w:t>faced by vulnerable groups</w:t>
      </w:r>
      <w:r w:rsidR="00026F6F">
        <w:t>,</w:t>
      </w:r>
      <w:r w:rsidR="00B85545">
        <w:t xml:space="preserve"> </w:t>
      </w:r>
      <w:r w:rsidR="00BD5908">
        <w:t>like</w:t>
      </w:r>
      <w:r w:rsidR="002073F0">
        <w:t xml:space="preserve"> immigrant</w:t>
      </w:r>
      <w:r w:rsidR="00BD5908">
        <w:t xml:space="preserve"> women</w:t>
      </w:r>
      <w:r w:rsidR="00026F6F">
        <w:t>,</w:t>
      </w:r>
      <w:r w:rsidR="00BD5908">
        <w:t xml:space="preserve"> </w:t>
      </w:r>
      <w:r w:rsidR="00B85545">
        <w:t>actually stems from the law itself</w:t>
      </w:r>
      <w:r w:rsidR="00026F6F">
        <w:t xml:space="preserve"> –</w:t>
      </w:r>
      <w:r w:rsidR="00B85545">
        <w:t xml:space="preserve"> </w:t>
      </w:r>
      <w:r w:rsidR="00BD5908">
        <w:t>in this case,</w:t>
      </w:r>
      <w:r w:rsidR="00EA6770">
        <w:t xml:space="preserve"> </w:t>
      </w:r>
      <w:r w:rsidR="00D529B6">
        <w:t xml:space="preserve">the </w:t>
      </w:r>
      <w:r w:rsidR="00EA6770">
        <w:t>interpretation of</w:t>
      </w:r>
      <w:r w:rsidR="00BD5908">
        <w:t xml:space="preserve"> </w:t>
      </w:r>
      <w:r w:rsidR="00540C59" w:rsidRPr="0048559C">
        <w:t>Appendix EU of the Immigration Rules</w:t>
      </w:r>
      <w:r w:rsidR="00EA6770">
        <w:t xml:space="preserve"> </w:t>
      </w:r>
      <w:r w:rsidR="00D529B6">
        <w:t xml:space="preserve">legally translated to procedures under </w:t>
      </w:r>
      <w:r w:rsidR="00EA6770">
        <w:t>the EUSS regime</w:t>
      </w:r>
      <w:r w:rsidR="00E2751B">
        <w:t>.</w:t>
      </w:r>
      <w:r>
        <w:t xml:space="preserve"> </w:t>
      </w:r>
      <w:r w:rsidR="00E2751B">
        <w:t xml:space="preserve">It </w:t>
      </w:r>
      <w:r w:rsidR="00D41309">
        <w:t xml:space="preserve">becomes </w:t>
      </w:r>
      <w:r w:rsidR="00E2751B">
        <w:t xml:space="preserve">particularly </w:t>
      </w:r>
      <w:r w:rsidR="00BD5908">
        <w:t xml:space="preserve">evident how </w:t>
      </w:r>
      <w:r w:rsidR="00026F6F">
        <w:t xml:space="preserve">Appendix EU </w:t>
      </w:r>
      <w:r w:rsidR="00BD5908">
        <w:t xml:space="preserve">oppresses women at the intersection of their gender and immigration status when analysing how </w:t>
      </w:r>
      <w:r w:rsidR="00540C59" w:rsidRPr="0048559C">
        <w:t xml:space="preserve">the EUSS </w:t>
      </w:r>
      <w:r w:rsidR="00BD5908">
        <w:t xml:space="preserve">process operates in reality for </w:t>
      </w:r>
      <w:r w:rsidR="00540C59" w:rsidRPr="0048559C">
        <w:t xml:space="preserve">the two groups of women </w:t>
      </w:r>
      <w:r w:rsidR="009E6F6A">
        <w:t xml:space="preserve">at the heart of this paper: victims of </w:t>
      </w:r>
      <w:r w:rsidR="002073F0">
        <w:t xml:space="preserve">violence against women and girls </w:t>
      </w:r>
      <w:r w:rsidR="009E6F6A">
        <w:t xml:space="preserve">and </w:t>
      </w:r>
      <w:r w:rsidR="002073F0">
        <w:t>non-EU family members of EU citizens</w:t>
      </w:r>
      <w:r w:rsidR="00EA2133" w:rsidRPr="0048559C">
        <w:t>.</w:t>
      </w:r>
    </w:p>
    <w:p w14:paraId="49B0C659" w14:textId="77777777" w:rsidR="009F219B" w:rsidRDefault="009F219B" w:rsidP="00C911B6">
      <w:pPr>
        <w:spacing w:line="480" w:lineRule="auto"/>
      </w:pPr>
    </w:p>
    <w:p w14:paraId="440CB6B1" w14:textId="116C14C9" w:rsidR="00DB2DBE" w:rsidRPr="0048559C" w:rsidRDefault="00EF1FA5" w:rsidP="00C911B6">
      <w:pPr>
        <w:spacing w:line="480" w:lineRule="auto"/>
      </w:pPr>
      <w:r w:rsidRPr="0048559C">
        <w:t>Appendix EU of the Immigration Rules appl</w:t>
      </w:r>
      <w:r w:rsidR="00FA1ECF" w:rsidRPr="0048559C">
        <w:t xml:space="preserve">ies </w:t>
      </w:r>
      <w:r w:rsidRPr="0048559C">
        <w:t xml:space="preserve">to </w:t>
      </w:r>
      <w:r w:rsidR="00FA1ECF" w:rsidRPr="0048559C">
        <w:t xml:space="preserve">all </w:t>
      </w:r>
      <w:r w:rsidR="00854EDF" w:rsidRPr="0048559C">
        <w:t xml:space="preserve">individuals </w:t>
      </w:r>
      <w:r w:rsidR="00D6014B" w:rsidRPr="0048559C">
        <w:t xml:space="preserve">previously eligible </w:t>
      </w:r>
      <w:r w:rsidR="00D6014B">
        <w:t>under EU law</w:t>
      </w:r>
      <w:r w:rsidR="007A7FF2">
        <w:t xml:space="preserve"> </w:t>
      </w:r>
      <w:r w:rsidR="00D6014B">
        <w:t xml:space="preserve">who </w:t>
      </w:r>
      <w:r w:rsidR="007A7FF2">
        <w:t xml:space="preserve">want </w:t>
      </w:r>
      <w:r w:rsidRPr="0048559C">
        <w:t xml:space="preserve">to remain </w:t>
      </w:r>
      <w:r w:rsidR="007A7FF2">
        <w:t xml:space="preserve">in </w:t>
      </w:r>
      <w:r w:rsidRPr="0048559C">
        <w:t xml:space="preserve">the UK </w:t>
      </w:r>
      <w:r w:rsidR="007A7FF2">
        <w:t xml:space="preserve">legally </w:t>
      </w:r>
      <w:r w:rsidRPr="0048559C">
        <w:t>after the transition period</w:t>
      </w:r>
      <w:r w:rsidR="002372BF">
        <w:t>, gender notwithstanding</w:t>
      </w:r>
      <w:r w:rsidR="00854EDF" w:rsidRPr="0048559C">
        <w:t xml:space="preserve">. </w:t>
      </w:r>
      <w:r w:rsidR="00D2629D">
        <w:t xml:space="preserve">This </w:t>
      </w:r>
      <w:r w:rsidR="00D3744E">
        <w:t xml:space="preserve">paper argues that </w:t>
      </w:r>
      <w:r w:rsidR="00DB2DBE" w:rsidRPr="0048559C">
        <w:t xml:space="preserve">the Immigration Rules as they apply to </w:t>
      </w:r>
      <w:r w:rsidR="009F219B">
        <w:t xml:space="preserve">VAWGs and certain NEFMs </w:t>
      </w:r>
      <w:r w:rsidR="00540C59" w:rsidRPr="0048559C">
        <w:t xml:space="preserve">actually </w:t>
      </w:r>
      <w:r w:rsidR="00854EDF" w:rsidRPr="0048559C">
        <w:t xml:space="preserve">have the effect of </w:t>
      </w:r>
      <w:r w:rsidR="002372BF">
        <w:t xml:space="preserve">uniquely </w:t>
      </w:r>
      <w:r w:rsidR="00DB2DBE" w:rsidRPr="0048559C">
        <w:t>oppress</w:t>
      </w:r>
      <w:r w:rsidR="00854EDF" w:rsidRPr="0048559C">
        <w:t xml:space="preserve">ing </w:t>
      </w:r>
      <w:r w:rsidR="002372BF">
        <w:t xml:space="preserve">immigrant women </w:t>
      </w:r>
      <w:r w:rsidR="009F219B">
        <w:t xml:space="preserve">because of </w:t>
      </w:r>
      <w:r w:rsidR="002372BF">
        <w:t xml:space="preserve">their </w:t>
      </w:r>
      <w:r w:rsidR="002073F0">
        <w:t xml:space="preserve">intersecting </w:t>
      </w:r>
      <w:r w:rsidR="009F219B">
        <w:t>gender and immigrant status</w:t>
      </w:r>
      <w:r w:rsidR="00185201">
        <w:t>.</w:t>
      </w:r>
      <w:r w:rsidR="003E25CC">
        <w:t xml:space="preserve"> </w:t>
      </w:r>
      <w:r w:rsidR="00185201">
        <w:t>Some</w:t>
      </w:r>
      <w:r w:rsidR="003E25CC">
        <w:t xml:space="preserve"> d</w:t>
      </w:r>
      <w:r w:rsidR="00B21AF2">
        <w:t>at</w:t>
      </w:r>
      <w:r w:rsidR="0051581D">
        <w:t xml:space="preserve">a </w:t>
      </w:r>
      <w:r w:rsidR="00DE639F">
        <w:t>demonstrat</w:t>
      </w:r>
      <w:r w:rsidR="00185201">
        <w:t xml:space="preserve">es </w:t>
      </w:r>
      <w:r w:rsidR="003E25CC">
        <w:t xml:space="preserve">situations </w:t>
      </w:r>
      <w:r w:rsidR="005F1434">
        <w:t xml:space="preserve">where </w:t>
      </w:r>
      <w:r w:rsidR="003E25CC">
        <w:t>this is true</w:t>
      </w:r>
      <w:r w:rsidR="00194A1A">
        <w:t xml:space="preserve"> (Barnard and Costello, 2021)</w:t>
      </w:r>
      <w:r w:rsidR="00D41BF9">
        <w:t xml:space="preserve">, and </w:t>
      </w:r>
      <w:r w:rsidR="002B0746">
        <w:t xml:space="preserve">analysing </w:t>
      </w:r>
      <w:r w:rsidR="00185201">
        <w:t>the situation from an intersectional lens highlights how oppression plays out</w:t>
      </w:r>
      <w:r w:rsidR="003E25CC">
        <w:t>.</w:t>
      </w:r>
      <w:r w:rsidR="00194A1A">
        <w:t xml:space="preserve"> </w:t>
      </w:r>
      <w:r w:rsidR="003E25CC">
        <w:t>Appendix EU</w:t>
      </w:r>
      <w:r w:rsidR="003E25CC" w:rsidRPr="0048559C">
        <w:t xml:space="preserve"> operates </w:t>
      </w:r>
      <w:r w:rsidR="003E25CC">
        <w:t xml:space="preserve">through </w:t>
      </w:r>
      <w:r w:rsidR="003E25CC" w:rsidRPr="0048559C">
        <w:t>the constitutive system of the EUSS</w:t>
      </w:r>
      <w:r w:rsidR="003E25CC">
        <w:t xml:space="preserve">, which is by and large an online application system, save for some </w:t>
      </w:r>
      <w:r w:rsidR="003E25CC">
        <w:lastRenderedPageBreak/>
        <w:t>exceptional situations which require a paper application.</w:t>
      </w:r>
      <w:r w:rsidR="00C14CFC">
        <w:t xml:space="preserve"> </w:t>
      </w:r>
      <w:r w:rsidR="003E25CC">
        <w:t xml:space="preserve">One </w:t>
      </w:r>
      <w:r w:rsidR="00D2629D">
        <w:t xml:space="preserve">of the primary underlying reasons </w:t>
      </w:r>
      <w:r w:rsidR="003E25CC">
        <w:t>for</w:t>
      </w:r>
      <w:r w:rsidR="00DD0765">
        <w:t xml:space="preserve"> arguing </w:t>
      </w:r>
      <w:r w:rsidR="00783809">
        <w:t xml:space="preserve">that </w:t>
      </w:r>
      <w:r w:rsidR="00DD0765">
        <w:t>the EUSS</w:t>
      </w:r>
      <w:r w:rsidR="00783809">
        <w:t xml:space="preserve"> has a </w:t>
      </w:r>
      <w:r w:rsidR="003E25CC">
        <w:t xml:space="preserve">disproportionate effect on women is that </w:t>
      </w:r>
      <w:r w:rsidR="00C14CFC">
        <w:t xml:space="preserve">many </w:t>
      </w:r>
      <w:r w:rsidR="003E25CC">
        <w:t xml:space="preserve">of the most vulnerable </w:t>
      </w:r>
      <w:r w:rsidR="00D2629D">
        <w:t>are forced to apply by paper</w:t>
      </w:r>
      <w:r w:rsidR="002D287D" w:rsidRPr="0048559C">
        <w:t>.</w:t>
      </w:r>
      <w:r w:rsidR="002B0746">
        <w:rPr>
          <w:rStyle w:val="FootnoteReference"/>
        </w:rPr>
        <w:footnoteReference w:id="11"/>
      </w:r>
      <w:r w:rsidR="00D2629D">
        <w:t xml:space="preserve"> </w:t>
      </w:r>
      <w:r w:rsidR="002D287D" w:rsidRPr="0048559C">
        <w:t>On this basis,</w:t>
      </w:r>
      <w:r w:rsidR="002E1FDF" w:rsidRPr="0048559C">
        <w:t xml:space="preserve"> the critique of the EUSS is the claim that having a</w:t>
      </w:r>
      <w:r w:rsidR="0073333B" w:rsidRPr="0048559C">
        <w:t xml:space="preserve"> </w:t>
      </w:r>
      <w:r w:rsidR="002372BF">
        <w:t xml:space="preserve">general </w:t>
      </w:r>
      <w:r w:rsidR="0073333B" w:rsidRPr="0048559C">
        <w:t>legal entitlement to right</w:t>
      </w:r>
      <w:r w:rsidR="00E6044C" w:rsidRPr="0048559C">
        <w:t>s</w:t>
      </w:r>
      <w:r w:rsidR="0073333B" w:rsidRPr="0048559C">
        <w:t xml:space="preserve"> </w:t>
      </w:r>
      <w:r w:rsidR="00E12CBA" w:rsidRPr="0048559C">
        <w:t xml:space="preserve">as outlined above </w:t>
      </w:r>
      <w:r w:rsidR="0073333B" w:rsidRPr="0048559C">
        <w:t>is not enough to guarantee protection</w:t>
      </w:r>
      <w:r w:rsidR="005D6DC2">
        <w:t xml:space="preserve">, because </w:t>
      </w:r>
      <w:r w:rsidR="000D15F1">
        <w:t xml:space="preserve">being a VAWG and/or NEFM </w:t>
      </w:r>
      <w:r w:rsidR="00C14CFC">
        <w:t xml:space="preserve">translates </w:t>
      </w:r>
      <w:r w:rsidR="00466F12">
        <w:t>in</w:t>
      </w:r>
      <w:r w:rsidR="00C14CFC">
        <w:t xml:space="preserve">to a different </w:t>
      </w:r>
      <w:r w:rsidR="000D15F1">
        <w:t xml:space="preserve">experience for </w:t>
      </w:r>
      <w:r w:rsidR="005D6DC2">
        <w:t xml:space="preserve">these </w:t>
      </w:r>
      <w:r w:rsidR="000D15F1">
        <w:t>women</w:t>
      </w:r>
      <w:r w:rsidR="00466F12">
        <w:t xml:space="preserve"> than that envisaged by the Home Office at the outset that is far from simple</w:t>
      </w:r>
      <w:r w:rsidR="002D287D" w:rsidRPr="0048559C">
        <w:t>.</w:t>
      </w:r>
      <w:r w:rsidR="005D6DC2">
        <w:t xml:space="preserve"> Whilst the UK Government purported to</w:t>
      </w:r>
      <w:r w:rsidR="00D43165">
        <w:t xml:space="preserve"> protect EU citizens generally in its roll out of the EUSS,</w:t>
      </w:r>
      <w:r w:rsidR="002B6650">
        <w:t xml:space="preserve"> it</w:t>
      </w:r>
      <w:r w:rsidR="00D43165">
        <w:t xml:space="preserve"> fail</w:t>
      </w:r>
      <w:r w:rsidR="002B6650">
        <w:t xml:space="preserve">ed </w:t>
      </w:r>
      <w:r w:rsidR="00D43165">
        <w:t>to recognise that women subject to the EUSS are</w:t>
      </w:r>
      <w:r w:rsidR="002B6650">
        <w:t xml:space="preserve"> uniquely </w:t>
      </w:r>
      <w:r w:rsidR="002073F0">
        <w:t xml:space="preserve">vulnerable </w:t>
      </w:r>
      <w:r w:rsidR="002B6650">
        <w:t>b</w:t>
      </w:r>
      <w:r w:rsidR="006012F4">
        <w:t>ecause</w:t>
      </w:r>
      <w:r w:rsidR="002B6650">
        <w:t xml:space="preserve"> </w:t>
      </w:r>
      <w:r w:rsidR="006012F4">
        <w:t xml:space="preserve">of </w:t>
      </w:r>
      <w:r w:rsidR="002372BF">
        <w:t>intersectional</w:t>
      </w:r>
      <w:r w:rsidR="002073F0">
        <w:t>ity</w:t>
      </w:r>
      <w:r w:rsidR="002B6650">
        <w:t xml:space="preserve">. Within </w:t>
      </w:r>
      <w:r w:rsidR="003E49A9">
        <w:t>t</w:t>
      </w:r>
      <w:r w:rsidR="002D287D" w:rsidRPr="0048559C">
        <w:t xml:space="preserve">his </w:t>
      </w:r>
      <w:r w:rsidR="0073333B" w:rsidRPr="0048559C">
        <w:t>context</w:t>
      </w:r>
      <w:r w:rsidR="002B6650">
        <w:t xml:space="preserve">, </w:t>
      </w:r>
      <w:r w:rsidR="0073333B" w:rsidRPr="0048559C">
        <w:t xml:space="preserve">this paper makes its </w:t>
      </w:r>
      <w:r w:rsidR="002D287D" w:rsidRPr="0048559C">
        <w:t xml:space="preserve">wider </w:t>
      </w:r>
      <w:r w:rsidR="0073333B" w:rsidRPr="0048559C">
        <w:t>argument</w:t>
      </w:r>
      <w:r w:rsidR="00E374E2" w:rsidRPr="0048559C">
        <w:t xml:space="preserve"> about the intersectional effects of the </w:t>
      </w:r>
      <w:r w:rsidR="00BB0A90">
        <w:t xml:space="preserve">Appendix EU of the </w:t>
      </w:r>
      <w:r w:rsidR="00E374E2" w:rsidRPr="0048559C">
        <w:t>Immigration Rules</w:t>
      </w:r>
      <w:r w:rsidR="003E49A9">
        <w:t xml:space="preserve"> for immigrant women specifically</w:t>
      </w:r>
      <w:r w:rsidR="0073333B" w:rsidRPr="0048559C">
        <w:t>.</w:t>
      </w:r>
    </w:p>
    <w:p w14:paraId="5B85A41D" w14:textId="77777777" w:rsidR="0061492E" w:rsidRDefault="0061492E" w:rsidP="0061492E">
      <w:pPr>
        <w:spacing w:line="480" w:lineRule="auto"/>
      </w:pPr>
    </w:p>
    <w:p w14:paraId="289EE2A7" w14:textId="4C25A707" w:rsidR="0004016F" w:rsidRPr="0061492E" w:rsidRDefault="0077691A" w:rsidP="0061492E">
      <w:pPr>
        <w:pStyle w:val="ListParagraph"/>
        <w:numPr>
          <w:ilvl w:val="0"/>
          <w:numId w:val="11"/>
        </w:numPr>
        <w:spacing w:line="480" w:lineRule="auto"/>
        <w:rPr>
          <w:i/>
          <w:iCs/>
        </w:rPr>
      </w:pPr>
      <w:r w:rsidRPr="0061492E">
        <w:rPr>
          <w:i/>
          <w:iCs/>
        </w:rPr>
        <w:t>Intersectionality</w:t>
      </w:r>
    </w:p>
    <w:p w14:paraId="58832EB6" w14:textId="1368B0DB" w:rsidR="00194A1A" w:rsidRPr="0048559C" w:rsidRDefault="0004016F" w:rsidP="00C911B6">
      <w:pPr>
        <w:spacing w:line="480" w:lineRule="auto"/>
      </w:pPr>
      <w:r>
        <w:t>Intersectionality</w:t>
      </w:r>
      <w:r w:rsidR="00E374E2" w:rsidRPr="0048559C">
        <w:t xml:space="preserve">, pioneered by </w:t>
      </w:r>
      <w:proofErr w:type="spellStart"/>
      <w:r w:rsidR="00E374E2" w:rsidRPr="0048559C">
        <w:t>Kimberlé</w:t>
      </w:r>
      <w:proofErr w:type="spellEnd"/>
      <w:r w:rsidR="00E374E2" w:rsidRPr="0048559C">
        <w:t xml:space="preserve"> Crenshaw, is </w:t>
      </w:r>
      <w:r w:rsidR="00E44623">
        <w:t xml:space="preserve">one of </w:t>
      </w:r>
      <w:r w:rsidR="00E374E2" w:rsidRPr="0048559C">
        <w:t>the theoretical framework</w:t>
      </w:r>
      <w:r w:rsidR="00E44623">
        <w:t>s</w:t>
      </w:r>
      <w:r w:rsidR="00E374E2" w:rsidRPr="0048559C">
        <w:t xml:space="preserve"> applied to this paper</w:t>
      </w:r>
      <w:r w:rsidR="00194A1A">
        <w:t xml:space="preserve"> (1</w:t>
      </w:r>
      <w:r w:rsidR="00FB314A">
        <w:t>989</w:t>
      </w:r>
      <w:r w:rsidR="00194A1A">
        <w:t>)</w:t>
      </w:r>
      <w:r w:rsidR="00E374E2" w:rsidRPr="0048559C">
        <w:t>.</w:t>
      </w:r>
      <w:r w:rsidR="00194A1A" w:rsidRPr="0048559C">
        <w:t xml:space="preserve"> </w:t>
      </w:r>
      <w:r w:rsidR="00E33313" w:rsidRPr="0048559C">
        <w:t>I</w:t>
      </w:r>
      <w:r w:rsidR="0073333B" w:rsidRPr="0048559C">
        <w:t xml:space="preserve">t </w:t>
      </w:r>
      <w:r w:rsidR="00E33313" w:rsidRPr="0048559C">
        <w:t xml:space="preserve">is the lens within which to </w:t>
      </w:r>
      <w:r w:rsidR="0073333B" w:rsidRPr="0048559C">
        <w:t>examine</w:t>
      </w:r>
      <w:r w:rsidR="00E33313" w:rsidRPr="0048559C">
        <w:t xml:space="preserve"> </w:t>
      </w:r>
      <w:r w:rsidR="0073333B" w:rsidRPr="0048559C">
        <w:t>how the law operates to undermine immigrant women’s experiences</w:t>
      </w:r>
      <w:r w:rsidR="00EF17B4">
        <w:t xml:space="preserve"> as a specific category of its own</w:t>
      </w:r>
      <w:r w:rsidR="00D57796">
        <w:t xml:space="preserve"> in the context of a post-Brexit Britain</w:t>
      </w:r>
      <w:r w:rsidR="00660AF7" w:rsidRPr="0048559C">
        <w:t>.</w:t>
      </w:r>
      <w:r w:rsidR="00597DE4" w:rsidRPr="0048559C">
        <w:t xml:space="preserve"> </w:t>
      </w:r>
      <w:r w:rsidR="00EF17B4">
        <w:t>It is this which sets intersectionality as a theory apart from racism, xenophobia or sexism – all which could be argued to be relevant to immigrant women’s experiences in the UK in a post-Brexit Britain with the loss of the EU framework of rights.</w:t>
      </w:r>
      <w:r w:rsidR="00BB0A90">
        <w:t xml:space="preserve"> </w:t>
      </w:r>
      <w:r w:rsidR="00513855">
        <w:t>I</w:t>
      </w:r>
      <w:r w:rsidR="00BB0A90">
        <w:t xml:space="preserve">ntersectionality is </w:t>
      </w:r>
      <w:r w:rsidR="00513855">
        <w:t xml:space="preserve">instead </w:t>
      </w:r>
      <w:r w:rsidR="00BB0A90">
        <w:t xml:space="preserve">used to articulate the interaction, in this case, of xenophobia against immigrants </w:t>
      </w:r>
      <w:r w:rsidR="000C5850">
        <w:t>with</w:t>
      </w:r>
      <w:r w:rsidR="00BB0A90">
        <w:t xml:space="preserve"> </w:t>
      </w:r>
      <w:r w:rsidR="000C5850">
        <w:t>patriarchal oppression</w:t>
      </w:r>
      <w:r w:rsidR="00BB0A90">
        <w:t>.</w:t>
      </w:r>
      <w:r w:rsidR="00944B94">
        <w:t xml:space="preserve"> </w:t>
      </w:r>
      <w:r w:rsidR="00BB0A90">
        <w:t xml:space="preserve">It </w:t>
      </w:r>
      <w:r w:rsidR="00944B94">
        <w:t xml:space="preserve">is not </w:t>
      </w:r>
      <w:r w:rsidR="003E49A9">
        <w:t xml:space="preserve">simply </w:t>
      </w:r>
      <w:r w:rsidR="00944B94">
        <w:t xml:space="preserve">the addition of </w:t>
      </w:r>
      <w:r w:rsidR="00196BA5">
        <w:t>multiple</w:t>
      </w:r>
      <w:r w:rsidR="00944B94">
        <w:t xml:space="preserve"> </w:t>
      </w:r>
      <w:r w:rsidR="003E49A9">
        <w:t xml:space="preserve">layers of </w:t>
      </w:r>
      <w:r w:rsidR="00944B94">
        <w:t>vulnerabilit</w:t>
      </w:r>
      <w:r w:rsidR="003E49A9">
        <w:t>y</w:t>
      </w:r>
      <w:r w:rsidR="00202E2C">
        <w:t>, but rather t</w:t>
      </w:r>
      <w:r w:rsidR="00944B94">
        <w:t xml:space="preserve">he specific </w:t>
      </w:r>
      <w:r w:rsidR="00202E2C">
        <w:t xml:space="preserve">overall </w:t>
      </w:r>
      <w:r w:rsidR="00944B94">
        <w:t xml:space="preserve">experience of </w:t>
      </w:r>
      <w:r w:rsidR="00D602E7">
        <w:t xml:space="preserve">an </w:t>
      </w:r>
      <w:r w:rsidR="00944B94">
        <w:t>immigrant woman</w:t>
      </w:r>
      <w:r w:rsidR="00606178">
        <w:t xml:space="preserve"> applying to the EUSS in a post-Brexit </w:t>
      </w:r>
      <w:r w:rsidR="000C5850">
        <w:t>Britain</w:t>
      </w:r>
      <w:r w:rsidR="00944B94">
        <w:t xml:space="preserve">, </w:t>
      </w:r>
      <w:r w:rsidR="003E49A9">
        <w:t>who</w:t>
      </w:r>
      <w:r w:rsidR="00202E2C">
        <w:t xml:space="preserve">se </w:t>
      </w:r>
      <w:r w:rsidR="00D602E7">
        <w:t xml:space="preserve">oppression </w:t>
      </w:r>
      <w:r w:rsidR="003E49A9">
        <w:t xml:space="preserve">is due to </w:t>
      </w:r>
      <w:r w:rsidR="00BB0A90">
        <w:t xml:space="preserve">their </w:t>
      </w:r>
      <w:r w:rsidR="00D602E7">
        <w:t>‘intersecting subordinate identities’</w:t>
      </w:r>
      <w:r w:rsidR="00194A1A">
        <w:t xml:space="preserve"> (</w:t>
      </w:r>
      <w:proofErr w:type="spellStart"/>
      <w:r w:rsidR="00194A1A">
        <w:t>Carbado</w:t>
      </w:r>
      <w:proofErr w:type="spellEnd"/>
      <w:r w:rsidR="00194A1A">
        <w:t>, 2013)</w:t>
      </w:r>
      <w:r w:rsidR="00944B94">
        <w:t>.</w:t>
      </w:r>
      <w:r w:rsidR="00194A1A">
        <w:t xml:space="preserve"> </w:t>
      </w:r>
      <w:r w:rsidR="00BB0A90" w:rsidRPr="0048559C">
        <w:t>Gender is a contributing factor, but focus must also be on the problems raised by women</w:t>
      </w:r>
      <w:r w:rsidR="00BB0A90">
        <w:t xml:space="preserve"> who</w:t>
      </w:r>
      <w:r w:rsidR="00BB0A90" w:rsidRPr="0048559C">
        <w:t xml:space="preserve"> also hav</w:t>
      </w:r>
      <w:r w:rsidR="00BB0A90">
        <w:t xml:space="preserve">e </w:t>
      </w:r>
      <w:r w:rsidR="00E57261">
        <w:t xml:space="preserve">a </w:t>
      </w:r>
      <w:r w:rsidR="00BB0A90" w:rsidRPr="0048559C">
        <w:t>precarious immigration status</w:t>
      </w:r>
      <w:r w:rsidR="00DB4BB2">
        <w:t xml:space="preserve"> in the context of the new post-Brexit immigration regime</w:t>
      </w:r>
      <w:r w:rsidR="00BB0A90">
        <w:t xml:space="preserve">. </w:t>
      </w:r>
      <w:r w:rsidR="00E57261">
        <w:t xml:space="preserve">The </w:t>
      </w:r>
      <w:r w:rsidR="00BB0A90" w:rsidRPr="0048559C">
        <w:t>risk</w:t>
      </w:r>
      <w:r w:rsidR="00BB0A90">
        <w:t xml:space="preserve"> </w:t>
      </w:r>
      <w:r w:rsidR="00E57261">
        <w:t xml:space="preserve">is otherwise </w:t>
      </w:r>
      <w:r w:rsidR="00BB0A90">
        <w:t xml:space="preserve">of </w:t>
      </w:r>
      <w:r w:rsidR="00BB0A90" w:rsidRPr="0048559C">
        <w:t>ignoring a</w:t>
      </w:r>
      <w:r w:rsidR="00072AF8">
        <w:t>nother</w:t>
      </w:r>
      <w:r w:rsidR="00BB0A90" w:rsidRPr="0048559C">
        <w:t xml:space="preserve"> part of the population that is already marginalised</w:t>
      </w:r>
      <w:r w:rsidR="00072AF8">
        <w:t xml:space="preserve"> due to their gender, now also for their immigration status</w:t>
      </w:r>
      <w:r w:rsidR="00194A1A">
        <w:t xml:space="preserve"> (Crenshaw, 1989: 152)</w:t>
      </w:r>
      <w:r w:rsidR="00BB0A90" w:rsidRPr="0048559C">
        <w:t>.</w:t>
      </w:r>
    </w:p>
    <w:p w14:paraId="5B5145BB" w14:textId="77777777" w:rsidR="001050AF" w:rsidRPr="0048559C" w:rsidRDefault="001050AF" w:rsidP="00C911B6">
      <w:pPr>
        <w:spacing w:line="480" w:lineRule="auto"/>
      </w:pPr>
    </w:p>
    <w:p w14:paraId="6B05DAD0" w14:textId="32C48F85" w:rsidR="00D63EBD" w:rsidRDefault="0077691A" w:rsidP="00C911B6">
      <w:pPr>
        <w:spacing w:line="480" w:lineRule="auto"/>
      </w:pPr>
      <w:r>
        <w:t>I</w:t>
      </w:r>
      <w:r w:rsidRPr="0048559C">
        <w:t xml:space="preserve">ntersectional subordination could </w:t>
      </w:r>
      <w:r>
        <w:t xml:space="preserve">be said to </w:t>
      </w:r>
      <w:r w:rsidRPr="0048559C">
        <w:t xml:space="preserve">never have been the </w:t>
      </w:r>
      <w:r>
        <w:t>intention of the EUSS</w:t>
      </w:r>
      <w:r w:rsidRPr="0048559C">
        <w:t xml:space="preserve"> at the outset</w:t>
      </w:r>
      <w:r w:rsidR="0012568C">
        <w:t xml:space="preserve">. </w:t>
      </w:r>
      <w:r w:rsidR="00DB4BB2">
        <w:t>After all, t</w:t>
      </w:r>
      <w:r>
        <w:t xml:space="preserve">he Scheme </w:t>
      </w:r>
      <w:r w:rsidRPr="0048559C">
        <w:t xml:space="preserve">itself </w:t>
      </w:r>
      <w:r w:rsidR="0012568C">
        <w:t xml:space="preserve">is </w:t>
      </w:r>
      <w:r w:rsidRPr="0048559C">
        <w:t xml:space="preserve">an attempt to achieve formal legal equality </w:t>
      </w:r>
      <w:r w:rsidR="0012568C">
        <w:t xml:space="preserve">by </w:t>
      </w:r>
      <w:r w:rsidRPr="0048559C">
        <w:t xml:space="preserve">allowing </w:t>
      </w:r>
      <w:r>
        <w:t xml:space="preserve">a </w:t>
      </w:r>
      <w:r w:rsidRPr="0048559C">
        <w:t xml:space="preserve">perceived equal opportunity for all EU citizens </w:t>
      </w:r>
      <w:r>
        <w:t>and their qualifying</w:t>
      </w:r>
      <w:r w:rsidR="00DB4BB2">
        <w:t xml:space="preserve"> </w:t>
      </w:r>
      <w:r>
        <w:t>families</w:t>
      </w:r>
      <w:r w:rsidR="00DB4BB2">
        <w:t xml:space="preserve">, including non-EU citizens, </w:t>
      </w:r>
      <w:r w:rsidRPr="0048559C">
        <w:t>to apply to remain after Brexit.</w:t>
      </w:r>
      <w:r w:rsidR="008F3AEC">
        <w:t xml:space="preserve"> </w:t>
      </w:r>
      <w:r w:rsidR="00DB4BB2">
        <w:t>Problematically</w:t>
      </w:r>
      <w:r w:rsidR="008F3AEC">
        <w:t xml:space="preserve">, </w:t>
      </w:r>
      <w:r w:rsidR="00DB4BB2">
        <w:t xml:space="preserve">the argument here is that </w:t>
      </w:r>
      <w:r w:rsidR="008F3AEC">
        <w:t>th</w:t>
      </w:r>
      <w:r w:rsidR="00DB4BB2">
        <w:t xml:space="preserve">ese laws </w:t>
      </w:r>
      <w:r w:rsidR="00C47BC3">
        <w:t xml:space="preserve">in practice fail to achieve </w:t>
      </w:r>
      <w:r w:rsidR="008F3AEC">
        <w:t>substantive equality</w:t>
      </w:r>
      <w:r w:rsidR="00C47BC3">
        <w:t xml:space="preserve"> </w:t>
      </w:r>
      <w:r w:rsidR="008F2CB8">
        <w:t xml:space="preserve">and </w:t>
      </w:r>
      <w:r w:rsidR="00C47BC3">
        <w:t xml:space="preserve">are not solutions to the </w:t>
      </w:r>
      <w:r w:rsidR="008F3AEC">
        <w:t>inequalities faced by EU citizens</w:t>
      </w:r>
      <w:r w:rsidR="00155223">
        <w:t>, created by the UK’s withdrawal from the EU</w:t>
      </w:r>
      <w:r w:rsidR="008F3AEC">
        <w:t xml:space="preserve">. </w:t>
      </w:r>
      <w:r w:rsidR="000F52CD" w:rsidRPr="0048559C">
        <w:t xml:space="preserve">Crenshaw </w:t>
      </w:r>
      <w:r w:rsidR="00116577">
        <w:t>(199</w:t>
      </w:r>
      <w:r w:rsidR="00446577">
        <w:t>1</w:t>
      </w:r>
      <w:r w:rsidR="00116577">
        <w:t xml:space="preserve">: 1249) </w:t>
      </w:r>
      <w:r w:rsidR="00941B15" w:rsidRPr="0048559C">
        <w:t>clarifies</w:t>
      </w:r>
      <w:r w:rsidR="000F52CD" w:rsidRPr="0048559C">
        <w:t xml:space="preserve"> that ‘[</w:t>
      </w:r>
      <w:proofErr w:type="spellStart"/>
      <w:r w:rsidR="000F52CD" w:rsidRPr="0048559C">
        <w:t>i</w:t>
      </w:r>
      <w:proofErr w:type="spellEnd"/>
      <w:r w:rsidR="000F52CD" w:rsidRPr="0048559C">
        <w:t>]</w:t>
      </w:r>
      <w:proofErr w:type="spellStart"/>
      <w:r w:rsidR="000F52CD" w:rsidRPr="0048559C">
        <w:t>ntersectional</w:t>
      </w:r>
      <w:proofErr w:type="spellEnd"/>
      <w:r w:rsidR="000F52CD" w:rsidRPr="0048559C">
        <w:t xml:space="preserve"> subordination need not be intentionally produced; in fact, it is frequently the consequence of the imposition of one burden that interacts with </w:t>
      </w:r>
      <w:r w:rsidR="00177AC7" w:rsidRPr="0048559C">
        <w:t>pre-existing</w:t>
      </w:r>
      <w:r w:rsidR="000F52CD" w:rsidRPr="0048559C">
        <w:t xml:space="preserve"> vulnerabilities to create yet another dimension of disempowerment.’</w:t>
      </w:r>
      <w:r w:rsidR="00194A1A">
        <w:t xml:space="preserve"> </w:t>
      </w:r>
      <w:r w:rsidR="00C47BC3">
        <w:t xml:space="preserve">Nonetheless, </w:t>
      </w:r>
      <w:r w:rsidR="009D7153">
        <w:t>l</w:t>
      </w:r>
      <w:r w:rsidR="00387259">
        <w:t>o</w:t>
      </w:r>
      <w:r w:rsidR="00252A35">
        <w:t xml:space="preserve">oking to </w:t>
      </w:r>
      <w:r w:rsidR="00DA56B3">
        <w:t xml:space="preserve">its </w:t>
      </w:r>
      <w:r w:rsidR="004222D5">
        <w:t>form and substance as a constitutive system</w:t>
      </w:r>
      <w:r w:rsidR="00252A35">
        <w:t>,</w:t>
      </w:r>
      <w:r w:rsidR="00387259">
        <w:t xml:space="preserve"> </w:t>
      </w:r>
      <w:r w:rsidR="00196BA5">
        <w:t xml:space="preserve">in reality, </w:t>
      </w:r>
      <w:r w:rsidR="005E21DD">
        <w:t xml:space="preserve">the EUSS is </w:t>
      </w:r>
      <w:r w:rsidR="00C47BC3">
        <w:t xml:space="preserve">argued to be </w:t>
      </w:r>
      <w:r w:rsidR="005E21DD">
        <w:t>exclusionary by its very nature</w:t>
      </w:r>
      <w:r w:rsidR="00917A4C">
        <w:t>.</w:t>
      </w:r>
      <w:r w:rsidR="00D529B6">
        <w:t xml:space="preserve"> It</w:t>
      </w:r>
      <w:r w:rsidR="005E21DD">
        <w:t xml:space="preserve"> </w:t>
      </w:r>
      <w:r w:rsidR="00252A35">
        <w:t xml:space="preserve">operates </w:t>
      </w:r>
      <w:r w:rsidR="00196BA5">
        <w:t xml:space="preserve">as part </w:t>
      </w:r>
      <w:r w:rsidR="00917A4C">
        <w:t xml:space="preserve">and parcel </w:t>
      </w:r>
      <w:r w:rsidR="00196BA5">
        <w:t>of the hostile environment</w:t>
      </w:r>
      <w:r w:rsidR="005E21DD">
        <w:t xml:space="preserve"> </w:t>
      </w:r>
      <w:r w:rsidR="00917A4C">
        <w:t xml:space="preserve">policy in </w:t>
      </w:r>
      <w:r w:rsidR="005E21DD">
        <w:t xml:space="preserve">domestic </w:t>
      </w:r>
      <w:r w:rsidR="00917A4C">
        <w:t xml:space="preserve">UK </w:t>
      </w:r>
      <w:r w:rsidR="005E21DD">
        <w:t>immigration law</w:t>
      </w:r>
      <w:r w:rsidR="00194A1A">
        <w:t xml:space="preserve"> (</w:t>
      </w:r>
      <w:proofErr w:type="spellStart"/>
      <w:r w:rsidR="00194A1A">
        <w:t>Kirkup</w:t>
      </w:r>
      <w:proofErr w:type="spellEnd"/>
      <w:r w:rsidR="00194A1A">
        <w:t xml:space="preserve"> and </w:t>
      </w:r>
      <w:proofErr w:type="spellStart"/>
      <w:r w:rsidR="00194A1A">
        <w:t>Winnett</w:t>
      </w:r>
      <w:proofErr w:type="spellEnd"/>
      <w:r w:rsidR="00194A1A">
        <w:t>, 2012)</w:t>
      </w:r>
      <w:r w:rsidR="00917A4C">
        <w:t>,</w:t>
      </w:r>
      <w:r w:rsidR="00194A1A">
        <w:t xml:space="preserve"> </w:t>
      </w:r>
      <w:r w:rsidR="00917A4C">
        <w:t xml:space="preserve">which has at its heart the intention of </w:t>
      </w:r>
      <w:r w:rsidR="00194A1A">
        <w:t>exclusion (</w:t>
      </w:r>
      <w:proofErr w:type="spellStart"/>
      <w:r w:rsidR="00194A1A">
        <w:t>Joppke</w:t>
      </w:r>
      <w:proofErr w:type="spellEnd"/>
      <w:r w:rsidR="00194A1A">
        <w:t>, 1998)</w:t>
      </w:r>
      <w:r w:rsidR="0012568C">
        <w:t>.</w:t>
      </w:r>
      <w:r w:rsidR="00194A1A">
        <w:t xml:space="preserve"> </w:t>
      </w:r>
      <w:r w:rsidR="00917A4C">
        <w:t>In this vein, it is unsurprising that t</w:t>
      </w:r>
      <w:r w:rsidR="0093155F">
        <w:t>he EUSS</w:t>
      </w:r>
      <w:r w:rsidR="00196BA5">
        <w:t xml:space="preserve"> </w:t>
      </w:r>
      <w:r w:rsidR="008770F0">
        <w:t xml:space="preserve">criteria </w:t>
      </w:r>
      <w:r w:rsidR="00430301">
        <w:t xml:space="preserve">themselves </w:t>
      </w:r>
      <w:r w:rsidR="00917A4C">
        <w:t xml:space="preserve">put </w:t>
      </w:r>
      <w:r w:rsidR="008770F0">
        <w:t>vulnerable women who are victims of VAWG</w:t>
      </w:r>
      <w:r w:rsidR="00196BA5">
        <w:t xml:space="preserve"> and/</w:t>
      </w:r>
      <w:r w:rsidR="008770F0">
        <w:t>or NEFM</w:t>
      </w:r>
      <w:r w:rsidR="00917A4C">
        <w:t xml:space="preserve"> at a disadvantage.</w:t>
      </w:r>
      <w:r w:rsidR="009D7153">
        <w:t xml:space="preserve"> </w:t>
      </w:r>
      <w:r w:rsidR="00917A4C">
        <w:t xml:space="preserve">For this </w:t>
      </w:r>
      <w:r w:rsidR="0012568C">
        <w:t>reason</w:t>
      </w:r>
      <w:r w:rsidR="00917A4C">
        <w:t xml:space="preserve">, </w:t>
      </w:r>
      <w:r w:rsidR="0012568C">
        <w:t xml:space="preserve">the claim made here is that </w:t>
      </w:r>
      <w:r w:rsidR="00196BA5">
        <w:t>s</w:t>
      </w:r>
      <w:r w:rsidR="00590F2D" w:rsidRPr="0048559C">
        <w:t xml:space="preserve">ubstantive equality </w:t>
      </w:r>
      <w:r w:rsidR="005A5954">
        <w:t xml:space="preserve">is </w:t>
      </w:r>
      <w:r w:rsidR="004B2918" w:rsidRPr="0048559C">
        <w:t xml:space="preserve">not </w:t>
      </w:r>
      <w:r w:rsidR="00590F2D" w:rsidRPr="0048559C">
        <w:t>achieved</w:t>
      </w:r>
      <w:r w:rsidR="005A5954">
        <w:t xml:space="preserve"> </w:t>
      </w:r>
      <w:r w:rsidR="0061263A">
        <w:t xml:space="preserve">in reality </w:t>
      </w:r>
      <w:r w:rsidR="005A5954">
        <w:t xml:space="preserve">with the way the </w:t>
      </w:r>
      <w:r w:rsidR="005A5954" w:rsidRPr="0048559C">
        <w:t xml:space="preserve">law </w:t>
      </w:r>
      <w:r w:rsidR="005A5954">
        <w:t xml:space="preserve">is </w:t>
      </w:r>
      <w:r w:rsidR="005A5954" w:rsidRPr="0048559C">
        <w:t>appli</w:t>
      </w:r>
      <w:r w:rsidR="005A5954">
        <w:t>ed</w:t>
      </w:r>
      <w:r w:rsidR="008F3AEC">
        <w:t xml:space="preserve"> to these women</w:t>
      </w:r>
      <w:r w:rsidR="00D529B6">
        <w:t xml:space="preserve"> </w:t>
      </w:r>
      <w:r w:rsidR="004D6D82">
        <w:t>in particular</w:t>
      </w:r>
      <w:r w:rsidR="00194A1A">
        <w:t xml:space="preserve"> (</w:t>
      </w:r>
      <w:proofErr w:type="spellStart"/>
      <w:r w:rsidR="00194A1A">
        <w:t>Spijkerboer</w:t>
      </w:r>
      <w:proofErr w:type="spellEnd"/>
      <w:r w:rsidR="00194A1A">
        <w:t xml:space="preserve"> &amp; Van </w:t>
      </w:r>
      <w:proofErr w:type="spellStart"/>
      <w:r w:rsidR="00194A1A">
        <w:t>Walsum</w:t>
      </w:r>
      <w:proofErr w:type="spellEnd"/>
      <w:r w:rsidR="00FB314A">
        <w:t>,</w:t>
      </w:r>
      <w:r w:rsidR="00194A1A">
        <w:t xml:space="preserve"> 2007: 3)</w:t>
      </w:r>
      <w:r w:rsidR="00590F2D" w:rsidRPr="0048559C">
        <w:t>.</w:t>
      </w:r>
      <w:r w:rsidR="00194A1A" w:rsidRPr="0048559C">
        <w:t xml:space="preserve"> </w:t>
      </w:r>
      <w:r w:rsidR="00D57E30" w:rsidRPr="0048559C">
        <w:t xml:space="preserve">In fact, </w:t>
      </w:r>
      <w:r w:rsidR="00941B15" w:rsidRPr="0048559C">
        <w:t>problematically</w:t>
      </w:r>
      <w:r w:rsidR="00387259">
        <w:t xml:space="preserve">, </w:t>
      </w:r>
      <w:r w:rsidR="00D57E30" w:rsidRPr="0048559C">
        <w:t xml:space="preserve">formal equality </w:t>
      </w:r>
      <w:r w:rsidR="00196BA5">
        <w:t xml:space="preserve">under the EUSS </w:t>
      </w:r>
      <w:r w:rsidR="00D57E30" w:rsidRPr="0048559C">
        <w:t>privileg</w:t>
      </w:r>
      <w:r w:rsidR="009D7153">
        <w:t xml:space="preserve">es </w:t>
      </w:r>
      <w:r w:rsidR="00D57E30" w:rsidRPr="0048559C">
        <w:t xml:space="preserve">the privileged </w:t>
      </w:r>
      <w:r w:rsidR="00196BA5">
        <w:t xml:space="preserve">and </w:t>
      </w:r>
      <w:r w:rsidR="00D57E30" w:rsidRPr="0048559C">
        <w:t>fail</w:t>
      </w:r>
      <w:r w:rsidR="009D7153">
        <w:t xml:space="preserve">s </w:t>
      </w:r>
      <w:r w:rsidR="00D57E30" w:rsidRPr="0048559C">
        <w:t xml:space="preserve">to address the structural inequalities in society </w:t>
      </w:r>
      <w:r w:rsidR="00196BA5">
        <w:t xml:space="preserve">that </w:t>
      </w:r>
      <w:r w:rsidR="00D57E30" w:rsidRPr="0048559C">
        <w:t xml:space="preserve">oppress </w:t>
      </w:r>
      <w:r w:rsidR="00252A35">
        <w:t xml:space="preserve">already vulnerable </w:t>
      </w:r>
      <w:r w:rsidR="00D57E30" w:rsidRPr="0048559C">
        <w:t xml:space="preserve">women </w:t>
      </w:r>
      <w:r w:rsidR="00D71C5B" w:rsidRPr="0048559C">
        <w:t xml:space="preserve">who </w:t>
      </w:r>
      <w:r w:rsidR="00524577" w:rsidRPr="0048559C">
        <w:t xml:space="preserve">are </w:t>
      </w:r>
      <w:r w:rsidR="00EC4E61">
        <w:t>subordinated</w:t>
      </w:r>
      <w:r w:rsidR="00D57E30" w:rsidRPr="0048559C">
        <w:t xml:space="preserve"> </w:t>
      </w:r>
      <w:r w:rsidR="00D71C5B" w:rsidRPr="0048559C">
        <w:t xml:space="preserve">because of </w:t>
      </w:r>
      <w:r w:rsidR="00D57E30" w:rsidRPr="0048559C">
        <w:t>intersecti</w:t>
      </w:r>
      <w:r w:rsidR="00EC4E61">
        <w:t xml:space="preserve">ng </w:t>
      </w:r>
      <w:r w:rsidR="00D57E30" w:rsidRPr="0048559C">
        <w:t>characteristics</w:t>
      </w:r>
      <w:r w:rsidR="001D7950">
        <w:t>.</w:t>
      </w:r>
    </w:p>
    <w:p w14:paraId="65FA512F" w14:textId="77777777" w:rsidR="00387259" w:rsidRDefault="00387259" w:rsidP="00D63EBD">
      <w:pPr>
        <w:spacing w:line="480" w:lineRule="auto"/>
      </w:pPr>
    </w:p>
    <w:p w14:paraId="1E31BFD4" w14:textId="65ACC5D4" w:rsidR="00DB123F" w:rsidRDefault="00CA7E62" w:rsidP="00C911B6">
      <w:pPr>
        <w:spacing w:line="480" w:lineRule="auto"/>
      </w:pPr>
      <w:r>
        <w:t xml:space="preserve">This intersectional oppression can be seen </w:t>
      </w:r>
      <w:r w:rsidR="007172C4">
        <w:t xml:space="preserve">in the </w:t>
      </w:r>
      <w:r>
        <w:t xml:space="preserve">data, or </w:t>
      </w:r>
      <w:r w:rsidR="007172C4">
        <w:t xml:space="preserve">more importantly, in </w:t>
      </w:r>
      <w:r>
        <w:t xml:space="preserve">lack thereof. </w:t>
      </w:r>
      <w:r w:rsidR="00155223">
        <w:t>As mentioned, t</w:t>
      </w:r>
      <w:r w:rsidR="00D63EBD" w:rsidRPr="0048559C">
        <w:t>here</w:t>
      </w:r>
      <w:r w:rsidR="005F5955">
        <w:t xml:space="preserve"> i</w:t>
      </w:r>
      <w:r w:rsidR="00D63EBD" w:rsidRPr="0048559C">
        <w:t xml:space="preserve">s a noticeable data gap for statistics relating to outcomes for female applicants to </w:t>
      </w:r>
      <w:r w:rsidR="00BA6BFE">
        <w:t xml:space="preserve">the </w:t>
      </w:r>
      <w:r w:rsidR="00D63EBD" w:rsidRPr="0048559C">
        <w:t>EUSS</w:t>
      </w:r>
      <w:r w:rsidR="007172C4">
        <w:t xml:space="preserve"> making a thorough empirical analysis extremely difficult</w:t>
      </w:r>
      <w:r w:rsidR="00C3552E">
        <w:t>. Q</w:t>
      </w:r>
      <w:r w:rsidR="005F5955" w:rsidRPr="0048559C">
        <w:t xml:space="preserve">uarterly statistics published </w:t>
      </w:r>
      <w:r w:rsidR="005F5955">
        <w:t>by the Home Office provide</w:t>
      </w:r>
      <w:r w:rsidR="005F5955" w:rsidRPr="0048559C">
        <w:t xml:space="preserve"> a breakdown </w:t>
      </w:r>
      <w:r w:rsidR="005F5955">
        <w:t xml:space="preserve">of applications </w:t>
      </w:r>
      <w:r w:rsidR="005F5955" w:rsidRPr="0048559C">
        <w:t>by UK country, age, nationality and even applications by local authority – but not by gender</w:t>
      </w:r>
      <w:r w:rsidR="00540230">
        <w:t xml:space="preserve"> (</w:t>
      </w:r>
      <w:r w:rsidR="00540230" w:rsidRPr="009F166D">
        <w:t>Home Office, 2021</w:t>
      </w:r>
      <w:r w:rsidR="00116577" w:rsidRPr="009F166D">
        <w:t>b</w:t>
      </w:r>
      <w:r w:rsidR="00540230" w:rsidRPr="009F166D">
        <w:t>)</w:t>
      </w:r>
      <w:r w:rsidR="005F5955" w:rsidRPr="009F166D">
        <w:t>.</w:t>
      </w:r>
      <w:r w:rsidR="009F32F4" w:rsidRPr="009F166D">
        <w:t xml:space="preserve"> </w:t>
      </w:r>
      <w:r w:rsidR="005F5955" w:rsidRPr="009F166D">
        <w:t>This</w:t>
      </w:r>
      <w:r w:rsidR="005F5955" w:rsidRPr="0048559C">
        <w:t xml:space="preserve"> omission obscures what would be starker evidence that there is indeed a gender disparity in the effective functioning of the EUSS.</w:t>
      </w:r>
      <w:r w:rsidR="003D08BE">
        <w:t xml:space="preserve"> Moreover, </w:t>
      </w:r>
      <w:r w:rsidR="00373E60">
        <w:t xml:space="preserve">only </w:t>
      </w:r>
      <w:r w:rsidR="003D08BE">
        <w:t>s</w:t>
      </w:r>
      <w:r w:rsidR="00965FD7">
        <w:t>ince June 2020</w:t>
      </w:r>
      <w:r w:rsidR="00373E60">
        <w:t xml:space="preserve"> </w:t>
      </w:r>
      <w:r w:rsidR="007172C4">
        <w:t xml:space="preserve">have </w:t>
      </w:r>
      <w:r w:rsidR="006C18B0">
        <w:t>paper</w:t>
      </w:r>
      <w:r w:rsidR="003D08BE">
        <w:t xml:space="preserve">-based </w:t>
      </w:r>
      <w:r w:rsidR="00965FD7">
        <w:t>applications</w:t>
      </w:r>
      <w:r w:rsidR="006C18B0">
        <w:t xml:space="preserve"> </w:t>
      </w:r>
      <w:r w:rsidR="007172C4">
        <w:t xml:space="preserve">been </w:t>
      </w:r>
      <w:r w:rsidR="006C18B0">
        <w:t xml:space="preserve">included in </w:t>
      </w:r>
      <w:r w:rsidR="00965FD7">
        <w:t>published statistics on the EUSS</w:t>
      </w:r>
      <w:r w:rsidR="00052AC6">
        <w:t xml:space="preserve">. Paper-based applications, </w:t>
      </w:r>
      <w:r w:rsidR="00E50833">
        <w:t xml:space="preserve">required for </w:t>
      </w:r>
      <w:r w:rsidR="00373E60">
        <w:t>three exceptional categories of applicant</w:t>
      </w:r>
      <w:r w:rsidR="007172C4">
        <w:t xml:space="preserve"> </w:t>
      </w:r>
      <w:r w:rsidR="007172C4">
        <w:lastRenderedPageBreak/>
        <w:t xml:space="preserve">– those unable to access the online application, those who do not have ID, and derivative rights holders (NEFMs) – </w:t>
      </w:r>
      <w:r w:rsidR="00E50833">
        <w:t>is</w:t>
      </w:r>
      <w:r w:rsidR="000653D9">
        <w:t xml:space="preserve"> a group</w:t>
      </w:r>
      <w:r w:rsidR="00E50833">
        <w:t xml:space="preserve"> </w:t>
      </w:r>
      <w:r w:rsidR="00172279">
        <w:t>disproportionately overrepresented by women</w:t>
      </w:r>
      <w:r w:rsidR="00C14CFC">
        <w:t>. V</w:t>
      </w:r>
      <w:r w:rsidR="00342EBC">
        <w:t xml:space="preserve">ictims of VAWG </w:t>
      </w:r>
      <w:r w:rsidR="00466F12">
        <w:t xml:space="preserve">are </w:t>
      </w:r>
      <w:r w:rsidR="005F1434">
        <w:t>more</w:t>
      </w:r>
      <w:r w:rsidR="00342EBC">
        <w:t xml:space="preserve"> likely not to have ID or be able to access an online application and </w:t>
      </w:r>
      <w:r w:rsidR="001365A6">
        <w:t>NEFMs</w:t>
      </w:r>
      <w:r w:rsidR="00501064">
        <w:t xml:space="preserve"> </w:t>
      </w:r>
      <w:r w:rsidR="00342EBC">
        <w:t>mak</w:t>
      </w:r>
      <w:r w:rsidR="009003D0">
        <w:t>e</w:t>
      </w:r>
      <w:r w:rsidR="00342EBC">
        <w:t xml:space="preserve"> up the entire third category</w:t>
      </w:r>
      <w:r w:rsidR="0034310A">
        <w:t>.</w:t>
      </w:r>
      <w:r w:rsidR="008F2CB8">
        <w:rPr>
          <w:rStyle w:val="FootnoteReference"/>
        </w:rPr>
        <w:t xml:space="preserve"> </w:t>
      </w:r>
      <w:r w:rsidR="00466F12">
        <w:t>Both victims of VAWG and NEFMs’</w:t>
      </w:r>
      <w:r w:rsidR="00373E60">
        <w:t xml:space="preserve"> late </w:t>
      </w:r>
      <w:r w:rsidR="00E00045">
        <w:t xml:space="preserve">consideration </w:t>
      </w:r>
      <w:r w:rsidR="00373E60">
        <w:t xml:space="preserve">in the </w:t>
      </w:r>
      <w:r w:rsidR="00C8568B">
        <w:t xml:space="preserve">published </w:t>
      </w:r>
      <w:r w:rsidR="00373E60">
        <w:t>statistics</w:t>
      </w:r>
      <w:r w:rsidR="00466F12">
        <w:t>,</w:t>
      </w:r>
      <w:r w:rsidR="00C03FB9">
        <w:t xml:space="preserve"> as well as </w:t>
      </w:r>
      <w:r w:rsidR="00172279">
        <w:t xml:space="preserve">under the </w:t>
      </w:r>
      <w:r w:rsidR="00C03FB9">
        <w:t xml:space="preserve">eligibility </w:t>
      </w:r>
      <w:r w:rsidR="00172279">
        <w:t xml:space="preserve">criteria </w:t>
      </w:r>
      <w:r w:rsidR="00627069">
        <w:t>themselves</w:t>
      </w:r>
      <w:r w:rsidR="009F32F4">
        <w:t xml:space="preserve"> (Home Office, </w:t>
      </w:r>
      <w:r w:rsidR="009F32F4" w:rsidRPr="00116577">
        <w:t>2019</w:t>
      </w:r>
      <w:r w:rsidR="009F32F4">
        <w:t>)</w:t>
      </w:r>
      <w:r w:rsidR="00466F12">
        <w:t>,</w:t>
      </w:r>
      <w:r w:rsidR="00E50833">
        <w:rPr>
          <w:rStyle w:val="FootnoteReference"/>
        </w:rPr>
        <w:footnoteReference w:id="12"/>
      </w:r>
      <w:r w:rsidR="00627069">
        <w:t xml:space="preserve"> </w:t>
      </w:r>
      <w:r w:rsidR="00C03FB9">
        <w:t xml:space="preserve">exemplifies how an </w:t>
      </w:r>
      <w:r w:rsidR="00373E60">
        <w:t>immigrant women’s experience</w:t>
      </w:r>
      <w:r w:rsidR="00C3552E">
        <w:t>s</w:t>
      </w:r>
      <w:r w:rsidR="00373E60">
        <w:t xml:space="preserve"> of the EUSS</w:t>
      </w:r>
      <w:r w:rsidR="00C8568B">
        <w:t xml:space="preserve"> </w:t>
      </w:r>
      <w:r w:rsidR="00C03FB9">
        <w:t xml:space="preserve">has been </w:t>
      </w:r>
      <w:r w:rsidR="00627069">
        <w:t xml:space="preserve">relegated </w:t>
      </w:r>
      <w:r w:rsidR="00342EBC">
        <w:t>to</w:t>
      </w:r>
      <w:r w:rsidR="00627069">
        <w:t xml:space="preserve"> secondary </w:t>
      </w:r>
      <w:r w:rsidR="007172C4">
        <w:t>f</w:t>
      </w:r>
      <w:r w:rsidR="00B03BEC">
        <w:t>irstl</w:t>
      </w:r>
      <w:r w:rsidR="009E2FEE">
        <w:t>y,</w:t>
      </w:r>
      <w:r w:rsidR="007172C4">
        <w:t xml:space="preserve"> by</w:t>
      </w:r>
      <w:r w:rsidR="009E3B4B">
        <w:t xml:space="preserve"> being </w:t>
      </w:r>
      <w:r w:rsidR="00E50833">
        <w:t xml:space="preserve">forced to </w:t>
      </w:r>
      <w:r w:rsidR="00627069">
        <w:t xml:space="preserve">apply </w:t>
      </w:r>
      <w:r w:rsidR="00E50833">
        <w:t>by pape</w:t>
      </w:r>
      <w:r w:rsidR="009E2FEE">
        <w:t>r;</w:t>
      </w:r>
      <w:r w:rsidR="00E50833">
        <w:t xml:space="preserve"> </w:t>
      </w:r>
      <w:r w:rsidR="00B03BEC">
        <w:t>secondly</w:t>
      </w:r>
      <w:r w:rsidR="009E2FEE">
        <w:t>,</w:t>
      </w:r>
      <w:r w:rsidR="00B03BEC">
        <w:t xml:space="preserve"> </w:t>
      </w:r>
      <w:r w:rsidR="009E3B4B">
        <w:t xml:space="preserve">through </w:t>
      </w:r>
      <w:r w:rsidR="00627069">
        <w:t xml:space="preserve">the failure </w:t>
      </w:r>
      <w:r w:rsidR="00C8568B">
        <w:t xml:space="preserve">to acknowledge </w:t>
      </w:r>
      <w:r w:rsidR="00C03FB9">
        <w:t>their rights at all early on</w:t>
      </w:r>
      <w:r w:rsidR="009E2FEE">
        <w:t xml:space="preserve">; </w:t>
      </w:r>
      <w:r w:rsidR="00627069">
        <w:t xml:space="preserve">and </w:t>
      </w:r>
      <w:r w:rsidR="00DB123F">
        <w:t>more significant recently</w:t>
      </w:r>
      <w:r w:rsidR="00B03BEC">
        <w:t xml:space="preserve"> and thirdly</w:t>
      </w:r>
      <w:r w:rsidR="00C03FB9">
        <w:t xml:space="preserve">, </w:t>
      </w:r>
      <w:r w:rsidR="007172C4">
        <w:t xml:space="preserve">through </w:t>
      </w:r>
      <w:r w:rsidR="00C03FB9">
        <w:t>mass</w:t>
      </w:r>
      <w:r w:rsidR="00DB123F">
        <w:t xml:space="preserve"> aggregation </w:t>
      </w:r>
      <w:r w:rsidR="00C03FB9">
        <w:t xml:space="preserve">of numbers of paper-based applications </w:t>
      </w:r>
      <w:r w:rsidR="00DB123F">
        <w:t xml:space="preserve">into the main </w:t>
      </w:r>
      <w:r w:rsidR="00451EA1">
        <w:t xml:space="preserve">dataset </w:t>
      </w:r>
      <w:r w:rsidR="00A61342">
        <w:t>of applications</w:t>
      </w:r>
      <w:r w:rsidR="00DB123F">
        <w:t>.</w:t>
      </w:r>
    </w:p>
    <w:p w14:paraId="06B5C518" w14:textId="77777777" w:rsidR="00DB123F" w:rsidRDefault="00DB123F" w:rsidP="00C911B6">
      <w:pPr>
        <w:spacing w:line="480" w:lineRule="auto"/>
      </w:pPr>
    </w:p>
    <w:p w14:paraId="57E1FE25" w14:textId="17415FAA" w:rsidR="00C03FB9" w:rsidRDefault="0093187D" w:rsidP="00C911B6">
      <w:pPr>
        <w:spacing w:line="480" w:lineRule="auto"/>
      </w:pPr>
      <w:r>
        <w:t xml:space="preserve">Exact </w:t>
      </w:r>
      <w:r w:rsidR="003D08BE">
        <w:t xml:space="preserve">disaggregated numbers of paper-based vs online applications </w:t>
      </w:r>
      <w:r w:rsidR="003E3731">
        <w:t xml:space="preserve">were fairly </w:t>
      </w:r>
      <w:r w:rsidR="003D08BE">
        <w:t>elusive</w:t>
      </w:r>
      <w:r w:rsidR="00C8568B">
        <w:t xml:space="preserve"> until </w:t>
      </w:r>
      <w:r w:rsidR="00482915">
        <w:t>a</w:t>
      </w:r>
      <w:r w:rsidR="003E3731">
        <w:t xml:space="preserve"> Freedom of Information (FOI) </w:t>
      </w:r>
      <w:r w:rsidR="00482915">
        <w:t>request</w:t>
      </w:r>
      <w:r w:rsidR="005E0948">
        <w:t xml:space="preserve"> </w:t>
      </w:r>
      <w:r w:rsidR="00482915">
        <w:t>by Barnard and Costello</w:t>
      </w:r>
      <w:r w:rsidR="009F32F4">
        <w:t xml:space="preserve"> (2021)</w:t>
      </w:r>
      <w:r w:rsidR="003D08BE">
        <w:t>.</w:t>
      </w:r>
      <w:r w:rsidR="009F32F4">
        <w:t xml:space="preserve"> </w:t>
      </w:r>
      <w:r w:rsidR="00EF3D47">
        <w:t>Aside from this, w</w:t>
      </w:r>
      <w:r w:rsidR="00434D83">
        <w:t>hilst data is available on the number of applications made under the derivative rights route</w:t>
      </w:r>
      <w:r w:rsidR="00DE639F">
        <w:t xml:space="preserve"> in quarterly statistics</w:t>
      </w:r>
      <w:r w:rsidR="00434D83">
        <w:t xml:space="preserve">, none </w:t>
      </w:r>
      <w:r w:rsidR="00482915">
        <w:t>are</w:t>
      </w:r>
      <w:r w:rsidR="00DE639F">
        <w:t xml:space="preserve"> now</w:t>
      </w:r>
      <w:r w:rsidR="00482915">
        <w:t xml:space="preserve"> </w:t>
      </w:r>
      <w:r w:rsidR="00434D83">
        <w:t xml:space="preserve">available on the other paper-based application categories, </w:t>
      </w:r>
      <w:r w:rsidR="00DE639F">
        <w:t xml:space="preserve">obscuring </w:t>
      </w:r>
      <w:r w:rsidR="00132F3F">
        <w:t xml:space="preserve">the </w:t>
      </w:r>
      <w:r w:rsidR="00434D83">
        <w:t xml:space="preserve">numbers </w:t>
      </w:r>
      <w:r w:rsidR="00797F1D">
        <w:t xml:space="preserve">of those </w:t>
      </w:r>
      <w:r w:rsidR="00DB123F">
        <w:t xml:space="preserve">having to </w:t>
      </w:r>
      <w:r w:rsidR="00132F3F">
        <w:t xml:space="preserve">applying to the Scheme </w:t>
      </w:r>
      <w:r w:rsidR="00DB123F">
        <w:t xml:space="preserve">through </w:t>
      </w:r>
      <w:r w:rsidR="00132F3F">
        <w:t>these exceptional routes</w:t>
      </w:r>
      <w:r w:rsidR="002F6FFB">
        <w:t xml:space="preserve">. </w:t>
      </w:r>
      <w:r w:rsidR="005E0948">
        <w:t>M</w:t>
      </w:r>
      <w:r w:rsidR="00132F3F">
        <w:t>ore importantly,</w:t>
      </w:r>
      <w:r w:rsidR="002F6FFB">
        <w:t xml:space="preserve"> </w:t>
      </w:r>
      <w:r w:rsidR="005E0948">
        <w:t xml:space="preserve">however, </w:t>
      </w:r>
      <w:r w:rsidR="00EF3D47">
        <w:t>the published available data</w:t>
      </w:r>
      <w:r w:rsidR="002F6FFB">
        <w:t xml:space="preserve"> </w:t>
      </w:r>
      <w:r w:rsidR="00EF3D47">
        <w:t xml:space="preserve">now </w:t>
      </w:r>
      <w:r w:rsidR="00797F1D">
        <w:t xml:space="preserve">also does not </w:t>
      </w:r>
      <w:r w:rsidR="00132F3F">
        <w:t>provid</w:t>
      </w:r>
      <w:r w:rsidR="002F6FFB">
        <w:t>e</w:t>
      </w:r>
      <w:r w:rsidR="00EF3D47">
        <w:t xml:space="preserve">s </w:t>
      </w:r>
      <w:r w:rsidR="00797F1D">
        <w:t xml:space="preserve">any </w:t>
      </w:r>
      <w:r w:rsidR="00132F3F">
        <w:t>indication of the rates of success of a paper-based vs online application</w:t>
      </w:r>
      <w:r w:rsidR="00434D83">
        <w:t>. O</w:t>
      </w:r>
      <w:r>
        <w:t>n</w:t>
      </w:r>
      <w:r w:rsidR="00434D83">
        <w:t xml:space="preserve"> the website for</w:t>
      </w:r>
      <w:r>
        <w:t xml:space="preserve"> </w:t>
      </w:r>
      <w:r w:rsidR="0034310A">
        <w:t xml:space="preserve">statistics </w:t>
      </w:r>
      <w:r>
        <w:t xml:space="preserve">for </w:t>
      </w:r>
      <w:r w:rsidR="0034310A">
        <w:t xml:space="preserve">June 2020 </w:t>
      </w:r>
      <w:r>
        <w:t xml:space="preserve">(the first time </w:t>
      </w:r>
      <w:r w:rsidR="0034310A">
        <w:t>paper-based applications were counted</w:t>
      </w:r>
      <w:r>
        <w:t>)</w:t>
      </w:r>
      <w:r w:rsidR="0034310A">
        <w:t>, a statement reads</w:t>
      </w:r>
      <w:r w:rsidR="00402170">
        <w:t>:</w:t>
      </w:r>
    </w:p>
    <w:p w14:paraId="06789DCE" w14:textId="219B5A37" w:rsidR="00B236AC" w:rsidRDefault="006C18B0" w:rsidP="00402170">
      <w:pPr>
        <w:tabs>
          <w:tab w:val="left" w:pos="284"/>
        </w:tabs>
        <w:spacing w:line="480" w:lineRule="auto"/>
        <w:ind w:left="426" w:right="515"/>
      </w:pPr>
      <w:r w:rsidRPr="006C18B0">
        <w:t>Revisions have been made to the entire back series of monthly and quarterly figures to account for the 10,000 paper applications made to the EU Settlement Scheme through to 30 June 2020, providing a more comprehensive picture of EUSS applications received.</w:t>
      </w:r>
      <w:r w:rsidR="00B236AC">
        <w:t xml:space="preserve"> (Home Office, 2020</w:t>
      </w:r>
      <w:r w:rsidR="006B6F9B">
        <w:t>c</w:t>
      </w:r>
      <w:r w:rsidR="00B236AC">
        <w:t>)</w:t>
      </w:r>
    </w:p>
    <w:p w14:paraId="3E4942F2" w14:textId="3638511C" w:rsidR="005A6136" w:rsidRDefault="002F6FFB" w:rsidP="00C911B6">
      <w:pPr>
        <w:spacing w:line="480" w:lineRule="auto"/>
      </w:pPr>
      <w:r>
        <w:t xml:space="preserve">These revisions have had the effect of making </w:t>
      </w:r>
      <w:r w:rsidR="00434D83">
        <w:t xml:space="preserve">a direct comparison </w:t>
      </w:r>
      <w:r>
        <w:t xml:space="preserve">impossible </w:t>
      </w:r>
      <w:r w:rsidR="009003D0">
        <w:t xml:space="preserve">now </w:t>
      </w:r>
      <w:r>
        <w:t xml:space="preserve">as </w:t>
      </w:r>
      <w:r w:rsidR="00434D83">
        <w:t xml:space="preserve">to whether </w:t>
      </w:r>
      <w:r w:rsidR="00132F3F">
        <w:t>the paper-based route really is the less advantageous one</w:t>
      </w:r>
      <w:r>
        <w:t xml:space="preserve">. </w:t>
      </w:r>
      <w:r w:rsidR="00510FD2">
        <w:t xml:space="preserve">The </w:t>
      </w:r>
      <w:r w:rsidR="00132F3F">
        <w:t>FOI</w:t>
      </w:r>
      <w:r w:rsidR="00510FD2">
        <w:t xml:space="preserve"> provide</w:t>
      </w:r>
      <w:r w:rsidR="00797F1D">
        <w:t>d</w:t>
      </w:r>
      <w:r w:rsidR="00510FD2">
        <w:t xml:space="preserve"> an early initial indication</w:t>
      </w:r>
      <w:r w:rsidR="003E3731">
        <w:t>,</w:t>
      </w:r>
      <w:r w:rsidR="009003D0">
        <w:t xml:space="preserve"> </w:t>
      </w:r>
      <w:r w:rsidR="00132F3F">
        <w:t>show</w:t>
      </w:r>
      <w:r w:rsidR="00510FD2">
        <w:t xml:space="preserve">ing </w:t>
      </w:r>
      <w:r w:rsidR="00DE639F">
        <w:t>that the paper-based route d</w:t>
      </w:r>
      <w:r w:rsidR="00797F1D">
        <w:t>id</w:t>
      </w:r>
      <w:r w:rsidR="00DE639F">
        <w:t xml:space="preserve"> indeed have a higher rate of rejections</w:t>
      </w:r>
      <w:r w:rsidR="001E60E0">
        <w:t>,</w:t>
      </w:r>
      <w:r w:rsidR="00510FD2">
        <w:t xml:space="preserve"> but it </w:t>
      </w:r>
      <w:r>
        <w:t>is clear</w:t>
      </w:r>
      <w:r w:rsidR="00510FD2">
        <w:t xml:space="preserve"> </w:t>
      </w:r>
      <w:r>
        <w:t xml:space="preserve">that </w:t>
      </w:r>
      <w:r w:rsidR="00DE639F">
        <w:lastRenderedPageBreak/>
        <w:t>s</w:t>
      </w:r>
      <w:r w:rsidR="00C3552E">
        <w:t>ubsuming</w:t>
      </w:r>
      <w:r w:rsidR="00DE639F">
        <w:t xml:space="preserve"> </w:t>
      </w:r>
      <w:r w:rsidR="00C3552E">
        <w:t xml:space="preserve">the numbers of </w:t>
      </w:r>
      <w:r w:rsidR="006C18B0" w:rsidRPr="006C18B0">
        <w:t xml:space="preserve">paper-based applications </w:t>
      </w:r>
      <w:r w:rsidR="00C3552E">
        <w:t>in</w:t>
      </w:r>
      <w:r w:rsidR="00BA6BFE">
        <w:t xml:space="preserve"> the overall figures</w:t>
      </w:r>
      <w:r w:rsidR="00132F3F">
        <w:t xml:space="preserve"> </w:t>
      </w:r>
      <w:r w:rsidR="005A6136">
        <w:t>obscur</w:t>
      </w:r>
      <w:r w:rsidR="00132F3F">
        <w:t xml:space="preserve">es </w:t>
      </w:r>
      <w:r w:rsidR="0093187D">
        <w:t xml:space="preserve">what </w:t>
      </w:r>
      <w:r w:rsidR="00EE2039">
        <w:t xml:space="preserve">would have been </w:t>
      </w:r>
      <w:r w:rsidR="005A6136">
        <w:t>clear</w:t>
      </w:r>
      <w:r w:rsidR="00EE2039">
        <w:t>er</w:t>
      </w:r>
      <w:r w:rsidR="005A6136">
        <w:t xml:space="preserve"> evidence demonstrat</w:t>
      </w:r>
      <w:r w:rsidR="00132F3F">
        <w:t xml:space="preserve">ing </w:t>
      </w:r>
      <w:r w:rsidR="00DB123F">
        <w:t xml:space="preserve">the </w:t>
      </w:r>
      <w:r w:rsidR="005A6136">
        <w:t xml:space="preserve">disproportionate effect </w:t>
      </w:r>
      <w:r w:rsidR="00DB123F">
        <w:t xml:space="preserve">on certain vulnerable </w:t>
      </w:r>
      <w:r w:rsidR="005A6136">
        <w:t>women applying to the EUSS.</w:t>
      </w:r>
    </w:p>
    <w:p w14:paraId="53F116D1" w14:textId="243AEEF0" w:rsidR="00F747F4" w:rsidRDefault="00F747F4" w:rsidP="00C911B6">
      <w:pPr>
        <w:spacing w:line="480" w:lineRule="auto"/>
      </w:pPr>
    </w:p>
    <w:p w14:paraId="59A772D4" w14:textId="300F5EEC" w:rsidR="00387259" w:rsidRDefault="002F6FFB" w:rsidP="00C911B6">
      <w:pPr>
        <w:spacing w:line="480" w:lineRule="auto"/>
      </w:pPr>
      <w:r>
        <w:t>W</w:t>
      </w:r>
      <w:r w:rsidR="00DB123F">
        <w:t xml:space="preserve">hat </w:t>
      </w:r>
      <w:r w:rsidR="00D63EBD">
        <w:t>data is</w:t>
      </w:r>
      <w:r w:rsidR="00FB5AB2">
        <w:t xml:space="preserve"> available</w:t>
      </w:r>
      <w:r w:rsidR="00D63EBD">
        <w:t xml:space="preserve"> </w:t>
      </w:r>
      <w:r w:rsidR="001E60E0">
        <w:t>from</w:t>
      </w:r>
      <w:r>
        <w:t xml:space="preserve"> the FOI </w:t>
      </w:r>
      <w:r w:rsidR="009D40B9">
        <w:t>demonstrate</w:t>
      </w:r>
      <w:r>
        <w:t xml:space="preserve">s </w:t>
      </w:r>
      <w:r w:rsidR="00D63EBD">
        <w:t>a disproportionate effect on women</w:t>
      </w:r>
      <w:r w:rsidR="00EE2039">
        <w:t xml:space="preserve"> of the refused paper-based applications</w:t>
      </w:r>
      <w:r w:rsidR="001E60E0">
        <w:t xml:space="preserve"> (Barnard &amp; Costello, 2021)</w:t>
      </w:r>
      <w:r w:rsidR="00D63EBD" w:rsidRPr="0048559C">
        <w:t>.</w:t>
      </w:r>
      <w:r w:rsidR="00154774">
        <w:t xml:space="preserve"> </w:t>
      </w:r>
      <w:r w:rsidR="00BF299E">
        <w:t>Th</w:t>
      </w:r>
      <w:r w:rsidR="001E60E0">
        <w:t xml:space="preserve">e </w:t>
      </w:r>
      <w:r w:rsidR="00BF299E">
        <w:t xml:space="preserve">data is </w:t>
      </w:r>
      <w:r w:rsidR="00154774">
        <w:t xml:space="preserve">mainly </w:t>
      </w:r>
      <w:r w:rsidR="001E60E0">
        <w:t xml:space="preserve">about </w:t>
      </w:r>
      <w:r w:rsidR="00154774">
        <w:t>the NEFM route under the EUSS</w:t>
      </w:r>
      <w:r w:rsidR="00A72DE9">
        <w:t>, and will be discussed in further detail later</w:t>
      </w:r>
      <w:r w:rsidR="00154774">
        <w:t>.</w:t>
      </w:r>
      <w:r w:rsidR="00D63EBD">
        <w:t xml:space="preserve"> </w:t>
      </w:r>
      <w:r w:rsidR="005F5955">
        <w:t>A</w:t>
      </w:r>
      <w:r w:rsidR="00A25F8D">
        <w:t xml:space="preserve"> </w:t>
      </w:r>
      <w:r w:rsidR="00BF51C3">
        <w:t>stark</w:t>
      </w:r>
      <w:r w:rsidR="005F5955">
        <w:t xml:space="preserve"> </w:t>
      </w:r>
      <w:r w:rsidR="00BF51C3">
        <w:t>89</w:t>
      </w:r>
      <w:r w:rsidR="005F5955">
        <w:t xml:space="preserve">% of refused applications under the NEFM route </w:t>
      </w:r>
      <w:r w:rsidR="00EE2039">
        <w:t xml:space="preserve">were </w:t>
      </w:r>
      <w:r w:rsidR="005F5955">
        <w:t xml:space="preserve">applications made under the </w:t>
      </w:r>
      <w:r w:rsidR="005F5955">
        <w:rPr>
          <w:i/>
        </w:rPr>
        <w:t>Ruiz Zambrano</w:t>
      </w:r>
      <w:r w:rsidR="005F5955">
        <w:rPr>
          <w:iCs/>
        </w:rPr>
        <w:t xml:space="preserve"> line of case law</w:t>
      </w:r>
      <w:r w:rsidR="00B236AC">
        <w:rPr>
          <w:iCs/>
        </w:rPr>
        <w:t xml:space="preserve"> (Home Office, 2021</w:t>
      </w:r>
      <w:r w:rsidR="009F166D">
        <w:rPr>
          <w:iCs/>
        </w:rPr>
        <w:t>b</w:t>
      </w:r>
      <w:r w:rsidR="00B236AC">
        <w:rPr>
          <w:iCs/>
        </w:rPr>
        <w:t>)</w:t>
      </w:r>
      <w:r w:rsidR="005F5955">
        <w:rPr>
          <w:iCs/>
        </w:rPr>
        <w:t>, which primarily grants rights to non-EU carers of EU children</w:t>
      </w:r>
      <w:r w:rsidR="00B35FD1">
        <w:rPr>
          <w:iCs/>
        </w:rPr>
        <w:t>, a subsect of the NEFM category</w:t>
      </w:r>
      <w:r w:rsidR="005F5955">
        <w:rPr>
          <w:iCs/>
        </w:rPr>
        <w:t>.</w:t>
      </w:r>
      <w:bookmarkStart w:id="2" w:name="_Ref78446288"/>
      <w:r w:rsidR="005F5955">
        <w:rPr>
          <w:rStyle w:val="FootnoteReference"/>
          <w:iCs/>
        </w:rPr>
        <w:footnoteReference w:id="13"/>
      </w:r>
      <w:bookmarkEnd w:id="2"/>
      <w:r w:rsidR="005F5955">
        <w:rPr>
          <w:iCs/>
        </w:rPr>
        <w:t xml:space="preserve"> </w:t>
      </w:r>
      <w:r w:rsidR="003F31F4">
        <w:rPr>
          <w:iCs/>
        </w:rPr>
        <w:t>NEFM</w:t>
      </w:r>
      <w:r w:rsidR="009003D0">
        <w:rPr>
          <w:iCs/>
        </w:rPr>
        <w:t xml:space="preserve"> </w:t>
      </w:r>
      <w:r w:rsidR="003F31F4">
        <w:rPr>
          <w:iCs/>
        </w:rPr>
        <w:t xml:space="preserve">applicants are </w:t>
      </w:r>
      <w:r w:rsidR="00B35FD1">
        <w:rPr>
          <w:iCs/>
        </w:rPr>
        <w:t xml:space="preserve">indeed </w:t>
      </w:r>
      <w:r w:rsidR="003F31F4">
        <w:rPr>
          <w:iCs/>
        </w:rPr>
        <w:t xml:space="preserve">mostly </w:t>
      </w:r>
      <w:r w:rsidR="005F5955">
        <w:rPr>
          <w:iCs/>
        </w:rPr>
        <w:t>women</w:t>
      </w:r>
      <w:r w:rsidR="00BF299E">
        <w:rPr>
          <w:iCs/>
        </w:rPr>
        <w:t xml:space="preserve">, </w:t>
      </w:r>
      <w:r w:rsidR="00A72DE9">
        <w:rPr>
          <w:iCs/>
        </w:rPr>
        <w:t>and it is the</w:t>
      </w:r>
      <w:r w:rsidR="00DB123F">
        <w:rPr>
          <w:iCs/>
        </w:rPr>
        <w:t xml:space="preserve"> way NEFMs are</w:t>
      </w:r>
      <w:r w:rsidR="00A72DE9">
        <w:rPr>
          <w:iCs/>
        </w:rPr>
        <w:t xml:space="preserve"> </w:t>
      </w:r>
      <w:r w:rsidR="00EC0A0E">
        <w:rPr>
          <w:iCs/>
        </w:rPr>
        <w:t>legal</w:t>
      </w:r>
      <w:r w:rsidR="00DB123F">
        <w:rPr>
          <w:iCs/>
        </w:rPr>
        <w:t xml:space="preserve">ly defined </w:t>
      </w:r>
      <w:r w:rsidR="00EC0A0E">
        <w:rPr>
          <w:iCs/>
        </w:rPr>
        <w:t xml:space="preserve">that </w:t>
      </w:r>
      <w:r w:rsidR="00DB123F">
        <w:rPr>
          <w:iCs/>
        </w:rPr>
        <w:t xml:space="preserve">leads to their </w:t>
      </w:r>
      <w:r w:rsidR="009003D0">
        <w:rPr>
          <w:iCs/>
        </w:rPr>
        <w:t xml:space="preserve">being a </w:t>
      </w:r>
      <w:r w:rsidR="00A72DE9">
        <w:rPr>
          <w:iCs/>
        </w:rPr>
        <w:t>disproportionate</w:t>
      </w:r>
      <w:r w:rsidR="00DB123F">
        <w:rPr>
          <w:iCs/>
        </w:rPr>
        <w:t xml:space="preserve">ly high </w:t>
      </w:r>
      <w:r w:rsidR="00A72DE9">
        <w:rPr>
          <w:iCs/>
        </w:rPr>
        <w:t xml:space="preserve">representation of </w:t>
      </w:r>
      <w:r w:rsidR="00EC0A0E">
        <w:rPr>
          <w:iCs/>
        </w:rPr>
        <w:t>women</w:t>
      </w:r>
      <w:r w:rsidR="00DB123F">
        <w:rPr>
          <w:iCs/>
        </w:rPr>
        <w:t xml:space="preserve"> within its scope</w:t>
      </w:r>
      <w:r w:rsidR="005F5955">
        <w:rPr>
          <w:iCs/>
        </w:rPr>
        <w:t>.</w:t>
      </w:r>
      <w:bookmarkStart w:id="3" w:name="_Ref78446332"/>
      <w:r w:rsidR="00CB655C">
        <w:rPr>
          <w:rStyle w:val="FootnoteReference"/>
        </w:rPr>
        <w:footnoteReference w:id="14"/>
      </w:r>
      <w:bookmarkEnd w:id="3"/>
      <w:r w:rsidR="005F5955">
        <w:rPr>
          <w:iCs/>
        </w:rPr>
        <w:t xml:space="preserve"> This </w:t>
      </w:r>
      <w:r w:rsidR="00CB655C">
        <w:rPr>
          <w:iCs/>
        </w:rPr>
        <w:t xml:space="preserve">is </w:t>
      </w:r>
      <w:r w:rsidR="003F31F4">
        <w:rPr>
          <w:iCs/>
        </w:rPr>
        <w:t xml:space="preserve">but </w:t>
      </w:r>
      <w:r w:rsidR="00CB655C">
        <w:rPr>
          <w:iCs/>
        </w:rPr>
        <w:t xml:space="preserve">one example of how the intersection of immigrant status and gender are disadvantaging immigrant women purely </w:t>
      </w:r>
      <w:r w:rsidR="003F31F4">
        <w:rPr>
          <w:iCs/>
        </w:rPr>
        <w:t xml:space="preserve">through application of the </w:t>
      </w:r>
      <w:r w:rsidR="004A6A9F">
        <w:rPr>
          <w:iCs/>
        </w:rPr>
        <w:t>Appendix EU of the Immigration Rules</w:t>
      </w:r>
      <w:r w:rsidR="00A72DE9">
        <w:rPr>
          <w:iCs/>
        </w:rPr>
        <w:t>.</w:t>
      </w:r>
      <w:r w:rsidR="00EE2039">
        <w:rPr>
          <w:iCs/>
        </w:rPr>
        <w:t xml:space="preserve"> </w:t>
      </w:r>
      <w:r w:rsidR="00387259">
        <w:t xml:space="preserve">For this reason, this paper </w:t>
      </w:r>
      <w:r w:rsidR="00A469C8">
        <w:t xml:space="preserve">has </w:t>
      </w:r>
      <w:proofErr w:type="spellStart"/>
      <w:r w:rsidR="008F483E">
        <w:t>cho</w:t>
      </w:r>
      <w:r w:rsidR="00A469C8">
        <w:t xml:space="preserve">sen </w:t>
      </w:r>
      <w:r w:rsidR="00D63EBD">
        <w:t>t</w:t>
      </w:r>
      <w:proofErr w:type="spellEnd"/>
      <w:r w:rsidR="00D63EBD">
        <w:t xml:space="preserve">wo case studies </w:t>
      </w:r>
      <w:r w:rsidR="00B35FD1">
        <w:t xml:space="preserve">of immigrant women </w:t>
      </w:r>
      <w:r w:rsidR="00EE2039">
        <w:t xml:space="preserve">for further analysis </w:t>
      </w:r>
      <w:r>
        <w:t xml:space="preserve">who are </w:t>
      </w:r>
      <w:r w:rsidR="00EE2039">
        <w:t>notably more likely to have to apply via a paper-based application</w:t>
      </w:r>
      <w:r w:rsidR="00B03BEC">
        <w:t xml:space="preserve"> </w:t>
      </w:r>
      <w:r w:rsidR="00154774">
        <w:t xml:space="preserve">– </w:t>
      </w:r>
      <w:r w:rsidR="00D63EBD" w:rsidRPr="0048559C">
        <w:t>victims of VAWG</w:t>
      </w:r>
      <w:r w:rsidR="00A61342">
        <w:t xml:space="preserve"> a</w:t>
      </w:r>
      <w:r w:rsidR="00D63EBD" w:rsidRPr="0048559C">
        <w:t>nd NEFMs.</w:t>
      </w:r>
    </w:p>
    <w:p w14:paraId="2CC9DC1A" w14:textId="77777777" w:rsidR="00387259" w:rsidRDefault="00387259" w:rsidP="00C911B6">
      <w:pPr>
        <w:spacing w:line="480" w:lineRule="auto"/>
      </w:pPr>
    </w:p>
    <w:p w14:paraId="32517E5E" w14:textId="2928CD1A" w:rsidR="00CB655C" w:rsidRPr="008F483E" w:rsidRDefault="00387259" w:rsidP="00C911B6">
      <w:pPr>
        <w:spacing w:line="480" w:lineRule="auto"/>
      </w:pPr>
      <w:r>
        <w:t xml:space="preserve">Victims of VAWG </w:t>
      </w:r>
      <w:r w:rsidR="0059547A">
        <w:t>are</w:t>
      </w:r>
      <w:r>
        <w:t xml:space="preserve"> </w:t>
      </w:r>
      <w:r w:rsidR="0059547A">
        <w:t xml:space="preserve">an </w:t>
      </w:r>
      <w:r>
        <w:t>exclusive</w:t>
      </w:r>
      <w:r w:rsidR="0059547A">
        <w:t xml:space="preserve"> group of </w:t>
      </w:r>
      <w:r w:rsidR="00D63EBD">
        <w:t xml:space="preserve">immigrant </w:t>
      </w:r>
      <w:r w:rsidR="00D63EBD" w:rsidRPr="0048559C">
        <w:t>women</w:t>
      </w:r>
      <w:r w:rsidR="0059547A">
        <w:t xml:space="preserve"> in this context</w:t>
      </w:r>
      <w:r w:rsidR="00D63EBD" w:rsidRPr="0048559C">
        <w:t>, and</w:t>
      </w:r>
      <w:r>
        <w:t xml:space="preserve"> the analysis here</w:t>
      </w:r>
      <w:r w:rsidR="00D63EBD" w:rsidRPr="0048559C">
        <w:t xml:space="preserve"> draws on established literature on the legal protection of victims of VAWG who are also immigrants in other jurisdictions as well.</w:t>
      </w:r>
      <w:r w:rsidR="00D63EBD">
        <w:t xml:space="preserve"> </w:t>
      </w:r>
      <w:r w:rsidR="00D63EBD" w:rsidRPr="0048559C">
        <w:t xml:space="preserve">The latter case study </w:t>
      </w:r>
      <w:r>
        <w:t>on NEFMs</w:t>
      </w:r>
      <w:r w:rsidR="00F934F3">
        <w:t xml:space="preserve">, as alluded to above, </w:t>
      </w:r>
      <w:r w:rsidR="00D63EBD" w:rsidRPr="0048559C">
        <w:t xml:space="preserve">highlights in particular that long embedded gender roles means that the law itself </w:t>
      </w:r>
      <w:r w:rsidR="00442FDB">
        <w:t xml:space="preserve">has put more women in this category, thereby </w:t>
      </w:r>
      <w:r w:rsidR="00D63EBD" w:rsidRPr="0048559C">
        <w:t>disproportionately impact</w:t>
      </w:r>
      <w:r w:rsidR="00442FDB">
        <w:t xml:space="preserve">ing </w:t>
      </w:r>
      <w:r w:rsidR="00D63EBD" w:rsidRPr="0048559C">
        <w:t xml:space="preserve">more </w:t>
      </w:r>
      <w:r w:rsidR="00D63EBD">
        <w:t xml:space="preserve">immigrant </w:t>
      </w:r>
      <w:r w:rsidR="00D63EBD" w:rsidRPr="0048559C">
        <w:t>women in a negative way</w:t>
      </w:r>
      <w:r w:rsidR="00D63EBD">
        <w:t xml:space="preserve">. </w:t>
      </w:r>
      <w:proofErr w:type="spellStart"/>
      <w:r w:rsidR="00C067D1">
        <w:t>Kofman</w:t>
      </w:r>
      <w:proofErr w:type="spellEnd"/>
      <w:r w:rsidR="00C067D1">
        <w:t xml:space="preserve"> </w:t>
      </w:r>
      <w:r w:rsidR="00490412">
        <w:t xml:space="preserve">(1999) </w:t>
      </w:r>
      <w:r w:rsidR="00C067D1">
        <w:t>argues that m</w:t>
      </w:r>
      <w:r w:rsidR="00C067D1" w:rsidRPr="0048559C">
        <w:t>en are more likely to have more secure immigration status</w:t>
      </w:r>
      <w:r w:rsidR="00C067D1">
        <w:t>es</w:t>
      </w:r>
      <w:r w:rsidR="00C067D1" w:rsidRPr="0048559C">
        <w:t xml:space="preserve"> than women </w:t>
      </w:r>
      <w:r w:rsidR="00C067D1">
        <w:t xml:space="preserve">in general </w:t>
      </w:r>
      <w:r w:rsidR="00C067D1" w:rsidRPr="0048559C">
        <w:t>because they often have more financial resources</w:t>
      </w:r>
      <w:r w:rsidR="00C067D1">
        <w:t>, which is</w:t>
      </w:r>
      <w:r w:rsidR="00BB7D8F">
        <w:t xml:space="preserve"> then</w:t>
      </w:r>
      <w:r w:rsidR="00C067D1">
        <w:t xml:space="preserve"> rewarded </w:t>
      </w:r>
      <w:r w:rsidR="00BB7D8F">
        <w:t xml:space="preserve">under </w:t>
      </w:r>
      <w:r w:rsidR="00C067D1">
        <w:t>the law</w:t>
      </w:r>
      <w:r w:rsidR="00B236AC">
        <w:t xml:space="preserve"> (Raj and Silverman, 2022; </w:t>
      </w:r>
      <w:proofErr w:type="spellStart"/>
      <w:r w:rsidR="00B236AC">
        <w:t>Shutes</w:t>
      </w:r>
      <w:proofErr w:type="spellEnd"/>
      <w:r w:rsidR="00B236AC">
        <w:t xml:space="preserve"> &amp; Walker, 2018)</w:t>
      </w:r>
      <w:r w:rsidR="00C067D1" w:rsidRPr="0048559C">
        <w:t>.</w:t>
      </w:r>
      <w:r w:rsidR="00B236AC">
        <w:t xml:space="preserve"> </w:t>
      </w:r>
      <w:r w:rsidR="00D63EBD">
        <w:t xml:space="preserve">The </w:t>
      </w:r>
      <w:r w:rsidR="009414A5">
        <w:t xml:space="preserve">available </w:t>
      </w:r>
      <w:r w:rsidR="00D63EBD">
        <w:t xml:space="preserve">data </w:t>
      </w:r>
      <w:r w:rsidR="008F483E">
        <w:t xml:space="preserve">clarifies </w:t>
      </w:r>
      <w:r w:rsidR="001F2139">
        <w:t>this to an extent, given t</w:t>
      </w:r>
      <w:r w:rsidR="008F483E">
        <w:t xml:space="preserve">hat applying by paper carries a higher risk of an unsuccessful application, thereby </w:t>
      </w:r>
      <w:r w:rsidR="00BB7D8F">
        <w:t xml:space="preserve">demonstrating </w:t>
      </w:r>
      <w:r w:rsidR="008F483E">
        <w:t xml:space="preserve">that these </w:t>
      </w:r>
      <w:r w:rsidR="00C067D1">
        <w:t>t</w:t>
      </w:r>
      <w:r w:rsidR="008F483E">
        <w:t xml:space="preserve">wo identified </w:t>
      </w:r>
      <w:r w:rsidR="008F483E">
        <w:lastRenderedPageBreak/>
        <w:t xml:space="preserve">groups </w:t>
      </w:r>
      <w:r w:rsidR="001F2139">
        <w:t xml:space="preserve">will be </w:t>
      </w:r>
      <w:r w:rsidR="008F483E">
        <w:t xml:space="preserve">uniquely impacted </w:t>
      </w:r>
      <w:r w:rsidR="001F2139">
        <w:t xml:space="preserve">by the paper-based route because of the intersection of </w:t>
      </w:r>
      <w:r w:rsidR="008F483E">
        <w:t xml:space="preserve">their gender and immigrant status. </w:t>
      </w:r>
      <w:r w:rsidR="00C067D1">
        <w:t>I</w:t>
      </w:r>
      <w:r w:rsidR="00482915">
        <w:t xml:space="preserve">t </w:t>
      </w:r>
      <w:r w:rsidR="00C067D1">
        <w:t xml:space="preserve">thus </w:t>
      </w:r>
      <w:r w:rsidR="00B03BEC">
        <w:t xml:space="preserve">becomes </w:t>
      </w:r>
      <w:r w:rsidR="00482915">
        <w:t xml:space="preserve">clear that </w:t>
      </w:r>
      <w:r w:rsidR="00675DFA">
        <w:t>t</w:t>
      </w:r>
      <w:r w:rsidR="00C93B07" w:rsidRPr="0048559C">
        <w:t xml:space="preserve">he </w:t>
      </w:r>
      <w:r w:rsidR="00442FDB">
        <w:t xml:space="preserve">legal </w:t>
      </w:r>
      <w:r w:rsidR="0073333B" w:rsidRPr="0048559C">
        <w:t xml:space="preserve">framework and process </w:t>
      </w:r>
      <w:r w:rsidR="00442FDB">
        <w:t xml:space="preserve">of </w:t>
      </w:r>
      <w:r w:rsidR="0073333B" w:rsidRPr="0048559C">
        <w:t xml:space="preserve">the EUSS </w:t>
      </w:r>
      <w:r w:rsidR="00442FDB">
        <w:t xml:space="preserve">exacerbates </w:t>
      </w:r>
      <w:r w:rsidR="003C4D41">
        <w:t>a</w:t>
      </w:r>
      <w:r w:rsidR="00196BA5">
        <w:t>n immigrant</w:t>
      </w:r>
      <w:r w:rsidR="003C4D41">
        <w:t xml:space="preserve"> wom</w:t>
      </w:r>
      <w:r w:rsidR="00196BA5">
        <w:t>an</w:t>
      </w:r>
      <w:r w:rsidR="003C4D41">
        <w:t xml:space="preserve">’s vulnerability </w:t>
      </w:r>
      <w:r w:rsidR="00196BA5">
        <w:t xml:space="preserve">in </w:t>
      </w:r>
      <w:r w:rsidR="003C4D41">
        <w:t xml:space="preserve">what is already a precarious situation </w:t>
      </w:r>
      <w:r w:rsidR="00675DFA">
        <w:t>due to </w:t>
      </w:r>
      <w:r w:rsidR="007D1E50">
        <w:t>th</w:t>
      </w:r>
      <w:r w:rsidR="00675DFA">
        <w:t>e</w:t>
      </w:r>
      <w:r w:rsidR="007D1E50">
        <w:t>i</w:t>
      </w:r>
      <w:r w:rsidR="00675DFA">
        <w:t xml:space="preserve">r </w:t>
      </w:r>
      <w:r w:rsidR="003C4D41">
        <w:t>inherent and universal vulnerability</w:t>
      </w:r>
      <w:r w:rsidR="00675DFA">
        <w:t xml:space="preserve"> and </w:t>
      </w:r>
      <w:r w:rsidR="003C4D41">
        <w:t xml:space="preserve">intersectional </w:t>
      </w:r>
      <w:r w:rsidR="00675DFA">
        <w:t>experiences.</w:t>
      </w:r>
    </w:p>
    <w:p w14:paraId="1EA8DCEA" w14:textId="56FCBF7B" w:rsidR="00CB655C" w:rsidRDefault="00CB655C" w:rsidP="00C911B6">
      <w:pPr>
        <w:spacing w:line="480" w:lineRule="auto"/>
      </w:pPr>
    </w:p>
    <w:p w14:paraId="394AC91F" w14:textId="344DB15A" w:rsidR="0059547A" w:rsidRPr="0061492E" w:rsidRDefault="0059547A" w:rsidP="0061492E">
      <w:pPr>
        <w:pStyle w:val="ListParagraph"/>
        <w:numPr>
          <w:ilvl w:val="0"/>
          <w:numId w:val="11"/>
        </w:numPr>
        <w:spacing w:line="480" w:lineRule="auto"/>
        <w:rPr>
          <w:i/>
          <w:iCs/>
        </w:rPr>
      </w:pPr>
      <w:r w:rsidRPr="0061492E">
        <w:rPr>
          <w:i/>
          <w:iCs/>
        </w:rPr>
        <w:t>Vulnerability</w:t>
      </w:r>
    </w:p>
    <w:p w14:paraId="678B4B33" w14:textId="4B82D61C" w:rsidR="00A65840" w:rsidRDefault="001742AE" w:rsidP="00C911B6">
      <w:pPr>
        <w:spacing w:line="480" w:lineRule="auto"/>
      </w:pPr>
      <w:r>
        <w:t xml:space="preserve">The recognition of human vulnerability </w:t>
      </w:r>
      <w:r w:rsidR="00A61342">
        <w:t xml:space="preserve">further </w:t>
      </w:r>
      <w:r>
        <w:t>expose</w:t>
      </w:r>
      <w:r w:rsidR="00A61342">
        <w:t>s</w:t>
      </w:r>
      <w:r>
        <w:t xml:space="preserve"> the </w:t>
      </w:r>
      <w:r w:rsidRPr="0048559C">
        <w:t xml:space="preserve">disproportionate </w:t>
      </w:r>
      <w:r>
        <w:t xml:space="preserve">intersectional </w:t>
      </w:r>
      <w:r w:rsidRPr="0048559C">
        <w:t xml:space="preserve">effect </w:t>
      </w:r>
      <w:r>
        <w:t xml:space="preserve">that the EUSS has </w:t>
      </w:r>
      <w:r w:rsidRPr="0048559C">
        <w:t xml:space="preserve">on </w:t>
      </w:r>
      <w:r w:rsidR="00FE2ADB">
        <w:t xml:space="preserve">female </w:t>
      </w:r>
      <w:r w:rsidRPr="0048559C">
        <w:t>applicants</w:t>
      </w:r>
      <w:r w:rsidR="00A61342">
        <w:t xml:space="preserve"> by appealing to the need for the State to address these concerns</w:t>
      </w:r>
      <w:r w:rsidR="003765CB">
        <w:t>. In this case,</w:t>
      </w:r>
      <w:r w:rsidR="00A61342">
        <w:t xml:space="preserve"> </w:t>
      </w:r>
      <w:r w:rsidR="003765CB">
        <w:t xml:space="preserve">the </w:t>
      </w:r>
      <w:r w:rsidR="00A36B4B">
        <w:t xml:space="preserve">State’s </w:t>
      </w:r>
      <w:r w:rsidR="003765CB">
        <w:t xml:space="preserve">governance of immigration post-Brexit is </w:t>
      </w:r>
      <w:r w:rsidR="00A61342">
        <w:t xml:space="preserve">the </w:t>
      </w:r>
      <w:r w:rsidR="003765CB">
        <w:t xml:space="preserve">source </w:t>
      </w:r>
      <w:r w:rsidR="00A61342">
        <w:t xml:space="preserve">of </w:t>
      </w:r>
      <w:r w:rsidR="003765CB">
        <w:t xml:space="preserve">additional unique </w:t>
      </w:r>
      <w:r w:rsidR="00A61342">
        <w:t>vulnerability</w:t>
      </w:r>
      <w:r w:rsidR="003765CB">
        <w:t xml:space="preserve"> </w:t>
      </w:r>
      <w:r w:rsidR="00A36B4B">
        <w:t xml:space="preserve">due to </w:t>
      </w:r>
      <w:r w:rsidR="003765CB">
        <w:t xml:space="preserve">intersectionality, </w:t>
      </w:r>
      <w:r w:rsidR="00A36B4B">
        <w:t xml:space="preserve">an argument </w:t>
      </w:r>
      <w:r w:rsidR="00A65840">
        <w:t xml:space="preserve">made </w:t>
      </w:r>
      <w:r w:rsidR="00A36B4B">
        <w:t xml:space="preserve">by applying </w:t>
      </w:r>
      <w:r w:rsidR="007D1E50">
        <w:t>Martha Fineman</w:t>
      </w:r>
      <w:r w:rsidR="003765CB">
        <w:t>’s</w:t>
      </w:r>
      <w:r w:rsidR="00711625">
        <w:t xml:space="preserve"> </w:t>
      </w:r>
      <w:r w:rsidR="003765CB">
        <w:t xml:space="preserve">theory </w:t>
      </w:r>
      <w:r w:rsidR="009D7153">
        <w:t xml:space="preserve">that </w:t>
      </w:r>
      <w:r w:rsidR="007D1E50">
        <w:t>human vulnerability should be considered an inherent and constant universal trait</w:t>
      </w:r>
      <w:r w:rsidR="00874221">
        <w:t xml:space="preserve"> (2008: 8)</w:t>
      </w:r>
      <w:r w:rsidR="003765CB">
        <w:t>.</w:t>
      </w:r>
      <w:r w:rsidR="00AC35ED">
        <w:t xml:space="preserve"> </w:t>
      </w:r>
      <w:r w:rsidR="00C75C61">
        <w:t xml:space="preserve">In this context, an argument can thus be made in the vein of </w:t>
      </w:r>
      <w:r w:rsidR="009D7153">
        <w:t>compel</w:t>
      </w:r>
      <w:r w:rsidR="00C75C61">
        <w:t xml:space="preserve">ling </w:t>
      </w:r>
      <w:r w:rsidR="0059547A">
        <w:t xml:space="preserve">the state </w:t>
      </w:r>
      <w:r w:rsidR="007D1E50">
        <w:t xml:space="preserve">to address any disparities arising between individuals and their varying vulnerabilities. </w:t>
      </w:r>
      <w:r w:rsidR="007602EB">
        <w:t>Fineman</w:t>
      </w:r>
      <w:r w:rsidR="005E668E">
        <w:t xml:space="preserve"> argues that </w:t>
      </w:r>
      <w:r w:rsidR="003765CB">
        <w:t xml:space="preserve">because </w:t>
      </w:r>
      <w:r w:rsidR="005E668E">
        <w:t xml:space="preserve">it </w:t>
      </w:r>
      <w:r w:rsidR="007D1E50">
        <w:t>is the state that confers various forms of privilege in its institutional framework</w:t>
      </w:r>
      <w:r w:rsidR="00025B57">
        <w:t xml:space="preserve">, such as </w:t>
      </w:r>
      <w:r w:rsidR="0059547A">
        <w:t xml:space="preserve">in </w:t>
      </w:r>
      <w:r w:rsidR="00196BA5">
        <w:t>the law</w:t>
      </w:r>
      <w:r w:rsidR="00F85C38">
        <w:t>,</w:t>
      </w:r>
      <w:r w:rsidR="005E668E">
        <w:t xml:space="preserve"> </w:t>
      </w:r>
      <w:r w:rsidR="003765CB">
        <w:t xml:space="preserve">it </w:t>
      </w:r>
      <w:r w:rsidR="0059547A">
        <w:t>should be responsible for remedying these inequalities.</w:t>
      </w:r>
      <w:r w:rsidR="00A65840">
        <w:t xml:space="preserve"> </w:t>
      </w:r>
      <w:r w:rsidR="00C75C61">
        <w:t>The reality that this paper seeks to highlight</w:t>
      </w:r>
      <w:r w:rsidR="002E0D8A">
        <w:t xml:space="preserve"> </w:t>
      </w:r>
      <w:r w:rsidR="003247E5">
        <w:t xml:space="preserve">is that it </w:t>
      </w:r>
      <w:r w:rsidR="00A65840">
        <w:t xml:space="preserve">instead </w:t>
      </w:r>
      <w:r w:rsidR="003247E5">
        <w:t xml:space="preserve">is </w:t>
      </w:r>
      <w:r w:rsidR="00A65840">
        <w:t>the opposite in the context of the EUSS</w:t>
      </w:r>
      <w:r w:rsidR="003247E5">
        <w:t xml:space="preserve"> – that the law has </w:t>
      </w:r>
      <w:r w:rsidR="00A65840">
        <w:t>exacerbate</w:t>
      </w:r>
      <w:r w:rsidR="003247E5">
        <w:t>d</w:t>
      </w:r>
      <w:r w:rsidR="00A65840">
        <w:t>, rather than</w:t>
      </w:r>
      <w:r w:rsidR="003247E5">
        <w:t xml:space="preserve"> eliminated</w:t>
      </w:r>
      <w:r w:rsidR="00A65840">
        <w:t xml:space="preserve">, the unique oppression </w:t>
      </w:r>
      <w:r w:rsidR="00FD5FAC">
        <w:t xml:space="preserve">and vulnerability </w:t>
      </w:r>
      <w:r w:rsidR="00A65840">
        <w:t>faced by immigrant women in a post-Brexit Britain.</w:t>
      </w:r>
    </w:p>
    <w:p w14:paraId="1719CD00" w14:textId="77777777" w:rsidR="00A65840" w:rsidRDefault="00A65840" w:rsidP="00C911B6">
      <w:pPr>
        <w:spacing w:line="480" w:lineRule="auto"/>
      </w:pPr>
    </w:p>
    <w:p w14:paraId="6D945161" w14:textId="0914577F" w:rsidR="007D1E50" w:rsidRDefault="0059547A" w:rsidP="00C911B6">
      <w:pPr>
        <w:spacing w:line="480" w:lineRule="auto"/>
      </w:pPr>
      <w:r>
        <w:t xml:space="preserve">Immigration status and gender are the two vulnerabilities of relevance here, as </w:t>
      </w:r>
      <w:r w:rsidR="00F85C38">
        <w:t xml:space="preserve">it is </w:t>
      </w:r>
      <w:r w:rsidR="001742AE">
        <w:t xml:space="preserve">their </w:t>
      </w:r>
      <w:r>
        <w:t>interact</w:t>
      </w:r>
      <w:r w:rsidR="001742AE">
        <w:t xml:space="preserve">ion </w:t>
      </w:r>
      <w:r w:rsidR="00F85C38">
        <w:t xml:space="preserve">which has </w:t>
      </w:r>
      <w:r>
        <w:t>creat</w:t>
      </w:r>
      <w:r w:rsidR="00FE2ADB">
        <w:t xml:space="preserve">ed </w:t>
      </w:r>
      <w:r>
        <w:t xml:space="preserve">the disparities in society that Fineman argues </w:t>
      </w:r>
      <w:r w:rsidR="00C51147">
        <w:t xml:space="preserve">needs state intervention. Disappointingly, </w:t>
      </w:r>
      <w:r w:rsidR="007D1E50">
        <w:t>in a post-Brexit Britain</w:t>
      </w:r>
      <w:r w:rsidR="00F85C38">
        <w:t xml:space="preserve">, </w:t>
      </w:r>
      <w:r w:rsidR="007D1E50">
        <w:t>victims of VAWG and NEFMs seeking to regularise their immigration statuse</w:t>
      </w:r>
      <w:r w:rsidR="00FE2ADB">
        <w:t>s</w:t>
      </w:r>
      <w:r w:rsidR="00F85C38">
        <w:t xml:space="preserve"> do not appear to have their vulnerabilities accounted for</w:t>
      </w:r>
      <w:r w:rsidR="003E3731">
        <w:t xml:space="preserve"> as per their experiences of the EUSS</w:t>
      </w:r>
      <w:r w:rsidR="00FE2ADB">
        <w:t xml:space="preserve">. </w:t>
      </w:r>
      <w:r w:rsidR="00F85C38">
        <w:t xml:space="preserve">In fact, </w:t>
      </w:r>
      <w:r w:rsidR="003E3731">
        <w:t xml:space="preserve">a </w:t>
      </w:r>
      <w:r w:rsidR="00F85C38">
        <w:t>s</w:t>
      </w:r>
      <w:r w:rsidR="00025B57">
        <w:t>ignificant</w:t>
      </w:r>
      <w:r w:rsidR="003E3731">
        <w:t xml:space="preserve"> number </w:t>
      </w:r>
      <w:r w:rsidR="00FE2ADB">
        <w:t>have</w:t>
      </w:r>
      <w:r w:rsidR="00025B57">
        <w:t xml:space="preserve"> </w:t>
      </w:r>
      <w:r w:rsidR="00FE2ADB">
        <w:t xml:space="preserve">been </w:t>
      </w:r>
      <w:r w:rsidR="003E3731">
        <w:t xml:space="preserve">unsuccessful </w:t>
      </w:r>
      <w:r w:rsidR="00025B57">
        <w:t>under the Scheme</w:t>
      </w:r>
      <w:r w:rsidR="0045712F">
        <w:t>,</w:t>
      </w:r>
      <w:r w:rsidR="007602EB">
        <w:t xml:space="preserve"> in </w:t>
      </w:r>
      <w:r w:rsidR="003E3731">
        <w:t>stark</w:t>
      </w:r>
      <w:r w:rsidR="007602EB">
        <w:t xml:space="preserve"> </w:t>
      </w:r>
      <w:r w:rsidR="003E3731">
        <w:t>contrast</w:t>
      </w:r>
      <w:r w:rsidR="007602EB">
        <w:t xml:space="preserve"> </w:t>
      </w:r>
      <w:r w:rsidR="003E3731">
        <w:t xml:space="preserve">with the </w:t>
      </w:r>
      <w:r w:rsidR="00A25F8D">
        <w:t xml:space="preserve">protection </w:t>
      </w:r>
      <w:r w:rsidR="003E3731">
        <w:t xml:space="preserve">afforded </w:t>
      </w:r>
      <w:r w:rsidR="00A25F8D">
        <w:t>before under the EU framework</w:t>
      </w:r>
      <w:r w:rsidR="003E3731">
        <w:t xml:space="preserve">. </w:t>
      </w:r>
      <w:r w:rsidR="006D4DA7">
        <w:t>As mentioned, t</w:t>
      </w:r>
      <w:r w:rsidR="003E3731">
        <w:t xml:space="preserve">his </w:t>
      </w:r>
      <w:r w:rsidR="00A25F8D">
        <w:t xml:space="preserve">is </w:t>
      </w:r>
      <w:r w:rsidR="001742AE">
        <w:t xml:space="preserve">the opposite of the </w:t>
      </w:r>
      <w:r w:rsidR="00A25F8D">
        <w:t xml:space="preserve">guarantees of </w:t>
      </w:r>
      <w:r w:rsidR="001742AE">
        <w:t>protection Fineman calls for</w:t>
      </w:r>
      <w:r w:rsidR="007D1E50">
        <w:t xml:space="preserve">. </w:t>
      </w:r>
      <w:r w:rsidR="00C740E0">
        <w:t>T</w:t>
      </w:r>
      <w:r w:rsidR="007D1E50" w:rsidRPr="0048559C">
        <w:t xml:space="preserve">he situation for victims of VAWG and NEFMs </w:t>
      </w:r>
      <w:r w:rsidR="007D1E50">
        <w:t xml:space="preserve">is </w:t>
      </w:r>
      <w:r w:rsidR="007D1E50" w:rsidRPr="0048559C">
        <w:t>evidence</w:t>
      </w:r>
      <w:r w:rsidR="007D1E50">
        <w:t xml:space="preserve"> of</w:t>
      </w:r>
      <w:r w:rsidR="007D1E50" w:rsidRPr="0048559C">
        <w:t xml:space="preserve"> the law’s</w:t>
      </w:r>
      <w:r w:rsidR="007D1E50">
        <w:t xml:space="preserve"> (and hence, the state’s) ignorance of vulnerabilities </w:t>
      </w:r>
      <w:r w:rsidR="006D4DA7">
        <w:t xml:space="preserve">through the </w:t>
      </w:r>
      <w:r w:rsidR="00025B57">
        <w:t>promotion of</w:t>
      </w:r>
      <w:r w:rsidR="007D1E50">
        <w:t xml:space="preserve"> </w:t>
      </w:r>
      <w:r w:rsidR="007D1E50" w:rsidRPr="0048559C">
        <w:t>formal equality</w:t>
      </w:r>
      <w:r w:rsidR="00025B57">
        <w:t xml:space="preserve"> </w:t>
      </w:r>
      <w:r w:rsidR="00C579A9">
        <w:t>o</w:t>
      </w:r>
      <w:r w:rsidR="00025B57">
        <w:t>ver substantive equality</w:t>
      </w:r>
      <w:r w:rsidR="007D1E50" w:rsidRPr="0048559C">
        <w:t>.</w:t>
      </w:r>
      <w:r w:rsidR="00CA5AE2">
        <w:t xml:space="preserve"> T</w:t>
      </w:r>
      <w:r w:rsidR="00CA5AE2" w:rsidRPr="0048559C">
        <w:t>he</w:t>
      </w:r>
      <w:r w:rsidR="00CA5AE2">
        <w:t xml:space="preserve"> required </w:t>
      </w:r>
      <w:r w:rsidR="00CA5AE2" w:rsidRPr="0048559C">
        <w:t xml:space="preserve">awareness of </w:t>
      </w:r>
      <w:r w:rsidR="00CA5AE2">
        <w:t xml:space="preserve">the UK’s withdrawal from the EU itself </w:t>
      </w:r>
      <w:r w:rsidR="00CA5AE2">
        <w:lastRenderedPageBreak/>
        <w:t xml:space="preserve">and </w:t>
      </w:r>
      <w:r w:rsidR="00CA5AE2" w:rsidRPr="0048559C">
        <w:t xml:space="preserve">the new </w:t>
      </w:r>
      <w:r w:rsidR="00CA5AE2">
        <w:t xml:space="preserve">EUSS, plus a </w:t>
      </w:r>
      <w:r w:rsidR="00CA5AE2" w:rsidRPr="0048559C">
        <w:t>thoroug</w:t>
      </w:r>
      <w:r w:rsidR="00CA5AE2">
        <w:t xml:space="preserve">h </w:t>
      </w:r>
      <w:r w:rsidR="00CA5AE2" w:rsidRPr="0048559C">
        <w:t xml:space="preserve">understanding </w:t>
      </w:r>
      <w:r w:rsidR="00CA5AE2">
        <w:t xml:space="preserve">of the procedure </w:t>
      </w:r>
      <w:r w:rsidR="00CA5AE2" w:rsidRPr="0048559C">
        <w:t>before even beginning to try to seek status under the new Scheme</w:t>
      </w:r>
      <w:r w:rsidR="00CA5AE2">
        <w:t xml:space="preserve"> adds a unique extra burden on immigrant women.</w:t>
      </w:r>
    </w:p>
    <w:p w14:paraId="032819A1" w14:textId="77777777" w:rsidR="007D1E50" w:rsidRDefault="007D1E50" w:rsidP="00C911B6">
      <w:pPr>
        <w:spacing w:line="480" w:lineRule="auto"/>
      </w:pPr>
    </w:p>
    <w:p w14:paraId="78B48EE3" w14:textId="758A25F5" w:rsidR="0005037A" w:rsidRPr="0048559C" w:rsidRDefault="006D4DA7" w:rsidP="00C911B6">
      <w:pPr>
        <w:spacing w:line="480" w:lineRule="auto"/>
      </w:pPr>
      <w:r>
        <w:t>Furthermore, b</w:t>
      </w:r>
      <w:r w:rsidR="0073333B" w:rsidRPr="0048559C">
        <w:t xml:space="preserve">y consistently arguing that the Scheme is working well </w:t>
      </w:r>
      <w:r w:rsidR="00FE2DC4" w:rsidRPr="0048559C">
        <w:t xml:space="preserve">because </w:t>
      </w:r>
      <w:r w:rsidR="00C579A9">
        <w:t xml:space="preserve">of </w:t>
      </w:r>
      <w:r w:rsidR="001742AE">
        <w:t>its</w:t>
      </w:r>
      <w:r w:rsidR="0077691A">
        <w:t xml:space="preserve"> </w:t>
      </w:r>
      <w:r w:rsidR="009B75EC">
        <w:t>less than 10</w:t>
      </w:r>
      <w:r w:rsidR="0073333B" w:rsidRPr="0048559C">
        <w:t>%</w:t>
      </w:r>
      <w:r w:rsidR="00FE2DC4" w:rsidRPr="0048559C">
        <w:t xml:space="preserve"> </w:t>
      </w:r>
      <w:r w:rsidR="00C579A9">
        <w:t>of</w:t>
      </w:r>
      <w:r w:rsidR="00BE496F">
        <w:t xml:space="preserve"> </w:t>
      </w:r>
      <w:r w:rsidR="0073333B" w:rsidRPr="0048559C">
        <w:t>unsuccessful applications</w:t>
      </w:r>
      <w:r w:rsidR="00BB5B48">
        <w:t xml:space="preserve"> (Home Office, 2021</w:t>
      </w:r>
      <w:r w:rsidR="009F166D">
        <w:t>a</w:t>
      </w:r>
      <w:r w:rsidR="00BB5B48">
        <w:t>)</w:t>
      </w:r>
      <w:r w:rsidR="0073333B" w:rsidRPr="0048559C">
        <w:t xml:space="preserve">, </w:t>
      </w:r>
      <w:r w:rsidR="00941B15" w:rsidRPr="0048559C">
        <w:t>official mainstream channels are</w:t>
      </w:r>
      <w:r w:rsidR="0073333B" w:rsidRPr="0048559C">
        <w:t xml:space="preserve"> </w:t>
      </w:r>
      <w:r w:rsidR="00A3590C" w:rsidRPr="0048559C">
        <w:t>undermin</w:t>
      </w:r>
      <w:r w:rsidR="00941B15" w:rsidRPr="0048559C">
        <w:t xml:space="preserve">ing </w:t>
      </w:r>
      <w:r w:rsidR="0073333B" w:rsidRPr="0048559C">
        <w:t xml:space="preserve">the </w:t>
      </w:r>
      <w:r w:rsidR="00A3590C" w:rsidRPr="0048559C">
        <w:t xml:space="preserve">experiences </w:t>
      </w:r>
      <w:r w:rsidR="006E014F" w:rsidRPr="0048559C">
        <w:t>of women who fac</w:t>
      </w:r>
      <w:r w:rsidR="00FE2DC4" w:rsidRPr="0048559C">
        <w:t>e g</w:t>
      </w:r>
      <w:r w:rsidR="006E014F" w:rsidRPr="0048559C">
        <w:t>reat</w:t>
      </w:r>
      <w:r w:rsidR="001D7950">
        <w:t>er</w:t>
      </w:r>
      <w:r w:rsidR="006E014F" w:rsidRPr="0048559C">
        <w:t xml:space="preserve"> </w:t>
      </w:r>
      <w:r w:rsidR="00A3590C" w:rsidRPr="0048559C">
        <w:t xml:space="preserve">difficulties </w:t>
      </w:r>
      <w:r w:rsidR="00C740E0">
        <w:t xml:space="preserve">because of </w:t>
      </w:r>
      <w:r w:rsidR="00BE496F">
        <w:t>the</w:t>
      </w:r>
      <w:r w:rsidR="0045712F">
        <w:t xml:space="preserve">ir </w:t>
      </w:r>
      <w:r w:rsidR="00BD2E7C">
        <w:t xml:space="preserve">vulnerabilities </w:t>
      </w:r>
      <w:r w:rsidR="0045712F">
        <w:t xml:space="preserve">at the </w:t>
      </w:r>
      <w:r w:rsidR="00BE496F">
        <w:t>intersection of their immigrant status and gender</w:t>
      </w:r>
      <w:r w:rsidR="006E014F" w:rsidRPr="0048559C">
        <w:t xml:space="preserve">. </w:t>
      </w:r>
      <w:r w:rsidR="00224065" w:rsidRPr="0048559C">
        <w:t xml:space="preserve">Crenshaw </w:t>
      </w:r>
      <w:r w:rsidR="00BE496F">
        <w:t xml:space="preserve">argues </w:t>
      </w:r>
      <w:r w:rsidR="00C579A9">
        <w:t xml:space="preserve">that </w:t>
      </w:r>
      <w:r w:rsidR="00224065" w:rsidRPr="0048559C">
        <w:t xml:space="preserve">marginalised women mainly occupy spaces that are marginalised themselves, </w:t>
      </w:r>
      <w:r w:rsidR="00C579A9">
        <w:t xml:space="preserve">explaining </w:t>
      </w:r>
      <w:r w:rsidR="00224065" w:rsidRPr="0048559C">
        <w:t>why mainstream messaging (such as the law) do not target them appropriately</w:t>
      </w:r>
      <w:r w:rsidR="00BB5B48">
        <w:t xml:space="preserve"> (Crenshaw, 199</w:t>
      </w:r>
      <w:r w:rsidR="00446577">
        <w:t>1</w:t>
      </w:r>
      <w:r w:rsidR="00BB5B48">
        <w:t>: 1250)</w:t>
      </w:r>
      <w:r w:rsidR="00224065" w:rsidRPr="0048559C">
        <w:t xml:space="preserve">. This </w:t>
      </w:r>
      <w:r w:rsidR="0045712F">
        <w:t xml:space="preserve">is very relevant </w:t>
      </w:r>
      <w:r w:rsidR="00224065" w:rsidRPr="0048559C">
        <w:t xml:space="preserve">to the situation of victims of VAWG as well as NEFMs in light of </w:t>
      </w:r>
      <w:r w:rsidR="0045712F">
        <w:t>the messaging around the EUSS for a post-Brexit Britain that promotes it as an easy, straightforward online process that demands very little</w:t>
      </w:r>
      <w:r w:rsidR="009B75EC">
        <w:t xml:space="preserve">, </w:t>
      </w:r>
      <w:r w:rsidR="00C153B6">
        <w:t xml:space="preserve">which they are largely </w:t>
      </w:r>
      <w:r w:rsidR="009B75EC">
        <w:t>excluded from</w:t>
      </w:r>
      <w:r w:rsidR="00224065" w:rsidRPr="0048559C">
        <w:t xml:space="preserve">. </w:t>
      </w:r>
      <w:r w:rsidR="0045712F">
        <w:t xml:space="preserve">The facilitation of the online application process over the paper applications </w:t>
      </w:r>
      <w:r w:rsidR="004029E9">
        <w:t xml:space="preserve">is another </w:t>
      </w:r>
      <w:r w:rsidR="00174E0A">
        <w:t xml:space="preserve">clear </w:t>
      </w:r>
      <w:r w:rsidR="004029E9">
        <w:t xml:space="preserve">example of how </w:t>
      </w:r>
      <w:r w:rsidR="00255884">
        <w:t xml:space="preserve">vulnerabilities at the </w:t>
      </w:r>
      <w:r w:rsidR="004029E9">
        <w:t>intersection of gender and immigration status of these women are being forgotten.</w:t>
      </w:r>
      <w:r w:rsidR="004029E9">
        <w:rPr>
          <w:rStyle w:val="FootnoteReference"/>
        </w:rPr>
        <w:footnoteReference w:id="15"/>
      </w:r>
      <w:r w:rsidR="004029E9">
        <w:t xml:space="preserve"> </w:t>
      </w:r>
      <w:r w:rsidR="00941B15" w:rsidRPr="0048559C">
        <w:t xml:space="preserve">The </w:t>
      </w:r>
      <w:r w:rsidR="00FE2DC4" w:rsidRPr="0048559C">
        <w:t xml:space="preserve">blatant </w:t>
      </w:r>
      <w:r w:rsidR="0073333B" w:rsidRPr="0048559C">
        <w:t>ignor</w:t>
      </w:r>
      <w:r w:rsidR="00FE2DC4" w:rsidRPr="0048559C">
        <w:t xml:space="preserve">ance of </w:t>
      </w:r>
      <w:r w:rsidR="0073333B" w:rsidRPr="0048559C">
        <w:t xml:space="preserve">the consequences </w:t>
      </w:r>
      <w:r w:rsidR="00C579A9">
        <w:t xml:space="preserve">for these immigrant women </w:t>
      </w:r>
      <w:r w:rsidR="0073333B" w:rsidRPr="0048559C">
        <w:t xml:space="preserve">when evaluating the overall effectiveness of the EUSS regime is such as to further deepen </w:t>
      </w:r>
      <w:r w:rsidR="00C579A9">
        <w:t xml:space="preserve">intersectional </w:t>
      </w:r>
      <w:r w:rsidR="0073333B" w:rsidRPr="0048559C">
        <w:t>inequalities</w:t>
      </w:r>
      <w:r w:rsidR="003E3FBD">
        <w:t xml:space="preserve"> and vulnerabilities</w:t>
      </w:r>
      <w:r w:rsidR="0073333B" w:rsidRPr="0048559C">
        <w:t xml:space="preserve"> in </w:t>
      </w:r>
      <w:r w:rsidR="00A3590C" w:rsidRPr="0048559C">
        <w:t xml:space="preserve">immigration </w:t>
      </w:r>
      <w:r w:rsidR="0073333B" w:rsidRPr="0048559C">
        <w:t>law</w:t>
      </w:r>
      <w:r w:rsidR="00BB5B48">
        <w:t xml:space="preserve"> (Fineman, 2010)</w:t>
      </w:r>
      <w:r w:rsidR="00D272A6" w:rsidRPr="0048559C">
        <w:t>.</w:t>
      </w:r>
      <w:r w:rsidR="00BB5B48" w:rsidRPr="0048559C">
        <w:t xml:space="preserve"> </w:t>
      </w:r>
      <w:r w:rsidR="00C93B07" w:rsidRPr="0048559C">
        <w:t xml:space="preserve">The </w:t>
      </w:r>
      <w:r w:rsidR="001062BB" w:rsidRPr="0048559C">
        <w:t>EUSS process</w:t>
      </w:r>
      <w:r w:rsidR="00E608C1">
        <w:t xml:space="preserve"> under </w:t>
      </w:r>
      <w:r w:rsidR="001062BB" w:rsidRPr="0048559C">
        <w:t>Appendix EU of the Immigration Rules</w:t>
      </w:r>
      <w:r w:rsidR="009855DD">
        <w:t>,</w:t>
      </w:r>
      <w:r w:rsidR="001062BB" w:rsidRPr="0048559C">
        <w:t xml:space="preserve"> </w:t>
      </w:r>
      <w:r w:rsidR="00E608C1">
        <w:t xml:space="preserve">now </w:t>
      </w:r>
      <w:r w:rsidR="00B21962">
        <w:t xml:space="preserve">very much a </w:t>
      </w:r>
      <w:r w:rsidR="00E608C1">
        <w:t>mainstream</w:t>
      </w:r>
      <w:r w:rsidR="00B21962">
        <w:t xml:space="preserve"> process</w:t>
      </w:r>
      <w:r w:rsidR="00E608C1">
        <w:t xml:space="preserve">, </w:t>
      </w:r>
      <w:r w:rsidR="001062BB" w:rsidRPr="0048559C">
        <w:t>exclud</w:t>
      </w:r>
      <w:r w:rsidR="0006758B">
        <w:t>es</w:t>
      </w:r>
      <w:r w:rsidR="001062BB" w:rsidRPr="0048559C">
        <w:t xml:space="preserve"> </w:t>
      </w:r>
      <w:r w:rsidR="00E52587" w:rsidRPr="0048559C">
        <w:t xml:space="preserve">these </w:t>
      </w:r>
      <w:r w:rsidR="009C231F">
        <w:t>vulnerable</w:t>
      </w:r>
      <w:r w:rsidR="00E52587" w:rsidRPr="0048559C">
        <w:t xml:space="preserve"> women</w:t>
      </w:r>
      <w:r w:rsidR="0006758B">
        <w:t xml:space="preserve"> in its design</w:t>
      </w:r>
      <w:r w:rsidR="001062BB" w:rsidRPr="0048559C">
        <w:t>.</w:t>
      </w:r>
    </w:p>
    <w:p w14:paraId="7686F0AA" w14:textId="2451D4D1" w:rsidR="0005037A" w:rsidRDefault="0005037A" w:rsidP="00C911B6">
      <w:pPr>
        <w:spacing w:line="480" w:lineRule="auto"/>
      </w:pPr>
    </w:p>
    <w:p w14:paraId="0A87D1B9" w14:textId="593036CA" w:rsidR="007F2A23" w:rsidRDefault="00C819BD" w:rsidP="00C911B6">
      <w:pPr>
        <w:spacing w:line="480" w:lineRule="auto"/>
      </w:pPr>
      <w:r>
        <w:t>It is the act of f</w:t>
      </w:r>
      <w:r w:rsidR="003E3FBD" w:rsidRPr="0048559C">
        <w:t xml:space="preserve">ormally making </w:t>
      </w:r>
      <w:r>
        <w:t xml:space="preserve">certain </w:t>
      </w:r>
      <w:r w:rsidR="003E3FBD" w:rsidRPr="0048559C">
        <w:t xml:space="preserve">individuals eligible under a constitutive system </w:t>
      </w:r>
      <w:r w:rsidR="003E3FBD">
        <w:t xml:space="preserve">like the EUSS </w:t>
      </w:r>
      <w:r>
        <w:t xml:space="preserve">which </w:t>
      </w:r>
      <w:r w:rsidR="003E3FBD" w:rsidRPr="0048559C">
        <w:t xml:space="preserve">obfuscates the fact that </w:t>
      </w:r>
      <w:r w:rsidR="009B7219">
        <w:t xml:space="preserve">some of these </w:t>
      </w:r>
      <w:r w:rsidR="003E3FBD">
        <w:t>individuals</w:t>
      </w:r>
      <w:r w:rsidR="003E3FBD" w:rsidRPr="0048559C">
        <w:t xml:space="preserve"> are</w:t>
      </w:r>
      <w:r w:rsidR="009B7219">
        <w:t xml:space="preserve"> vulnerable</w:t>
      </w:r>
      <w:r w:rsidR="003E3FBD" w:rsidRPr="0048559C">
        <w:t xml:space="preserve"> </w:t>
      </w:r>
      <w:r w:rsidR="009B7219">
        <w:t xml:space="preserve">because they are </w:t>
      </w:r>
      <w:r w:rsidR="003E3FBD" w:rsidRPr="0048559C">
        <w:t xml:space="preserve">not guaranteed protection in a post-Brexit Britain </w:t>
      </w:r>
      <w:r w:rsidR="00337C77">
        <w:t xml:space="preserve">should </w:t>
      </w:r>
      <w:r w:rsidR="003E3FBD" w:rsidRPr="0048559C">
        <w:t>they fail to satisfy the constitutive criteria</w:t>
      </w:r>
      <w:r w:rsidR="003E3FBD">
        <w:t xml:space="preserve">. </w:t>
      </w:r>
      <w:r w:rsidR="00255884">
        <w:t>This is the situation for all EU citizens, irrespective of gender</w:t>
      </w:r>
      <w:r w:rsidR="00255884" w:rsidRPr="0048559C">
        <w:t xml:space="preserve">. </w:t>
      </w:r>
      <w:r w:rsidR="00255884">
        <w:t>Fineman’s vulnerability theory looks to bring</w:t>
      </w:r>
      <w:r w:rsidR="00FF195C">
        <w:t xml:space="preserve"> such </w:t>
      </w:r>
      <w:r w:rsidR="00255884">
        <w:t xml:space="preserve">overlooked issues into the mainstream, </w:t>
      </w:r>
      <w:r w:rsidR="00FF195C">
        <w:t xml:space="preserve">especially important </w:t>
      </w:r>
      <w:r w:rsidR="00255884">
        <w:t xml:space="preserve">given </w:t>
      </w:r>
      <w:proofErr w:type="spellStart"/>
      <w:r w:rsidR="0073333B" w:rsidRPr="0048559C">
        <w:t>Dauvergne</w:t>
      </w:r>
      <w:r w:rsidR="00255884">
        <w:t>’s</w:t>
      </w:r>
      <w:proofErr w:type="spellEnd"/>
      <w:r w:rsidR="00255884">
        <w:t xml:space="preserve"> </w:t>
      </w:r>
      <w:r w:rsidR="00CB1926">
        <w:t>argu</w:t>
      </w:r>
      <w:r w:rsidR="00255884">
        <w:t xml:space="preserve">ment </w:t>
      </w:r>
      <w:r w:rsidR="00BB5B48">
        <w:t xml:space="preserve">(2007: 495) </w:t>
      </w:r>
      <w:r w:rsidR="00CB1926">
        <w:lastRenderedPageBreak/>
        <w:t>that</w:t>
      </w:r>
      <w:r w:rsidR="00E52587" w:rsidRPr="0048559C">
        <w:t xml:space="preserve"> </w:t>
      </w:r>
      <w:r w:rsidR="0073333B" w:rsidRPr="0048559C">
        <w:t>‘[c]</w:t>
      </w:r>
      <w:proofErr w:type="spellStart"/>
      <w:r w:rsidR="0073333B" w:rsidRPr="0048559C">
        <w:t>itizenship</w:t>
      </w:r>
      <w:proofErr w:type="spellEnd"/>
      <w:r w:rsidR="0073333B" w:rsidRPr="0048559C">
        <w:t xml:space="preserve"> law perfects the exclusionary mechanism of migration law by cloaking it in a discourse of inclusion.’</w:t>
      </w:r>
      <w:r w:rsidR="00BB5B48">
        <w:t xml:space="preserve"> </w:t>
      </w:r>
      <w:r w:rsidR="003E3FBD">
        <w:t>T</w:t>
      </w:r>
      <w:r w:rsidR="00E52587" w:rsidRPr="0048559C">
        <w:t>he EUSS regime</w:t>
      </w:r>
      <w:r w:rsidR="00952352" w:rsidRPr="0048559C">
        <w:t xml:space="preserve"> itself</w:t>
      </w:r>
      <w:r w:rsidR="00E52587" w:rsidRPr="0048559C">
        <w:t xml:space="preserve"> </w:t>
      </w:r>
      <w:r w:rsidR="003E3FBD">
        <w:t xml:space="preserve">is </w:t>
      </w:r>
      <w:r w:rsidR="00425D75" w:rsidRPr="0048559C">
        <w:t xml:space="preserve">the </w:t>
      </w:r>
      <w:r w:rsidR="00EC4E61">
        <w:t xml:space="preserve">closest </w:t>
      </w:r>
      <w:r w:rsidR="00C93B07" w:rsidRPr="0048559C">
        <w:t xml:space="preserve">equivalent </w:t>
      </w:r>
      <w:r w:rsidR="00A136D1" w:rsidRPr="0048559C">
        <w:t xml:space="preserve">in this case to </w:t>
      </w:r>
      <w:r w:rsidR="003E3FBD">
        <w:t xml:space="preserve">(EU) </w:t>
      </w:r>
      <w:r w:rsidR="00E52587" w:rsidRPr="0048559C">
        <w:t>citizenship</w:t>
      </w:r>
      <w:r w:rsidR="00337C77">
        <w:t xml:space="preserve">, as </w:t>
      </w:r>
      <w:r w:rsidR="00DF0912">
        <w:t>its</w:t>
      </w:r>
      <w:r w:rsidR="00337C77">
        <w:t xml:space="preserve"> “replacement” in a post-Brexit Britain</w:t>
      </w:r>
      <w:r w:rsidR="0073333B" w:rsidRPr="0048559C">
        <w:t>.</w:t>
      </w:r>
      <w:r w:rsidR="00952352" w:rsidRPr="0048559C">
        <w:t xml:space="preserve"> </w:t>
      </w:r>
      <w:r w:rsidR="009B7219">
        <w:t xml:space="preserve">Many </w:t>
      </w:r>
      <w:r w:rsidR="003E3FBD">
        <w:t>have highlighted the serious consequences of certain vulnerable groups falling outside the EUSS’s scope l</w:t>
      </w:r>
      <w:r w:rsidR="009C231F">
        <w:t xml:space="preserve">eading up to and even beyond the deadline for the EUSS </w:t>
      </w:r>
      <w:r w:rsidR="00C153B6">
        <w:t xml:space="preserve">which passed </w:t>
      </w:r>
      <w:r w:rsidR="00174E0A">
        <w:t xml:space="preserve">at </w:t>
      </w:r>
      <w:r w:rsidR="009C231F">
        <w:t>the end of June 2021</w:t>
      </w:r>
      <w:r w:rsidR="003E3FBD">
        <w:t>.</w:t>
      </w:r>
      <w:r w:rsidR="009C231F">
        <w:t xml:space="preserve"> </w:t>
      </w:r>
      <w:r w:rsidR="003E3FBD">
        <w:t xml:space="preserve">This is </w:t>
      </w:r>
      <w:r w:rsidR="002B1C08">
        <w:t xml:space="preserve">by either failing to apply </w:t>
      </w:r>
      <w:r w:rsidR="00255884">
        <w:t>for a multitude of reasons</w:t>
      </w:r>
      <w:r w:rsidR="00BB5B48">
        <w:t xml:space="preserve"> (O’Brien &amp; Welsh, 2021)</w:t>
      </w:r>
      <w:r w:rsidR="002B1C08">
        <w:t>, or applying unsuccessfully.</w:t>
      </w:r>
      <w:r w:rsidR="009855DD">
        <w:t xml:space="preserve"> </w:t>
      </w:r>
      <w:r w:rsidR="002B1C08">
        <w:t xml:space="preserve">A cliff edge </w:t>
      </w:r>
      <w:r w:rsidR="000C5DE1">
        <w:t xml:space="preserve">was </w:t>
      </w:r>
      <w:r w:rsidR="002B1C08">
        <w:t xml:space="preserve">created by the deadline, </w:t>
      </w:r>
      <w:r w:rsidR="00F40FEC">
        <w:t xml:space="preserve">and though the </w:t>
      </w:r>
      <w:r w:rsidR="002B1C08">
        <w:t>consequence</w:t>
      </w:r>
      <w:r w:rsidR="000C5DE1">
        <w:t xml:space="preserve">s </w:t>
      </w:r>
      <w:r w:rsidR="00F40FEC">
        <w:t>associated with th</w:t>
      </w:r>
      <w:r w:rsidR="007F22F4">
        <w:t xml:space="preserve">e cliff-edge deadline </w:t>
      </w:r>
      <w:r w:rsidR="00F40FEC">
        <w:t xml:space="preserve">are </w:t>
      </w:r>
      <w:r w:rsidR="00C153B6">
        <w:t>outside the scope of this paper</w:t>
      </w:r>
      <w:r w:rsidR="00BB5B48">
        <w:t xml:space="preserve"> (O’Brien, 2021)</w:t>
      </w:r>
      <w:r w:rsidR="00C153B6">
        <w:t>,</w:t>
      </w:r>
      <w:r w:rsidR="007F22F4">
        <w:t xml:space="preserve"> </w:t>
      </w:r>
      <w:r w:rsidR="007F2A23">
        <w:t>certain</w:t>
      </w:r>
      <w:r w:rsidR="002E0D8A">
        <w:t xml:space="preserve"> of those</w:t>
      </w:r>
      <w:r w:rsidR="007F2A23">
        <w:t xml:space="preserve"> </w:t>
      </w:r>
      <w:r w:rsidR="009B7219">
        <w:t xml:space="preserve">factors </w:t>
      </w:r>
      <w:r w:rsidR="002E0D8A">
        <w:t xml:space="preserve">associated with the cliff-edge deadline still </w:t>
      </w:r>
      <w:r w:rsidR="00F40FEC">
        <w:t xml:space="preserve">impact </w:t>
      </w:r>
      <w:r w:rsidR="007F2A23">
        <w:t xml:space="preserve">immigrant women </w:t>
      </w:r>
      <w:r w:rsidR="00F40FEC">
        <w:t>uniquely</w:t>
      </w:r>
      <w:r w:rsidR="002E0D8A">
        <w:t>.</w:t>
      </w:r>
    </w:p>
    <w:p w14:paraId="1E7A224C" w14:textId="77777777" w:rsidR="00A136D1" w:rsidRPr="0048559C" w:rsidRDefault="00A136D1" w:rsidP="00C911B6">
      <w:pPr>
        <w:spacing w:line="480" w:lineRule="auto"/>
      </w:pPr>
    </w:p>
    <w:p w14:paraId="658DCF54" w14:textId="6D2F2FEF" w:rsidR="00873996" w:rsidRDefault="005C6B44" w:rsidP="00C911B6">
      <w:pPr>
        <w:spacing w:line="480" w:lineRule="auto"/>
      </w:pPr>
      <w:r w:rsidRPr="0048559C">
        <w:t xml:space="preserve">In the past, there </w:t>
      </w:r>
      <w:r w:rsidR="003A212E" w:rsidRPr="0048559C">
        <w:t xml:space="preserve">was </w:t>
      </w:r>
      <w:r w:rsidR="00895EC9" w:rsidRPr="0048559C">
        <w:t xml:space="preserve">a </w:t>
      </w:r>
      <w:r w:rsidR="00876228" w:rsidRPr="0048559C">
        <w:t>significant</w:t>
      </w:r>
      <w:r w:rsidR="00895EC9" w:rsidRPr="0048559C">
        <w:t xml:space="preserve"> </w:t>
      </w:r>
      <w:r w:rsidR="00EE0FC6" w:rsidRPr="0048559C">
        <w:t>difference between being an EU citizen and a non-EU foreign national</w:t>
      </w:r>
      <w:r w:rsidR="00B403ED" w:rsidRPr="0048559C">
        <w:t xml:space="preserve"> </w:t>
      </w:r>
      <w:r w:rsidR="00EE0FC6" w:rsidRPr="0048559C">
        <w:t xml:space="preserve">in the UK because of the higher level of protection demanded by EU law as to equal treatment of its nationals in </w:t>
      </w:r>
      <w:r w:rsidR="00895EC9" w:rsidRPr="0048559C">
        <w:t xml:space="preserve">host </w:t>
      </w:r>
      <w:r w:rsidR="00EE0FC6" w:rsidRPr="0048559C">
        <w:t>EU Member States</w:t>
      </w:r>
      <w:r w:rsidR="00B94AF9">
        <w:t xml:space="preserve"> under the reading of both Article 20-21 TFEU and Article 18 TFEU</w:t>
      </w:r>
      <w:r w:rsidR="00EE0FC6" w:rsidRPr="0048559C">
        <w:t xml:space="preserve">. </w:t>
      </w:r>
      <w:r w:rsidR="00530BEE">
        <w:t>EU citizenship status</w:t>
      </w:r>
      <w:r w:rsidR="003A212E" w:rsidRPr="0048559C">
        <w:t xml:space="preserve"> </w:t>
      </w:r>
      <w:r w:rsidR="000456DE">
        <w:t xml:space="preserve">and the law </w:t>
      </w:r>
      <w:r w:rsidR="00DF0912">
        <w:t xml:space="preserve">somewhat </w:t>
      </w:r>
      <w:r w:rsidR="00693DF3" w:rsidRPr="0048559C">
        <w:t>reliev</w:t>
      </w:r>
      <w:r w:rsidR="003231C5">
        <w:t xml:space="preserve">ed what can be considered to be </w:t>
      </w:r>
      <w:r w:rsidR="00C819BD">
        <w:t xml:space="preserve">the </w:t>
      </w:r>
      <w:r w:rsidR="00693DF3" w:rsidRPr="0048559C">
        <w:t>intersectional pressures</w:t>
      </w:r>
      <w:r w:rsidR="00F40FEC">
        <w:t>,</w:t>
      </w:r>
      <w:r w:rsidR="00693DF3" w:rsidRPr="0048559C">
        <w:t xml:space="preserve"> </w:t>
      </w:r>
      <w:r w:rsidR="00F40FEC">
        <w:t>which they are facing now, on</w:t>
      </w:r>
      <w:r w:rsidR="00693DF3" w:rsidRPr="0048559C">
        <w:t xml:space="preserve"> immigrant </w:t>
      </w:r>
      <w:r w:rsidR="003A212E" w:rsidRPr="0048559C">
        <w:t xml:space="preserve">EU citizen </w:t>
      </w:r>
      <w:r w:rsidR="00693DF3" w:rsidRPr="0048559C">
        <w:t>women</w:t>
      </w:r>
      <w:r w:rsidR="00F856A4">
        <w:t xml:space="preserve"> (and their families)</w:t>
      </w:r>
      <w:r w:rsidR="00693DF3" w:rsidRPr="0048559C">
        <w:t xml:space="preserve"> in the UK</w:t>
      </w:r>
      <w:r w:rsidR="007F2A23">
        <w:t>.</w:t>
      </w:r>
      <w:r w:rsidR="007F2A23">
        <w:rPr>
          <w:rStyle w:val="FootnoteReference"/>
        </w:rPr>
        <w:footnoteReference w:id="16"/>
      </w:r>
      <w:r w:rsidR="00693DF3" w:rsidRPr="0048559C">
        <w:t xml:space="preserve"> </w:t>
      </w:r>
      <w:r w:rsidR="00F40FEC">
        <w:t>W</w:t>
      </w:r>
      <w:r w:rsidR="00EE0FC6" w:rsidRPr="0048559C">
        <w:t xml:space="preserve">ithout </w:t>
      </w:r>
      <w:r w:rsidR="00743080" w:rsidRPr="0048559C">
        <w:t xml:space="preserve">the </w:t>
      </w:r>
      <w:r w:rsidR="00EE0FC6" w:rsidRPr="0048559C">
        <w:t xml:space="preserve">EU citizenship framework to </w:t>
      </w:r>
      <w:r w:rsidR="00F40FEC">
        <w:t xml:space="preserve">somewhat </w:t>
      </w:r>
      <w:r w:rsidR="00EE0FC6" w:rsidRPr="0048559C">
        <w:t>level the playing field,</w:t>
      </w:r>
      <w:r w:rsidR="00A136D1" w:rsidRPr="0048559C">
        <w:t xml:space="preserve"> </w:t>
      </w:r>
      <w:r w:rsidR="00EE0FC6" w:rsidRPr="0048559C">
        <w:t>being a wom</w:t>
      </w:r>
      <w:r w:rsidR="00895EC9" w:rsidRPr="0048559C">
        <w:t xml:space="preserve">an </w:t>
      </w:r>
      <w:r w:rsidR="00EE0FC6" w:rsidRPr="0048559C">
        <w:t>and immigrant in a post-Brexit Britain</w:t>
      </w:r>
      <w:r w:rsidR="00B403ED" w:rsidRPr="0048559C">
        <w:t xml:space="preserve"> </w:t>
      </w:r>
      <w:r w:rsidR="00895EC9" w:rsidRPr="0048559C">
        <w:t xml:space="preserve">are </w:t>
      </w:r>
      <w:r w:rsidR="00693DF3" w:rsidRPr="0048559C">
        <w:t xml:space="preserve">factors </w:t>
      </w:r>
      <w:r w:rsidR="00DF0912">
        <w:t xml:space="preserve">now </w:t>
      </w:r>
      <w:r w:rsidR="00895EC9" w:rsidRPr="0048559C">
        <w:t xml:space="preserve">interacting to reinforce the </w:t>
      </w:r>
      <w:r w:rsidR="007A5937">
        <w:t xml:space="preserve">vulnerabilities of and </w:t>
      </w:r>
      <w:r w:rsidR="00B403ED" w:rsidRPr="0048559C">
        <w:t xml:space="preserve">structural </w:t>
      </w:r>
      <w:r w:rsidR="00FE689E" w:rsidRPr="0048559C">
        <w:t>inequalit</w:t>
      </w:r>
      <w:r w:rsidR="00B403ED" w:rsidRPr="0048559C">
        <w:t>ies</w:t>
      </w:r>
      <w:r w:rsidR="00EE0FC6" w:rsidRPr="0048559C">
        <w:t xml:space="preserve"> against such </w:t>
      </w:r>
      <w:r w:rsidR="00DC4121">
        <w:t xml:space="preserve">immigrant </w:t>
      </w:r>
      <w:r w:rsidR="003A212E" w:rsidRPr="0048559C">
        <w:t>women even</w:t>
      </w:r>
      <w:r w:rsidR="00B403ED" w:rsidRPr="0048559C">
        <w:t xml:space="preserve"> </w:t>
      </w:r>
      <w:r w:rsidR="00FE689E" w:rsidRPr="0048559C">
        <w:t>more</w:t>
      </w:r>
      <w:r w:rsidR="0008745C" w:rsidRPr="0048559C">
        <w:t>.</w:t>
      </w:r>
      <w:r w:rsidR="002D5A3F" w:rsidRPr="0048559C">
        <w:t xml:space="preserve"> </w:t>
      </w:r>
      <w:proofErr w:type="spellStart"/>
      <w:r w:rsidR="00873996" w:rsidRPr="0048559C">
        <w:t>Guruge</w:t>
      </w:r>
      <w:proofErr w:type="spellEnd"/>
      <w:r w:rsidR="00873996" w:rsidRPr="0048559C">
        <w:t xml:space="preserve"> and </w:t>
      </w:r>
      <w:proofErr w:type="spellStart"/>
      <w:r w:rsidR="00873996" w:rsidRPr="0048559C">
        <w:t>Khanlou</w:t>
      </w:r>
      <w:proofErr w:type="spellEnd"/>
      <w:r w:rsidR="00BB5B48">
        <w:t xml:space="preserve"> (2004)</w:t>
      </w:r>
      <w:r w:rsidR="00873996" w:rsidRPr="0048559C">
        <w:t xml:space="preserve"> explains that ‘production, reproduction and presentation of knowledge within a particular ideological foundation can not only perpetuate existing power relations, inequity and vulnerability, but also result in the further marginalization of racialized women’.</w:t>
      </w:r>
      <w:r w:rsidR="00BB5B48" w:rsidRPr="0048559C">
        <w:t xml:space="preserve"> </w:t>
      </w:r>
      <w:r w:rsidR="00C819BD">
        <w:t>Therefore, b</w:t>
      </w:r>
      <w:r w:rsidR="00873996" w:rsidRPr="0048559C">
        <w:t>y failing to recognise the difficult experiences of</w:t>
      </w:r>
      <w:r w:rsidR="00873996">
        <w:t xml:space="preserve"> vulnerable</w:t>
      </w:r>
      <w:r w:rsidR="00873996" w:rsidRPr="0048559C">
        <w:t xml:space="preserve"> </w:t>
      </w:r>
      <w:r w:rsidR="00873996">
        <w:t>immigrant</w:t>
      </w:r>
      <w:r w:rsidR="00873996" w:rsidRPr="0048559C">
        <w:t xml:space="preserve"> women who face obstacles when seeking to remain in the UK after the transition period</w:t>
      </w:r>
      <w:r w:rsidR="00873996">
        <w:t xml:space="preserve">, the EUSS legal framework does exactly what </w:t>
      </w:r>
      <w:proofErr w:type="spellStart"/>
      <w:r w:rsidR="00873996">
        <w:t>Guruge</w:t>
      </w:r>
      <w:proofErr w:type="spellEnd"/>
      <w:r w:rsidR="00873996">
        <w:t xml:space="preserve"> and </w:t>
      </w:r>
      <w:proofErr w:type="spellStart"/>
      <w:r w:rsidR="00873996">
        <w:t>Khanlou</w:t>
      </w:r>
      <w:proofErr w:type="spellEnd"/>
      <w:r w:rsidR="00873996">
        <w:t xml:space="preserve"> caution </w:t>
      </w:r>
      <w:r w:rsidR="000456DE">
        <w:t xml:space="preserve">against, also inconsistent with arguments around Fineman’s </w:t>
      </w:r>
      <w:r w:rsidR="002E0D8A">
        <w:t xml:space="preserve">argument about state acknowledgement </w:t>
      </w:r>
      <w:r w:rsidR="000456DE">
        <w:t>of vulnerability</w:t>
      </w:r>
      <w:r w:rsidR="00873996">
        <w:t>.</w:t>
      </w:r>
    </w:p>
    <w:p w14:paraId="179DE485" w14:textId="77777777" w:rsidR="00D63EBD" w:rsidRDefault="00D63EBD" w:rsidP="00C911B6">
      <w:pPr>
        <w:spacing w:line="480" w:lineRule="auto"/>
      </w:pPr>
    </w:p>
    <w:p w14:paraId="3CEF1194" w14:textId="033CD551" w:rsidR="00C3671B" w:rsidRPr="0048559C" w:rsidRDefault="00BD5CC9" w:rsidP="00C3671B">
      <w:pPr>
        <w:spacing w:line="480" w:lineRule="auto"/>
      </w:pPr>
      <w:r>
        <w:lastRenderedPageBreak/>
        <w:t xml:space="preserve">In doing so, in </w:t>
      </w:r>
      <w:r w:rsidR="008E3022" w:rsidRPr="0048559C">
        <w:t>El-Nany</w:t>
      </w:r>
      <w:r w:rsidR="00A72DE9">
        <w:t>’s</w:t>
      </w:r>
      <w:r w:rsidR="008E3022" w:rsidRPr="0048559C">
        <w:t xml:space="preserve"> </w:t>
      </w:r>
      <w:r>
        <w:t>words</w:t>
      </w:r>
      <w:r w:rsidR="00BB5B48">
        <w:t xml:space="preserve"> (2020: 24)</w:t>
      </w:r>
      <w:r>
        <w:t>, this ‘</w:t>
      </w:r>
      <w:r w:rsidR="008E3022" w:rsidRPr="0048559C">
        <w:t>is the structure that maintains the racialised apportionment of economic opportunity by deeming some people deserving of legal status and others not.’</w:t>
      </w:r>
      <w:r w:rsidR="008E3022">
        <w:t xml:space="preserve"> </w:t>
      </w:r>
      <w:r w:rsidR="009F5720">
        <w:t xml:space="preserve">It </w:t>
      </w:r>
      <w:r w:rsidR="008E3022">
        <w:t xml:space="preserve">highlights how the law is </w:t>
      </w:r>
      <w:r w:rsidR="00D91ECA">
        <w:t xml:space="preserve">aggravating </w:t>
      </w:r>
      <w:r w:rsidR="008E3022">
        <w:t>vulnerability and potentially deepening inequalities</w:t>
      </w:r>
      <w:r w:rsidR="00D91ECA">
        <w:t>, in this case, for immigrant women. I</w:t>
      </w:r>
      <w:r w:rsidR="008E3022">
        <w:t>n order to remedy</w:t>
      </w:r>
      <w:r w:rsidR="00FE2ADB">
        <w:t xml:space="preserve"> this situation</w:t>
      </w:r>
      <w:r w:rsidR="008E3022">
        <w:t xml:space="preserve">, </w:t>
      </w:r>
      <w:r w:rsidR="00D91ECA">
        <w:t xml:space="preserve">the </w:t>
      </w:r>
      <w:r w:rsidR="008E3022">
        <w:t xml:space="preserve">intersectional oppression </w:t>
      </w:r>
      <w:r w:rsidR="00D91ECA">
        <w:t xml:space="preserve">faced by immigrant women </w:t>
      </w:r>
      <w:r w:rsidR="008E3022">
        <w:t>must first be detailed</w:t>
      </w:r>
      <w:r>
        <w:t xml:space="preserve"> to highlight exactly how these women, due to the</w:t>
      </w:r>
      <w:r w:rsidR="0006758B">
        <w:t xml:space="preserve">ir </w:t>
      </w:r>
      <w:r>
        <w:t>immigration status and gender, are being uniquely affected by the law</w:t>
      </w:r>
      <w:r w:rsidR="008E3022">
        <w:t xml:space="preserve">. </w:t>
      </w:r>
      <w:r w:rsidR="00F04C1A">
        <w:t>T</w:t>
      </w:r>
      <w:r w:rsidR="004102F3" w:rsidRPr="0048559C">
        <w:t>he next sections consider victims of VAWG and NEFMs in greater detail</w:t>
      </w:r>
      <w:r w:rsidR="00FB0BC3" w:rsidRPr="0048559C">
        <w:t xml:space="preserve">. </w:t>
      </w:r>
      <w:r w:rsidR="00DA7740">
        <w:t>It</w:t>
      </w:r>
      <w:r w:rsidR="00FB0BC3" w:rsidRPr="0048559C">
        <w:t xml:space="preserve"> </w:t>
      </w:r>
      <w:r w:rsidR="004102F3" w:rsidRPr="0048559C">
        <w:t>draw</w:t>
      </w:r>
      <w:r w:rsidR="00DA7740">
        <w:t>s</w:t>
      </w:r>
      <w:r w:rsidR="004102F3" w:rsidRPr="0048559C">
        <w:t xml:space="preserve"> out how the intersecting characteristics of gender and immigration status </w:t>
      </w:r>
      <w:r w:rsidR="000B5C32" w:rsidRPr="0048559C">
        <w:t xml:space="preserve">that </w:t>
      </w:r>
      <w:r w:rsidR="004102F3" w:rsidRPr="0048559C">
        <w:t xml:space="preserve">has prejudiced these two groups of women in particular, </w:t>
      </w:r>
      <w:r w:rsidR="0085396D">
        <w:t>how data vilifie</w:t>
      </w:r>
      <w:r w:rsidR="002E0D8A">
        <w:t xml:space="preserve">s </w:t>
      </w:r>
      <w:r w:rsidR="0085396D">
        <w:t xml:space="preserve">this argument, </w:t>
      </w:r>
      <w:r w:rsidR="004102F3" w:rsidRPr="0048559C">
        <w:t xml:space="preserve">and what </w:t>
      </w:r>
      <w:r w:rsidR="00DA7740">
        <w:t>t</w:t>
      </w:r>
      <w:r w:rsidR="0085396D">
        <w:t xml:space="preserve">his </w:t>
      </w:r>
      <w:r w:rsidR="004102F3" w:rsidRPr="0048559C">
        <w:t xml:space="preserve">says about the </w:t>
      </w:r>
      <w:r w:rsidR="00E16254">
        <w:t>intersectional</w:t>
      </w:r>
      <w:r w:rsidR="004102F3" w:rsidRPr="0048559C">
        <w:t xml:space="preserve"> </w:t>
      </w:r>
      <w:r w:rsidR="00DA7740">
        <w:t xml:space="preserve">oppression that </w:t>
      </w:r>
      <w:r w:rsidR="004102F3" w:rsidRPr="0048559C">
        <w:t>the EUSS</w:t>
      </w:r>
      <w:r w:rsidR="00DA7740">
        <w:t xml:space="preserve"> is perpetuating in its legal design</w:t>
      </w:r>
      <w:r w:rsidR="004102F3" w:rsidRPr="0048559C">
        <w:t>.</w:t>
      </w:r>
    </w:p>
    <w:p w14:paraId="6CEF75EC" w14:textId="77777777" w:rsidR="00343D64" w:rsidRPr="0048559C" w:rsidRDefault="00343D64" w:rsidP="00C911B6">
      <w:pPr>
        <w:pStyle w:val="Heading1"/>
        <w:numPr>
          <w:ilvl w:val="0"/>
          <w:numId w:val="0"/>
        </w:numPr>
        <w:jc w:val="both"/>
      </w:pPr>
    </w:p>
    <w:p w14:paraId="796813F6" w14:textId="78E7BAA0" w:rsidR="00122819" w:rsidRPr="00C911B6" w:rsidRDefault="00B8294A" w:rsidP="0061492E">
      <w:pPr>
        <w:pStyle w:val="Heading1"/>
        <w:numPr>
          <w:ilvl w:val="0"/>
          <w:numId w:val="0"/>
        </w:numPr>
        <w:rPr>
          <w:b/>
          <w:bCs/>
        </w:rPr>
      </w:pPr>
      <w:r w:rsidRPr="00C911B6">
        <w:rPr>
          <w:b/>
          <w:bCs/>
        </w:rPr>
        <w:t>VICTIMS OF VIOLENCE AGAINST WOMAN AND GIRLS (VAWG)</w:t>
      </w:r>
    </w:p>
    <w:p w14:paraId="18495A93" w14:textId="0ECCB786" w:rsidR="00B1226F" w:rsidRPr="0048559C" w:rsidRDefault="0092009A" w:rsidP="00C911B6">
      <w:pPr>
        <w:spacing w:line="480" w:lineRule="auto"/>
      </w:pPr>
      <w:r w:rsidRPr="0048559C">
        <w:t xml:space="preserve">The issues faced by victims of VAWG are </w:t>
      </w:r>
      <w:r w:rsidR="00B1226F" w:rsidRPr="0048559C">
        <w:t xml:space="preserve">a </w:t>
      </w:r>
      <w:r w:rsidRPr="0048559C">
        <w:t xml:space="preserve">well-documented global issue </w:t>
      </w:r>
      <w:r w:rsidR="0088508B">
        <w:t xml:space="preserve">that has </w:t>
      </w:r>
      <w:r w:rsidRPr="0048559C">
        <w:t>attract</w:t>
      </w:r>
      <w:r w:rsidR="0088508B">
        <w:t xml:space="preserve">ed </w:t>
      </w:r>
      <w:r w:rsidRPr="0048559C">
        <w:t xml:space="preserve">significant scholarly attention over the years. </w:t>
      </w:r>
      <w:r w:rsidR="0088508B">
        <w:t>The</w:t>
      </w:r>
      <w:r w:rsidR="0088508B" w:rsidRPr="0048559C">
        <w:t xml:space="preserve"> focus of this section</w:t>
      </w:r>
      <w:r w:rsidR="0088508B">
        <w:t xml:space="preserve"> is that i</w:t>
      </w:r>
      <w:r w:rsidRPr="0048559C">
        <w:t>n th</w:t>
      </w:r>
      <w:r w:rsidR="00B1226F" w:rsidRPr="0048559C">
        <w:t xml:space="preserve">e Brexit </w:t>
      </w:r>
      <w:r w:rsidRPr="0048559C">
        <w:t>context, th</w:t>
      </w:r>
      <w:r w:rsidR="00B27C37" w:rsidRPr="0048559C">
        <w:t xml:space="preserve">e intersectional element of not having a secure immigration status alongside being a victim of VAWG </w:t>
      </w:r>
      <w:r w:rsidR="0088508B">
        <w:t xml:space="preserve">creates </w:t>
      </w:r>
      <w:r w:rsidR="0028728E">
        <w:t>a distinct</w:t>
      </w:r>
      <w:r w:rsidR="00B27C37" w:rsidRPr="0048559C">
        <w:t xml:space="preserve"> system</w:t>
      </w:r>
      <w:r w:rsidR="0028728E">
        <w:t xml:space="preserve"> </w:t>
      </w:r>
      <w:r w:rsidR="00B27C37" w:rsidRPr="0048559C">
        <w:t>of oppression</w:t>
      </w:r>
      <w:r w:rsidR="003F62B0" w:rsidRPr="0048559C">
        <w:t xml:space="preserve">. </w:t>
      </w:r>
      <w:r w:rsidR="00B27C37" w:rsidRPr="0048559C">
        <w:t xml:space="preserve">Burman and </w:t>
      </w:r>
      <w:proofErr w:type="spellStart"/>
      <w:r w:rsidR="00B27C37" w:rsidRPr="0048559C">
        <w:t>Chantler</w:t>
      </w:r>
      <w:proofErr w:type="spellEnd"/>
      <w:r w:rsidR="00B27C37" w:rsidRPr="0048559C">
        <w:t xml:space="preserve"> </w:t>
      </w:r>
      <w:r w:rsidR="00BB5B48">
        <w:t xml:space="preserve">(2005: 64) </w:t>
      </w:r>
      <w:r w:rsidR="00B27C37" w:rsidRPr="0048559C">
        <w:t>noted</w:t>
      </w:r>
      <w:r w:rsidR="00B360FE">
        <w:t xml:space="preserve"> </w:t>
      </w:r>
      <w:r w:rsidR="00B27C37" w:rsidRPr="0048559C">
        <w:t xml:space="preserve">long before </w:t>
      </w:r>
      <w:r w:rsidR="00EC65D3" w:rsidRPr="0048559C">
        <w:t xml:space="preserve">EU </w:t>
      </w:r>
      <w:r w:rsidR="00B27C37" w:rsidRPr="0048559C">
        <w:t>withdrawal</w:t>
      </w:r>
      <w:r w:rsidR="00C61D09" w:rsidRPr="0048559C">
        <w:t xml:space="preserve"> that</w:t>
      </w:r>
      <w:r w:rsidR="00EC65D3" w:rsidRPr="0048559C">
        <w:t xml:space="preserve"> </w:t>
      </w:r>
      <w:r w:rsidR="00B27C37" w:rsidRPr="0048559C">
        <w:t>specific concerns of minoritized women</w:t>
      </w:r>
      <w:r w:rsidR="001B02C8" w:rsidRPr="0048559C">
        <w:t xml:space="preserve"> had</w:t>
      </w:r>
      <w:r w:rsidR="00C61D09" w:rsidRPr="0048559C">
        <w:t xml:space="preserve"> not been </w:t>
      </w:r>
      <w:r w:rsidR="00B27C37" w:rsidRPr="0048559C">
        <w:t xml:space="preserve">addressed </w:t>
      </w:r>
      <w:r w:rsidR="00EC65D3" w:rsidRPr="0048559C">
        <w:t xml:space="preserve">adequately </w:t>
      </w:r>
      <w:r w:rsidR="00B27C37" w:rsidRPr="0048559C">
        <w:t xml:space="preserve">by the </w:t>
      </w:r>
      <w:r w:rsidR="00F64F76" w:rsidRPr="0048559C">
        <w:t xml:space="preserve">domestic </w:t>
      </w:r>
      <w:r w:rsidR="00B27C37" w:rsidRPr="0048559C">
        <w:t xml:space="preserve">VAWG policy in the UK. </w:t>
      </w:r>
      <w:r w:rsidR="00F64F76" w:rsidRPr="0048559C">
        <w:t xml:space="preserve">At that point, </w:t>
      </w:r>
      <w:r w:rsidR="003C184A" w:rsidRPr="0048559C">
        <w:t xml:space="preserve">the </w:t>
      </w:r>
      <w:r w:rsidR="009F22FC">
        <w:t xml:space="preserve">Government did </w:t>
      </w:r>
      <w:r w:rsidRPr="0048559C">
        <w:t xml:space="preserve">not </w:t>
      </w:r>
      <w:r w:rsidR="00F64F76" w:rsidRPr="0048559C">
        <w:t xml:space="preserve">even </w:t>
      </w:r>
      <w:r w:rsidR="00B27C37" w:rsidRPr="0048559C">
        <w:t>consider</w:t>
      </w:r>
      <w:r w:rsidR="009F22FC">
        <w:t xml:space="preserve"> </w:t>
      </w:r>
      <w:r w:rsidR="00B27C37" w:rsidRPr="0048559C">
        <w:t xml:space="preserve">the effects </w:t>
      </w:r>
      <w:r w:rsidR="009F22FC">
        <w:t xml:space="preserve">that </w:t>
      </w:r>
      <w:r w:rsidR="00B27C37" w:rsidRPr="0048559C">
        <w:t xml:space="preserve">an insecure immigration status </w:t>
      </w:r>
      <w:r w:rsidR="009F22FC">
        <w:t xml:space="preserve">would have </w:t>
      </w:r>
      <w:r w:rsidRPr="0048559C">
        <w:t xml:space="preserve">on </w:t>
      </w:r>
      <w:r w:rsidR="00A70C13">
        <w:t xml:space="preserve">one’s </w:t>
      </w:r>
      <w:r w:rsidR="00F64F76" w:rsidRPr="0048559C">
        <w:t xml:space="preserve">risk of </w:t>
      </w:r>
      <w:r w:rsidR="00B27C37" w:rsidRPr="0048559C">
        <w:t xml:space="preserve">domestic violence, </w:t>
      </w:r>
      <w:r w:rsidR="00F64F76" w:rsidRPr="0048559C">
        <w:t xml:space="preserve">despite </w:t>
      </w:r>
      <w:r w:rsidR="00B27C37" w:rsidRPr="0048559C">
        <w:t>scholarship identif</w:t>
      </w:r>
      <w:r w:rsidR="00F64F76" w:rsidRPr="0048559C">
        <w:t xml:space="preserve">ying and highlighting </w:t>
      </w:r>
      <w:r w:rsidR="00B27C37" w:rsidRPr="0048559C">
        <w:t xml:space="preserve">that intersectionality </w:t>
      </w:r>
      <w:r w:rsidR="009F22FC">
        <w:t xml:space="preserve">heightens </w:t>
      </w:r>
      <w:r w:rsidR="00B27C37" w:rsidRPr="0048559C">
        <w:t>vulnerability more</w:t>
      </w:r>
      <w:r w:rsidR="00BB5B48">
        <w:t xml:space="preserve"> (</w:t>
      </w:r>
      <w:proofErr w:type="spellStart"/>
      <w:r w:rsidR="00BB5B48">
        <w:t>Anitha</w:t>
      </w:r>
      <w:proofErr w:type="spellEnd"/>
      <w:r w:rsidR="00BB5B48">
        <w:t>, 2011)</w:t>
      </w:r>
      <w:r w:rsidR="00B27C37" w:rsidRPr="0048559C">
        <w:t>.</w:t>
      </w:r>
      <w:r w:rsidR="00B1226F" w:rsidRPr="0048559C">
        <w:t xml:space="preserve"> </w:t>
      </w:r>
      <w:r w:rsidR="0088508B">
        <w:t>Within this context</w:t>
      </w:r>
      <w:r w:rsidR="00AA439F" w:rsidRPr="0048559C">
        <w:t>,</w:t>
      </w:r>
      <w:r w:rsidR="00F64F76" w:rsidRPr="0048559C">
        <w:t xml:space="preserve"> </w:t>
      </w:r>
      <w:r w:rsidR="0088508B">
        <w:t xml:space="preserve">the argument is </w:t>
      </w:r>
      <w:r w:rsidR="006D0C33">
        <w:t xml:space="preserve">that </w:t>
      </w:r>
      <w:r w:rsidR="00B1226F" w:rsidRPr="0048559C">
        <w:t xml:space="preserve">the EUSS </w:t>
      </w:r>
      <w:r w:rsidR="00B360FE">
        <w:t xml:space="preserve">is yet another </w:t>
      </w:r>
      <w:r w:rsidR="00AD7C13">
        <w:t>relevant</w:t>
      </w:r>
      <w:r w:rsidR="00B360FE">
        <w:t xml:space="preserve"> immigration regime </w:t>
      </w:r>
      <w:r w:rsidR="00AA439F" w:rsidRPr="0048559C">
        <w:t>that exacerbates</w:t>
      </w:r>
      <w:r w:rsidR="0068368D">
        <w:t>, rather than alleviates,</w:t>
      </w:r>
      <w:r w:rsidR="00AA439F" w:rsidRPr="0048559C">
        <w:t xml:space="preserve"> </w:t>
      </w:r>
      <w:r w:rsidR="00B360FE">
        <w:t xml:space="preserve">such </w:t>
      </w:r>
      <w:r w:rsidR="00AA439F" w:rsidRPr="0048559C">
        <w:t>vulnerabilities for victims of VAWG</w:t>
      </w:r>
      <w:r w:rsidR="00B360FE">
        <w:t xml:space="preserve">. </w:t>
      </w:r>
      <w:r w:rsidR="0068368D">
        <w:t>It</w:t>
      </w:r>
      <w:r w:rsidR="00B360FE">
        <w:t xml:space="preserve"> shapes these </w:t>
      </w:r>
      <w:r w:rsidR="00176507">
        <w:t>immigrant</w:t>
      </w:r>
      <w:r w:rsidR="00B1226F" w:rsidRPr="0048559C">
        <w:t xml:space="preserve"> women’s </w:t>
      </w:r>
      <w:r w:rsidR="00B360FE">
        <w:t>experience</w:t>
      </w:r>
      <w:r w:rsidR="00A70C13">
        <w:t xml:space="preserve">s </w:t>
      </w:r>
      <w:r w:rsidR="00B360FE">
        <w:t xml:space="preserve">of </w:t>
      </w:r>
      <w:r w:rsidR="00B1226F" w:rsidRPr="0048559C">
        <w:t xml:space="preserve">the law in a post-Brexit Britain. This section will clarify </w:t>
      </w:r>
      <w:r w:rsidR="00A70C13">
        <w:t xml:space="preserve">more specifically </w:t>
      </w:r>
      <w:r w:rsidR="00B1226F" w:rsidRPr="0048559C">
        <w:t xml:space="preserve">how the EUSS framework operates to </w:t>
      </w:r>
      <w:r w:rsidR="001D2409" w:rsidRPr="0048559C">
        <w:t>make</w:t>
      </w:r>
      <w:r w:rsidR="00C61D09" w:rsidRPr="0048559C">
        <w:t xml:space="preserve"> these</w:t>
      </w:r>
      <w:r w:rsidR="001D2409" w:rsidRPr="0048559C">
        <w:t xml:space="preserve"> </w:t>
      </w:r>
      <w:r w:rsidR="00090E96">
        <w:t xml:space="preserve">victims of VAWG </w:t>
      </w:r>
      <w:r w:rsidR="001D2409" w:rsidRPr="0048559C">
        <w:t>more vulnerable</w:t>
      </w:r>
      <w:r w:rsidR="00B1226F" w:rsidRPr="0048559C">
        <w:t>.</w:t>
      </w:r>
    </w:p>
    <w:p w14:paraId="5C4A2BFF" w14:textId="04B7B451" w:rsidR="00B1226F" w:rsidRPr="0048559C" w:rsidRDefault="00B1226F" w:rsidP="00C911B6">
      <w:pPr>
        <w:spacing w:line="480" w:lineRule="auto"/>
      </w:pPr>
    </w:p>
    <w:p w14:paraId="168D2900" w14:textId="278BF88B" w:rsidR="00441030" w:rsidRPr="0048559C" w:rsidRDefault="00441030" w:rsidP="0061492E">
      <w:pPr>
        <w:pStyle w:val="Heading1"/>
        <w:numPr>
          <w:ilvl w:val="0"/>
          <w:numId w:val="12"/>
        </w:numPr>
        <w:jc w:val="left"/>
        <w:rPr>
          <w:i/>
          <w:iCs/>
        </w:rPr>
      </w:pPr>
      <w:r w:rsidRPr="0048559C">
        <w:rPr>
          <w:i/>
          <w:iCs/>
        </w:rPr>
        <w:t>Intersectional vulnerabilities of victims of VAWG</w:t>
      </w:r>
    </w:p>
    <w:p w14:paraId="1B92B0D3" w14:textId="0B9DAAC5" w:rsidR="007335D0" w:rsidRDefault="007335D0" w:rsidP="00C911B6">
      <w:pPr>
        <w:spacing w:line="480" w:lineRule="auto"/>
      </w:pPr>
      <w:r>
        <w:t>Crenshaw herself speaks to the intersectional vulnerability for immigrant victims of VAWG in the US in her seminal article where the theory of intersectionality was born</w:t>
      </w:r>
      <w:r w:rsidR="00BB5B48">
        <w:t xml:space="preserve"> (199</w:t>
      </w:r>
      <w:r w:rsidR="00446577">
        <w:t>1</w:t>
      </w:r>
      <w:r w:rsidR="00BB5B48">
        <w:t>: 1246ff)</w:t>
      </w:r>
      <w:r>
        <w:t xml:space="preserve">. She highlights that </w:t>
      </w:r>
      <w:r>
        <w:lastRenderedPageBreak/>
        <w:t>it</w:t>
      </w:r>
      <w:r w:rsidR="00B224ED" w:rsidRPr="0048559C">
        <w:t xml:space="preserve"> makes a significant</w:t>
      </w:r>
      <w:r w:rsidR="00B27C37" w:rsidRPr="0048559C">
        <w:t xml:space="preserve"> difference</w:t>
      </w:r>
      <w:r w:rsidR="00B224ED" w:rsidRPr="0048559C">
        <w:t xml:space="preserve"> </w:t>
      </w:r>
      <w:r w:rsidR="00B27C37" w:rsidRPr="0048559C">
        <w:t>for a victim of VAWG to have citizenship</w:t>
      </w:r>
      <w:r w:rsidR="009045CC" w:rsidRPr="0048559C">
        <w:t xml:space="preserve"> rather than a precarious immigration stat</w:t>
      </w:r>
      <w:r w:rsidR="00B224ED" w:rsidRPr="0048559C">
        <w:t xml:space="preserve">us in terms of their vulnerabilities under the law. </w:t>
      </w:r>
      <w:r>
        <w:t xml:space="preserve">It can be said that this claim is </w:t>
      </w:r>
      <w:r w:rsidR="00B224ED" w:rsidRPr="0048559C">
        <w:t xml:space="preserve">based on the </w:t>
      </w:r>
      <w:r>
        <w:t xml:space="preserve">notion </w:t>
      </w:r>
      <w:r w:rsidR="00B224ED" w:rsidRPr="0048559C">
        <w:t xml:space="preserve">that </w:t>
      </w:r>
      <w:r w:rsidR="00B27C37" w:rsidRPr="0048559C">
        <w:t>citizenship is a privilege</w:t>
      </w:r>
      <w:r w:rsidR="00A776B7">
        <w:t xml:space="preserve"> (Miller, 2000; Marshall, 1950)</w:t>
      </w:r>
      <w:r w:rsidR="00B224ED" w:rsidRPr="0048559C">
        <w:t xml:space="preserve">, which is especially evident </w:t>
      </w:r>
      <w:r w:rsidR="0001660E" w:rsidRPr="0048559C">
        <w:t xml:space="preserve">even </w:t>
      </w:r>
      <w:r w:rsidR="00B224ED" w:rsidRPr="0048559C">
        <w:t xml:space="preserve">when </w:t>
      </w:r>
      <w:r w:rsidR="00C61D09" w:rsidRPr="0048559C">
        <w:t xml:space="preserve">compared to </w:t>
      </w:r>
      <w:r w:rsidR="00B224ED" w:rsidRPr="0048559C">
        <w:t>what is deemed</w:t>
      </w:r>
      <w:r w:rsidR="0001660E" w:rsidRPr="0048559C">
        <w:t xml:space="preserve"> as</w:t>
      </w:r>
      <w:r w:rsidR="00B224ED" w:rsidRPr="0048559C">
        <w:t xml:space="preserve"> more “</w:t>
      </w:r>
      <w:r w:rsidR="00C61D09" w:rsidRPr="0048559C">
        <w:t>secure</w:t>
      </w:r>
      <w:r w:rsidR="00B224ED" w:rsidRPr="0048559C">
        <w:t xml:space="preserve">” </w:t>
      </w:r>
      <w:r w:rsidR="00C61D09" w:rsidRPr="0048559C">
        <w:t>immigration status</w:t>
      </w:r>
      <w:r w:rsidR="0001660E" w:rsidRPr="0048559C">
        <w:t>es</w:t>
      </w:r>
      <w:r w:rsidR="006D0C33">
        <w:t xml:space="preserve">. </w:t>
      </w:r>
      <w:r>
        <w:t xml:space="preserve">This has </w:t>
      </w:r>
      <w:r w:rsidR="000C7C42" w:rsidRPr="0048559C">
        <w:t xml:space="preserve">become </w:t>
      </w:r>
      <w:r w:rsidR="00B1226F" w:rsidRPr="0048559C">
        <w:t xml:space="preserve">especially true </w:t>
      </w:r>
      <w:r w:rsidR="00E53C8C" w:rsidRPr="0048559C">
        <w:t xml:space="preserve">for the immigration regime applicable in a </w:t>
      </w:r>
      <w:r w:rsidR="00B1226F" w:rsidRPr="0048559C">
        <w:t>post-Brexit Britain.</w:t>
      </w:r>
      <w:r w:rsidR="00662071" w:rsidRPr="0048559C">
        <w:t xml:space="preserve"> </w:t>
      </w:r>
      <w:r>
        <w:t xml:space="preserve">The </w:t>
      </w:r>
      <w:r w:rsidR="00B27C37" w:rsidRPr="0048559C">
        <w:t xml:space="preserve">kind of framing of </w:t>
      </w:r>
      <w:r w:rsidR="001D0284" w:rsidRPr="0048559C">
        <w:t xml:space="preserve">domestic </w:t>
      </w:r>
      <w:r w:rsidR="00B27C37" w:rsidRPr="0048559C">
        <w:t xml:space="preserve">citizenship </w:t>
      </w:r>
      <w:r w:rsidR="001D0284" w:rsidRPr="0048559C">
        <w:t xml:space="preserve">laws </w:t>
      </w:r>
      <w:r w:rsidR="002361D5">
        <w:t xml:space="preserve">sees it </w:t>
      </w:r>
      <w:r w:rsidR="0028728E">
        <w:t>as a privilege</w:t>
      </w:r>
      <w:r w:rsidR="00AC5B74">
        <w:t xml:space="preserve"> to remain and not be deported</w:t>
      </w:r>
      <w:r w:rsidR="002361D5">
        <w:t>, and</w:t>
      </w:r>
      <w:r w:rsidR="0028728E">
        <w:t xml:space="preserve"> </w:t>
      </w:r>
      <w:r w:rsidR="00B27C37" w:rsidRPr="0048559C">
        <w:t xml:space="preserve">ultimately affects the development of </w:t>
      </w:r>
      <w:r w:rsidR="00F60F6A" w:rsidRPr="0048559C">
        <w:t xml:space="preserve">subsequent </w:t>
      </w:r>
      <w:r w:rsidR="001D0284" w:rsidRPr="0048559C">
        <w:t xml:space="preserve">domestic </w:t>
      </w:r>
      <w:r w:rsidR="00B27C37" w:rsidRPr="0048559C">
        <w:t>immigration laws</w:t>
      </w:r>
      <w:r w:rsidR="009A532B" w:rsidRPr="0048559C">
        <w:t xml:space="preserve"> like the EUS</w:t>
      </w:r>
      <w:r w:rsidR="00DD7CE2">
        <w:t>S</w:t>
      </w:r>
      <w:r w:rsidR="00B27C37" w:rsidRPr="0048559C">
        <w:t>.</w:t>
      </w:r>
    </w:p>
    <w:p w14:paraId="4D2D7A7E" w14:textId="64C107B1" w:rsidR="00B1226F" w:rsidRPr="0048559C" w:rsidRDefault="00B1226F" w:rsidP="00C911B6">
      <w:pPr>
        <w:spacing w:line="480" w:lineRule="auto"/>
      </w:pPr>
    </w:p>
    <w:p w14:paraId="5362DA5E" w14:textId="3EF73BE0" w:rsidR="00D54631" w:rsidRPr="0048559C" w:rsidRDefault="00D54631" w:rsidP="00D54631">
      <w:pPr>
        <w:spacing w:line="480" w:lineRule="auto"/>
      </w:pPr>
      <w:r>
        <w:t>Subsequent to Crenshaw’s establishment of the theory of intersectionality in the early 90s</w:t>
      </w:r>
      <w:r w:rsidR="00BD1F77">
        <w:t>, there</w:t>
      </w:r>
      <w:r>
        <w:t xml:space="preserve"> was </w:t>
      </w:r>
      <w:r w:rsidR="00160673">
        <w:t>a</w:t>
      </w:r>
      <w:r w:rsidR="00B1226F" w:rsidRPr="0048559C">
        <w:t xml:space="preserve"> burgeoning portfolio of literature in the mid-2000s </w:t>
      </w:r>
      <w:r>
        <w:t xml:space="preserve">that </w:t>
      </w:r>
      <w:r w:rsidR="00B1226F" w:rsidRPr="0048559C">
        <w:t>address</w:t>
      </w:r>
      <w:r>
        <w:t xml:space="preserve">ed </w:t>
      </w:r>
      <w:r w:rsidR="004D317E">
        <w:t>the</w:t>
      </w:r>
      <w:r w:rsidR="00B1226F" w:rsidRPr="0048559C">
        <w:t xml:space="preserve"> glaring lacuna in the area of domestic violence studies</w:t>
      </w:r>
      <w:r w:rsidR="00BD1F77">
        <w:t xml:space="preserve"> </w:t>
      </w:r>
      <w:r w:rsidR="004D317E">
        <w:t xml:space="preserve">and intersectionality </w:t>
      </w:r>
      <w:r w:rsidR="00BD1F77">
        <w:t>(</w:t>
      </w:r>
      <w:proofErr w:type="spellStart"/>
      <w:r w:rsidR="00BD1F77">
        <w:t>Erez</w:t>
      </w:r>
      <w:proofErr w:type="spellEnd"/>
      <w:r w:rsidR="00BD1F77">
        <w:t xml:space="preserve">, Adelman &amp; Gregory, 2009; Burman, </w:t>
      </w:r>
      <w:proofErr w:type="spellStart"/>
      <w:r w:rsidR="00BD1F77">
        <w:t>Smailes</w:t>
      </w:r>
      <w:proofErr w:type="spellEnd"/>
      <w:r w:rsidR="00BD1F77">
        <w:t xml:space="preserve"> &amp; </w:t>
      </w:r>
      <w:proofErr w:type="spellStart"/>
      <w:r w:rsidR="00BD1F77">
        <w:t>Chantler</w:t>
      </w:r>
      <w:proofErr w:type="spellEnd"/>
      <w:r w:rsidR="00BD1F77">
        <w:t xml:space="preserve">, 2004; </w:t>
      </w:r>
      <w:proofErr w:type="spellStart"/>
      <w:r w:rsidR="00BD1F77">
        <w:t>Menjivar</w:t>
      </w:r>
      <w:proofErr w:type="spellEnd"/>
      <w:r w:rsidR="00BD1F77">
        <w:t xml:space="preserve"> &amp; Salcido, 2002; Sokoloff &amp; Dupont, 2005)</w:t>
      </w:r>
      <w:r w:rsidR="006D0C33">
        <w:t>. B</w:t>
      </w:r>
      <w:r w:rsidR="00451246" w:rsidRPr="0048559C">
        <w:t xml:space="preserve">efore </w:t>
      </w:r>
      <w:r w:rsidR="004D317E">
        <w:t>this</w:t>
      </w:r>
      <w:r w:rsidR="008003B3">
        <w:t>,</w:t>
      </w:r>
      <w:r w:rsidR="006D0C33">
        <w:t xml:space="preserve"> </w:t>
      </w:r>
      <w:r w:rsidR="004D317E">
        <w:t xml:space="preserve">the regulation of domestic violence appeared largely to </w:t>
      </w:r>
      <w:r w:rsidR="00B1226F" w:rsidRPr="0048559C">
        <w:t>fail to consider the intersectional elements of women</w:t>
      </w:r>
      <w:r w:rsidR="00EA430E">
        <w:t xml:space="preserve"> of colour</w:t>
      </w:r>
      <w:r w:rsidR="00B1226F" w:rsidRPr="0048559C">
        <w:t>’s experiences of VAW</w:t>
      </w:r>
      <w:r w:rsidR="00BD1F77">
        <w:t>G</w:t>
      </w:r>
      <w:r w:rsidR="00B1226F" w:rsidRPr="0048559C">
        <w:t>. Most of the</w:t>
      </w:r>
      <w:r w:rsidR="006D0C33">
        <w:t xml:space="preserve"> arguments</w:t>
      </w:r>
      <w:r w:rsidR="00B1226F" w:rsidRPr="0048559C">
        <w:t xml:space="preserve"> centred around the fact that race</w:t>
      </w:r>
      <w:r w:rsidR="00EA430E">
        <w:t xml:space="preserve"> and class</w:t>
      </w:r>
      <w:r w:rsidR="00B1226F" w:rsidRPr="0048559C">
        <w:t xml:space="preserve"> </w:t>
      </w:r>
      <w:r w:rsidR="00EA430E">
        <w:t xml:space="preserve">intersected with gender to deepen inequality, </w:t>
      </w:r>
      <w:r w:rsidR="008003B3">
        <w:t xml:space="preserve">as well as </w:t>
      </w:r>
      <w:r w:rsidR="006D0C33">
        <w:t xml:space="preserve">arguing </w:t>
      </w:r>
      <w:r w:rsidR="008003B3">
        <w:t xml:space="preserve">that the </w:t>
      </w:r>
      <w:r w:rsidR="00EA430E">
        <w:t xml:space="preserve">law </w:t>
      </w:r>
      <w:r w:rsidR="008003B3">
        <w:t>i</w:t>
      </w:r>
      <w:r w:rsidR="00EA430E">
        <w:t xml:space="preserve">s inadequate in recognising </w:t>
      </w:r>
      <w:r w:rsidR="00E4729C">
        <w:t xml:space="preserve">Black </w:t>
      </w:r>
      <w:r w:rsidR="008003B3">
        <w:t xml:space="preserve">women’s </w:t>
      </w:r>
      <w:r w:rsidR="00EA430E">
        <w:t>intersecting identities as distinct</w:t>
      </w:r>
      <w:r w:rsidR="00E4729C">
        <w:t xml:space="preserve"> from being Black generally, or being a wom</w:t>
      </w:r>
      <w:r w:rsidR="006A6576">
        <w:t>a</w:t>
      </w:r>
      <w:r w:rsidR="00E4729C">
        <w:t>n generally</w:t>
      </w:r>
      <w:r w:rsidR="00B1226F" w:rsidRPr="0048559C">
        <w:t xml:space="preserve">. </w:t>
      </w:r>
      <w:r w:rsidR="00BD1F77">
        <w:t>The l</w:t>
      </w:r>
      <w:r w:rsidR="00B1226F" w:rsidRPr="0048559C">
        <w:t xml:space="preserve">aw itself </w:t>
      </w:r>
      <w:r w:rsidR="006D0C33">
        <w:t xml:space="preserve">also </w:t>
      </w:r>
      <w:r w:rsidR="00B1226F" w:rsidRPr="0048559C">
        <w:t>played a large contributing factor in exacerbating the experiences of these women because of its inadequate response to tackling VAWG for women of colour and immigrants</w:t>
      </w:r>
      <w:r w:rsidR="00504A3C" w:rsidRPr="0048559C">
        <w:t xml:space="preserve"> – which has indeed been the case in the UK</w:t>
      </w:r>
      <w:r w:rsidR="00231028">
        <w:t xml:space="preserve"> (</w:t>
      </w:r>
      <w:proofErr w:type="spellStart"/>
      <w:r w:rsidR="00231028">
        <w:t>Graca</w:t>
      </w:r>
      <w:proofErr w:type="spellEnd"/>
      <w:r w:rsidR="00231028">
        <w:t>, 2017)</w:t>
      </w:r>
      <w:r w:rsidR="00504A3C" w:rsidRPr="0048559C">
        <w:t>.</w:t>
      </w:r>
      <w:r w:rsidR="00B1226F" w:rsidRPr="0048559C">
        <w:t xml:space="preserve"> </w:t>
      </w:r>
      <w:r w:rsidR="004D317E">
        <w:t>W</w:t>
      </w:r>
      <w:r w:rsidR="00AC5B74">
        <w:t xml:space="preserve">e </w:t>
      </w:r>
      <w:r w:rsidR="004D317E">
        <w:t xml:space="preserve">now </w:t>
      </w:r>
      <w:r w:rsidR="00AC5B74">
        <w:t>consider t</w:t>
      </w:r>
      <w:r>
        <w:t>hese women</w:t>
      </w:r>
      <w:r w:rsidR="004D317E">
        <w:t xml:space="preserve"> who</w:t>
      </w:r>
      <w:r w:rsidR="00E744CD">
        <w:t xml:space="preserve"> are</w:t>
      </w:r>
      <w:r w:rsidR="004D317E">
        <w:t xml:space="preserve"> </w:t>
      </w:r>
      <w:r>
        <w:t xml:space="preserve">already vulnerable because of the violence they are subjected, </w:t>
      </w:r>
      <w:r w:rsidR="004D317E">
        <w:t xml:space="preserve">yet </w:t>
      </w:r>
      <w:r w:rsidR="00AC5B74">
        <w:t xml:space="preserve">also </w:t>
      </w:r>
      <w:r>
        <w:t xml:space="preserve">subjected to a new immigration regime that requires positive action through its constitutive system, rather than the </w:t>
      </w:r>
      <w:r w:rsidR="00AC5B74">
        <w:t xml:space="preserve">declaratory </w:t>
      </w:r>
      <w:r>
        <w:t>framework they were previously protected under before.</w:t>
      </w:r>
      <w:r w:rsidR="00AC5B74">
        <w:t xml:space="preserve"> Importantly, as Crenshaw </w:t>
      </w:r>
      <w:r w:rsidR="00962FF2">
        <w:t>(199</w:t>
      </w:r>
      <w:r w:rsidR="00446577">
        <w:t>1</w:t>
      </w:r>
      <w:r w:rsidR="00962FF2">
        <w:t xml:space="preserve">) </w:t>
      </w:r>
      <w:r w:rsidR="00AC5B74">
        <w:t>noted, it is distinct from being an immigrant generally, or being a woman (subject to VAWG) generally.</w:t>
      </w:r>
    </w:p>
    <w:p w14:paraId="798C6121" w14:textId="77777777" w:rsidR="00D54631" w:rsidRDefault="00D54631" w:rsidP="00C911B6">
      <w:pPr>
        <w:spacing w:line="480" w:lineRule="auto"/>
      </w:pPr>
    </w:p>
    <w:p w14:paraId="2210B522" w14:textId="7F708EC2" w:rsidR="00D54631" w:rsidRDefault="009045CC" w:rsidP="00C911B6">
      <w:pPr>
        <w:spacing w:line="480" w:lineRule="auto"/>
      </w:pPr>
      <w:proofErr w:type="spellStart"/>
      <w:r w:rsidRPr="0048559C">
        <w:t>Voolma</w:t>
      </w:r>
      <w:proofErr w:type="spellEnd"/>
      <w:r w:rsidR="00962FF2">
        <w:t xml:space="preserve"> (2018: 1833)</w:t>
      </w:r>
      <w:r w:rsidRPr="0048559C">
        <w:t xml:space="preserve"> explains</w:t>
      </w:r>
      <w:r w:rsidR="00D54631">
        <w:t xml:space="preserve"> </w:t>
      </w:r>
      <w:r w:rsidR="00147812">
        <w:t>why there is a unique experience</w:t>
      </w:r>
      <w:r w:rsidR="00CA5AE2">
        <w:t xml:space="preserve"> of VAWG</w:t>
      </w:r>
      <w:r w:rsidR="00147812">
        <w:t xml:space="preserve"> for immigrant women, arguing that it is </w:t>
      </w:r>
      <w:r w:rsidR="00D54631">
        <w:t>i</w:t>
      </w:r>
      <w:r w:rsidRPr="0048559C">
        <w:t xml:space="preserve">mmigration law </w:t>
      </w:r>
      <w:r w:rsidR="001B5B72">
        <w:t xml:space="preserve">which </w:t>
      </w:r>
      <w:r w:rsidRPr="0048559C">
        <w:t xml:space="preserve">shapes </w:t>
      </w:r>
      <w:r w:rsidR="001B5B72">
        <w:t xml:space="preserve">much of the lived </w:t>
      </w:r>
      <w:r w:rsidRPr="0048559C">
        <w:t>experience</w:t>
      </w:r>
      <w:r w:rsidR="001B5B72">
        <w:t>s</w:t>
      </w:r>
      <w:r w:rsidRPr="0048559C">
        <w:t xml:space="preserve"> of victims subject to VAWG</w:t>
      </w:r>
      <w:r w:rsidR="001B5B72">
        <w:t>. P</w:t>
      </w:r>
      <w:r w:rsidRPr="0048559C">
        <w:t>roblematically</w:t>
      </w:r>
      <w:r w:rsidR="001B5B72">
        <w:t xml:space="preserve">, it </w:t>
      </w:r>
      <w:r w:rsidRPr="0048559C">
        <w:t>exacerbates what is already a harrowing experience for some of the most vulnerable of society</w:t>
      </w:r>
      <w:r w:rsidR="001B5B72">
        <w:t xml:space="preserve">, as </w:t>
      </w:r>
      <w:r w:rsidRPr="0048559C">
        <w:t xml:space="preserve">‘the uncertainty inherent in a temporary status that is conceptually important </w:t>
      </w:r>
      <w:r w:rsidRPr="0048559C">
        <w:lastRenderedPageBreak/>
        <w:t xml:space="preserve">here—a woman not knowing whether she can stay long-term provides perpetrators of violence with a further tool of </w:t>
      </w:r>
      <w:r w:rsidR="00E1701D" w:rsidRPr="0048559C">
        <w:t xml:space="preserve">abuse: </w:t>
      </w:r>
      <w:r w:rsidRPr="0048559C">
        <w:t>exploiting women’s fears of deportation.’</w:t>
      </w:r>
      <w:r w:rsidR="00B360FE">
        <w:t xml:space="preserve"> These immigration-specific fears, on top of their vulnerability to being subject to violence, </w:t>
      </w:r>
      <w:r w:rsidR="00AC5B74">
        <w:t xml:space="preserve">is the intersectionality that </w:t>
      </w:r>
      <w:r w:rsidR="00B360FE">
        <w:t>the EUSS fails to consider in its framework.</w:t>
      </w:r>
      <w:r w:rsidR="004759E9">
        <w:t xml:space="preserve"> </w:t>
      </w:r>
      <w:r w:rsidR="004759E9" w:rsidRPr="0048559C">
        <w:t xml:space="preserve">The obstacles faced in the context of the EUSS </w:t>
      </w:r>
      <w:r w:rsidR="004759E9">
        <w:t xml:space="preserve">clearly outline how </w:t>
      </w:r>
      <w:r w:rsidR="004759E9" w:rsidRPr="0048559C">
        <w:t xml:space="preserve">the government </w:t>
      </w:r>
      <w:r w:rsidR="004759E9">
        <w:t xml:space="preserve">failed to consider </w:t>
      </w:r>
      <w:r w:rsidR="0068368D">
        <w:t xml:space="preserve">and address </w:t>
      </w:r>
      <w:r w:rsidR="004759E9">
        <w:t>this intersectional oppression.</w:t>
      </w:r>
    </w:p>
    <w:p w14:paraId="7EBA5686" w14:textId="77777777" w:rsidR="00D54631" w:rsidRDefault="00D54631" w:rsidP="00D54631">
      <w:pPr>
        <w:pStyle w:val="Heading1"/>
        <w:numPr>
          <w:ilvl w:val="0"/>
          <w:numId w:val="0"/>
        </w:numPr>
        <w:ind w:left="720"/>
        <w:jc w:val="left"/>
        <w:rPr>
          <w:i/>
          <w:iCs/>
        </w:rPr>
      </w:pPr>
    </w:p>
    <w:p w14:paraId="407014F7" w14:textId="472FAF52" w:rsidR="009045CC" w:rsidRPr="0048559C" w:rsidRDefault="00D54631" w:rsidP="0061492E">
      <w:pPr>
        <w:pStyle w:val="Heading1"/>
        <w:numPr>
          <w:ilvl w:val="0"/>
          <w:numId w:val="12"/>
        </w:numPr>
        <w:jc w:val="left"/>
        <w:rPr>
          <w:i/>
          <w:iCs/>
        </w:rPr>
      </w:pPr>
      <w:r w:rsidRPr="0048559C">
        <w:rPr>
          <w:i/>
          <w:iCs/>
        </w:rPr>
        <w:t>EUSS-specific obstacles faced by victims of VAWG</w:t>
      </w:r>
    </w:p>
    <w:p w14:paraId="1CE94C08" w14:textId="2842BA4B" w:rsidR="00382B3E" w:rsidRDefault="00C80796" w:rsidP="00C911B6">
      <w:pPr>
        <w:spacing w:line="480" w:lineRule="auto"/>
      </w:pPr>
      <w:r w:rsidRPr="0048559C">
        <w:t xml:space="preserve">The </w:t>
      </w:r>
      <w:r w:rsidR="004F22BC" w:rsidRPr="0048559C">
        <w:t xml:space="preserve">specific </w:t>
      </w:r>
      <w:r w:rsidR="00BF4FFB" w:rsidRPr="0048559C">
        <w:t xml:space="preserve">issues facing victims of VAWG </w:t>
      </w:r>
      <w:r w:rsidR="004F22BC" w:rsidRPr="0048559C">
        <w:t xml:space="preserve">under the EUSS </w:t>
      </w:r>
      <w:r w:rsidR="00BF4FFB" w:rsidRPr="0048559C">
        <w:t xml:space="preserve">can be </w:t>
      </w:r>
      <w:r w:rsidR="00336E74" w:rsidRPr="0048559C">
        <w:t>classified</w:t>
      </w:r>
      <w:r w:rsidRPr="0048559C">
        <w:t xml:space="preserve"> </w:t>
      </w:r>
      <w:r w:rsidR="00336E74" w:rsidRPr="0048559C">
        <w:t xml:space="preserve">by considering </w:t>
      </w:r>
      <w:r w:rsidR="00C4533F" w:rsidRPr="0048559C">
        <w:t xml:space="preserve">two </w:t>
      </w:r>
      <w:r w:rsidR="00BF4FFB" w:rsidRPr="0048559C">
        <w:t xml:space="preserve">of </w:t>
      </w:r>
      <w:r w:rsidR="004F22BC" w:rsidRPr="0048559C">
        <w:t xml:space="preserve">its </w:t>
      </w:r>
      <w:r w:rsidRPr="0048559C">
        <w:t xml:space="preserve">three “simple” </w:t>
      </w:r>
      <w:r w:rsidR="00BF4FFB" w:rsidRPr="0048559C">
        <w:t>criteria for a successful application</w:t>
      </w:r>
      <w:r w:rsidR="00382B3E">
        <w:t>, namely, proof of ID and eligibility</w:t>
      </w:r>
      <w:r w:rsidR="00BF4FFB" w:rsidRPr="0048559C">
        <w:t>.</w:t>
      </w:r>
      <w:r w:rsidR="00422AEB">
        <w:t xml:space="preserve"> </w:t>
      </w:r>
      <w:r w:rsidR="009F2D45">
        <w:t xml:space="preserve">A failure to satisfy these criteria on the face of it </w:t>
      </w:r>
      <w:r w:rsidR="00007F76">
        <w:t>may</w:t>
      </w:r>
      <w:r w:rsidR="00422AEB">
        <w:t xml:space="preserve"> </w:t>
      </w:r>
      <w:r w:rsidR="00007F76">
        <w:t xml:space="preserve">require </w:t>
      </w:r>
      <w:r w:rsidR="00422AEB">
        <w:t xml:space="preserve">victims of VAWG to apply by </w:t>
      </w:r>
      <w:r w:rsidR="009F2D45">
        <w:t xml:space="preserve">the </w:t>
      </w:r>
      <w:r w:rsidR="00422AEB">
        <w:t>paper</w:t>
      </w:r>
      <w:r w:rsidR="009F2D45">
        <w:t>-based route</w:t>
      </w:r>
      <w:r w:rsidR="00007F76">
        <w:t xml:space="preserve"> instead</w:t>
      </w:r>
      <w:r w:rsidR="00422AEB">
        <w:t>.</w:t>
      </w:r>
      <w:r w:rsidR="00BF4FFB" w:rsidRPr="0048559C">
        <w:t xml:space="preserve"> Firstly, proof of ID</w:t>
      </w:r>
      <w:r w:rsidR="00C4533F" w:rsidRPr="0048559C">
        <w:t>.</w:t>
      </w:r>
      <w:r w:rsidR="00E225B4">
        <w:rPr>
          <w:rStyle w:val="FootnoteReference"/>
        </w:rPr>
        <w:footnoteReference w:id="17"/>
      </w:r>
      <w:r w:rsidR="00C4533F" w:rsidRPr="0048559C">
        <w:t xml:space="preserve"> </w:t>
      </w:r>
      <w:r w:rsidR="005474CC" w:rsidRPr="0048559C">
        <w:t xml:space="preserve">What seems to be a simple criteria </w:t>
      </w:r>
      <w:r w:rsidRPr="0048559C">
        <w:t xml:space="preserve">is more difficult for </w:t>
      </w:r>
      <w:r w:rsidR="00BF4FFB" w:rsidRPr="0048559C">
        <w:t xml:space="preserve">a victim of VAWG </w:t>
      </w:r>
      <w:r w:rsidR="005474CC" w:rsidRPr="0048559C">
        <w:t xml:space="preserve">to prove </w:t>
      </w:r>
      <w:r w:rsidR="00C44EB6" w:rsidRPr="0048559C">
        <w:t xml:space="preserve">should they be </w:t>
      </w:r>
      <w:r w:rsidRPr="0048559C">
        <w:t>under control or estranged from an abusive partner</w:t>
      </w:r>
      <w:r w:rsidR="00C13B8B">
        <w:t>,</w:t>
      </w:r>
      <w:r w:rsidR="00611272">
        <w:t xml:space="preserve"> and </w:t>
      </w:r>
      <w:r w:rsidR="004F3FB7">
        <w:t>do not have easy access to their ID</w:t>
      </w:r>
      <w:r w:rsidR="00426311">
        <w:t xml:space="preserve"> (Home Affairs Committee, 2019)</w:t>
      </w:r>
      <w:r w:rsidRPr="0048559C">
        <w:t>.</w:t>
      </w:r>
      <w:r w:rsidR="00BF4FFB" w:rsidRPr="0048559C">
        <w:t xml:space="preserve"> </w:t>
      </w:r>
      <w:r w:rsidR="00E225B4">
        <w:t>D</w:t>
      </w:r>
      <w:r w:rsidR="00E225B4" w:rsidRPr="0048559C">
        <w:t xml:space="preserve">ifficulties </w:t>
      </w:r>
      <w:r w:rsidR="00611272">
        <w:t xml:space="preserve">like this have </w:t>
      </w:r>
      <w:r w:rsidR="00E225B4">
        <w:t xml:space="preserve">been well documented since the Scheme opened, as the </w:t>
      </w:r>
      <w:r w:rsidR="00E225B4" w:rsidRPr="0048559C">
        <w:t>requirement to scan ID for verification purposes on a mobile app</w:t>
      </w:r>
      <w:r w:rsidR="00611272">
        <w:t xml:space="preserve"> ra</w:t>
      </w:r>
      <w:r w:rsidR="00E225B4" w:rsidRPr="0048559C">
        <w:t>i</w:t>
      </w:r>
      <w:r w:rsidR="00611272">
        <w:t>se</w:t>
      </w:r>
      <w:r w:rsidR="00007F76">
        <w:t>d</w:t>
      </w:r>
      <w:r w:rsidR="00611272">
        <w:t xml:space="preserve"> </w:t>
      </w:r>
      <w:r w:rsidR="00E225B4" w:rsidRPr="0048559C">
        <w:t>issues of digital isolation and exclusion</w:t>
      </w:r>
      <w:r w:rsidR="00611272">
        <w:t>, not just for victims of VAWG</w:t>
      </w:r>
      <w:r w:rsidR="00962FF2">
        <w:t xml:space="preserve"> (Sumption &amp; Fernández-</w:t>
      </w:r>
      <w:proofErr w:type="spellStart"/>
      <w:r w:rsidR="00962FF2">
        <w:t>Reino</w:t>
      </w:r>
      <w:proofErr w:type="spellEnd"/>
      <w:r w:rsidR="00962FF2">
        <w:t>, 2020: 26)</w:t>
      </w:r>
      <w:r w:rsidR="004F3FB7">
        <w:t>.</w:t>
      </w:r>
      <w:r w:rsidR="00E225B4">
        <w:t xml:space="preserve"> </w:t>
      </w:r>
      <w:r w:rsidR="00611272" w:rsidRPr="0048559C">
        <w:t xml:space="preserve">This criteria </w:t>
      </w:r>
      <w:r w:rsidR="00611272">
        <w:t xml:space="preserve">also demonstrates how </w:t>
      </w:r>
      <w:r w:rsidR="00611272" w:rsidRPr="0048559C">
        <w:t>divergen</w:t>
      </w:r>
      <w:r w:rsidR="00611272">
        <w:t>t the</w:t>
      </w:r>
      <w:r w:rsidR="00611272" w:rsidRPr="0048559C">
        <w:t xml:space="preserve"> experience of a non-vulnerable individual versus a vulnerable one</w:t>
      </w:r>
      <w:r w:rsidR="00611272">
        <w:t xml:space="preserve"> is</w:t>
      </w:r>
      <w:r w:rsidR="00611272" w:rsidRPr="0048559C">
        <w:t xml:space="preserve">, where something as straightforward as </w:t>
      </w:r>
      <w:r w:rsidR="00611272">
        <w:t xml:space="preserve">proving </w:t>
      </w:r>
      <w:r w:rsidR="00611272" w:rsidRPr="0048559C">
        <w:t>ID may mean precarity in regards to one’s immigration status in a post-Brexit Britain</w:t>
      </w:r>
      <w:r w:rsidR="00611272" w:rsidRPr="00E4729C">
        <w:t>.</w:t>
      </w:r>
      <w:r w:rsidR="00611272">
        <w:t xml:space="preserve"> </w:t>
      </w:r>
      <w:r w:rsidR="008244DE">
        <w:t>Therefore t</w:t>
      </w:r>
      <w:r w:rsidR="00E225B4">
        <w:t xml:space="preserve">hose unable to satisfy the </w:t>
      </w:r>
      <w:r w:rsidR="00E225B4" w:rsidRPr="004936F9">
        <w:t>mainst</w:t>
      </w:r>
      <w:r w:rsidR="00E225B4">
        <w:t>ream process</w:t>
      </w:r>
      <w:r w:rsidR="008244DE">
        <w:t xml:space="preserve"> (proof of ID)</w:t>
      </w:r>
      <w:r w:rsidR="00E225B4">
        <w:t>, and by definition</w:t>
      </w:r>
      <w:r w:rsidR="007E717D">
        <w:t>,</w:t>
      </w:r>
      <w:r w:rsidR="00E225B4">
        <w:t xml:space="preserve"> in this context</w:t>
      </w:r>
      <w:r w:rsidR="007E717D">
        <w:t>,</w:t>
      </w:r>
      <w:r w:rsidR="00E225B4">
        <w:t xml:space="preserve"> already vulnerable</w:t>
      </w:r>
      <w:r w:rsidR="007E717D">
        <w:t>,</w:t>
      </w:r>
      <w:r w:rsidR="00E225B4">
        <w:t xml:space="preserve"> </w:t>
      </w:r>
      <w:r w:rsidR="004F3FB7">
        <w:t>are</w:t>
      </w:r>
      <w:r w:rsidR="00E225B4">
        <w:t xml:space="preserve"> thus made even more vulnerable because they are forced to operate outside the mainstream processes</w:t>
      </w:r>
      <w:r w:rsidR="008244DE">
        <w:t xml:space="preserve"> (applying by paper)</w:t>
      </w:r>
      <w:r w:rsidR="00E225B4">
        <w:t>.</w:t>
      </w:r>
      <w:r w:rsidR="006338B8">
        <w:t xml:space="preserve"> </w:t>
      </w:r>
      <w:r w:rsidR="00E744CD">
        <w:t xml:space="preserve">By </w:t>
      </w:r>
      <w:r w:rsidR="007E717D">
        <w:t>seeking to simplify the process for the majority</w:t>
      </w:r>
      <w:r w:rsidR="00E744CD">
        <w:t xml:space="preserve">, the Scheme </w:t>
      </w:r>
      <w:r w:rsidR="00E72ABA">
        <w:t xml:space="preserve">actually </w:t>
      </w:r>
      <w:r w:rsidR="007E717D">
        <w:t>exclu</w:t>
      </w:r>
      <w:r w:rsidR="00E744CD">
        <w:t xml:space="preserve">des </w:t>
      </w:r>
      <w:r w:rsidR="007E717D">
        <w:t>victims of VAWG.</w:t>
      </w:r>
    </w:p>
    <w:p w14:paraId="3D50FF81" w14:textId="77777777" w:rsidR="009F453A" w:rsidRDefault="009F453A" w:rsidP="00C911B6">
      <w:pPr>
        <w:spacing w:line="480" w:lineRule="auto"/>
      </w:pPr>
    </w:p>
    <w:p w14:paraId="39E85374" w14:textId="22F1A514" w:rsidR="006338B8" w:rsidRDefault="007E717D" w:rsidP="00C911B6">
      <w:pPr>
        <w:spacing w:line="480" w:lineRule="auto"/>
      </w:pPr>
      <w:r w:rsidRPr="009F2D45">
        <w:t xml:space="preserve">Secondly, </w:t>
      </w:r>
      <w:r w:rsidR="00181F7D" w:rsidRPr="009F2D45">
        <w:t>eligibility</w:t>
      </w:r>
      <w:r w:rsidR="000360C1" w:rsidRPr="009F2D45">
        <w:t>.</w:t>
      </w:r>
      <w:r w:rsidR="00382B3E" w:rsidRPr="009F2D45">
        <w:rPr>
          <w:rStyle w:val="FootnoteReference"/>
        </w:rPr>
        <w:footnoteReference w:id="18"/>
      </w:r>
      <w:r w:rsidR="000360C1" w:rsidRPr="009F2D45">
        <w:t xml:space="preserve"> EUSS eligibility </w:t>
      </w:r>
      <w:r w:rsidR="002A5023" w:rsidRPr="009F2D45">
        <w:t xml:space="preserve">was </w:t>
      </w:r>
      <w:r w:rsidR="00492493" w:rsidRPr="009F2D45">
        <w:t xml:space="preserve">formally </w:t>
      </w:r>
      <w:r w:rsidR="000360C1" w:rsidRPr="009F2D45">
        <w:t>extend to those who may find themselves in the unfortunate position of having their relationship break down due to domestic violence</w:t>
      </w:r>
      <w:r w:rsidR="00492493" w:rsidRPr="009F2D45">
        <w:t xml:space="preserve"> </w:t>
      </w:r>
      <w:r w:rsidR="008244DE">
        <w:t>a year and a half after the Scheme officially opened to the public, in mid-</w:t>
      </w:r>
      <w:r w:rsidR="005F465C" w:rsidRPr="009F2D45">
        <w:t>2020</w:t>
      </w:r>
      <w:r w:rsidR="008244DE">
        <w:t xml:space="preserve">. This in itself </w:t>
      </w:r>
      <w:r w:rsidR="005F465C" w:rsidRPr="009F2D45">
        <w:t xml:space="preserve">is significantly later than </w:t>
      </w:r>
      <w:r w:rsidR="005F465C" w:rsidRPr="009F2D45">
        <w:lastRenderedPageBreak/>
        <w:t>most of the mainstream</w:t>
      </w:r>
      <w:r w:rsidR="00962FF2">
        <w:t xml:space="preserve"> (Home Office</w:t>
      </w:r>
      <w:r w:rsidR="00962FF2" w:rsidRPr="00A12ACF">
        <w:t>, 2020</w:t>
      </w:r>
      <w:r w:rsidR="006B6F9B">
        <w:t>d</w:t>
      </w:r>
      <w:r w:rsidR="00426311">
        <w:t>: 8</w:t>
      </w:r>
      <w:r w:rsidR="00962FF2">
        <w:t>)</w:t>
      </w:r>
      <w:r w:rsidR="000360C1" w:rsidRPr="009F2D45">
        <w:t>.</w:t>
      </w:r>
      <w:r w:rsidR="000360C1" w:rsidRPr="009F2D45">
        <w:rPr>
          <w:rStyle w:val="FootnoteReference"/>
        </w:rPr>
        <w:footnoteReference w:id="19"/>
      </w:r>
      <w:r w:rsidR="000360C1" w:rsidRPr="009F2D45">
        <w:t xml:space="preserve"> </w:t>
      </w:r>
      <w:r w:rsidR="005F465C" w:rsidRPr="009F2D45">
        <w:t xml:space="preserve">It </w:t>
      </w:r>
      <w:r w:rsidR="008244DE">
        <w:t>i</w:t>
      </w:r>
      <w:r w:rsidR="004E66C1" w:rsidRPr="009F2D45">
        <w:t>s a prime example of where formal equality fail</w:t>
      </w:r>
      <w:r w:rsidR="00A67FD6" w:rsidRPr="009F2D45">
        <w:t xml:space="preserve">s to consider the vulnerabilities of </w:t>
      </w:r>
      <w:r w:rsidR="004E66C1" w:rsidRPr="009F2D45">
        <w:t>immigra</w:t>
      </w:r>
      <w:r w:rsidR="00A67FD6" w:rsidRPr="009F2D45">
        <w:t xml:space="preserve">nt </w:t>
      </w:r>
      <w:r w:rsidR="004E66C1" w:rsidRPr="009F2D45">
        <w:t>women</w:t>
      </w:r>
      <w:r w:rsidR="00A67FD6" w:rsidRPr="009F2D45">
        <w:t xml:space="preserve">. </w:t>
      </w:r>
      <w:r w:rsidR="00E72ABA" w:rsidRPr="009F2D45">
        <w:t>This strand of eligibility for victims of VAWG is exceptional, as f</w:t>
      </w:r>
      <w:r w:rsidR="006338B8" w:rsidRPr="009F2D45">
        <w:t>amily members of EU citizens are generally eligible on the basis of lasting durable relationships</w:t>
      </w:r>
      <w:r w:rsidR="009F2D45" w:rsidRPr="009F2D45">
        <w:t>,</w:t>
      </w:r>
      <w:r w:rsidR="006338B8" w:rsidRPr="009F2D45">
        <w:rPr>
          <w:rStyle w:val="FootnoteReference"/>
        </w:rPr>
        <w:footnoteReference w:id="20"/>
      </w:r>
      <w:r w:rsidR="006338B8" w:rsidRPr="009F2D45">
        <w:t xml:space="preserve"> </w:t>
      </w:r>
      <w:r w:rsidR="009F2D45" w:rsidRPr="009F2D45">
        <w:t>with t</w:t>
      </w:r>
      <w:r w:rsidR="00422AEB" w:rsidRPr="009F2D45">
        <w:t xml:space="preserve">he overall effect of </w:t>
      </w:r>
      <w:r w:rsidR="009F2D45" w:rsidRPr="009F2D45">
        <w:t xml:space="preserve">this being </w:t>
      </w:r>
      <w:r w:rsidR="00422AEB" w:rsidRPr="009F2D45">
        <w:t xml:space="preserve">to </w:t>
      </w:r>
      <w:r w:rsidR="006338B8" w:rsidRPr="009F2D45">
        <w:t>indirectly pressur</w:t>
      </w:r>
      <w:r w:rsidR="009F2D45" w:rsidRPr="009F2D45">
        <w:t xml:space="preserve">e </w:t>
      </w:r>
      <w:r w:rsidR="00E72ABA" w:rsidRPr="009F2D45">
        <w:t xml:space="preserve">immigrant victims of VAWGs </w:t>
      </w:r>
      <w:r w:rsidR="00376161" w:rsidRPr="009F2D45">
        <w:t xml:space="preserve">to stay with </w:t>
      </w:r>
      <w:r w:rsidR="006338B8" w:rsidRPr="009F2D45">
        <w:t>abusive (EU citizen) partner</w:t>
      </w:r>
      <w:r w:rsidR="00376161" w:rsidRPr="009F2D45">
        <w:t>s</w:t>
      </w:r>
      <w:r w:rsidR="006338B8" w:rsidRPr="009F2D45">
        <w:t>, for</w:t>
      </w:r>
      <w:r w:rsidR="00376161" w:rsidRPr="009F2D45">
        <w:t xml:space="preserve"> fears of</w:t>
      </w:r>
      <w:r w:rsidR="006338B8" w:rsidRPr="009F2D45">
        <w:t xml:space="preserve"> losing their link with an EU citizen</w:t>
      </w:r>
      <w:r w:rsidR="00376161" w:rsidRPr="009F2D45">
        <w:t xml:space="preserve"> and subsequently being deported</w:t>
      </w:r>
      <w:r w:rsidR="006338B8" w:rsidRPr="009F2D45">
        <w:t>.</w:t>
      </w:r>
      <w:r w:rsidR="00932DA8" w:rsidRPr="009F2D45">
        <w:t xml:space="preserve"> </w:t>
      </w:r>
      <w:r w:rsidR="008244DE">
        <w:t>It is clear that t</w:t>
      </w:r>
      <w:r w:rsidR="00A67FD6" w:rsidRPr="009F2D45">
        <w:t xml:space="preserve">he </w:t>
      </w:r>
      <w:r w:rsidR="004E66C1" w:rsidRPr="009F2D45">
        <w:t>mere</w:t>
      </w:r>
      <w:r w:rsidR="00A67FD6" w:rsidRPr="009F2D45">
        <w:t xml:space="preserve"> act of </w:t>
      </w:r>
      <w:r w:rsidR="004E66C1" w:rsidRPr="009F2D45">
        <w:t xml:space="preserve">extending </w:t>
      </w:r>
      <w:r w:rsidR="00A67FD6" w:rsidRPr="009F2D45">
        <w:t xml:space="preserve">formal </w:t>
      </w:r>
      <w:r w:rsidR="004E66C1" w:rsidRPr="009F2D45">
        <w:t>eligibility to victims of VAWG does not</w:t>
      </w:r>
      <w:r w:rsidR="00E4729C" w:rsidRPr="009F2D45">
        <w:t xml:space="preserve"> </w:t>
      </w:r>
      <w:r w:rsidR="00A60320" w:rsidRPr="009F2D45">
        <w:t xml:space="preserve">always </w:t>
      </w:r>
      <w:r w:rsidR="00E4729C" w:rsidRPr="009F2D45">
        <w:t xml:space="preserve">translate to </w:t>
      </w:r>
      <w:r w:rsidR="00A60320" w:rsidRPr="009F2D45">
        <w:t xml:space="preserve">adequate </w:t>
      </w:r>
      <w:r w:rsidR="009A7D73" w:rsidRPr="009F2D45">
        <w:t xml:space="preserve">legal </w:t>
      </w:r>
      <w:r w:rsidR="00E4729C" w:rsidRPr="009F2D45">
        <w:t>protection</w:t>
      </w:r>
      <w:r w:rsidR="008244DE">
        <w:t xml:space="preserve">. Instead, </w:t>
      </w:r>
      <w:r w:rsidR="007C3DA8" w:rsidRPr="009F2D45">
        <w:t xml:space="preserve">there </w:t>
      </w:r>
      <w:r w:rsidR="005D3275" w:rsidRPr="009F2D45">
        <w:t xml:space="preserve">is a glaring need </w:t>
      </w:r>
      <w:r w:rsidR="00A60320" w:rsidRPr="009F2D45">
        <w:t xml:space="preserve">for immigrant women </w:t>
      </w:r>
      <w:r w:rsidR="005D3275" w:rsidRPr="009F2D45">
        <w:t xml:space="preserve">to be aware of the changing legal situation facing them </w:t>
      </w:r>
      <w:r w:rsidR="00090E96" w:rsidRPr="009F2D45">
        <w:t>in a post-Brexit Britain</w:t>
      </w:r>
      <w:r w:rsidR="008244DE">
        <w:t>.</w:t>
      </w:r>
      <w:r w:rsidR="009A7D73" w:rsidRPr="009F2D45">
        <w:t xml:space="preserve"> </w:t>
      </w:r>
      <w:r w:rsidR="008244DE">
        <w:t xml:space="preserve">To help this situation, the specific vulnerability faced in these situations by victims of VAWGs should </w:t>
      </w:r>
      <w:r w:rsidR="009A7D73" w:rsidRPr="009F2D45">
        <w:t xml:space="preserve">be recognised </w:t>
      </w:r>
      <w:r w:rsidR="008244DE">
        <w:t>under the applicable law, yet this is simply not the case.</w:t>
      </w:r>
    </w:p>
    <w:p w14:paraId="0EAF8782" w14:textId="77777777" w:rsidR="00A0687E" w:rsidRDefault="00A0687E" w:rsidP="00C911B6">
      <w:pPr>
        <w:spacing w:line="480" w:lineRule="auto"/>
      </w:pPr>
    </w:p>
    <w:p w14:paraId="2556BDD4" w14:textId="4D897813" w:rsidR="00B62C00" w:rsidRPr="0048559C" w:rsidRDefault="00BD7FFC" w:rsidP="00C911B6">
      <w:pPr>
        <w:spacing w:line="480" w:lineRule="auto"/>
      </w:pPr>
      <w:r>
        <w:t xml:space="preserve">It is </w:t>
      </w:r>
      <w:r w:rsidR="00BA277E">
        <w:t xml:space="preserve">thus </w:t>
      </w:r>
      <w:r w:rsidR="005836E3" w:rsidRPr="0048559C">
        <w:t xml:space="preserve">the structure of the law itself and the framework within which it operates and applies </w:t>
      </w:r>
      <w:r w:rsidR="001B5B72">
        <w:t>that</w:t>
      </w:r>
      <w:r w:rsidR="005836E3" w:rsidRPr="0048559C">
        <w:t xml:space="preserve"> is adding to the disparity and inequality between certain eligible </w:t>
      </w:r>
      <w:r w:rsidR="005836E3">
        <w:t>vulnerable women</w:t>
      </w:r>
      <w:r w:rsidR="005836E3" w:rsidRPr="0048559C">
        <w:t xml:space="preserve"> applying to the Scheme</w:t>
      </w:r>
      <w:r w:rsidR="005836E3">
        <w:t>.</w:t>
      </w:r>
      <w:r w:rsidR="003A7704">
        <w:t xml:space="preserve"> </w:t>
      </w:r>
      <w:r w:rsidR="00336E74" w:rsidRPr="0048559C">
        <w:t xml:space="preserve">The situation that the EUSS presents </w:t>
      </w:r>
      <w:r w:rsidR="003A7704">
        <w:t xml:space="preserve">is summarised </w:t>
      </w:r>
      <w:r w:rsidR="00336E74" w:rsidRPr="0048559C">
        <w:t xml:space="preserve">by noting the problem that </w:t>
      </w:r>
      <w:r w:rsidR="00B27C37" w:rsidRPr="0048559C">
        <w:t>societies</w:t>
      </w:r>
      <w:r w:rsidR="00692110">
        <w:t xml:space="preserve"> have</w:t>
      </w:r>
      <w:r w:rsidR="00B27C37" w:rsidRPr="0048559C">
        <w:t xml:space="preserve"> </w:t>
      </w:r>
      <w:r w:rsidR="00336E74" w:rsidRPr="0048559C">
        <w:t xml:space="preserve">– </w:t>
      </w:r>
      <w:r w:rsidR="00B27C37" w:rsidRPr="0048559C">
        <w:t>in particular, patriarchal ones</w:t>
      </w:r>
      <w:r w:rsidR="00336E74" w:rsidRPr="0048559C">
        <w:t xml:space="preserve"> –</w:t>
      </w:r>
      <w:r w:rsidR="00B27C37" w:rsidRPr="0048559C">
        <w:t xml:space="preserve"> </w:t>
      </w:r>
      <w:r w:rsidR="00692110">
        <w:t xml:space="preserve">who </w:t>
      </w:r>
      <w:r w:rsidR="00B27C37" w:rsidRPr="0048559C">
        <w:t>may not explicitly condone VAWG</w:t>
      </w:r>
      <w:r w:rsidR="00336E74" w:rsidRPr="0048559C">
        <w:t>,</w:t>
      </w:r>
      <w:r w:rsidR="00B27C37" w:rsidRPr="0048559C">
        <w:t xml:space="preserve"> but the cultural expectations of those societies may actually foster an environment that leads to more domestic violence</w:t>
      </w:r>
      <w:r w:rsidR="00962FF2">
        <w:t xml:space="preserve"> (</w:t>
      </w:r>
      <w:proofErr w:type="spellStart"/>
      <w:r w:rsidR="00962FF2">
        <w:t>Kasturirangan</w:t>
      </w:r>
      <w:proofErr w:type="spellEnd"/>
      <w:r w:rsidR="00962FF2">
        <w:t xml:space="preserve">, Krishnan &amp; </w:t>
      </w:r>
      <w:proofErr w:type="spellStart"/>
      <w:r w:rsidR="00962FF2">
        <w:t>Riger</w:t>
      </w:r>
      <w:proofErr w:type="spellEnd"/>
      <w:r w:rsidR="00962FF2">
        <w:t>, 2004: 321)</w:t>
      </w:r>
      <w:r w:rsidR="00B27C37" w:rsidRPr="0048559C">
        <w:t>. Appendix EU of the Immigration Rules</w:t>
      </w:r>
      <w:r w:rsidR="006969B5" w:rsidRPr="0048559C">
        <w:t xml:space="preserve"> </w:t>
      </w:r>
      <w:r w:rsidR="00336E74" w:rsidRPr="0048559C">
        <w:t xml:space="preserve">has been created in an </w:t>
      </w:r>
      <w:r w:rsidR="00B27C37" w:rsidRPr="0048559C">
        <w:t xml:space="preserve">environment of </w:t>
      </w:r>
      <w:r w:rsidR="006969B5" w:rsidRPr="0048559C">
        <w:t xml:space="preserve">wanting to create </w:t>
      </w:r>
      <w:r w:rsidR="00B27C37" w:rsidRPr="0048559C">
        <w:t>hostility</w:t>
      </w:r>
      <w:r w:rsidR="003A7704">
        <w:t xml:space="preserve"> under the guises of the </w:t>
      </w:r>
      <w:r w:rsidR="00336E74" w:rsidRPr="0048559C">
        <w:t>hostile environment</w:t>
      </w:r>
      <w:r w:rsidR="00A34A2B" w:rsidRPr="0048559C">
        <w:t xml:space="preserve"> policy that applies </w:t>
      </w:r>
      <w:r w:rsidR="003A7704">
        <w:t xml:space="preserve">indiscriminately to all immigrants </w:t>
      </w:r>
      <w:r w:rsidR="00A34A2B" w:rsidRPr="0048559C">
        <w:t xml:space="preserve">in a post-Brexit Britain </w:t>
      </w:r>
      <w:r w:rsidR="001B5B72">
        <w:t>now</w:t>
      </w:r>
      <w:r w:rsidR="00BB306E" w:rsidRPr="0048559C">
        <w:t xml:space="preserve">. These provisions </w:t>
      </w:r>
      <w:r w:rsidR="002C5D5C" w:rsidRPr="0048559C">
        <w:t>may not seek on the face of it to support domestic violence</w:t>
      </w:r>
      <w:r w:rsidR="0080621E">
        <w:t>. I</w:t>
      </w:r>
      <w:r w:rsidR="00BB306E" w:rsidRPr="0048559C">
        <w:t>n fact, the UK government</w:t>
      </w:r>
      <w:r w:rsidR="003659C4" w:rsidRPr="0048559C">
        <w:t xml:space="preserve"> could argue that it</w:t>
      </w:r>
      <w:r w:rsidR="00BB306E" w:rsidRPr="0048559C">
        <w:t xml:space="preserve"> explicitly outline</w:t>
      </w:r>
      <w:r w:rsidR="00E744CD">
        <w:t xml:space="preserve">d </w:t>
      </w:r>
      <w:r w:rsidR="00BB306E" w:rsidRPr="0048559C">
        <w:t>an exception for victims of VAWG</w:t>
      </w:r>
      <w:r w:rsidR="003659C4" w:rsidRPr="0048559C">
        <w:t xml:space="preserve"> to the “mainstream” eligibility criteria</w:t>
      </w:r>
      <w:r w:rsidR="00BB306E" w:rsidRPr="0048559C">
        <w:t>. However,</w:t>
      </w:r>
      <w:r w:rsidR="002C5D5C" w:rsidRPr="0048559C">
        <w:t xml:space="preserve"> </w:t>
      </w:r>
      <w:r w:rsidR="00BB306E" w:rsidRPr="0048559C">
        <w:t xml:space="preserve">the reality of the legal framework as it applies </w:t>
      </w:r>
      <w:r w:rsidR="008D527D">
        <w:t xml:space="preserve">– </w:t>
      </w:r>
      <w:r w:rsidR="00BB306E" w:rsidRPr="0048559C">
        <w:t xml:space="preserve">considering the procedure from application to a successful status </w:t>
      </w:r>
      <w:r w:rsidR="008D527D">
        <w:t xml:space="preserve">– </w:t>
      </w:r>
      <w:r w:rsidR="002C5D5C" w:rsidRPr="0048559C">
        <w:t>actually</w:t>
      </w:r>
      <w:r w:rsidR="008D527D">
        <w:t xml:space="preserve"> </w:t>
      </w:r>
      <w:r w:rsidR="00E12F35">
        <w:t>oppresses immigrant women</w:t>
      </w:r>
      <w:r w:rsidR="004003E3">
        <w:t xml:space="preserve"> given it is so difficult to apply by virtue of one’s own status, rather than </w:t>
      </w:r>
      <w:r w:rsidR="009C74E6" w:rsidRPr="0048559C">
        <w:t>remain</w:t>
      </w:r>
      <w:r w:rsidR="004003E3">
        <w:t xml:space="preserve">ing </w:t>
      </w:r>
      <w:r w:rsidR="009C74E6" w:rsidRPr="0048559C">
        <w:t xml:space="preserve">with </w:t>
      </w:r>
      <w:r w:rsidR="004003E3">
        <w:t xml:space="preserve">an </w:t>
      </w:r>
      <w:r w:rsidR="009C74E6" w:rsidRPr="0048559C">
        <w:t xml:space="preserve">abusive partner for fear of </w:t>
      </w:r>
      <w:r w:rsidR="00B62C00" w:rsidRPr="0048559C">
        <w:t xml:space="preserve">being subject to stricter immigration rules </w:t>
      </w:r>
      <w:r w:rsidR="00376161">
        <w:t xml:space="preserve">now that </w:t>
      </w:r>
      <w:r w:rsidR="008D527D">
        <w:t xml:space="preserve">the </w:t>
      </w:r>
      <w:r w:rsidR="009C74E6" w:rsidRPr="0048559C">
        <w:t xml:space="preserve">EUSS </w:t>
      </w:r>
      <w:r w:rsidR="008D527D">
        <w:t xml:space="preserve">deadline </w:t>
      </w:r>
      <w:r w:rsidR="00376161">
        <w:t xml:space="preserve">has </w:t>
      </w:r>
      <w:r w:rsidR="008D527D">
        <w:t>passe</w:t>
      </w:r>
      <w:r w:rsidR="00376161">
        <w:t xml:space="preserve">d, </w:t>
      </w:r>
      <w:r w:rsidR="008D527D">
        <w:t>and risk</w:t>
      </w:r>
      <w:r w:rsidR="004C1A32">
        <w:t xml:space="preserve"> </w:t>
      </w:r>
      <w:r w:rsidR="0025060D" w:rsidRPr="0048559C">
        <w:t>deportation</w:t>
      </w:r>
      <w:r w:rsidR="00FD3CF6">
        <w:t xml:space="preserve"> (Yong, 2019b)</w:t>
      </w:r>
      <w:r w:rsidR="00B62C00" w:rsidRPr="0048559C">
        <w:t>.</w:t>
      </w:r>
    </w:p>
    <w:p w14:paraId="4635A703" w14:textId="1354E7AC" w:rsidR="009F15F0" w:rsidRPr="0048559C" w:rsidRDefault="009F15F0" w:rsidP="00C911B6">
      <w:pPr>
        <w:spacing w:line="480" w:lineRule="auto"/>
      </w:pPr>
    </w:p>
    <w:p w14:paraId="3B487332" w14:textId="7344237F" w:rsidR="009F15F0" w:rsidRPr="0048559C" w:rsidRDefault="00484C27" w:rsidP="00C911B6">
      <w:pPr>
        <w:spacing w:line="480" w:lineRule="auto"/>
      </w:pPr>
      <w:r w:rsidRPr="0048559C">
        <w:t>O</w:t>
      </w:r>
      <w:r w:rsidR="00065DB0" w:rsidRPr="0048559C">
        <w:t>verall, i</w:t>
      </w:r>
      <w:r w:rsidR="009F15F0" w:rsidRPr="0048559C">
        <w:t xml:space="preserve">t is </w:t>
      </w:r>
      <w:r w:rsidR="00065DB0" w:rsidRPr="0048559C">
        <w:t xml:space="preserve">not disputed </w:t>
      </w:r>
      <w:r w:rsidR="00181801" w:rsidRPr="0048559C">
        <w:t xml:space="preserve">that </w:t>
      </w:r>
      <w:r w:rsidR="009F15F0" w:rsidRPr="0048559C">
        <w:t>victims of VAWG are in extremely vulnerable positions</w:t>
      </w:r>
      <w:r w:rsidR="009713BD" w:rsidRPr="0048559C">
        <w:t>. M</w:t>
      </w:r>
      <w:r w:rsidR="009F15F0" w:rsidRPr="0048559C">
        <w:t xml:space="preserve">ore recent feminist literature </w:t>
      </w:r>
      <w:r w:rsidR="009713BD" w:rsidRPr="0048559C">
        <w:t xml:space="preserve">of the mid-2000s and beyond </w:t>
      </w:r>
      <w:r w:rsidR="009F15F0" w:rsidRPr="0048559C">
        <w:t xml:space="preserve">has </w:t>
      </w:r>
      <w:r w:rsidR="001B041B" w:rsidRPr="0048559C">
        <w:t xml:space="preserve">highlighted how </w:t>
      </w:r>
      <w:r w:rsidR="006319F6" w:rsidRPr="0048559C">
        <w:t xml:space="preserve">the law itself has failed to consider that </w:t>
      </w:r>
      <w:r w:rsidR="001B041B" w:rsidRPr="0048559C">
        <w:t>intersection</w:t>
      </w:r>
      <w:r w:rsidR="006319F6" w:rsidRPr="0048559C">
        <w:t>al factors make the experiences of women of colour particular</w:t>
      </w:r>
      <w:r w:rsidR="00987B69" w:rsidRPr="0048559C">
        <w:t xml:space="preserve">ly </w:t>
      </w:r>
      <w:r w:rsidR="006319F6" w:rsidRPr="0048559C">
        <w:t>unique and thus more difficult</w:t>
      </w:r>
      <w:r w:rsidR="00987B69" w:rsidRPr="0048559C">
        <w:t xml:space="preserve"> and complicated in terms of resolution</w:t>
      </w:r>
      <w:r w:rsidR="008866BF">
        <w:t xml:space="preserve"> (</w:t>
      </w:r>
      <w:proofErr w:type="spellStart"/>
      <w:r w:rsidR="008866BF">
        <w:t>Erez</w:t>
      </w:r>
      <w:proofErr w:type="spellEnd"/>
      <w:r w:rsidR="008866BF">
        <w:t xml:space="preserve">, Adelman &amp; Gregory, 2009; Burman, </w:t>
      </w:r>
      <w:proofErr w:type="spellStart"/>
      <w:r w:rsidR="008866BF">
        <w:t>Smailes</w:t>
      </w:r>
      <w:proofErr w:type="spellEnd"/>
      <w:r w:rsidR="008866BF">
        <w:t xml:space="preserve"> &amp; </w:t>
      </w:r>
      <w:proofErr w:type="spellStart"/>
      <w:r w:rsidR="008866BF">
        <w:t>Chantler</w:t>
      </w:r>
      <w:proofErr w:type="spellEnd"/>
      <w:r w:rsidR="008866BF">
        <w:t xml:space="preserve">, 2004; </w:t>
      </w:r>
      <w:proofErr w:type="spellStart"/>
      <w:r w:rsidR="008866BF">
        <w:t>Menjivar</w:t>
      </w:r>
      <w:proofErr w:type="spellEnd"/>
      <w:r w:rsidR="008866BF">
        <w:t xml:space="preserve"> &amp; Salcido, 2002; Sokoloff &amp; Dupont, 2005)</w:t>
      </w:r>
      <w:r w:rsidR="001B041B" w:rsidRPr="0048559C">
        <w:t>.</w:t>
      </w:r>
      <w:r w:rsidR="00F70848">
        <w:t xml:space="preserve"> </w:t>
      </w:r>
      <w:r w:rsidR="001B041B" w:rsidRPr="0048559C">
        <w:t xml:space="preserve">Oftentimes </w:t>
      </w:r>
      <w:r w:rsidR="006319F6" w:rsidRPr="0048559C">
        <w:t xml:space="preserve">it </w:t>
      </w:r>
      <w:r w:rsidR="001B041B" w:rsidRPr="0048559C">
        <w:t xml:space="preserve">is </w:t>
      </w:r>
      <w:r w:rsidR="006319F6" w:rsidRPr="0048559C">
        <w:t xml:space="preserve">the way </w:t>
      </w:r>
      <w:r w:rsidR="001B041B" w:rsidRPr="0048559C">
        <w:t xml:space="preserve">the law applies, or </w:t>
      </w:r>
      <w:r w:rsidR="006319F6" w:rsidRPr="0048559C">
        <w:t xml:space="preserve">how it </w:t>
      </w:r>
      <w:r w:rsidR="001B041B" w:rsidRPr="0048559C">
        <w:t xml:space="preserve">fails to account </w:t>
      </w:r>
      <w:r w:rsidR="006319F6" w:rsidRPr="0048559C">
        <w:t xml:space="preserve">for their </w:t>
      </w:r>
      <w:r w:rsidR="009713BD" w:rsidRPr="0048559C">
        <w:t>intersectional qualities</w:t>
      </w:r>
      <w:r w:rsidR="00C5131E" w:rsidRPr="0048559C">
        <w:t xml:space="preserve"> like </w:t>
      </w:r>
      <w:r w:rsidR="006C10E8">
        <w:t xml:space="preserve">gender and </w:t>
      </w:r>
      <w:r w:rsidR="00C5131E" w:rsidRPr="0048559C">
        <w:t>immigration status, as this analysis highlights</w:t>
      </w:r>
      <w:r w:rsidR="006319F6" w:rsidRPr="0048559C">
        <w:t xml:space="preserve">. </w:t>
      </w:r>
      <w:r w:rsidR="008C4278">
        <w:t>O</w:t>
      </w:r>
      <w:r w:rsidR="0080621E">
        <w:t>ne</w:t>
      </w:r>
      <w:r w:rsidR="00F70848">
        <w:t xml:space="preserve"> </w:t>
      </w:r>
      <w:r w:rsidR="005A6E9D">
        <w:t xml:space="preserve">additional but </w:t>
      </w:r>
      <w:r w:rsidR="00BA277E">
        <w:t>significant</w:t>
      </w:r>
      <w:r w:rsidR="0080621E">
        <w:t xml:space="preserve"> </w:t>
      </w:r>
      <w:r w:rsidR="00155E8F">
        <w:t xml:space="preserve">issue </w:t>
      </w:r>
      <w:r w:rsidR="008C4278">
        <w:t xml:space="preserve">is that </w:t>
      </w:r>
      <w:r w:rsidR="00155E8F">
        <w:t>the</w:t>
      </w:r>
      <w:r w:rsidR="008C4278">
        <w:t>re are</w:t>
      </w:r>
      <w:r w:rsidR="00155E8F">
        <w:t xml:space="preserve"> differential rates of success for paper-based applications vs online.</w:t>
      </w:r>
      <w:r w:rsidR="001F536D">
        <w:t xml:space="preserve"> The bias </w:t>
      </w:r>
      <w:r w:rsidR="005A6E9D">
        <w:t xml:space="preserve">is </w:t>
      </w:r>
      <w:r w:rsidR="001F536D">
        <w:t xml:space="preserve">towards favouring an online application over a paper one, yet </w:t>
      </w:r>
      <w:r w:rsidR="00F70848">
        <w:t xml:space="preserve">many </w:t>
      </w:r>
      <w:r w:rsidR="009300B6">
        <w:t xml:space="preserve">immigrant women </w:t>
      </w:r>
      <w:r w:rsidR="001F536D">
        <w:t xml:space="preserve">are </w:t>
      </w:r>
      <w:r w:rsidR="007F4404">
        <w:t>doomed</w:t>
      </w:r>
      <w:r w:rsidR="009300B6">
        <w:t xml:space="preserve"> to applying by paper </w:t>
      </w:r>
      <w:r w:rsidR="007F4404">
        <w:t xml:space="preserve">almost </w:t>
      </w:r>
      <w:r w:rsidR="009300B6">
        <w:t>by default</w:t>
      </w:r>
      <w:r w:rsidR="005A6E9D">
        <w:t xml:space="preserve">. It </w:t>
      </w:r>
      <w:r w:rsidR="009300B6">
        <w:t>is</w:t>
      </w:r>
      <w:r w:rsidR="00155E8F">
        <w:t xml:space="preserve"> most</w:t>
      </w:r>
      <w:r w:rsidR="009300B6">
        <w:t xml:space="preserve"> </w:t>
      </w:r>
      <w:r w:rsidR="00155E8F">
        <w:t xml:space="preserve">starkly </w:t>
      </w:r>
      <w:r w:rsidR="007F4404">
        <w:t xml:space="preserve">evident </w:t>
      </w:r>
      <w:r w:rsidR="00155E8F">
        <w:t xml:space="preserve">in the category of non-EU family members of EU nationals, </w:t>
      </w:r>
      <w:r w:rsidR="007F4404">
        <w:t xml:space="preserve">to which </w:t>
      </w:r>
      <w:r w:rsidR="00155E8F">
        <w:t>the paper now turns.</w:t>
      </w:r>
    </w:p>
    <w:p w14:paraId="3E3E0222" w14:textId="77777777" w:rsidR="00427EBC" w:rsidRPr="0048559C" w:rsidRDefault="00427EBC" w:rsidP="00C911B6">
      <w:pPr>
        <w:spacing w:line="480" w:lineRule="auto"/>
      </w:pPr>
    </w:p>
    <w:p w14:paraId="1F1C92A3" w14:textId="3F37FA25" w:rsidR="00DD794F" w:rsidRPr="00C911B6" w:rsidRDefault="00B8294A" w:rsidP="0061492E">
      <w:pPr>
        <w:pStyle w:val="Heading1"/>
        <w:numPr>
          <w:ilvl w:val="0"/>
          <w:numId w:val="0"/>
        </w:numPr>
        <w:rPr>
          <w:b/>
          <w:bCs/>
        </w:rPr>
      </w:pPr>
      <w:r w:rsidRPr="00C911B6">
        <w:rPr>
          <w:b/>
          <w:bCs/>
        </w:rPr>
        <w:t>NON-EU FAMILY MEMBERS (NEFMS) OF EU NATIONALS</w:t>
      </w:r>
    </w:p>
    <w:p w14:paraId="1BFFBEDC" w14:textId="6DB3EF3E" w:rsidR="00FC64E2" w:rsidRDefault="004C2FBA" w:rsidP="00C911B6">
      <w:pPr>
        <w:spacing w:line="480" w:lineRule="auto"/>
      </w:pPr>
      <w:r>
        <w:t xml:space="preserve">Before delving into the issues facing NEFMs for those who are women and immigrants in a post-Brexit Britain, </w:t>
      </w:r>
      <w:r w:rsidR="004F321F" w:rsidRPr="0048559C">
        <w:t>i</w:t>
      </w:r>
      <w:r w:rsidR="00E5380F" w:rsidRPr="0048559C">
        <w:t xml:space="preserve">t is important to acknowledge that </w:t>
      </w:r>
      <w:r w:rsidR="00987B69" w:rsidRPr="0048559C">
        <w:t>n</w:t>
      </w:r>
      <w:r w:rsidR="00476279" w:rsidRPr="0048559C">
        <w:t>on-EU family members of EU nationals</w:t>
      </w:r>
      <w:r w:rsidR="00E5380F" w:rsidRPr="0048559C">
        <w:t xml:space="preserve">, also known as </w:t>
      </w:r>
      <w:r w:rsidR="00987B69" w:rsidRPr="0048559C">
        <w:t>third country nationals</w:t>
      </w:r>
      <w:r w:rsidR="00E5380F" w:rsidRPr="0048559C">
        <w:t xml:space="preserve">, </w:t>
      </w:r>
      <w:r w:rsidR="00987B69" w:rsidRPr="0048559C">
        <w:t>would not normally fall within the scope of the protection guaranteed under the EU Treaties</w:t>
      </w:r>
      <w:r w:rsidR="00E5380F" w:rsidRPr="0048559C">
        <w:t xml:space="preserve">. EU law does not automatically confer rights to individuals </w:t>
      </w:r>
      <w:r w:rsidR="005D4400" w:rsidRPr="0048559C">
        <w:t xml:space="preserve">who </w:t>
      </w:r>
      <w:r w:rsidR="00E5380F" w:rsidRPr="0048559C">
        <w:t>do not</w:t>
      </w:r>
      <w:r w:rsidR="00987B69" w:rsidRPr="0048559C">
        <w:t xml:space="preserve"> </w:t>
      </w:r>
      <w:r w:rsidR="00E5380F" w:rsidRPr="0048559C">
        <w:t xml:space="preserve">hold </w:t>
      </w:r>
      <w:r w:rsidR="00987B69" w:rsidRPr="0048559C">
        <w:t>EU citizens</w:t>
      </w:r>
      <w:r w:rsidR="007802EA" w:rsidRPr="0048559C">
        <w:t>hip</w:t>
      </w:r>
      <w:r w:rsidR="007878CA" w:rsidRPr="0048559C">
        <w:t xml:space="preserve"> status</w:t>
      </w:r>
      <w:r w:rsidR="00987B69" w:rsidRPr="0048559C">
        <w:t>.</w:t>
      </w:r>
      <w:bookmarkStart w:id="4" w:name="_Ref78446270"/>
      <w:r w:rsidR="00E5380F" w:rsidRPr="0048559C">
        <w:rPr>
          <w:rStyle w:val="FootnoteReference"/>
        </w:rPr>
        <w:footnoteReference w:id="21"/>
      </w:r>
      <w:bookmarkEnd w:id="4"/>
      <w:r w:rsidR="00E5380F" w:rsidRPr="0048559C">
        <w:t xml:space="preserve"> </w:t>
      </w:r>
      <w:r w:rsidR="007802EA" w:rsidRPr="0048559C">
        <w:t>However, i</w:t>
      </w:r>
      <w:r w:rsidR="00987B69" w:rsidRPr="0048559C">
        <w:t xml:space="preserve">t is the case that </w:t>
      </w:r>
      <w:r w:rsidR="00A37E92" w:rsidRPr="0048559C">
        <w:t xml:space="preserve">in certain </w:t>
      </w:r>
      <w:r w:rsidR="00FC010B" w:rsidRPr="0048559C">
        <w:t>situations</w:t>
      </w:r>
      <w:r w:rsidR="00A37E92" w:rsidRPr="0048559C">
        <w:t xml:space="preserve"> of dependency</w:t>
      </w:r>
      <w:r w:rsidR="00FC010B" w:rsidRPr="0048559C">
        <w:t xml:space="preserve">, </w:t>
      </w:r>
      <w:r w:rsidR="00325F55" w:rsidRPr="0048559C">
        <w:t xml:space="preserve">some </w:t>
      </w:r>
      <w:r w:rsidR="0029240E" w:rsidRPr="0048559C">
        <w:t>non-EU nationals</w:t>
      </w:r>
      <w:r w:rsidR="00325F55" w:rsidRPr="0048559C">
        <w:t xml:space="preserve"> </w:t>
      </w:r>
      <w:r w:rsidR="00803E73" w:rsidRPr="0048559C">
        <w:t xml:space="preserve">do </w:t>
      </w:r>
      <w:r w:rsidR="00FC010B" w:rsidRPr="0048559C">
        <w:t xml:space="preserve">derive rights </w:t>
      </w:r>
      <w:r w:rsidR="00803E73" w:rsidRPr="0048559C">
        <w:t xml:space="preserve">to remain </w:t>
      </w:r>
      <w:r w:rsidR="00A37E92" w:rsidRPr="0048559C">
        <w:t xml:space="preserve">based on their </w:t>
      </w:r>
      <w:r w:rsidR="00864E00" w:rsidRPr="0048559C">
        <w:t>dependency</w:t>
      </w:r>
      <w:r w:rsidR="00A37E92" w:rsidRPr="0048559C">
        <w:t xml:space="preserve"> to eligible rights-bearing </w:t>
      </w:r>
      <w:r w:rsidR="00FC010B" w:rsidRPr="0048559C">
        <w:t>EU citizen</w:t>
      </w:r>
      <w:r w:rsidR="00864E00" w:rsidRPr="0048559C">
        <w:t xml:space="preserve"> family members</w:t>
      </w:r>
      <w:r w:rsidR="00C217E8" w:rsidRPr="0048559C">
        <w:t xml:space="preserve">. </w:t>
      </w:r>
      <w:r w:rsidR="007460B8" w:rsidRPr="0048559C">
        <w:t>T</w:t>
      </w:r>
      <w:r w:rsidR="00C217E8" w:rsidRPr="0048559C">
        <w:t>he</w:t>
      </w:r>
      <w:r w:rsidR="00864E00" w:rsidRPr="0048559C">
        <w:t xml:space="preserve">se </w:t>
      </w:r>
      <w:r w:rsidR="005D4400" w:rsidRPr="0048559C">
        <w:t>individuals</w:t>
      </w:r>
      <w:r w:rsidR="002549A0" w:rsidRPr="0048559C">
        <w:t xml:space="preserve">, </w:t>
      </w:r>
      <w:r w:rsidR="005D4400" w:rsidRPr="0048559C">
        <w:t xml:space="preserve">known as </w:t>
      </w:r>
      <w:r w:rsidR="00864E00" w:rsidRPr="0048559C">
        <w:t>NEFMs</w:t>
      </w:r>
      <w:r w:rsidR="002549A0" w:rsidRPr="0048559C">
        <w:t xml:space="preserve">, </w:t>
      </w:r>
      <w:r w:rsidR="004A07F5">
        <w:t xml:space="preserve">derive rights and </w:t>
      </w:r>
      <w:r w:rsidR="00FC010B" w:rsidRPr="0048559C">
        <w:t>are protected by virtue of an extension of EU citizenship status’ scope</w:t>
      </w:r>
      <w:r w:rsidR="000315B3">
        <w:t xml:space="preserve"> through various case law that will be outlined below</w:t>
      </w:r>
      <w:r w:rsidR="00FC010B" w:rsidRPr="0048559C">
        <w:t>.</w:t>
      </w:r>
      <w:r w:rsidR="0029240E" w:rsidRPr="0048559C">
        <w:t xml:space="preserve"> T</w:t>
      </w:r>
      <w:r w:rsidR="00803E73" w:rsidRPr="0048559C">
        <w:t>his section</w:t>
      </w:r>
      <w:r w:rsidR="00FD1530">
        <w:t xml:space="preserve"> </w:t>
      </w:r>
      <w:r w:rsidR="00E5380F" w:rsidRPr="0048559C">
        <w:t xml:space="preserve">seeks to </w:t>
      </w:r>
      <w:r w:rsidR="00803E73" w:rsidRPr="0048559C">
        <w:t>outline</w:t>
      </w:r>
      <w:r w:rsidR="00E5380F" w:rsidRPr="0048559C">
        <w:t xml:space="preserve"> </w:t>
      </w:r>
      <w:r w:rsidR="00803E73" w:rsidRPr="0048559C">
        <w:t xml:space="preserve">the </w:t>
      </w:r>
      <w:r w:rsidR="00E5380F" w:rsidRPr="0048559C">
        <w:t xml:space="preserve">issues faced </w:t>
      </w:r>
      <w:r w:rsidR="00803E73" w:rsidRPr="0048559C">
        <w:t>by</w:t>
      </w:r>
      <w:r w:rsidR="00BA3F55" w:rsidRPr="0048559C">
        <w:t xml:space="preserve"> </w:t>
      </w:r>
      <w:r w:rsidR="0029240E" w:rsidRPr="0048559C">
        <w:t>NEFMs</w:t>
      </w:r>
      <w:r w:rsidR="00864E00" w:rsidRPr="0048559C">
        <w:t xml:space="preserve"> in the context of the EUSS </w:t>
      </w:r>
      <w:r w:rsidR="00FD1530">
        <w:t xml:space="preserve">and argue that the </w:t>
      </w:r>
      <w:r w:rsidR="00864E00" w:rsidRPr="0048559C">
        <w:t xml:space="preserve">most vulnerable of them </w:t>
      </w:r>
      <w:r w:rsidR="00FD1530">
        <w:t xml:space="preserve">are </w:t>
      </w:r>
      <w:r w:rsidR="004F321F" w:rsidRPr="0048559C">
        <w:t xml:space="preserve">most </w:t>
      </w:r>
      <w:r w:rsidR="00F111C5" w:rsidRPr="0048559C">
        <w:t>likely to be wome</w:t>
      </w:r>
      <w:r w:rsidR="002549A0" w:rsidRPr="0048559C">
        <w:t>n</w:t>
      </w:r>
      <w:r w:rsidR="002965A4" w:rsidRPr="0048559C">
        <w:t xml:space="preserve"> – and also </w:t>
      </w:r>
      <w:r w:rsidR="00FD1530">
        <w:t xml:space="preserve">sometimes </w:t>
      </w:r>
      <w:r w:rsidR="002965A4" w:rsidRPr="0048559C">
        <w:t xml:space="preserve">overlapping </w:t>
      </w:r>
      <w:r w:rsidR="00FD1530">
        <w:t xml:space="preserve">as </w:t>
      </w:r>
      <w:r w:rsidR="002965A4" w:rsidRPr="0048559C">
        <w:t>victims of VAWG</w:t>
      </w:r>
      <w:r w:rsidR="002549A0" w:rsidRPr="0048559C">
        <w:t xml:space="preserve">. </w:t>
      </w:r>
      <w:r w:rsidR="00FC64E2">
        <w:t xml:space="preserve">Similar to victims of VAWG, this </w:t>
      </w:r>
      <w:r w:rsidR="002549A0" w:rsidRPr="0048559C">
        <w:t>category of individuals</w:t>
      </w:r>
      <w:r w:rsidR="005D4400" w:rsidRPr="0048559C">
        <w:t xml:space="preserve"> </w:t>
      </w:r>
      <w:r w:rsidR="004E3472">
        <w:t xml:space="preserve">are </w:t>
      </w:r>
      <w:r w:rsidR="00D51255" w:rsidRPr="0048559C">
        <w:t xml:space="preserve">precarious for </w:t>
      </w:r>
      <w:r w:rsidR="00FC64E2">
        <w:t xml:space="preserve">being </w:t>
      </w:r>
      <w:r w:rsidR="007460B8" w:rsidRPr="0048559C">
        <w:t>entirely reliant on</w:t>
      </w:r>
      <w:r w:rsidR="00A36363">
        <w:t xml:space="preserve"> an </w:t>
      </w:r>
      <w:r w:rsidR="00D51255" w:rsidRPr="0048559C">
        <w:t xml:space="preserve">EU </w:t>
      </w:r>
      <w:r w:rsidR="007460B8" w:rsidRPr="0048559C">
        <w:t>family member</w:t>
      </w:r>
      <w:r w:rsidR="00FC64E2">
        <w:t>,</w:t>
      </w:r>
      <w:r w:rsidR="004E3472">
        <w:t xml:space="preserve"> </w:t>
      </w:r>
      <w:r w:rsidR="00FD1530">
        <w:t xml:space="preserve">and additionally </w:t>
      </w:r>
      <w:r w:rsidR="00A36363">
        <w:t xml:space="preserve">in this particular case, </w:t>
      </w:r>
      <w:r w:rsidR="00FC64E2">
        <w:t>not being EU citizens themselves</w:t>
      </w:r>
      <w:r w:rsidR="005D4400" w:rsidRPr="0048559C">
        <w:t>.</w:t>
      </w:r>
      <w:r w:rsidR="004E3472">
        <w:t xml:space="preserve"> </w:t>
      </w:r>
      <w:r w:rsidR="00B06B34">
        <w:t xml:space="preserve">The situation </w:t>
      </w:r>
      <w:r w:rsidR="004E3472">
        <w:lastRenderedPageBreak/>
        <w:t xml:space="preserve">exemplifies </w:t>
      </w:r>
      <w:r w:rsidR="00A36363">
        <w:t>the vulnerability of an immigrant in a post-Brexit Britain most starkl</w:t>
      </w:r>
      <w:r w:rsidR="00FD1530">
        <w:t>y. T</w:t>
      </w:r>
      <w:r w:rsidR="00A36363">
        <w:t>he gendered elements play</w:t>
      </w:r>
      <w:r w:rsidR="00FD1530">
        <w:t xml:space="preserve"> </w:t>
      </w:r>
      <w:r w:rsidR="00A36363">
        <w:t>out in the legal definition of NEFMs</w:t>
      </w:r>
      <w:r w:rsidR="00FD1530">
        <w:t xml:space="preserve"> and </w:t>
      </w:r>
      <w:r w:rsidR="00A36363">
        <w:t xml:space="preserve">intersect </w:t>
      </w:r>
      <w:r w:rsidR="00376161">
        <w:t xml:space="preserve">with </w:t>
      </w:r>
      <w:r w:rsidR="00A36363">
        <w:t>vulnerabilities</w:t>
      </w:r>
      <w:r w:rsidR="00376161">
        <w:t xml:space="preserve"> associated with </w:t>
      </w:r>
      <w:r w:rsidR="00FD1530">
        <w:t xml:space="preserve">having a precarious immigration </w:t>
      </w:r>
      <w:r w:rsidR="00376161">
        <w:t>status</w:t>
      </w:r>
      <w:r w:rsidR="00A36363">
        <w:t xml:space="preserve">. </w:t>
      </w:r>
      <w:r w:rsidR="004A07F5">
        <w:t>B</w:t>
      </w:r>
      <w:r w:rsidR="00681AF6">
        <w:t xml:space="preserve">eing </w:t>
      </w:r>
      <w:r w:rsidR="00FC64E2">
        <w:t xml:space="preserve">required to apply via paper-based application </w:t>
      </w:r>
      <w:r w:rsidR="00681AF6">
        <w:t xml:space="preserve">also adds to their </w:t>
      </w:r>
      <w:r w:rsidR="00FC64E2">
        <w:t>oppression.</w:t>
      </w:r>
    </w:p>
    <w:p w14:paraId="23AEFE67" w14:textId="77777777" w:rsidR="00E5380F" w:rsidRPr="0048559C" w:rsidRDefault="00E5380F" w:rsidP="00C911B6">
      <w:pPr>
        <w:spacing w:line="480" w:lineRule="auto"/>
      </w:pPr>
    </w:p>
    <w:p w14:paraId="02CA0E27" w14:textId="3B58E07B" w:rsidR="002A0FBC" w:rsidRPr="0048559C" w:rsidRDefault="00AD532C" w:rsidP="00C911B6">
      <w:pPr>
        <w:spacing w:line="480" w:lineRule="auto"/>
      </w:pPr>
      <w:r>
        <w:t xml:space="preserve">There is a great deal more data </w:t>
      </w:r>
      <w:r w:rsidR="00561B3F">
        <w:t xml:space="preserve">specifically </w:t>
      </w:r>
      <w:r>
        <w:t xml:space="preserve">on NEFMs than </w:t>
      </w:r>
      <w:r w:rsidR="00561B3F">
        <w:t xml:space="preserve">even </w:t>
      </w:r>
      <w:r>
        <w:t xml:space="preserve">on </w:t>
      </w:r>
      <w:r w:rsidR="00561B3F">
        <w:t xml:space="preserve">female </w:t>
      </w:r>
      <w:r>
        <w:t xml:space="preserve">applicants generally to the EUSS, hence their being a case study in this paper. </w:t>
      </w:r>
      <w:r w:rsidR="00B20BE5" w:rsidRPr="0048559C">
        <w:t>NEFMs</w:t>
      </w:r>
      <w:r w:rsidR="007D3341">
        <w:t>, like victims of VAWG,</w:t>
      </w:r>
      <w:r w:rsidR="00B20BE5" w:rsidRPr="0048559C">
        <w:t xml:space="preserve"> </w:t>
      </w:r>
      <w:r w:rsidR="000B5141">
        <w:t>were an afterthought in terms of being granted official eligibility to the EUSS</w:t>
      </w:r>
      <w:r w:rsidR="00FD3CF6">
        <w:t xml:space="preserve"> (Home Office, 2019: 10).</w:t>
      </w:r>
      <w:r w:rsidR="00B20BE5" w:rsidRPr="0048559C">
        <w:t xml:space="preserve"> This is despite having </w:t>
      </w:r>
      <w:r w:rsidR="00F357E9" w:rsidRPr="0048559C">
        <w:t>rights</w:t>
      </w:r>
      <w:r w:rsidR="00B20BE5" w:rsidRPr="0048559C">
        <w:t xml:space="preserve"> under EU law for some time from </w:t>
      </w:r>
      <w:r w:rsidR="00EE60DC" w:rsidRPr="0048559C">
        <w:t xml:space="preserve">five </w:t>
      </w:r>
      <w:r w:rsidR="00587C93" w:rsidRPr="0048559C">
        <w:t>groups of</w:t>
      </w:r>
      <w:r w:rsidR="00EE60DC" w:rsidRPr="0048559C">
        <w:t xml:space="preserve"> </w:t>
      </w:r>
      <w:r w:rsidR="00B20BE5" w:rsidRPr="0048559C">
        <w:t xml:space="preserve">established </w:t>
      </w:r>
      <w:r w:rsidR="00587C93" w:rsidRPr="0048559C">
        <w:t xml:space="preserve">CJEU </w:t>
      </w:r>
      <w:r w:rsidR="00B20BE5" w:rsidRPr="0048559C">
        <w:t>case la</w:t>
      </w:r>
      <w:r w:rsidR="00EE60DC" w:rsidRPr="0048559C">
        <w:t>w</w:t>
      </w:r>
      <w:r w:rsidR="00587C93" w:rsidRPr="0048559C">
        <w:t xml:space="preserve"> precedents</w:t>
      </w:r>
      <w:r w:rsidR="00EE60DC" w:rsidRPr="0048559C">
        <w:t xml:space="preserve">: </w:t>
      </w:r>
      <w:r w:rsidR="007D56E3" w:rsidRPr="0048559C">
        <w:t>1)</w:t>
      </w:r>
      <w:r w:rsidR="00811523" w:rsidRPr="0048559C">
        <w:t xml:space="preserve"> </w:t>
      </w:r>
      <w:proofErr w:type="spellStart"/>
      <w:r w:rsidR="002A0FBC" w:rsidRPr="0048559C">
        <w:rPr>
          <w:i/>
          <w:iCs/>
        </w:rPr>
        <w:t>Lounes</w:t>
      </w:r>
      <w:proofErr w:type="spellEnd"/>
      <w:r w:rsidR="002A0FBC" w:rsidRPr="0048559C">
        <w:rPr>
          <w:i/>
          <w:iCs/>
        </w:rPr>
        <w:t xml:space="preserve"> </w:t>
      </w:r>
      <w:r w:rsidR="00493945" w:rsidRPr="0048559C">
        <w:t xml:space="preserve">for </w:t>
      </w:r>
      <w:r w:rsidR="00587C93" w:rsidRPr="0048559C">
        <w:t xml:space="preserve">naturalised </w:t>
      </w:r>
      <w:r w:rsidR="002A0FBC" w:rsidRPr="0048559C">
        <w:t>family members of British citizens,</w:t>
      </w:r>
      <w:r w:rsidR="002A0FBC" w:rsidRPr="0048559C">
        <w:rPr>
          <w:rStyle w:val="FootnoteReference"/>
        </w:rPr>
        <w:footnoteReference w:id="22"/>
      </w:r>
      <w:r w:rsidR="002A0FBC" w:rsidRPr="0048559C">
        <w:t xml:space="preserve"> 2) </w:t>
      </w:r>
      <w:r w:rsidR="002A0FBC" w:rsidRPr="0048559C">
        <w:rPr>
          <w:i/>
          <w:iCs/>
        </w:rPr>
        <w:t>Surinder Singh</w:t>
      </w:r>
      <w:r w:rsidR="002A0FBC" w:rsidRPr="0048559C">
        <w:t xml:space="preserve"> </w:t>
      </w:r>
      <w:r w:rsidR="00493945" w:rsidRPr="0048559C">
        <w:t xml:space="preserve">for </w:t>
      </w:r>
      <w:r w:rsidR="00587C93" w:rsidRPr="0048559C">
        <w:t xml:space="preserve">returning </w:t>
      </w:r>
      <w:r w:rsidR="002A0FBC" w:rsidRPr="0048559C">
        <w:t>family members of British citizens</w:t>
      </w:r>
      <w:r w:rsidR="002A0FBC" w:rsidRPr="0048559C">
        <w:rPr>
          <w:i/>
          <w:iCs/>
        </w:rPr>
        <w:t>,</w:t>
      </w:r>
      <w:r w:rsidR="007A6CF3" w:rsidRPr="0048559C">
        <w:rPr>
          <w:rStyle w:val="FootnoteReference"/>
          <w:i/>
          <w:iCs/>
        </w:rPr>
        <w:footnoteReference w:id="23"/>
      </w:r>
      <w:r w:rsidR="002A0FBC" w:rsidRPr="0048559C">
        <w:rPr>
          <w:i/>
          <w:iCs/>
        </w:rPr>
        <w:t xml:space="preserve"> </w:t>
      </w:r>
      <w:r w:rsidR="002A0FBC" w:rsidRPr="0048559C">
        <w:t xml:space="preserve">3) </w:t>
      </w:r>
      <w:r w:rsidR="00811523" w:rsidRPr="0048559C">
        <w:rPr>
          <w:i/>
          <w:iCs/>
        </w:rPr>
        <w:t>Chen</w:t>
      </w:r>
      <w:r w:rsidR="007D56E3" w:rsidRPr="0048559C">
        <w:rPr>
          <w:i/>
          <w:iCs/>
        </w:rPr>
        <w:t xml:space="preserve"> </w:t>
      </w:r>
      <w:r w:rsidR="00493945" w:rsidRPr="0048559C">
        <w:t>for</w:t>
      </w:r>
      <w:r w:rsidR="00493945" w:rsidRPr="0048559C">
        <w:rPr>
          <w:i/>
          <w:iCs/>
        </w:rPr>
        <w:t xml:space="preserve"> </w:t>
      </w:r>
      <w:r w:rsidR="007D56E3" w:rsidRPr="0048559C">
        <w:t>primary carers of EU national children</w:t>
      </w:r>
      <w:r w:rsidR="007D56E3" w:rsidRPr="008E73ED">
        <w:t>,</w:t>
      </w:r>
      <w:r w:rsidR="00EE60DC" w:rsidRPr="008E73ED">
        <w:rPr>
          <w:rStyle w:val="FootnoteReference"/>
        </w:rPr>
        <w:footnoteReference w:id="24"/>
      </w:r>
      <w:r w:rsidR="007D56E3" w:rsidRPr="0048559C">
        <w:rPr>
          <w:i/>
          <w:iCs/>
        </w:rPr>
        <w:t xml:space="preserve"> </w:t>
      </w:r>
      <w:r w:rsidR="002A0FBC" w:rsidRPr="0048559C">
        <w:t>3</w:t>
      </w:r>
      <w:r w:rsidR="007D56E3" w:rsidRPr="0048559C">
        <w:t xml:space="preserve">) </w:t>
      </w:r>
      <w:r w:rsidR="00811523" w:rsidRPr="0048559C">
        <w:rPr>
          <w:i/>
          <w:iCs/>
        </w:rPr>
        <w:t>Teixeira</w:t>
      </w:r>
      <w:r w:rsidR="0094489C" w:rsidRPr="0048559C">
        <w:rPr>
          <w:i/>
          <w:iCs/>
        </w:rPr>
        <w:t xml:space="preserve"> </w:t>
      </w:r>
      <w:r w:rsidR="00811523" w:rsidRPr="0048559C">
        <w:t>&amp;</w:t>
      </w:r>
      <w:r w:rsidR="00811523" w:rsidRPr="0048559C">
        <w:rPr>
          <w:i/>
          <w:iCs/>
        </w:rPr>
        <w:t xml:space="preserve"> Ibrahim</w:t>
      </w:r>
      <w:r w:rsidR="00811523" w:rsidRPr="0048559C">
        <w:t xml:space="preserve"> </w:t>
      </w:r>
      <w:r w:rsidR="00493945" w:rsidRPr="0048559C">
        <w:t xml:space="preserve">for </w:t>
      </w:r>
      <w:r w:rsidR="00811523" w:rsidRPr="0048559C">
        <w:t xml:space="preserve">primary carers of </w:t>
      </w:r>
      <w:r w:rsidR="00EC02AD" w:rsidRPr="0048559C">
        <w:t xml:space="preserve">EU national </w:t>
      </w:r>
      <w:r w:rsidR="00811523" w:rsidRPr="0048559C">
        <w:t>child</w:t>
      </w:r>
      <w:r w:rsidR="00EC02AD" w:rsidRPr="0048559C">
        <w:t>ren</w:t>
      </w:r>
      <w:r w:rsidR="007D56E3" w:rsidRPr="0048559C">
        <w:t xml:space="preserve"> in education</w:t>
      </w:r>
      <w:r w:rsidR="00811523" w:rsidRPr="0048559C">
        <w:t>,</w:t>
      </w:r>
      <w:r w:rsidR="00811523" w:rsidRPr="0048559C">
        <w:rPr>
          <w:rStyle w:val="FootnoteReference"/>
        </w:rPr>
        <w:footnoteReference w:id="25"/>
      </w:r>
      <w:r w:rsidR="00CD5060" w:rsidRPr="0048559C">
        <w:t xml:space="preserve"> </w:t>
      </w:r>
      <w:r w:rsidR="002A0FBC" w:rsidRPr="0048559C">
        <w:t>and 4</w:t>
      </w:r>
      <w:r w:rsidR="007D56E3" w:rsidRPr="0048559C">
        <w:t xml:space="preserve">) </w:t>
      </w:r>
      <w:r w:rsidR="00811523" w:rsidRPr="0048559C">
        <w:rPr>
          <w:i/>
          <w:iCs/>
        </w:rPr>
        <w:t>Zambrano</w:t>
      </w:r>
      <w:r w:rsidR="00F87FFD" w:rsidRPr="0048559C">
        <w:t xml:space="preserve"> </w:t>
      </w:r>
      <w:r w:rsidR="00493945" w:rsidRPr="0048559C">
        <w:t xml:space="preserve">for </w:t>
      </w:r>
      <w:r w:rsidR="00710F28" w:rsidRPr="0048559C">
        <w:t xml:space="preserve">primary </w:t>
      </w:r>
      <w:r w:rsidR="00811523" w:rsidRPr="0048559C">
        <w:t>carers of British dependents</w:t>
      </w:r>
      <w:r w:rsidR="002A0FBC" w:rsidRPr="0048559C">
        <w:t>.</w:t>
      </w:r>
      <w:r w:rsidR="00EC02AD" w:rsidRPr="0048559C">
        <w:rPr>
          <w:rStyle w:val="FootnoteReference"/>
        </w:rPr>
        <w:footnoteReference w:id="26"/>
      </w:r>
      <w:r w:rsidR="00811523" w:rsidRPr="0048559C">
        <w:t xml:space="preserve"> </w:t>
      </w:r>
      <w:r w:rsidR="00561B3F" w:rsidRPr="0048559C">
        <w:t>NEFMs, unlike victims of VAWG, are not all women and are also not all necessarily classified as “vulnerable” in the same way that victims of VAWG may be.</w:t>
      </w:r>
      <w:r w:rsidR="00561B3F">
        <w:t xml:space="preserve"> Therefore, of the five categories of NEFMs, t</w:t>
      </w:r>
      <w:r w:rsidR="007A6CF3" w:rsidRPr="0048559C">
        <w:t>h</w:t>
      </w:r>
      <w:r>
        <w:t xml:space="preserve">is paper </w:t>
      </w:r>
      <w:r w:rsidR="007A6CF3" w:rsidRPr="0048559C">
        <w:t>focus</w:t>
      </w:r>
      <w:r>
        <w:t>es</w:t>
      </w:r>
      <w:r w:rsidR="007A6CF3" w:rsidRPr="0048559C">
        <w:t xml:space="preserve"> on the latter three</w:t>
      </w:r>
      <w:r w:rsidR="000B5141">
        <w:t xml:space="preserve"> – </w:t>
      </w:r>
      <w:r w:rsidR="000B5141">
        <w:rPr>
          <w:i/>
          <w:iCs/>
        </w:rPr>
        <w:t xml:space="preserve">Chen, Teixeira/Ibrahim </w:t>
      </w:r>
      <w:r w:rsidR="000B5141">
        <w:t xml:space="preserve">and </w:t>
      </w:r>
      <w:r w:rsidR="000B5141">
        <w:rPr>
          <w:i/>
          <w:iCs/>
        </w:rPr>
        <w:t xml:space="preserve">Zambrano </w:t>
      </w:r>
      <w:r w:rsidR="000B5141">
        <w:t xml:space="preserve">– </w:t>
      </w:r>
      <w:r w:rsidR="00561B3F">
        <w:t xml:space="preserve">as </w:t>
      </w:r>
      <w:r>
        <w:t xml:space="preserve">these are the categories </w:t>
      </w:r>
      <w:r w:rsidR="00561B3F">
        <w:t xml:space="preserve">mostly made up of </w:t>
      </w:r>
      <w:r>
        <w:t xml:space="preserve">carers </w:t>
      </w:r>
      <w:r w:rsidR="00561B3F">
        <w:t xml:space="preserve">for </w:t>
      </w:r>
      <w:r>
        <w:t xml:space="preserve">EU </w:t>
      </w:r>
      <w:r w:rsidR="00561B3F">
        <w:t xml:space="preserve">children and dependents, who are most </w:t>
      </w:r>
      <w:r w:rsidR="004B5126">
        <w:t>likely to be women</w:t>
      </w:r>
      <w:r w:rsidR="00D01218">
        <w:t xml:space="preserve"> o</w:t>
      </w:r>
      <w:r w:rsidR="000315B3">
        <w:t xml:space="preserve">f </w:t>
      </w:r>
      <w:r w:rsidR="00D01218">
        <w:t>varying vulnerability</w:t>
      </w:r>
      <w:r w:rsidR="004B5126">
        <w:t>.</w:t>
      </w:r>
    </w:p>
    <w:p w14:paraId="333A9951" w14:textId="77777777" w:rsidR="00550D87" w:rsidRPr="0048559C" w:rsidRDefault="00550D87" w:rsidP="00C911B6">
      <w:pPr>
        <w:spacing w:line="480" w:lineRule="auto"/>
        <w:rPr>
          <w:i/>
          <w:iCs/>
        </w:rPr>
      </w:pPr>
    </w:p>
    <w:p w14:paraId="04D4D98A" w14:textId="145869B5" w:rsidR="00550D87" w:rsidRPr="00550D87" w:rsidRDefault="00441030" w:rsidP="0061492E">
      <w:pPr>
        <w:pStyle w:val="Heading1"/>
        <w:numPr>
          <w:ilvl w:val="0"/>
          <w:numId w:val="13"/>
        </w:numPr>
        <w:jc w:val="left"/>
        <w:rPr>
          <w:i/>
          <w:iCs/>
        </w:rPr>
      </w:pPr>
      <w:r w:rsidRPr="0048559C">
        <w:rPr>
          <w:i/>
          <w:iCs/>
        </w:rPr>
        <w:t>Derivative rights holders – Chen, Teixeira/Ibrahim and Zambrano</w:t>
      </w:r>
    </w:p>
    <w:p w14:paraId="25AE5C5C" w14:textId="31846CAA" w:rsidR="00BB1412" w:rsidRPr="0048559C" w:rsidRDefault="001F5457" w:rsidP="00C911B6">
      <w:pPr>
        <w:spacing w:line="480" w:lineRule="auto"/>
      </w:pPr>
      <w:r>
        <w:t>The legal background of the right</w:t>
      </w:r>
      <w:r w:rsidR="00B06B34">
        <w:t>s</w:t>
      </w:r>
      <w:r>
        <w:t xml:space="preserve"> derived </w:t>
      </w:r>
      <w:r w:rsidR="00B06B34">
        <w:t xml:space="preserve">under </w:t>
      </w:r>
      <w:r>
        <w:t xml:space="preserve">EU law </w:t>
      </w:r>
      <w:r w:rsidR="00B06B34">
        <w:t>to non-EU family members of EU nationals in</w:t>
      </w:r>
      <w:r w:rsidR="004A07F5">
        <w:t xml:space="preserve"> the</w:t>
      </w:r>
      <w:r w:rsidR="00B06B34">
        <w:t xml:space="preserve"> </w:t>
      </w:r>
      <w:r>
        <w:t xml:space="preserve">three aforementioned </w:t>
      </w:r>
      <w:r w:rsidR="00B06B34">
        <w:t>cases</w:t>
      </w:r>
      <w:r w:rsidR="001920B8">
        <w:t xml:space="preserve"> require</w:t>
      </w:r>
      <w:r w:rsidR="004A07F5">
        <w:t>s</w:t>
      </w:r>
      <w:r w:rsidR="001920B8">
        <w:t xml:space="preserve"> further analysis</w:t>
      </w:r>
      <w:r w:rsidR="000315B3">
        <w:t>,</w:t>
      </w:r>
      <w:r w:rsidR="001920B8">
        <w:t xml:space="preserve"> as </w:t>
      </w:r>
      <w:r w:rsidR="004A07F5">
        <w:t xml:space="preserve">it will </w:t>
      </w:r>
      <w:r w:rsidR="001920B8">
        <w:t xml:space="preserve">help </w:t>
      </w:r>
      <w:r w:rsidR="002A5653">
        <w:t xml:space="preserve">explain </w:t>
      </w:r>
      <w:r w:rsidR="004A07F5">
        <w:t xml:space="preserve">the </w:t>
      </w:r>
      <w:r w:rsidR="009C09CF">
        <w:t>differential intersectional</w:t>
      </w:r>
      <w:r w:rsidR="002A5653">
        <w:t xml:space="preserve"> effects of </w:t>
      </w:r>
      <w:r w:rsidR="009C09CF">
        <w:t xml:space="preserve">various </w:t>
      </w:r>
      <w:r w:rsidR="002A5653">
        <w:t>legal bases for rights under EU law</w:t>
      </w:r>
      <w:r w:rsidR="00EB0BE5">
        <w:t xml:space="preserve"> which were</w:t>
      </w:r>
      <w:r w:rsidR="002B52A6">
        <w:t xml:space="preserve"> transposed into domestic UK immigration law</w:t>
      </w:r>
      <w:r w:rsidR="00EB0BE5">
        <w:t>.</w:t>
      </w:r>
      <w:r w:rsidR="002B52A6">
        <w:t xml:space="preserve"> </w:t>
      </w:r>
      <w:r w:rsidR="00EB0BE5">
        <w:t>N</w:t>
      </w:r>
      <w:r w:rsidR="002B52A6">
        <w:t xml:space="preserve">ow </w:t>
      </w:r>
      <w:r w:rsidR="00EB0BE5">
        <w:t xml:space="preserve">they have been </w:t>
      </w:r>
      <w:r w:rsidR="002B52A6">
        <w:t xml:space="preserve">carried forward into </w:t>
      </w:r>
      <w:r w:rsidR="002A5653">
        <w:t xml:space="preserve">the </w:t>
      </w:r>
      <w:r w:rsidR="002B52A6">
        <w:t xml:space="preserve">immigration </w:t>
      </w:r>
      <w:r w:rsidR="002A5653">
        <w:t xml:space="preserve">regime </w:t>
      </w:r>
      <w:r w:rsidR="002A5653">
        <w:lastRenderedPageBreak/>
        <w:t>applicable in a post-Brexit Britain</w:t>
      </w:r>
      <w:r w:rsidR="00EB0BE5">
        <w:t>, their intersectional implications are worth considering</w:t>
      </w:r>
      <w:r>
        <w:t xml:space="preserve">. </w:t>
      </w:r>
      <w:r w:rsidR="00B06B34">
        <w:t>First, i</w:t>
      </w:r>
      <w:r w:rsidR="00E74741" w:rsidRPr="0048559C">
        <w:t xml:space="preserve">n </w:t>
      </w:r>
      <w:r w:rsidR="00E74741" w:rsidRPr="0048559C">
        <w:rPr>
          <w:i/>
          <w:iCs/>
        </w:rPr>
        <w:t>Chen</w:t>
      </w:r>
      <w:r w:rsidR="00E74741" w:rsidRPr="0048559C">
        <w:t>, a Chinese national</w:t>
      </w:r>
      <w:r w:rsidR="00962ABA" w:rsidRPr="0048559C">
        <w:t xml:space="preserve"> </w:t>
      </w:r>
      <w:r w:rsidR="00E74741" w:rsidRPr="0048559C">
        <w:t>travelled to Northern Ireland to give birt</w:t>
      </w:r>
      <w:r w:rsidR="00DB23B0" w:rsidRPr="0048559C">
        <w:t>h</w:t>
      </w:r>
      <w:r w:rsidR="00962ABA" w:rsidRPr="0048559C">
        <w:t xml:space="preserve">. </w:t>
      </w:r>
      <w:r w:rsidR="00893EC9">
        <w:t>H</w:t>
      </w:r>
      <w:r w:rsidR="00962ABA" w:rsidRPr="0048559C">
        <w:t xml:space="preserve">er daughter </w:t>
      </w:r>
      <w:r w:rsidR="00DB23B0" w:rsidRPr="0048559C">
        <w:t xml:space="preserve">became an </w:t>
      </w:r>
      <w:r w:rsidR="00E74741" w:rsidRPr="0048559C">
        <w:t>Irish citizen</w:t>
      </w:r>
      <w:r w:rsidR="00DB23B0" w:rsidRPr="0048559C">
        <w:t xml:space="preserve"> </w:t>
      </w:r>
      <w:r w:rsidR="00E74741" w:rsidRPr="0048559C">
        <w:t xml:space="preserve">by virtue of </w:t>
      </w:r>
      <w:r w:rsidR="00E74741" w:rsidRPr="0048559C">
        <w:rPr>
          <w:i/>
          <w:iCs/>
        </w:rPr>
        <w:t xml:space="preserve">jus soli </w:t>
      </w:r>
      <w:r w:rsidR="00E74741" w:rsidRPr="0048559C">
        <w:t xml:space="preserve">citizenship rules </w:t>
      </w:r>
      <w:r w:rsidR="007A669F">
        <w:t xml:space="preserve">on the island of </w:t>
      </w:r>
      <w:r w:rsidR="00E74741" w:rsidRPr="0048559C">
        <w:t>Ireland</w:t>
      </w:r>
      <w:r w:rsidR="0073224D" w:rsidRPr="0048559C">
        <w:t>.</w:t>
      </w:r>
      <w:r w:rsidR="00A9684B" w:rsidRPr="0048559C">
        <w:rPr>
          <w:rStyle w:val="FootnoteReference"/>
        </w:rPr>
        <w:footnoteReference w:id="27"/>
      </w:r>
      <w:r w:rsidR="00DB23B0" w:rsidRPr="0048559C">
        <w:t xml:space="preserve"> </w:t>
      </w:r>
      <w:r w:rsidR="00893EC9">
        <w:t>M</w:t>
      </w:r>
      <w:r w:rsidR="00F32150" w:rsidRPr="0048559C">
        <w:t>other and child</w:t>
      </w:r>
      <w:r w:rsidR="00DB23B0" w:rsidRPr="0048559C">
        <w:t xml:space="preserve"> </w:t>
      </w:r>
      <w:r w:rsidR="00E74741" w:rsidRPr="0048559C">
        <w:t>return</w:t>
      </w:r>
      <w:r w:rsidR="00DB23B0" w:rsidRPr="0048559C">
        <w:t xml:space="preserve">ed </w:t>
      </w:r>
      <w:r w:rsidR="00E74741" w:rsidRPr="0048559C">
        <w:t xml:space="preserve">to </w:t>
      </w:r>
      <w:r w:rsidR="0073224D" w:rsidRPr="0048559C">
        <w:t xml:space="preserve">the UK </w:t>
      </w:r>
      <w:r w:rsidR="00587C93" w:rsidRPr="0048559C">
        <w:t xml:space="preserve">where </w:t>
      </w:r>
      <w:r w:rsidR="00E74741" w:rsidRPr="0048559C">
        <w:t xml:space="preserve">the </w:t>
      </w:r>
      <w:r w:rsidR="00F32150" w:rsidRPr="0048559C">
        <w:t xml:space="preserve">child’s </w:t>
      </w:r>
      <w:r w:rsidR="00E74741" w:rsidRPr="0048559C">
        <w:t>father</w:t>
      </w:r>
      <w:r w:rsidR="00FD16C2">
        <w:t xml:space="preserve">, a Chinese national, </w:t>
      </w:r>
      <w:r w:rsidR="00E74741" w:rsidRPr="0048559C">
        <w:t>worked</w:t>
      </w:r>
      <w:r w:rsidR="00587C93" w:rsidRPr="0048559C">
        <w:t xml:space="preserve"> and resided</w:t>
      </w:r>
      <w:r w:rsidR="00FD16C2">
        <w:t xml:space="preserve">. The </w:t>
      </w:r>
      <w:r w:rsidR="00A9684B" w:rsidRPr="0048559C">
        <w:t>mother sought residency</w:t>
      </w:r>
      <w:r w:rsidR="00FD16C2">
        <w:t xml:space="preserve"> u</w:t>
      </w:r>
      <w:r w:rsidR="00BC0AC5" w:rsidRPr="0048559C">
        <w:t xml:space="preserve">nder EU law, </w:t>
      </w:r>
      <w:r w:rsidR="009C09CF">
        <w:t xml:space="preserve">and </w:t>
      </w:r>
      <w:r w:rsidR="001632EC" w:rsidRPr="0048559C">
        <w:t xml:space="preserve">the CJEU held that </w:t>
      </w:r>
      <w:r w:rsidR="00DB23B0" w:rsidRPr="0048559C">
        <w:t xml:space="preserve">the </w:t>
      </w:r>
      <w:r w:rsidR="00BA277E">
        <w:t>third country national</w:t>
      </w:r>
      <w:r w:rsidR="00BC0AC5" w:rsidRPr="0048559C">
        <w:t xml:space="preserve"> </w:t>
      </w:r>
      <w:r w:rsidR="00DB23B0" w:rsidRPr="0048559C">
        <w:t xml:space="preserve">mother could </w:t>
      </w:r>
      <w:r w:rsidR="00BC0AC5" w:rsidRPr="0048559C">
        <w:t xml:space="preserve">derive rights from </w:t>
      </w:r>
      <w:r w:rsidR="00DB23B0" w:rsidRPr="0048559C">
        <w:t xml:space="preserve">her </w:t>
      </w:r>
      <w:r w:rsidR="00BC0AC5" w:rsidRPr="0048559C">
        <w:t>EU national child</w:t>
      </w:r>
      <w:r w:rsidR="00DB23B0" w:rsidRPr="0048559C">
        <w:t xml:space="preserve"> </w:t>
      </w:r>
      <w:r w:rsidR="00BC0AC5" w:rsidRPr="0048559C">
        <w:t xml:space="preserve">in order to remain </w:t>
      </w:r>
      <w:r w:rsidR="00D45A0A" w:rsidRPr="0048559C">
        <w:t xml:space="preserve">to care for </w:t>
      </w:r>
      <w:r w:rsidR="00587C93" w:rsidRPr="0048559C">
        <w:t>her</w:t>
      </w:r>
      <w:r w:rsidR="00DB23B0" w:rsidRPr="0048559C">
        <w:t>, allow</w:t>
      </w:r>
      <w:r w:rsidR="00A9684B" w:rsidRPr="0048559C">
        <w:t xml:space="preserve">ing </w:t>
      </w:r>
      <w:r w:rsidR="00E43ABB" w:rsidRPr="0048559C">
        <w:t xml:space="preserve">the baby </w:t>
      </w:r>
      <w:r w:rsidR="00DB23B0" w:rsidRPr="0048559C">
        <w:t xml:space="preserve">to remain </w:t>
      </w:r>
      <w:r w:rsidR="00A9684B" w:rsidRPr="0048559C">
        <w:t>on EU</w:t>
      </w:r>
      <w:r w:rsidR="00BC0AC5" w:rsidRPr="0048559C">
        <w:t xml:space="preserve"> territory</w:t>
      </w:r>
      <w:r w:rsidR="00100F0B" w:rsidRPr="0048559C">
        <w:t xml:space="preserve"> and </w:t>
      </w:r>
      <w:r w:rsidR="00CC324F" w:rsidRPr="0048559C">
        <w:t xml:space="preserve">establishing </w:t>
      </w:r>
      <w:r w:rsidR="00100F0B" w:rsidRPr="0048559C">
        <w:t xml:space="preserve">the category of </w:t>
      </w:r>
      <w:r w:rsidR="004238E3" w:rsidRPr="0048559C">
        <w:rPr>
          <w:i/>
          <w:iCs/>
        </w:rPr>
        <w:t xml:space="preserve">Chen </w:t>
      </w:r>
      <w:r w:rsidR="004238E3" w:rsidRPr="0048559C">
        <w:t>derivative rights holders</w:t>
      </w:r>
      <w:r w:rsidR="00BC0AC5" w:rsidRPr="0048559C">
        <w:t>.</w:t>
      </w:r>
      <w:r w:rsidR="004238E3" w:rsidRPr="0048559C">
        <w:t xml:space="preserve"> T</w:t>
      </w:r>
      <w:r w:rsidR="002D0CB5" w:rsidRPr="0048559C">
        <w:t>he child need</w:t>
      </w:r>
      <w:r w:rsidR="00FD16C2">
        <w:t>ed</w:t>
      </w:r>
      <w:r w:rsidR="00E43ABB" w:rsidRPr="0048559C">
        <w:t xml:space="preserve"> </w:t>
      </w:r>
      <w:r w:rsidR="002D0CB5" w:rsidRPr="0048559C">
        <w:t>to be ‘exercising Treaty rights’</w:t>
      </w:r>
      <w:r w:rsidR="00E43ABB" w:rsidRPr="0048559C">
        <w:t xml:space="preserve"> for this to be effective, </w:t>
      </w:r>
      <w:r w:rsidR="00962ABA" w:rsidRPr="0048559C">
        <w:t>meaning</w:t>
      </w:r>
      <w:r w:rsidR="00587C93" w:rsidRPr="0048559C">
        <w:t xml:space="preserve"> </w:t>
      </w:r>
      <w:r w:rsidR="000315B3">
        <w:t xml:space="preserve">that </w:t>
      </w:r>
      <w:r w:rsidR="00A947E1" w:rsidRPr="0048559C">
        <w:t xml:space="preserve">at least one </w:t>
      </w:r>
      <w:r w:rsidR="002D0CB5" w:rsidRPr="0048559C">
        <w:t>parent</w:t>
      </w:r>
      <w:r w:rsidR="00A947E1" w:rsidRPr="0048559C">
        <w:t xml:space="preserve"> </w:t>
      </w:r>
      <w:r w:rsidR="00962ABA" w:rsidRPr="0048559C">
        <w:t>had to</w:t>
      </w:r>
      <w:r w:rsidR="002D0CB5" w:rsidRPr="0048559C">
        <w:t xml:space="preserve"> </w:t>
      </w:r>
      <w:r w:rsidR="004838A0" w:rsidRPr="0048559C">
        <w:t xml:space="preserve">have sufficient resources and comprehensive health insurance </w:t>
      </w:r>
      <w:r w:rsidR="00E43ABB" w:rsidRPr="0048559C">
        <w:t xml:space="preserve">to </w:t>
      </w:r>
      <w:r w:rsidR="004838A0" w:rsidRPr="0048559C">
        <w:t>avoid</w:t>
      </w:r>
      <w:r w:rsidR="00E43ABB" w:rsidRPr="0048559C">
        <w:t xml:space="preserve"> </w:t>
      </w:r>
      <w:r w:rsidR="004838A0" w:rsidRPr="0048559C">
        <w:t>becoming a burden on the national Member State</w:t>
      </w:r>
      <w:r w:rsidR="00962ABA" w:rsidRPr="0048559C">
        <w:t>’</w:t>
      </w:r>
      <w:r w:rsidR="004838A0" w:rsidRPr="0048559C">
        <w:t>s welfare system</w:t>
      </w:r>
      <w:r w:rsidR="00962ABA" w:rsidRPr="0048559C">
        <w:t>s</w:t>
      </w:r>
      <w:r w:rsidR="004838A0" w:rsidRPr="0048559C">
        <w:t>.</w:t>
      </w:r>
      <w:r w:rsidR="004838A0" w:rsidRPr="0048559C">
        <w:rPr>
          <w:rStyle w:val="FootnoteReference"/>
        </w:rPr>
        <w:footnoteReference w:id="28"/>
      </w:r>
      <w:r w:rsidR="004838A0" w:rsidRPr="0048559C">
        <w:t xml:space="preserve"> </w:t>
      </w:r>
      <w:r w:rsidR="00D01218">
        <w:t>Therefore</w:t>
      </w:r>
      <w:r w:rsidR="00DB02CA" w:rsidRPr="0048559C">
        <w:t xml:space="preserve">, though this </w:t>
      </w:r>
      <w:r w:rsidR="00962ABA" w:rsidRPr="0048559C">
        <w:t xml:space="preserve">category </w:t>
      </w:r>
      <w:r w:rsidR="00A9684B" w:rsidRPr="0048559C">
        <w:t>benefit</w:t>
      </w:r>
      <w:r w:rsidR="004238E3" w:rsidRPr="0048559C">
        <w:t>s</w:t>
      </w:r>
      <w:r w:rsidR="00D01218">
        <w:t xml:space="preserve"> </w:t>
      </w:r>
      <w:r w:rsidR="00A947E1" w:rsidRPr="0048559C">
        <w:t xml:space="preserve">non-working mothers who </w:t>
      </w:r>
      <w:r w:rsidR="00587C93" w:rsidRPr="0048559C">
        <w:t xml:space="preserve">are an EU child’s </w:t>
      </w:r>
      <w:r w:rsidR="00A947E1" w:rsidRPr="0048559C">
        <w:t>primary carer</w:t>
      </w:r>
      <w:r w:rsidR="00E43ABB" w:rsidRPr="0048559C">
        <w:t xml:space="preserve"> and </w:t>
      </w:r>
      <w:r w:rsidR="00A947E1" w:rsidRPr="0048559C">
        <w:t xml:space="preserve">whose </w:t>
      </w:r>
      <w:r w:rsidR="00E43ABB" w:rsidRPr="0048559C">
        <w:t xml:space="preserve">fathers can </w:t>
      </w:r>
      <w:r w:rsidR="00DE63E0" w:rsidRPr="0048559C">
        <w:t>support</w:t>
      </w:r>
      <w:r w:rsidR="00BA2594" w:rsidRPr="0048559C">
        <w:t xml:space="preserve"> them</w:t>
      </w:r>
      <w:r w:rsidR="00DE63E0" w:rsidRPr="0048559C">
        <w:t xml:space="preserve"> financially</w:t>
      </w:r>
      <w:r w:rsidR="00441030" w:rsidRPr="0048559C">
        <w:t xml:space="preserve">, </w:t>
      </w:r>
      <w:r w:rsidR="00DB02CA" w:rsidRPr="0048559C">
        <w:t xml:space="preserve">it </w:t>
      </w:r>
      <w:r w:rsidR="00D375E1" w:rsidRPr="0048559C">
        <w:t>primarily reward</w:t>
      </w:r>
      <w:r w:rsidR="00441030" w:rsidRPr="0048559C">
        <w:t xml:space="preserve">s </w:t>
      </w:r>
      <w:r w:rsidR="00F357E9" w:rsidRPr="0048559C">
        <w:t xml:space="preserve">those with </w:t>
      </w:r>
      <w:r w:rsidR="00DE63E0" w:rsidRPr="0048559C">
        <w:t>sufficient resources</w:t>
      </w:r>
      <w:r w:rsidR="00D375E1" w:rsidRPr="0048559C">
        <w:t xml:space="preserve">. </w:t>
      </w:r>
      <w:r w:rsidR="00727820" w:rsidRPr="0048559C">
        <w:t xml:space="preserve">As such, it suggests that a </w:t>
      </w:r>
      <w:r w:rsidR="00DE63E0" w:rsidRPr="0048559C">
        <w:t>single mother</w:t>
      </w:r>
      <w:r w:rsidR="00D375E1" w:rsidRPr="0048559C">
        <w:t xml:space="preserve"> support</w:t>
      </w:r>
      <w:r w:rsidR="00BA277E">
        <w:t xml:space="preserve">ing </w:t>
      </w:r>
      <w:r w:rsidR="00D375E1" w:rsidRPr="0048559C">
        <w:t xml:space="preserve">a family on her own is </w:t>
      </w:r>
      <w:r w:rsidR="00BA277E">
        <w:t xml:space="preserve">not </w:t>
      </w:r>
      <w:r w:rsidR="00D375E1" w:rsidRPr="0048559C">
        <w:t xml:space="preserve">likely </w:t>
      </w:r>
      <w:r w:rsidR="00E43ABB" w:rsidRPr="0048559C">
        <w:t>to come with</w:t>
      </w:r>
      <w:r w:rsidR="002E41BB" w:rsidRPr="0048559C">
        <w:t>in</w:t>
      </w:r>
      <w:r w:rsidR="00E43ABB" w:rsidRPr="0048559C">
        <w:t xml:space="preserve"> </w:t>
      </w:r>
      <w:r w:rsidR="002E41BB" w:rsidRPr="0048559C">
        <w:t xml:space="preserve">the scope of the </w:t>
      </w:r>
      <w:r w:rsidR="00E43ABB" w:rsidRPr="0048559C">
        <w:rPr>
          <w:i/>
          <w:iCs/>
        </w:rPr>
        <w:t xml:space="preserve">Chen </w:t>
      </w:r>
      <w:r w:rsidR="00E43ABB" w:rsidRPr="0048559C">
        <w:t>carer</w:t>
      </w:r>
      <w:r w:rsidR="002E41BB" w:rsidRPr="0048559C">
        <w:t xml:space="preserve"> categor</w:t>
      </w:r>
      <w:r w:rsidR="0060487F">
        <w:t>y</w:t>
      </w:r>
      <w:r w:rsidR="00F357E9" w:rsidRPr="0048559C">
        <w:t>.</w:t>
      </w:r>
    </w:p>
    <w:p w14:paraId="2F4480E6" w14:textId="58ACBD57" w:rsidR="00BB1412" w:rsidRPr="0048559C" w:rsidRDefault="00BB1412" w:rsidP="00C911B6">
      <w:pPr>
        <w:tabs>
          <w:tab w:val="left" w:pos="6430"/>
        </w:tabs>
        <w:spacing w:line="480" w:lineRule="auto"/>
      </w:pPr>
    </w:p>
    <w:p w14:paraId="634E30A1" w14:textId="4049919F" w:rsidR="00565E19" w:rsidRPr="0048559C" w:rsidRDefault="00B06B34" w:rsidP="00C911B6">
      <w:pPr>
        <w:spacing w:line="480" w:lineRule="auto"/>
      </w:pPr>
      <w:r>
        <w:t>Second, t</w:t>
      </w:r>
      <w:r w:rsidR="002C0563" w:rsidRPr="0048559C">
        <w:t xml:space="preserve">he conditions from the CJEU cases of </w:t>
      </w:r>
      <w:r w:rsidR="00565E19" w:rsidRPr="0048559C">
        <w:rPr>
          <w:i/>
          <w:iCs/>
        </w:rPr>
        <w:t>Teixeira</w:t>
      </w:r>
      <w:r w:rsidR="002C0563" w:rsidRPr="0048559C">
        <w:t xml:space="preserve"> and </w:t>
      </w:r>
      <w:r w:rsidR="00565E19" w:rsidRPr="0048559C">
        <w:rPr>
          <w:i/>
          <w:iCs/>
        </w:rPr>
        <w:t>Ibrahim</w:t>
      </w:r>
      <w:r w:rsidR="00565E19" w:rsidRPr="0048559C">
        <w:t xml:space="preserve"> are slightly more </w:t>
      </w:r>
      <w:r w:rsidR="0047281E" w:rsidRPr="0048559C">
        <w:t>generous</w:t>
      </w:r>
      <w:r w:rsidR="00565E19" w:rsidRPr="0048559C">
        <w:t xml:space="preserve"> than </w:t>
      </w:r>
      <w:r w:rsidR="00565E19" w:rsidRPr="0048559C">
        <w:rPr>
          <w:i/>
          <w:iCs/>
        </w:rPr>
        <w:t>Chen</w:t>
      </w:r>
      <w:r w:rsidR="00565E19" w:rsidRPr="0048559C">
        <w:t xml:space="preserve">, </w:t>
      </w:r>
      <w:r w:rsidR="002C35E1" w:rsidRPr="0048559C">
        <w:t>re</w:t>
      </w:r>
      <w:r w:rsidR="00565E19" w:rsidRPr="0048559C">
        <w:t>quir</w:t>
      </w:r>
      <w:r w:rsidR="002C35E1" w:rsidRPr="0048559C">
        <w:t xml:space="preserve">ing </w:t>
      </w:r>
      <w:r w:rsidR="00565E19" w:rsidRPr="0048559C">
        <w:t xml:space="preserve">that </w:t>
      </w:r>
      <w:r w:rsidR="00BA2594" w:rsidRPr="0048559C">
        <w:t xml:space="preserve">a </w:t>
      </w:r>
      <w:r w:rsidR="00565E19" w:rsidRPr="0048559C">
        <w:t>child be in education in the host Member State</w:t>
      </w:r>
      <w:r w:rsidR="00A357C4" w:rsidRPr="0048559C">
        <w:t xml:space="preserve"> and their parent to be or have been a worker</w:t>
      </w:r>
      <w:r w:rsidR="002C0563" w:rsidRPr="0048559C">
        <w:t xml:space="preserve"> in order for the NEFM in question to </w:t>
      </w:r>
      <w:r w:rsidR="00F357E9" w:rsidRPr="0048559C">
        <w:t xml:space="preserve">be eligible to </w:t>
      </w:r>
      <w:r w:rsidR="002C0563" w:rsidRPr="0048559C">
        <w:t>derive rights</w:t>
      </w:r>
      <w:r w:rsidR="00565E19" w:rsidRPr="0048559C">
        <w:t>.</w:t>
      </w:r>
      <w:r w:rsidR="00E43ABB" w:rsidRPr="0048559C">
        <w:t xml:space="preserve"> </w:t>
      </w:r>
      <w:r w:rsidR="004243C8" w:rsidRPr="0048559C">
        <w:t>In both cases, single mothers of EU national children sought housing assistance</w:t>
      </w:r>
      <w:r w:rsidR="00A71CF8" w:rsidRPr="0048559C">
        <w:t xml:space="preserve"> </w:t>
      </w:r>
      <w:r w:rsidR="00BF70B4" w:rsidRPr="0048559C">
        <w:t xml:space="preserve">upon a </w:t>
      </w:r>
      <w:r w:rsidR="00A71CF8" w:rsidRPr="0048559C">
        <w:t>right of residence</w:t>
      </w:r>
      <w:r w:rsidR="004243C8" w:rsidRPr="0048559C">
        <w:t xml:space="preserve"> </w:t>
      </w:r>
      <w:r w:rsidR="00A71CF8" w:rsidRPr="0048559C">
        <w:t xml:space="preserve">in the UK. The CJEU held that the claimants </w:t>
      </w:r>
      <w:r w:rsidR="002C35E1" w:rsidRPr="0048559C">
        <w:t>derive</w:t>
      </w:r>
      <w:r w:rsidR="004243C8" w:rsidRPr="0048559C">
        <w:t xml:space="preserve">d </w:t>
      </w:r>
      <w:r w:rsidR="00565E19" w:rsidRPr="0048559C">
        <w:t xml:space="preserve">rights </w:t>
      </w:r>
      <w:r w:rsidR="004243C8" w:rsidRPr="0048559C">
        <w:t xml:space="preserve">to remain from </w:t>
      </w:r>
      <w:r w:rsidR="00565E19" w:rsidRPr="0048559C">
        <w:t>the</w:t>
      </w:r>
      <w:r w:rsidR="004243C8" w:rsidRPr="0048559C">
        <w:t>ir</w:t>
      </w:r>
      <w:r w:rsidR="00565E19" w:rsidRPr="0048559C">
        <w:t xml:space="preserve"> child</w:t>
      </w:r>
      <w:r w:rsidR="004243C8" w:rsidRPr="0048559C">
        <w:t xml:space="preserve">ren </w:t>
      </w:r>
      <w:r w:rsidR="00BF70B4" w:rsidRPr="0048559C">
        <w:t xml:space="preserve">so they could </w:t>
      </w:r>
      <w:r w:rsidR="00E43ABB" w:rsidRPr="0048559C">
        <w:t xml:space="preserve">continue </w:t>
      </w:r>
      <w:r w:rsidR="002213CA" w:rsidRPr="0048559C">
        <w:t xml:space="preserve">in </w:t>
      </w:r>
      <w:r w:rsidR="00565E19" w:rsidRPr="0048559C">
        <w:t>education</w:t>
      </w:r>
      <w:r w:rsidR="00E43ABB" w:rsidRPr="0048559C">
        <w:t xml:space="preserve"> in the host State</w:t>
      </w:r>
      <w:r w:rsidR="00565E19" w:rsidRPr="0048559C">
        <w:t xml:space="preserve">. </w:t>
      </w:r>
      <w:r w:rsidR="00785495" w:rsidRPr="0048559C">
        <w:t>T</w:t>
      </w:r>
      <w:r w:rsidR="002C0563" w:rsidRPr="0048559C">
        <w:t>here is less reliance</w:t>
      </w:r>
      <w:r w:rsidR="002213CA" w:rsidRPr="0048559C">
        <w:t xml:space="preserve"> </w:t>
      </w:r>
      <w:r w:rsidR="0047281E" w:rsidRPr="0048559C">
        <w:t xml:space="preserve">on economic activity than </w:t>
      </w:r>
      <w:r w:rsidR="009825F4" w:rsidRPr="0048559C">
        <w:t xml:space="preserve">for </w:t>
      </w:r>
      <w:r w:rsidR="002C0563" w:rsidRPr="0048559C">
        <w:rPr>
          <w:i/>
          <w:iCs/>
        </w:rPr>
        <w:t xml:space="preserve">Chen </w:t>
      </w:r>
      <w:r w:rsidR="009825F4" w:rsidRPr="0048559C">
        <w:t>carers</w:t>
      </w:r>
      <w:r w:rsidR="009825F4" w:rsidRPr="0048559C">
        <w:rPr>
          <w:i/>
          <w:iCs/>
        </w:rPr>
        <w:t xml:space="preserve"> </w:t>
      </w:r>
      <w:r w:rsidR="00337E33" w:rsidRPr="0048559C">
        <w:t xml:space="preserve">by not </w:t>
      </w:r>
      <w:r w:rsidR="002C0563" w:rsidRPr="0048559C">
        <w:t>ask</w:t>
      </w:r>
      <w:r w:rsidR="00337E33" w:rsidRPr="0048559C">
        <w:t xml:space="preserve">ing </w:t>
      </w:r>
      <w:r w:rsidR="002C0563" w:rsidRPr="0048559C">
        <w:t>for proof of</w:t>
      </w:r>
      <w:r w:rsidR="000513F3" w:rsidRPr="0048559C">
        <w:t xml:space="preserve"> </w:t>
      </w:r>
      <w:r w:rsidR="002C0563" w:rsidRPr="0048559C">
        <w:t>sufficient resources</w:t>
      </w:r>
      <w:r w:rsidR="004243C8" w:rsidRPr="0048559C">
        <w:t xml:space="preserve">, </w:t>
      </w:r>
      <w:r w:rsidR="00E43ABB" w:rsidRPr="0048559C">
        <w:t>but r</w:t>
      </w:r>
      <w:r w:rsidR="002C0563" w:rsidRPr="0048559C">
        <w:t>ather</w:t>
      </w:r>
      <w:r w:rsidR="002703F4" w:rsidRPr="0048559C">
        <w:t xml:space="preserve"> </w:t>
      </w:r>
      <w:r w:rsidR="00E43ABB" w:rsidRPr="0048559C">
        <w:t xml:space="preserve">asking that </w:t>
      </w:r>
      <w:r w:rsidR="004243C8" w:rsidRPr="0048559C">
        <w:t xml:space="preserve">at least </w:t>
      </w:r>
      <w:r w:rsidR="00E43ABB" w:rsidRPr="0048559C">
        <w:t xml:space="preserve">one </w:t>
      </w:r>
      <w:r w:rsidR="002C0563" w:rsidRPr="0048559C">
        <w:t>parent</w:t>
      </w:r>
      <w:r w:rsidR="0047281E" w:rsidRPr="0048559C">
        <w:t xml:space="preserve"> </w:t>
      </w:r>
      <w:r w:rsidR="00E9117F" w:rsidRPr="0048559C">
        <w:t>ha</w:t>
      </w:r>
      <w:r w:rsidR="003C64CF">
        <w:t>ve</w:t>
      </w:r>
      <w:r w:rsidR="00E9117F" w:rsidRPr="0048559C">
        <w:t xml:space="preserve"> been</w:t>
      </w:r>
      <w:r w:rsidR="00BF70B4" w:rsidRPr="0048559C">
        <w:t xml:space="preserve"> a </w:t>
      </w:r>
      <w:r w:rsidR="00E9117F" w:rsidRPr="0048559C">
        <w:t>worker</w:t>
      </w:r>
      <w:r w:rsidR="006E17BE" w:rsidRPr="0048559C">
        <w:t>.</w:t>
      </w:r>
      <w:r w:rsidR="00807997" w:rsidRPr="0048559C">
        <w:t xml:space="preserve"> In theory, </w:t>
      </w:r>
      <w:r w:rsidR="002213CA" w:rsidRPr="0048559C">
        <w:t xml:space="preserve">this category should </w:t>
      </w:r>
      <w:r w:rsidR="00807997" w:rsidRPr="0048559C">
        <w:t xml:space="preserve">empower </w:t>
      </w:r>
      <w:r w:rsidR="00BF70B4" w:rsidRPr="0048559C">
        <w:t xml:space="preserve">vulnerable women </w:t>
      </w:r>
      <w:r w:rsidR="002C0563" w:rsidRPr="0048559C">
        <w:t xml:space="preserve">in a way that </w:t>
      </w:r>
      <w:r w:rsidR="002C0563" w:rsidRPr="0048559C">
        <w:rPr>
          <w:i/>
          <w:iCs/>
        </w:rPr>
        <w:t>Chen</w:t>
      </w:r>
      <w:r w:rsidR="002C0563" w:rsidRPr="0048559C">
        <w:t xml:space="preserve"> does not</w:t>
      </w:r>
      <w:r w:rsidR="00807997" w:rsidRPr="0048559C">
        <w:t xml:space="preserve">. However, </w:t>
      </w:r>
      <w:r w:rsidR="009061DA" w:rsidRPr="0048559C">
        <w:t>whilst</w:t>
      </w:r>
      <w:r w:rsidR="002213CA" w:rsidRPr="0048559C">
        <w:t xml:space="preserve"> </w:t>
      </w:r>
      <w:r w:rsidR="00BF70B4" w:rsidRPr="0048559C">
        <w:t xml:space="preserve">perhaps </w:t>
      </w:r>
      <w:r w:rsidR="002213CA" w:rsidRPr="0048559C">
        <w:t xml:space="preserve">single mothers would not have to rely on former partners, </w:t>
      </w:r>
      <w:r w:rsidR="00A71CF8" w:rsidRPr="0048559C">
        <w:t xml:space="preserve">the </w:t>
      </w:r>
      <w:r w:rsidR="002213CA" w:rsidRPr="0048559C">
        <w:rPr>
          <w:i/>
          <w:iCs/>
        </w:rPr>
        <w:t>Teixeira</w:t>
      </w:r>
      <w:r w:rsidR="002213CA" w:rsidRPr="0048559C">
        <w:t>/</w:t>
      </w:r>
      <w:r w:rsidR="002213CA" w:rsidRPr="0048559C">
        <w:rPr>
          <w:i/>
          <w:iCs/>
        </w:rPr>
        <w:t>Ibrahim</w:t>
      </w:r>
      <w:r w:rsidR="002213CA" w:rsidRPr="0048559C">
        <w:t xml:space="preserve"> </w:t>
      </w:r>
      <w:r w:rsidR="00A71CF8" w:rsidRPr="0048559C">
        <w:t xml:space="preserve">route </w:t>
      </w:r>
      <w:r w:rsidR="002C0563" w:rsidRPr="0048559C">
        <w:t>still</w:t>
      </w:r>
      <w:r w:rsidR="002213CA" w:rsidRPr="0048559C">
        <w:t xml:space="preserve"> requires there to be some proof of </w:t>
      </w:r>
      <w:r w:rsidR="00E9117F" w:rsidRPr="0048559C">
        <w:t xml:space="preserve">worker status </w:t>
      </w:r>
      <w:r w:rsidR="009F3A63" w:rsidRPr="0048559C">
        <w:t xml:space="preserve">from either parent (whether primary carer or not). This </w:t>
      </w:r>
      <w:r w:rsidR="002C0563" w:rsidRPr="0048559C">
        <w:t>hark</w:t>
      </w:r>
      <w:r w:rsidR="009F3A63" w:rsidRPr="0048559C">
        <w:t xml:space="preserve">s </w:t>
      </w:r>
      <w:r w:rsidR="002C0563" w:rsidRPr="0048559C">
        <w:t>back to</w:t>
      </w:r>
      <w:r w:rsidR="00BF70B4" w:rsidRPr="0048559C">
        <w:t xml:space="preserve"> </w:t>
      </w:r>
      <w:r w:rsidR="00BF70B4" w:rsidRPr="0048559C">
        <w:lastRenderedPageBreak/>
        <w:t>a</w:t>
      </w:r>
      <w:r w:rsidR="00962ABA" w:rsidRPr="0048559C">
        <w:t xml:space="preserve"> </w:t>
      </w:r>
      <w:r w:rsidR="002C0563" w:rsidRPr="0048559C">
        <w:t xml:space="preserve">requirement </w:t>
      </w:r>
      <w:r w:rsidR="002703F4" w:rsidRPr="0048559C">
        <w:t xml:space="preserve">of some sort of </w:t>
      </w:r>
      <w:r w:rsidR="00E9117F" w:rsidRPr="0048559C">
        <w:t>economic activity</w:t>
      </w:r>
      <w:r w:rsidR="002213CA" w:rsidRPr="0048559C">
        <w:t xml:space="preserve">. </w:t>
      </w:r>
      <w:r w:rsidR="00962ABA" w:rsidRPr="0048559C">
        <w:t xml:space="preserve">The most </w:t>
      </w:r>
      <w:r w:rsidR="00785495" w:rsidRPr="0048559C">
        <w:t xml:space="preserve">vulnerable </w:t>
      </w:r>
      <w:r w:rsidR="00E43ABB" w:rsidRPr="0048559C">
        <w:t>no</w:t>
      </w:r>
      <w:r w:rsidR="00785495" w:rsidRPr="0048559C">
        <w:t>n</w:t>
      </w:r>
      <w:r w:rsidR="00E43ABB" w:rsidRPr="0048559C">
        <w:t xml:space="preserve">-working </w:t>
      </w:r>
      <w:r w:rsidR="002213CA" w:rsidRPr="0048559C">
        <w:t xml:space="preserve">single mother would </w:t>
      </w:r>
      <w:r w:rsidR="00785495" w:rsidRPr="0048559C">
        <w:t xml:space="preserve">thus </w:t>
      </w:r>
      <w:r w:rsidR="003B2D93" w:rsidRPr="0048559C">
        <w:t xml:space="preserve">also </w:t>
      </w:r>
      <w:r w:rsidR="00785495" w:rsidRPr="0048559C">
        <w:t>find this condition less than straightforward</w:t>
      </w:r>
      <w:r w:rsidR="00DA398D" w:rsidRPr="0048559C">
        <w:t xml:space="preserve"> to satisfy</w:t>
      </w:r>
    </w:p>
    <w:p w14:paraId="5AC3E80C" w14:textId="413DB7D7" w:rsidR="00EE60DC" w:rsidRPr="0048559C" w:rsidRDefault="00EE60DC" w:rsidP="00D01218">
      <w:pPr>
        <w:tabs>
          <w:tab w:val="left" w:pos="2143"/>
        </w:tabs>
        <w:spacing w:line="480" w:lineRule="auto"/>
      </w:pPr>
    </w:p>
    <w:p w14:paraId="76FC243C" w14:textId="08E13A65" w:rsidR="00565E19" w:rsidRPr="0060487F" w:rsidRDefault="007A669F" w:rsidP="00C911B6">
      <w:pPr>
        <w:spacing w:line="480" w:lineRule="auto"/>
      </w:pPr>
      <w:r>
        <w:t>T</w:t>
      </w:r>
      <w:r w:rsidR="00EE60DC" w:rsidRPr="0048559C">
        <w:t xml:space="preserve">he most </w:t>
      </w:r>
      <w:r>
        <w:t xml:space="preserve">difficult </w:t>
      </w:r>
      <w:r w:rsidR="00EE60DC" w:rsidRPr="0048559C">
        <w:t xml:space="preserve">category </w:t>
      </w:r>
      <w:r>
        <w:t>of NEFM</w:t>
      </w:r>
      <w:r w:rsidR="00985085">
        <w:t xml:space="preserve">s </w:t>
      </w:r>
      <w:r w:rsidR="0060487F">
        <w:t xml:space="preserve">and where the data is starkest in terms of vulnerability under the EUSS is </w:t>
      </w:r>
      <w:r w:rsidR="00EE60DC" w:rsidRPr="0048559C">
        <w:rPr>
          <w:i/>
          <w:iCs/>
        </w:rPr>
        <w:t>Zambrano</w:t>
      </w:r>
      <w:r w:rsidR="00EE60DC" w:rsidRPr="0048559C">
        <w:t xml:space="preserve"> carers, </w:t>
      </w:r>
      <w:r w:rsidR="00E6416D" w:rsidRPr="0048559C">
        <w:t xml:space="preserve">whose situation was also </w:t>
      </w:r>
      <w:r w:rsidR="00520E28" w:rsidRPr="0048559C">
        <w:t xml:space="preserve">subject to great </w:t>
      </w:r>
      <w:r w:rsidR="00E6416D" w:rsidRPr="0048559C">
        <w:t xml:space="preserve">interest under EU law because of </w:t>
      </w:r>
      <w:r w:rsidR="00FD1AFD" w:rsidRPr="0048559C">
        <w:t xml:space="preserve">the </w:t>
      </w:r>
      <w:r w:rsidR="00E6416D" w:rsidRPr="0048559C">
        <w:t xml:space="preserve">wide-ranging effects </w:t>
      </w:r>
      <w:r w:rsidR="00FD1AFD" w:rsidRPr="0048559C">
        <w:t xml:space="preserve">of this case </w:t>
      </w:r>
      <w:r w:rsidR="00E6416D" w:rsidRPr="0048559C">
        <w:t>for the scope of EU citizenship status</w:t>
      </w:r>
      <w:r w:rsidR="00FD3CF6">
        <w:t xml:space="preserve"> (Yong, 2019a: 112ff; Nic </w:t>
      </w:r>
      <w:proofErr w:type="spellStart"/>
      <w:r w:rsidR="00FD3CF6">
        <w:t>Shuibhne</w:t>
      </w:r>
      <w:proofErr w:type="spellEnd"/>
      <w:r w:rsidR="00FD3CF6">
        <w:t xml:space="preserve">, 2011; van </w:t>
      </w:r>
      <w:proofErr w:type="spellStart"/>
      <w:r w:rsidR="00FD3CF6">
        <w:t>Eijken</w:t>
      </w:r>
      <w:proofErr w:type="spellEnd"/>
      <w:r w:rsidR="00FD3CF6">
        <w:t xml:space="preserve"> &amp; de Vries, 2011)</w:t>
      </w:r>
      <w:r w:rsidR="00E6416D" w:rsidRPr="0048559C">
        <w:t xml:space="preserve">. Unlike in </w:t>
      </w:r>
      <w:r w:rsidR="00E6416D" w:rsidRPr="0048559C">
        <w:rPr>
          <w:i/>
          <w:iCs/>
        </w:rPr>
        <w:t>Chen</w:t>
      </w:r>
      <w:r w:rsidR="00E9117F" w:rsidRPr="0048559C">
        <w:t xml:space="preserve"> and</w:t>
      </w:r>
      <w:r w:rsidR="00E6416D" w:rsidRPr="0048559C">
        <w:rPr>
          <w:i/>
          <w:iCs/>
        </w:rPr>
        <w:t xml:space="preserve"> Teixeira</w:t>
      </w:r>
      <w:r w:rsidR="00E9117F" w:rsidRPr="0048559C">
        <w:rPr>
          <w:i/>
          <w:iCs/>
        </w:rPr>
        <w:t>/</w:t>
      </w:r>
      <w:r w:rsidR="00E6416D" w:rsidRPr="0048559C">
        <w:rPr>
          <w:i/>
          <w:iCs/>
        </w:rPr>
        <w:t>Ibrahim</w:t>
      </w:r>
      <w:r w:rsidR="00E6416D" w:rsidRPr="0048559C">
        <w:t xml:space="preserve">, there is no reference to </w:t>
      </w:r>
      <w:r w:rsidR="00CB064F">
        <w:t xml:space="preserve">required </w:t>
      </w:r>
      <w:r w:rsidR="00E6416D" w:rsidRPr="0048559C">
        <w:t>economic activity</w:t>
      </w:r>
      <w:r w:rsidR="00893EC9">
        <w:t>.</w:t>
      </w:r>
      <w:r w:rsidR="0059662E" w:rsidRPr="0048559C">
        <w:t xml:space="preserve"> </w:t>
      </w:r>
      <w:r w:rsidR="00893EC9">
        <w:t>A</w:t>
      </w:r>
      <w:r w:rsidR="0059662E" w:rsidRPr="0048559C">
        <w:t xml:space="preserve"> </w:t>
      </w:r>
      <w:r w:rsidR="00785495" w:rsidRPr="0048559C">
        <w:t xml:space="preserve">Colombian couple </w:t>
      </w:r>
      <w:r w:rsidR="00A96982" w:rsidRPr="0048559C">
        <w:t xml:space="preserve">in Belgium </w:t>
      </w:r>
      <w:r w:rsidR="003F229B" w:rsidRPr="0048559C">
        <w:t xml:space="preserve">sought </w:t>
      </w:r>
      <w:r w:rsidR="00785495" w:rsidRPr="0048559C">
        <w:t xml:space="preserve">rights to remain with their </w:t>
      </w:r>
      <w:r w:rsidR="00A96982" w:rsidRPr="0048559C">
        <w:t xml:space="preserve">young </w:t>
      </w:r>
      <w:r w:rsidR="00785495" w:rsidRPr="0048559C">
        <w:t>Belgian children</w:t>
      </w:r>
      <w:r w:rsidR="0059662E" w:rsidRPr="0048559C">
        <w:t xml:space="preserve"> after their father</w:t>
      </w:r>
      <w:r w:rsidR="00893EC9">
        <w:t xml:space="preserve"> </w:t>
      </w:r>
      <w:r w:rsidR="0059662E" w:rsidRPr="0048559C">
        <w:t xml:space="preserve">ceased </w:t>
      </w:r>
      <w:r w:rsidR="00893EC9">
        <w:t>working</w:t>
      </w:r>
      <w:r w:rsidR="003F229B" w:rsidRPr="0048559C">
        <w:t>. The CJEU held</w:t>
      </w:r>
      <w:r w:rsidR="00F64A5F" w:rsidRPr="0048559C">
        <w:t xml:space="preserve"> that</w:t>
      </w:r>
      <w:r w:rsidR="003F229B" w:rsidRPr="0048559C">
        <w:t xml:space="preserve"> they </w:t>
      </w:r>
      <w:r w:rsidR="00F64A5F" w:rsidRPr="0048559C">
        <w:t xml:space="preserve">could </w:t>
      </w:r>
      <w:r w:rsidR="003F229B" w:rsidRPr="0048559C">
        <w:t>derive</w:t>
      </w:r>
      <w:r w:rsidR="00F64A5F" w:rsidRPr="0048559C">
        <w:t xml:space="preserve"> </w:t>
      </w:r>
      <w:r w:rsidR="003F229B" w:rsidRPr="0048559C">
        <w:t xml:space="preserve">rights </w:t>
      </w:r>
      <w:r w:rsidR="00F64A5F" w:rsidRPr="0048559C">
        <w:t xml:space="preserve">to remain </w:t>
      </w:r>
      <w:r w:rsidR="003F229B" w:rsidRPr="0048559C">
        <w:t xml:space="preserve">from their children </w:t>
      </w:r>
      <w:r w:rsidR="00785495" w:rsidRPr="0048559C">
        <w:t xml:space="preserve">because </w:t>
      </w:r>
      <w:r w:rsidR="003F229B" w:rsidRPr="0048559C">
        <w:t xml:space="preserve">without this, </w:t>
      </w:r>
      <w:r w:rsidR="00785495" w:rsidRPr="0048559C">
        <w:t>the</w:t>
      </w:r>
      <w:r w:rsidR="003F229B" w:rsidRPr="0048559C">
        <w:t xml:space="preserve"> EU national children </w:t>
      </w:r>
      <w:r w:rsidR="00785495" w:rsidRPr="0048559C">
        <w:t>would be deprived of the genuine enjoyment of their rights under EU law, namely be</w:t>
      </w:r>
      <w:r w:rsidR="00F64A5F" w:rsidRPr="0048559C">
        <w:t xml:space="preserve">ing </w:t>
      </w:r>
      <w:r w:rsidR="00E6416D" w:rsidRPr="0048559C">
        <w:t xml:space="preserve">forced to the leave the </w:t>
      </w:r>
      <w:r w:rsidR="003F229B" w:rsidRPr="0048559C">
        <w:t xml:space="preserve">EU </w:t>
      </w:r>
      <w:r w:rsidR="00E6416D" w:rsidRPr="0048559C">
        <w:t>with the</w:t>
      </w:r>
      <w:r w:rsidR="00785495" w:rsidRPr="0048559C">
        <w:t xml:space="preserve">ir parents </w:t>
      </w:r>
      <w:r w:rsidR="00E6416D" w:rsidRPr="0048559C">
        <w:t>if the</w:t>
      </w:r>
      <w:r w:rsidR="00594813" w:rsidRPr="0048559C">
        <w:t xml:space="preserve">ir parents </w:t>
      </w:r>
      <w:r w:rsidR="00E6416D" w:rsidRPr="0048559C">
        <w:t xml:space="preserve">were not </w:t>
      </w:r>
      <w:r w:rsidR="003F229B" w:rsidRPr="0048559C">
        <w:t>able to stay legally</w:t>
      </w:r>
      <w:r w:rsidR="00520E28" w:rsidRPr="0048559C">
        <w:t xml:space="preserve">. </w:t>
      </w:r>
      <w:r w:rsidR="003F229B" w:rsidRPr="0048559C">
        <w:t xml:space="preserve">The CJEU </w:t>
      </w:r>
      <w:r w:rsidR="00520E28" w:rsidRPr="0048559C">
        <w:t>appear</w:t>
      </w:r>
      <w:r w:rsidR="003F229B" w:rsidRPr="0048559C">
        <w:t xml:space="preserve">ed to </w:t>
      </w:r>
      <w:r w:rsidR="00520E28" w:rsidRPr="0048559C">
        <w:t>facilitate family reunification</w:t>
      </w:r>
      <w:r w:rsidR="00E17575" w:rsidRPr="0048559C">
        <w:t xml:space="preserve">. </w:t>
      </w:r>
      <w:r w:rsidR="003F229B" w:rsidRPr="0048559C">
        <w:t xml:space="preserve">In the context of Brexit, </w:t>
      </w:r>
      <w:r w:rsidR="004755F6" w:rsidRPr="0048559C">
        <w:t xml:space="preserve">the </w:t>
      </w:r>
      <w:r w:rsidR="00FD1AFD" w:rsidRPr="0048559C">
        <w:rPr>
          <w:i/>
          <w:iCs/>
        </w:rPr>
        <w:t>Zambrano</w:t>
      </w:r>
      <w:r w:rsidR="00FD1AFD" w:rsidRPr="0048559C">
        <w:t xml:space="preserve"> carer</w:t>
      </w:r>
      <w:r w:rsidR="004755F6" w:rsidRPr="0048559C">
        <w:t xml:space="preserve"> category </w:t>
      </w:r>
      <w:r w:rsidR="00A9111C" w:rsidRPr="0048559C">
        <w:t>would</w:t>
      </w:r>
      <w:r w:rsidR="004755F6" w:rsidRPr="0048559C">
        <w:t xml:space="preserve"> include </w:t>
      </w:r>
      <w:r w:rsidR="00FD1AFD" w:rsidRPr="0048559C">
        <w:t xml:space="preserve">the most precarious </w:t>
      </w:r>
      <w:r w:rsidR="004755F6" w:rsidRPr="0048559C">
        <w:t>of individuals applying to the Scheme</w:t>
      </w:r>
      <w:r w:rsidR="003C64CF">
        <w:t>.</w:t>
      </w:r>
      <w:r w:rsidR="004755F6" w:rsidRPr="0048559C">
        <w:t xml:space="preserve"> </w:t>
      </w:r>
      <w:r w:rsidR="003C64CF">
        <w:t>I</w:t>
      </w:r>
      <w:r w:rsidR="00594813" w:rsidRPr="0048559C">
        <w:t xml:space="preserve">t </w:t>
      </w:r>
      <w:r w:rsidR="002464D1" w:rsidRPr="0048559C">
        <w:t xml:space="preserve">has </w:t>
      </w:r>
      <w:r w:rsidR="00594813" w:rsidRPr="0048559C">
        <w:t xml:space="preserve">the </w:t>
      </w:r>
      <w:r w:rsidR="004755F6" w:rsidRPr="0048559C">
        <w:t>widest scope</w:t>
      </w:r>
      <w:r w:rsidR="00A9111C" w:rsidRPr="0048559C">
        <w:t xml:space="preserve"> given it</w:t>
      </w:r>
      <w:r w:rsidR="003C64CF">
        <w:t xml:space="preserve"> i</w:t>
      </w:r>
      <w:r w:rsidR="00A9111C" w:rsidRPr="0048559C">
        <w:t>s</w:t>
      </w:r>
      <w:r w:rsidR="003C64CF">
        <w:t xml:space="preserve"> the</w:t>
      </w:r>
      <w:r w:rsidR="00A9111C" w:rsidRPr="0048559C">
        <w:t xml:space="preserve"> </w:t>
      </w:r>
      <w:r w:rsidR="003F229B" w:rsidRPr="0048559C">
        <w:t>least restrictive</w:t>
      </w:r>
      <w:r w:rsidR="00893EC9">
        <w:t xml:space="preserve"> and has the </w:t>
      </w:r>
      <w:r w:rsidR="007832A4" w:rsidRPr="0048559C">
        <w:t>least</w:t>
      </w:r>
      <w:r w:rsidR="003F229B" w:rsidRPr="0048559C">
        <w:t xml:space="preserve"> </w:t>
      </w:r>
      <w:r w:rsidR="004755F6" w:rsidRPr="0048559C">
        <w:t xml:space="preserve">economically driven </w:t>
      </w:r>
      <w:r w:rsidR="002464D1" w:rsidRPr="0048559C">
        <w:t>conditions</w:t>
      </w:r>
      <w:r w:rsidR="004755F6" w:rsidRPr="0048559C">
        <w:t xml:space="preserve"> for eligibility</w:t>
      </w:r>
      <w:r w:rsidR="00A9111C" w:rsidRPr="0048559C">
        <w:t>,</w:t>
      </w:r>
      <w:r w:rsidR="004755F6" w:rsidRPr="0048559C">
        <w:t xml:space="preserve"> </w:t>
      </w:r>
      <w:r w:rsidR="002464D1" w:rsidRPr="0048559C">
        <w:t xml:space="preserve">especially </w:t>
      </w:r>
      <w:r w:rsidR="00592854" w:rsidRPr="0048559C">
        <w:t xml:space="preserve">as compared to </w:t>
      </w:r>
      <w:r w:rsidR="00592854" w:rsidRPr="0048559C">
        <w:rPr>
          <w:i/>
          <w:iCs/>
        </w:rPr>
        <w:t>Chen</w:t>
      </w:r>
      <w:r w:rsidR="00592854" w:rsidRPr="0048559C">
        <w:t xml:space="preserve"> and </w:t>
      </w:r>
      <w:r w:rsidR="00592854" w:rsidRPr="0048559C">
        <w:rPr>
          <w:i/>
          <w:iCs/>
        </w:rPr>
        <w:t>Teixeira</w:t>
      </w:r>
      <w:r w:rsidR="00592854" w:rsidRPr="0048559C">
        <w:t>/</w:t>
      </w:r>
      <w:r w:rsidR="00592854" w:rsidRPr="0048559C">
        <w:rPr>
          <w:i/>
          <w:iCs/>
        </w:rPr>
        <w:t>Ibrahim</w:t>
      </w:r>
      <w:r w:rsidR="00592854" w:rsidRPr="0048559C">
        <w:t>.</w:t>
      </w:r>
      <w:r w:rsidR="000128C0">
        <w:t xml:space="preserve"> </w:t>
      </w:r>
      <w:r w:rsidR="0060487F">
        <w:t xml:space="preserve">Within this context, the specific issues faced by female NEFM applicants under the </w:t>
      </w:r>
      <w:r w:rsidR="0060487F">
        <w:rPr>
          <w:i/>
          <w:iCs/>
        </w:rPr>
        <w:t>Chen</w:t>
      </w:r>
      <w:r w:rsidR="0060487F">
        <w:t xml:space="preserve">, </w:t>
      </w:r>
      <w:r w:rsidR="0060487F">
        <w:rPr>
          <w:i/>
          <w:iCs/>
        </w:rPr>
        <w:t>Teixeira/Ibrahim</w:t>
      </w:r>
      <w:r w:rsidR="0060487F">
        <w:t xml:space="preserve"> but mostly the </w:t>
      </w:r>
      <w:r w:rsidR="0060487F">
        <w:rPr>
          <w:i/>
          <w:iCs/>
        </w:rPr>
        <w:t>Zambrano</w:t>
      </w:r>
      <w:r w:rsidR="0060487F">
        <w:t xml:space="preserve"> route, are </w:t>
      </w:r>
      <w:r w:rsidR="00D01218">
        <w:t xml:space="preserve">the focus of this analysis’s </w:t>
      </w:r>
      <w:r w:rsidR="0060487F">
        <w:t>conside</w:t>
      </w:r>
      <w:r w:rsidR="00D01218">
        <w:t>rations</w:t>
      </w:r>
      <w:r w:rsidR="0060487F">
        <w:t>.</w:t>
      </w:r>
      <w:r w:rsidR="000128C0">
        <w:t xml:space="preserve"> NEFMs who are also victims of VAWG fall within </w:t>
      </w:r>
      <w:r w:rsidR="001A43F3">
        <w:t xml:space="preserve">the </w:t>
      </w:r>
      <w:r w:rsidR="001A43F3">
        <w:rPr>
          <w:i/>
        </w:rPr>
        <w:t xml:space="preserve">Zambrano </w:t>
      </w:r>
      <w:r w:rsidR="000128C0">
        <w:t>categor</w:t>
      </w:r>
      <w:r w:rsidR="001A43F3">
        <w:t xml:space="preserve">y </w:t>
      </w:r>
      <w:r w:rsidR="000128C0">
        <w:t>as well.</w:t>
      </w:r>
    </w:p>
    <w:p w14:paraId="127DAEB4" w14:textId="469EBD7A" w:rsidR="00211C42" w:rsidRDefault="00211C42" w:rsidP="00C911B6">
      <w:pPr>
        <w:spacing w:line="480" w:lineRule="auto"/>
        <w:jc w:val="left"/>
      </w:pPr>
    </w:p>
    <w:p w14:paraId="420A0C60" w14:textId="73CF7310" w:rsidR="004E3472" w:rsidRPr="001F4681" w:rsidRDefault="004E3472" w:rsidP="004E3472">
      <w:pPr>
        <w:spacing w:line="480" w:lineRule="auto"/>
        <w:rPr>
          <w:iCs/>
        </w:rPr>
      </w:pPr>
      <w:r w:rsidRPr="0048559C">
        <w:t xml:space="preserve">Extrapolating from the argument that NEFMs, particularly </w:t>
      </w:r>
      <w:r w:rsidRPr="0048559C">
        <w:rPr>
          <w:i/>
          <w:iCs/>
        </w:rPr>
        <w:t>Zambrano</w:t>
      </w:r>
      <w:r w:rsidRPr="0048559C">
        <w:t xml:space="preserve"> carers, </w:t>
      </w:r>
      <w:r w:rsidR="00D01218">
        <w:t xml:space="preserve">may only </w:t>
      </w:r>
      <w:r w:rsidRPr="0048559C">
        <w:t>have their rights protected in principle</w:t>
      </w:r>
      <w:r w:rsidR="00D01218">
        <w:t xml:space="preserve"> rather than substantively</w:t>
      </w:r>
      <w:r w:rsidRPr="0048559C">
        <w:t xml:space="preserve">, the paper goes further to highlight the issue surrounding the fact that more vulnerable women </w:t>
      </w:r>
      <w:r>
        <w:t xml:space="preserve">have sought </w:t>
      </w:r>
      <w:r w:rsidRPr="0048559C">
        <w:t>protection under the NEFM category than men</w:t>
      </w:r>
      <w:r w:rsidR="00FD3CF6">
        <w:t xml:space="preserve"> (Barnard &amp; Costello, 2020)</w:t>
      </w:r>
      <w:r w:rsidRPr="0048559C">
        <w:t xml:space="preserve">. </w:t>
      </w:r>
      <w:r>
        <w:t xml:space="preserve">This is an entirely unsurprising revelation. </w:t>
      </w:r>
      <w:r w:rsidRPr="0048559C">
        <w:t xml:space="preserve">Derivative rights are mainly reserved to non-EU nationals who provide care as family members who move to live with the qualifying British citizen. </w:t>
      </w:r>
      <w:r>
        <w:t>C</w:t>
      </w:r>
      <w:r w:rsidRPr="0048559C">
        <w:t>arers are more often women both formally in the labour market and informally in the family home, and the male labour bias means that it is men who are the qualifying EU or British citizens that NEFMs rely on when seeking to secure their rights</w:t>
      </w:r>
      <w:r w:rsidR="00036E0C">
        <w:t xml:space="preserve"> (</w:t>
      </w:r>
      <w:proofErr w:type="spellStart"/>
      <w:r w:rsidR="00036E0C">
        <w:t>Kofman</w:t>
      </w:r>
      <w:proofErr w:type="spellEnd"/>
      <w:r w:rsidR="00036E0C">
        <w:t>, 1999)</w:t>
      </w:r>
      <w:r w:rsidRPr="0048559C">
        <w:t xml:space="preserve">. The high prevalence of single motherhood (versus single fatherhood) and victims of VAWG – both gender specific vulnerabilities – </w:t>
      </w:r>
      <w:r w:rsidRPr="0048559C">
        <w:lastRenderedPageBreak/>
        <w:t xml:space="preserve">also </w:t>
      </w:r>
      <w:r>
        <w:t xml:space="preserve">explains </w:t>
      </w:r>
      <w:r w:rsidR="007D3341">
        <w:t xml:space="preserve">why Barnard and Costello’s FOI </w:t>
      </w:r>
      <w:r w:rsidR="003C2827">
        <w:t>demonstrated that</w:t>
      </w:r>
      <w:r w:rsidR="007D3341">
        <w:t xml:space="preserve"> </w:t>
      </w:r>
      <w:r w:rsidRPr="0048559C">
        <w:t>the NEFM category disproportionate</w:t>
      </w:r>
      <w:r>
        <w:t xml:space="preserve">ly </w:t>
      </w:r>
      <w:r w:rsidR="007D3341">
        <w:t>constitut</w:t>
      </w:r>
      <w:r w:rsidR="003C2827">
        <w:t>ed</w:t>
      </w:r>
      <w:r w:rsidR="007D3341">
        <w:t xml:space="preserve"> </w:t>
      </w:r>
      <w:r w:rsidRPr="0048559C">
        <w:t xml:space="preserve">women. </w:t>
      </w:r>
      <w:r w:rsidR="00CB064F">
        <w:t xml:space="preserve">The legal bases of the </w:t>
      </w:r>
      <w:r w:rsidR="00D01218">
        <w:t xml:space="preserve">three aforementioned </w:t>
      </w:r>
      <w:r w:rsidR="00CB064F">
        <w:t xml:space="preserve">cases are </w:t>
      </w:r>
      <w:r w:rsidR="003C2827">
        <w:t xml:space="preserve">thus </w:t>
      </w:r>
      <w:r w:rsidR="00D01218">
        <w:t xml:space="preserve">entirely </w:t>
      </w:r>
      <w:r w:rsidR="00CB064F">
        <w:t xml:space="preserve">grounded </w:t>
      </w:r>
      <w:r w:rsidR="00D01218">
        <w:t xml:space="preserve">either </w:t>
      </w:r>
      <w:r w:rsidR="00CB064F">
        <w:t xml:space="preserve">in </w:t>
      </w:r>
      <w:r w:rsidRPr="0048559C">
        <w:t xml:space="preserve">proving </w:t>
      </w:r>
      <w:r w:rsidR="00CB064F">
        <w:t xml:space="preserve">some form of </w:t>
      </w:r>
      <w:r w:rsidRPr="0048559C">
        <w:t xml:space="preserve">economic activity, having sufficient resources or being entirely reliant on the status of another individuals. </w:t>
      </w:r>
      <w:r>
        <w:t xml:space="preserve">Therefore, </w:t>
      </w:r>
      <w:r w:rsidRPr="0048559C">
        <w:t xml:space="preserve">the more difficult NEFM derivative rights categories – namely, </w:t>
      </w:r>
      <w:r w:rsidRPr="0048559C">
        <w:rPr>
          <w:i/>
          <w:iCs/>
        </w:rPr>
        <w:t>Chen</w:t>
      </w:r>
      <w:r w:rsidRPr="0048559C">
        <w:t>,</w:t>
      </w:r>
      <w:r w:rsidRPr="0048559C">
        <w:rPr>
          <w:i/>
          <w:iCs/>
        </w:rPr>
        <w:t xml:space="preserve"> Teixeira</w:t>
      </w:r>
      <w:r w:rsidRPr="0048559C">
        <w:t>/</w:t>
      </w:r>
      <w:r w:rsidRPr="0048559C">
        <w:rPr>
          <w:i/>
          <w:iCs/>
        </w:rPr>
        <w:t>Ibrahim</w:t>
      </w:r>
      <w:r w:rsidRPr="0048559C">
        <w:t xml:space="preserve"> and </w:t>
      </w:r>
      <w:r w:rsidRPr="0048559C">
        <w:rPr>
          <w:i/>
          <w:iCs/>
        </w:rPr>
        <w:t>Zambrano</w:t>
      </w:r>
      <w:r w:rsidRPr="0048559C">
        <w:t xml:space="preserve"> – will include more vulnerable women than the other routes by design</w:t>
      </w:r>
      <w:r w:rsidR="00FE664A">
        <w:t xml:space="preserve"> under the EUSS</w:t>
      </w:r>
      <w:r w:rsidRPr="0048559C">
        <w:t>.</w:t>
      </w:r>
      <w:r w:rsidR="001F4681">
        <w:t xml:space="preserve"> However, it is </w:t>
      </w:r>
      <w:r w:rsidR="001F4681">
        <w:rPr>
          <w:i/>
        </w:rPr>
        <w:t xml:space="preserve">Zambrano </w:t>
      </w:r>
      <w:r w:rsidR="001F4681">
        <w:rPr>
          <w:iCs/>
        </w:rPr>
        <w:t>carers that face the most difficulties</w:t>
      </w:r>
      <w:r w:rsidR="000A26AD">
        <w:rPr>
          <w:iCs/>
        </w:rPr>
        <w:t>,</w:t>
      </w:r>
      <w:r w:rsidR="003C2827">
        <w:rPr>
          <w:iCs/>
        </w:rPr>
        <w:t xml:space="preserve"> and</w:t>
      </w:r>
      <w:r w:rsidR="000A26AD">
        <w:rPr>
          <w:iCs/>
        </w:rPr>
        <w:t xml:space="preserve"> thus </w:t>
      </w:r>
      <w:r w:rsidR="003C64CF">
        <w:rPr>
          <w:iCs/>
        </w:rPr>
        <w:t xml:space="preserve">will be considered in </w:t>
      </w:r>
      <w:r w:rsidR="001A43F3">
        <w:rPr>
          <w:iCs/>
        </w:rPr>
        <w:t xml:space="preserve">more </w:t>
      </w:r>
      <w:r w:rsidR="003C64CF">
        <w:rPr>
          <w:iCs/>
        </w:rPr>
        <w:t>detail.</w:t>
      </w:r>
    </w:p>
    <w:p w14:paraId="3558D150" w14:textId="77777777" w:rsidR="004E3472" w:rsidRPr="002F3BBA" w:rsidRDefault="004E3472" w:rsidP="00C911B6">
      <w:pPr>
        <w:spacing w:line="480" w:lineRule="auto"/>
        <w:jc w:val="left"/>
      </w:pPr>
    </w:p>
    <w:p w14:paraId="31AFFF02" w14:textId="562D2B28" w:rsidR="0060487F" w:rsidRPr="00EE5FEF" w:rsidRDefault="00441030" w:rsidP="0061492E">
      <w:pPr>
        <w:pStyle w:val="Heading1"/>
        <w:numPr>
          <w:ilvl w:val="0"/>
          <w:numId w:val="13"/>
        </w:numPr>
        <w:jc w:val="left"/>
        <w:rPr>
          <w:i/>
          <w:iCs/>
        </w:rPr>
      </w:pPr>
      <w:r w:rsidRPr="0048559C">
        <w:rPr>
          <w:i/>
          <w:iCs/>
        </w:rPr>
        <w:t xml:space="preserve">EUSS-specific problems faced by </w:t>
      </w:r>
      <w:r w:rsidR="00EE5FEF" w:rsidRPr="00EE5FEF">
        <w:t>Zambrano</w:t>
      </w:r>
      <w:r w:rsidR="00EE5FEF">
        <w:rPr>
          <w:i/>
          <w:iCs/>
        </w:rPr>
        <w:t xml:space="preserve"> carers</w:t>
      </w:r>
    </w:p>
    <w:p w14:paraId="44DF8468" w14:textId="04A90DE4" w:rsidR="00841FB0" w:rsidRPr="0060487F" w:rsidRDefault="00040BDF" w:rsidP="00C911B6">
      <w:pPr>
        <w:spacing w:line="480" w:lineRule="auto"/>
        <w:rPr>
          <w:i/>
          <w:iCs/>
        </w:rPr>
      </w:pPr>
      <w:r w:rsidRPr="0048559C">
        <w:t xml:space="preserve">Whilst there are no published statistics on EUSS applications by gender, other </w:t>
      </w:r>
      <w:r w:rsidR="00211C42" w:rsidRPr="0048559C">
        <w:t>stark statistics illuminate the inequality faced by NEFMs</w:t>
      </w:r>
      <w:r w:rsidR="00841FB0" w:rsidRPr="0048559C">
        <w:t xml:space="preserve"> </w:t>
      </w:r>
      <w:r w:rsidR="005E46B4">
        <w:t xml:space="preserve">which </w:t>
      </w:r>
      <w:r w:rsidR="00841FB0" w:rsidRPr="0048559C">
        <w:t>support</w:t>
      </w:r>
      <w:r w:rsidRPr="0048559C">
        <w:t xml:space="preserve"> </w:t>
      </w:r>
      <w:r w:rsidR="00841FB0" w:rsidRPr="0048559C">
        <w:t xml:space="preserve">the argument that the EUSS </w:t>
      </w:r>
      <w:r w:rsidR="0060487F">
        <w:t>has failed</w:t>
      </w:r>
      <w:r w:rsidR="00841FB0" w:rsidRPr="0048559C">
        <w:t xml:space="preserve"> </w:t>
      </w:r>
      <w:r w:rsidR="0060487F">
        <w:t xml:space="preserve">to consider intersectional issues faced by the vulnerable immigrant women seeking regularised status in a post-Brexit Britain. </w:t>
      </w:r>
      <w:r w:rsidR="0060487F" w:rsidRPr="0048559C">
        <w:t xml:space="preserve">Barnard and Costello’s </w:t>
      </w:r>
      <w:r w:rsidR="0060487F">
        <w:t xml:space="preserve">FOI </w:t>
      </w:r>
      <w:r w:rsidR="00036E0C">
        <w:t xml:space="preserve">(2020) </w:t>
      </w:r>
      <w:r w:rsidR="0060487F" w:rsidRPr="0048559C">
        <w:t>highlights the disproportionately high numbers of NEFMs who are unsuccessful under the EUSS.</w:t>
      </w:r>
      <w:r w:rsidR="0060487F">
        <w:rPr>
          <w:i/>
          <w:iCs/>
        </w:rPr>
        <w:t xml:space="preserve"> </w:t>
      </w:r>
      <w:r w:rsidR="0060487F">
        <w:t xml:space="preserve">This is </w:t>
      </w:r>
      <w:r w:rsidR="007A669F">
        <w:t>largely</w:t>
      </w:r>
      <w:r w:rsidR="0060487F">
        <w:t xml:space="preserve"> centred around the fac</w:t>
      </w:r>
      <w:r w:rsidR="00EE5FEF">
        <w:t>t</w:t>
      </w:r>
      <w:r w:rsidR="0060487F">
        <w:t xml:space="preserve"> that </w:t>
      </w:r>
      <w:r w:rsidR="00211C42" w:rsidRPr="0048559C">
        <w:t xml:space="preserve">NEFMs are not able to apply to the EUSS </w:t>
      </w:r>
      <w:r w:rsidR="003C64CF">
        <w:t>online</w:t>
      </w:r>
      <w:r w:rsidR="00211C42" w:rsidRPr="0048559C">
        <w:t xml:space="preserve">, </w:t>
      </w:r>
      <w:r w:rsidR="00DA331A" w:rsidRPr="0048559C">
        <w:t xml:space="preserve">and </w:t>
      </w:r>
      <w:r w:rsidR="003C64CF">
        <w:t xml:space="preserve">must </w:t>
      </w:r>
      <w:r w:rsidR="00211C42" w:rsidRPr="0048559C">
        <w:t>submit a paper-based application.</w:t>
      </w:r>
      <w:r w:rsidR="002436C8">
        <w:rPr>
          <w:rStyle w:val="FootnoteReference"/>
        </w:rPr>
        <w:footnoteReference w:id="29"/>
      </w:r>
      <w:r w:rsidR="00211C42" w:rsidRPr="0048559C">
        <w:t xml:space="preserve"> </w:t>
      </w:r>
      <w:r w:rsidR="0060487F">
        <w:t>In September 2020, t</w:t>
      </w:r>
      <w:r w:rsidR="00841FB0" w:rsidRPr="0048559C">
        <w:t xml:space="preserve">hese paper-based applications </w:t>
      </w:r>
      <w:r w:rsidR="00CF731D" w:rsidRPr="0048559C">
        <w:t>ma</w:t>
      </w:r>
      <w:r w:rsidR="0060487F">
        <w:t>de</w:t>
      </w:r>
      <w:r w:rsidR="00211C42" w:rsidRPr="0048559C">
        <w:t xml:space="preserve"> up approximately </w:t>
      </w:r>
      <w:r w:rsidR="00AA6434" w:rsidRPr="0048559C">
        <w:t xml:space="preserve">only </w:t>
      </w:r>
      <w:r w:rsidR="00211C42" w:rsidRPr="0048559C">
        <w:t>0.2% of the total</w:t>
      </w:r>
      <w:r w:rsidR="006541D7" w:rsidRPr="0048559C">
        <w:t xml:space="preserve"> and </w:t>
      </w:r>
      <w:r w:rsidR="002436C8">
        <w:t xml:space="preserve">just under </w:t>
      </w:r>
      <w:r w:rsidR="00211C42" w:rsidRPr="0048559C">
        <w:t>3% of all non-EU national applicants</w:t>
      </w:r>
      <w:r w:rsidR="00036E0C">
        <w:t xml:space="preserve"> (Home Office, 2021</w:t>
      </w:r>
      <w:r w:rsidR="009F166D">
        <w:t>d</w:t>
      </w:r>
      <w:r w:rsidR="00036E0C">
        <w:t>)</w:t>
      </w:r>
      <w:r w:rsidR="009171C7" w:rsidRPr="0048559C">
        <w:t>.</w:t>
      </w:r>
      <w:r w:rsidR="00CF731D" w:rsidRPr="0048559C">
        <w:rPr>
          <w:rStyle w:val="FootnoteReference"/>
        </w:rPr>
        <w:footnoteReference w:id="30"/>
      </w:r>
      <w:r w:rsidR="005E46B4">
        <w:t xml:space="preserve"> </w:t>
      </w:r>
      <w:r w:rsidR="001573D5" w:rsidRPr="0048559C">
        <w:t xml:space="preserve">There has been much emphasis on online applications </w:t>
      </w:r>
      <w:r w:rsidR="00EE5FEF">
        <w:t xml:space="preserve">from the start </w:t>
      </w:r>
      <w:r w:rsidR="00AA6434" w:rsidRPr="0048559C">
        <w:t xml:space="preserve">as </w:t>
      </w:r>
      <w:r w:rsidR="001573D5" w:rsidRPr="0048559C">
        <w:t xml:space="preserve">they are </w:t>
      </w:r>
      <w:r w:rsidR="00841FB0" w:rsidRPr="0048559C">
        <w:t xml:space="preserve">supposedly </w:t>
      </w:r>
      <w:r w:rsidR="00AA6434" w:rsidRPr="0048559C">
        <w:t xml:space="preserve">meant </w:t>
      </w:r>
      <w:r w:rsidR="000C1268" w:rsidRPr="0048559C">
        <w:t>to</w:t>
      </w:r>
      <w:r w:rsidR="00AA6434" w:rsidRPr="0048559C">
        <w:t xml:space="preserve"> be </w:t>
      </w:r>
      <w:r w:rsidR="00841FB0" w:rsidRPr="0048559C">
        <w:t>‘as easy to use as setting up an online account at LK Bennett’</w:t>
      </w:r>
      <w:r w:rsidR="00036E0C">
        <w:t xml:space="preserve"> (Home Affairs Committee, 2019: 33)</w:t>
      </w:r>
      <w:r w:rsidR="008516C0">
        <w:t xml:space="preserve">. The lack of information </w:t>
      </w:r>
      <w:r w:rsidR="004E3472">
        <w:t xml:space="preserve">now </w:t>
      </w:r>
      <w:r w:rsidR="008516C0">
        <w:t xml:space="preserve">on the Home Office’s website of </w:t>
      </w:r>
      <w:r w:rsidR="004E3472">
        <w:t xml:space="preserve">even the numbers of </w:t>
      </w:r>
      <w:r w:rsidR="008516C0">
        <w:t>paper</w:t>
      </w:r>
      <w:r w:rsidR="004E3472">
        <w:t xml:space="preserve">-based </w:t>
      </w:r>
      <w:r w:rsidR="008516C0">
        <w:t>application obscure</w:t>
      </w:r>
      <w:r w:rsidR="005E46B4">
        <w:t>s</w:t>
      </w:r>
      <w:r w:rsidR="008516C0">
        <w:t xml:space="preserve"> what </w:t>
      </w:r>
      <w:r w:rsidR="00C13B8B">
        <w:t xml:space="preserve">is </w:t>
      </w:r>
      <w:r w:rsidR="008516C0">
        <w:t xml:space="preserve">a dismal situation for </w:t>
      </w:r>
      <w:r w:rsidR="004E3472">
        <w:t>them</w:t>
      </w:r>
      <w:r w:rsidR="008516C0">
        <w:t xml:space="preserve">, but more importantly, for </w:t>
      </w:r>
      <w:r w:rsidR="008516C0">
        <w:rPr>
          <w:i/>
          <w:iCs/>
        </w:rPr>
        <w:t>Zambrano</w:t>
      </w:r>
      <w:r w:rsidR="008516C0">
        <w:t xml:space="preserve"> carers</w:t>
      </w:r>
      <w:r w:rsidR="00275DD8">
        <w:t>,</w:t>
      </w:r>
      <w:r w:rsidR="008516C0">
        <w:t xml:space="preserve"> </w:t>
      </w:r>
      <w:r w:rsidR="003C64CF">
        <w:t xml:space="preserve">given they make up </w:t>
      </w:r>
      <w:r w:rsidR="008516C0">
        <w:t xml:space="preserve">a staggering 89% </w:t>
      </w:r>
      <w:r w:rsidR="003C64CF">
        <w:t xml:space="preserve">of refusals </w:t>
      </w:r>
      <w:r w:rsidR="008516C0">
        <w:t xml:space="preserve">in </w:t>
      </w:r>
      <w:r w:rsidR="003C64CF">
        <w:t xml:space="preserve">the NEFM </w:t>
      </w:r>
      <w:r w:rsidR="008516C0">
        <w:t>category</w:t>
      </w:r>
      <w:r w:rsidR="00036E0C">
        <w:t xml:space="preserve"> (Home Office, 2021b)</w:t>
      </w:r>
      <w:r w:rsidR="008516C0">
        <w:t>.</w:t>
      </w:r>
      <w:r w:rsidR="001573D5" w:rsidRPr="0048559C">
        <w:t xml:space="preserve"> </w:t>
      </w:r>
      <w:r w:rsidR="00841FB0" w:rsidRPr="0048559C">
        <w:t>The high refusal rate</w:t>
      </w:r>
      <w:r w:rsidR="00ED1DD7">
        <w:t>s</w:t>
      </w:r>
      <w:r w:rsidR="00841FB0" w:rsidRPr="0048559C">
        <w:t xml:space="preserve"> for </w:t>
      </w:r>
      <w:r w:rsidR="00AA6434" w:rsidRPr="0048559C">
        <w:t xml:space="preserve">what is </w:t>
      </w:r>
      <w:r w:rsidR="00841FB0" w:rsidRPr="0048559C">
        <w:t xml:space="preserve">clearly </w:t>
      </w:r>
      <w:r w:rsidR="00AA6434" w:rsidRPr="0048559C">
        <w:t xml:space="preserve">a more </w:t>
      </w:r>
      <w:r w:rsidR="00841FB0" w:rsidRPr="0048559C">
        <w:t>complicated avenue for rights protection suggests that those in the situation of being an NEFM are at a disadvantage compared to the eligible mainstream EU citizens</w:t>
      </w:r>
      <w:r w:rsidR="003C2827">
        <w:t>. It is evident that</w:t>
      </w:r>
      <w:r w:rsidR="003C64CF">
        <w:t xml:space="preserve"> </w:t>
      </w:r>
      <w:r w:rsidR="00841FB0" w:rsidRPr="0048559C">
        <w:t>the derivative rights route</w:t>
      </w:r>
      <w:r w:rsidR="003254BD" w:rsidRPr="0048559C">
        <w:t xml:space="preserve"> is failing to protect the most vulnerable of society</w:t>
      </w:r>
      <w:r w:rsidR="00841FB0" w:rsidRPr="0048559C">
        <w:t>.</w:t>
      </w:r>
    </w:p>
    <w:p w14:paraId="2976D159" w14:textId="77777777" w:rsidR="00211C42" w:rsidRPr="0048559C" w:rsidRDefault="00211C42" w:rsidP="00C911B6">
      <w:pPr>
        <w:spacing w:line="480" w:lineRule="auto"/>
      </w:pPr>
    </w:p>
    <w:p w14:paraId="29B0B447" w14:textId="0149E0EF" w:rsidR="00505F67" w:rsidRPr="0048559C" w:rsidRDefault="00E75456" w:rsidP="00C911B6">
      <w:pPr>
        <w:spacing w:line="480" w:lineRule="auto"/>
      </w:pPr>
      <w:r w:rsidRPr="0048559C">
        <w:t xml:space="preserve">Looking more closely at the </w:t>
      </w:r>
      <w:r w:rsidR="009171C7" w:rsidRPr="0048559C">
        <w:t xml:space="preserve">very poor </w:t>
      </w:r>
      <w:r w:rsidR="00CF731D" w:rsidRPr="0048559C">
        <w:t xml:space="preserve">rate </w:t>
      </w:r>
      <w:r w:rsidR="009171C7" w:rsidRPr="0048559C">
        <w:t xml:space="preserve">of success </w:t>
      </w:r>
      <w:r w:rsidR="00CF731D" w:rsidRPr="0048559C">
        <w:t xml:space="preserve">for NEFM </w:t>
      </w:r>
      <w:r w:rsidR="007472D8">
        <w:t xml:space="preserve">paper-based </w:t>
      </w:r>
      <w:r w:rsidR="00CF731D" w:rsidRPr="0048559C">
        <w:t>applications and more</w:t>
      </w:r>
      <w:r w:rsidR="009171C7" w:rsidRPr="0048559C">
        <w:t xml:space="preserve"> </w:t>
      </w:r>
      <w:r w:rsidR="00CF731D" w:rsidRPr="0048559C">
        <w:t xml:space="preserve">so for </w:t>
      </w:r>
      <w:r w:rsidR="00CF731D" w:rsidRPr="0048559C">
        <w:rPr>
          <w:i/>
          <w:iCs/>
        </w:rPr>
        <w:t>Zambrano</w:t>
      </w:r>
      <w:r w:rsidR="00CF731D" w:rsidRPr="0048559C">
        <w:t xml:space="preserve"> carers</w:t>
      </w:r>
      <w:r w:rsidR="009171C7" w:rsidRPr="0048559C">
        <w:t xml:space="preserve"> </w:t>
      </w:r>
      <w:r w:rsidRPr="0048559C">
        <w:t xml:space="preserve">uncovers </w:t>
      </w:r>
      <w:r w:rsidR="00907574" w:rsidRPr="0048559C">
        <w:t xml:space="preserve">the exact </w:t>
      </w:r>
      <w:r w:rsidR="009171C7" w:rsidRPr="0048559C">
        <w:t xml:space="preserve">nuances in </w:t>
      </w:r>
      <w:r w:rsidR="00CF731D" w:rsidRPr="0048559C">
        <w:t>the EUSS process</w:t>
      </w:r>
      <w:r w:rsidR="004C1A32">
        <w:t>. The</w:t>
      </w:r>
      <w:r w:rsidR="003C64CF">
        <w:t>y</w:t>
      </w:r>
      <w:r w:rsidR="004C1A32">
        <w:t xml:space="preserve"> </w:t>
      </w:r>
      <w:r w:rsidR="009171C7" w:rsidRPr="0048559C">
        <w:t>severely undermine</w:t>
      </w:r>
      <w:r w:rsidR="004C1A32">
        <w:t xml:space="preserve"> </w:t>
      </w:r>
      <w:r w:rsidR="009171C7" w:rsidRPr="0048559C">
        <w:t xml:space="preserve">the claim that </w:t>
      </w:r>
      <w:r w:rsidR="00625ECB" w:rsidRPr="0048559C">
        <w:t>the EUSS is simple and straightforward</w:t>
      </w:r>
      <w:r w:rsidR="00CF731D" w:rsidRPr="0048559C">
        <w:t>.</w:t>
      </w:r>
      <w:r w:rsidR="00625ECB" w:rsidRPr="0048559C">
        <w:t xml:space="preserve"> </w:t>
      </w:r>
      <w:r w:rsidR="00AA6434" w:rsidRPr="0048559C">
        <w:t xml:space="preserve">Clearly, </w:t>
      </w:r>
      <w:r w:rsidR="00625ECB" w:rsidRPr="0048559C">
        <w:t xml:space="preserve">it is not </w:t>
      </w:r>
      <w:r w:rsidR="008D2C7B" w:rsidRPr="0048559C">
        <w:t xml:space="preserve">for </w:t>
      </w:r>
      <w:r w:rsidR="00625ECB" w:rsidRPr="0048559C">
        <w:t>the most vulnerable of society</w:t>
      </w:r>
      <w:r w:rsidR="00702892" w:rsidRPr="0048559C">
        <w:t xml:space="preserve"> in the context of the EUSS</w:t>
      </w:r>
      <w:r w:rsidR="00191374" w:rsidRPr="0048559C">
        <w:t>,</w:t>
      </w:r>
      <w:r w:rsidR="00625ECB" w:rsidRPr="0048559C">
        <w:t xml:space="preserve"> </w:t>
      </w:r>
      <w:r w:rsidR="00702892" w:rsidRPr="0048559C">
        <w:t xml:space="preserve">who, as outlined above, </w:t>
      </w:r>
      <w:r w:rsidR="00625ECB" w:rsidRPr="0048559C">
        <w:t>are often women.</w:t>
      </w:r>
      <w:r w:rsidR="00625ECB" w:rsidRPr="0048559C">
        <w:rPr>
          <w:iCs/>
        </w:rPr>
        <w:t xml:space="preserve"> </w:t>
      </w:r>
      <w:r w:rsidR="007A1547" w:rsidRPr="0048559C">
        <w:rPr>
          <w:iCs/>
        </w:rPr>
        <w:t>T</w:t>
      </w:r>
      <w:r w:rsidR="00625ECB" w:rsidRPr="0048559C">
        <w:rPr>
          <w:iCs/>
        </w:rPr>
        <w:t xml:space="preserve">he category of </w:t>
      </w:r>
      <w:r w:rsidR="00625ECB" w:rsidRPr="0048559C">
        <w:rPr>
          <w:i/>
        </w:rPr>
        <w:t>Zambrano</w:t>
      </w:r>
      <w:r w:rsidR="00625ECB" w:rsidRPr="0048559C">
        <w:rPr>
          <w:iCs/>
        </w:rPr>
        <w:t xml:space="preserve"> carer lends itself </w:t>
      </w:r>
      <w:r w:rsidR="007A1547" w:rsidRPr="0048559C">
        <w:rPr>
          <w:iCs/>
        </w:rPr>
        <w:t xml:space="preserve">particularly </w:t>
      </w:r>
      <w:r w:rsidR="00625ECB" w:rsidRPr="0048559C">
        <w:rPr>
          <w:iCs/>
        </w:rPr>
        <w:t xml:space="preserve">to </w:t>
      </w:r>
      <w:r w:rsidR="00505F67" w:rsidRPr="0048559C">
        <w:rPr>
          <w:iCs/>
        </w:rPr>
        <w:t xml:space="preserve">including </w:t>
      </w:r>
      <w:r w:rsidR="00625ECB" w:rsidRPr="0048559C">
        <w:rPr>
          <w:iCs/>
        </w:rPr>
        <w:t>a disproportionately high number of women</w:t>
      </w:r>
      <w:r w:rsidR="003E6A38" w:rsidRPr="0048559C">
        <w:rPr>
          <w:iCs/>
        </w:rPr>
        <w:t>, especially vulnerable ones</w:t>
      </w:r>
      <w:r w:rsidR="0083055A" w:rsidRPr="0048559C">
        <w:rPr>
          <w:iCs/>
        </w:rPr>
        <w:t>. A</w:t>
      </w:r>
      <w:r w:rsidR="00625ECB" w:rsidRPr="0048559C">
        <w:rPr>
          <w:iCs/>
        </w:rPr>
        <w:t xml:space="preserve">necdotal evidence suggests that </w:t>
      </w:r>
      <w:r w:rsidR="00505F67" w:rsidRPr="0048559C">
        <w:rPr>
          <w:iCs/>
        </w:rPr>
        <w:t xml:space="preserve">it mainly consists of </w:t>
      </w:r>
      <w:r w:rsidR="00625ECB" w:rsidRPr="0048559C">
        <w:rPr>
          <w:iCs/>
        </w:rPr>
        <w:t>non-EU national victims of VAWG with EU national children</w:t>
      </w:r>
      <w:r w:rsidR="00625ECB" w:rsidRPr="0048559C">
        <w:t xml:space="preserve"> seeking to flee their abusive British or EU partner</w:t>
      </w:r>
      <w:r w:rsidR="00796391">
        <w:t xml:space="preserve"> (McKinney, 2020)</w:t>
      </w:r>
      <w:r w:rsidR="00505F67" w:rsidRPr="0048559C">
        <w:t>.</w:t>
      </w:r>
      <w:r w:rsidR="00211C42" w:rsidRPr="0048559C">
        <w:t xml:space="preserve"> </w:t>
      </w:r>
      <w:r w:rsidR="003244B0" w:rsidRPr="0048559C">
        <w:t xml:space="preserve">As mentioned above, victims of VAWG are already vulnerable whether or not they are EU citizens or NEFMs. The EUSS’s </w:t>
      </w:r>
      <w:r w:rsidR="003E6A38" w:rsidRPr="0048559C">
        <w:t xml:space="preserve">gendered nature is </w:t>
      </w:r>
      <w:r w:rsidR="0083055A" w:rsidRPr="0048559C">
        <w:t xml:space="preserve">also evident in the design of the </w:t>
      </w:r>
      <w:r w:rsidR="0083055A" w:rsidRPr="0048559C">
        <w:rPr>
          <w:i/>
          <w:iCs/>
        </w:rPr>
        <w:t>Zambrano</w:t>
      </w:r>
      <w:r w:rsidR="0083055A" w:rsidRPr="0048559C">
        <w:t xml:space="preserve"> carer conditions</w:t>
      </w:r>
      <w:r w:rsidR="00B0587E" w:rsidRPr="0048559C">
        <w:t xml:space="preserve">. All three </w:t>
      </w:r>
      <w:r w:rsidR="00BF375F" w:rsidRPr="0048559C">
        <w:t xml:space="preserve">routes </w:t>
      </w:r>
      <w:r w:rsidR="00B0587E" w:rsidRPr="0048559C">
        <w:t xml:space="preserve">mentioned are about family reunification </w:t>
      </w:r>
      <w:r w:rsidR="00191374" w:rsidRPr="0048559C">
        <w:t xml:space="preserve">rights deriving from </w:t>
      </w:r>
      <w:r w:rsidR="00B0587E" w:rsidRPr="0048559C">
        <w:t xml:space="preserve">young dependents, but </w:t>
      </w:r>
      <w:r w:rsidR="0083055A" w:rsidRPr="0048559C">
        <w:t xml:space="preserve">the </w:t>
      </w:r>
      <w:r w:rsidR="00BF375F" w:rsidRPr="0048559C">
        <w:rPr>
          <w:i/>
          <w:iCs/>
        </w:rPr>
        <w:t xml:space="preserve">Chen </w:t>
      </w:r>
      <w:r w:rsidR="00BF375F" w:rsidRPr="0048559C">
        <w:t xml:space="preserve">and </w:t>
      </w:r>
      <w:r w:rsidR="00BF375F" w:rsidRPr="0048559C">
        <w:rPr>
          <w:i/>
          <w:iCs/>
        </w:rPr>
        <w:t>Teixeira</w:t>
      </w:r>
      <w:r w:rsidR="00BF375F" w:rsidRPr="0048559C">
        <w:t>/</w:t>
      </w:r>
      <w:r w:rsidR="00BF375F" w:rsidRPr="0048559C">
        <w:rPr>
          <w:i/>
          <w:iCs/>
        </w:rPr>
        <w:t xml:space="preserve">Ibrahim </w:t>
      </w:r>
      <w:r w:rsidR="00BF375F" w:rsidRPr="0048559C">
        <w:t xml:space="preserve">categories </w:t>
      </w:r>
      <w:r w:rsidR="0083055A" w:rsidRPr="0048559C">
        <w:t xml:space="preserve">are so heavily based </w:t>
      </w:r>
      <w:r w:rsidR="00B0587E" w:rsidRPr="0048559C">
        <w:t xml:space="preserve">proving </w:t>
      </w:r>
      <w:r w:rsidR="0083055A" w:rsidRPr="0048559C">
        <w:t xml:space="preserve">on economic activity and self-sufficiency that it remains that an NEFM without financial means would have no choice but to apply to the Scheme through the </w:t>
      </w:r>
      <w:r w:rsidR="0083055A" w:rsidRPr="0048559C">
        <w:rPr>
          <w:i/>
          <w:iCs/>
        </w:rPr>
        <w:t>Zambrano</w:t>
      </w:r>
      <w:r w:rsidR="0083055A" w:rsidRPr="0048559C">
        <w:t xml:space="preserve"> route. </w:t>
      </w:r>
      <w:r w:rsidR="004C0B52" w:rsidRPr="0048559C">
        <w:t>Problematically, d</w:t>
      </w:r>
      <w:r w:rsidR="00505F67" w:rsidRPr="0048559C">
        <w:t xml:space="preserve">elving deeper into the </w:t>
      </w:r>
      <w:r w:rsidR="00505F67" w:rsidRPr="0048559C">
        <w:rPr>
          <w:i/>
          <w:iCs/>
        </w:rPr>
        <w:t xml:space="preserve">Zambrano </w:t>
      </w:r>
      <w:r w:rsidR="00505F67" w:rsidRPr="0048559C">
        <w:t>derivative rights</w:t>
      </w:r>
      <w:r w:rsidR="003E6A38" w:rsidRPr="0048559C">
        <w:t xml:space="preserve"> </w:t>
      </w:r>
      <w:r w:rsidR="004C0B52" w:rsidRPr="0048559C">
        <w:t xml:space="preserve">route </w:t>
      </w:r>
      <w:r w:rsidR="003E6A38" w:rsidRPr="0048559C">
        <w:t xml:space="preserve">uncovers </w:t>
      </w:r>
      <w:r w:rsidR="00505F67" w:rsidRPr="0048559C">
        <w:t>even more obstacles</w:t>
      </w:r>
      <w:r w:rsidR="00BD3A16" w:rsidRPr="0048559C">
        <w:t xml:space="preserve"> </w:t>
      </w:r>
      <w:r w:rsidR="004C0B52" w:rsidRPr="0048559C">
        <w:t>for those seeking rights to remain in a post-Brexit Britain than it first appeared</w:t>
      </w:r>
      <w:r w:rsidR="004E3472">
        <w:t xml:space="preserve"> and also an interim explanation for the high refusal rates</w:t>
      </w:r>
      <w:r w:rsidR="00505F67" w:rsidRPr="0048559C">
        <w:t>.</w:t>
      </w:r>
    </w:p>
    <w:p w14:paraId="6ADA2129" w14:textId="77777777" w:rsidR="00505F67" w:rsidRPr="0048559C" w:rsidRDefault="00505F67" w:rsidP="00C911B6">
      <w:pPr>
        <w:spacing w:line="480" w:lineRule="auto"/>
      </w:pPr>
    </w:p>
    <w:p w14:paraId="1405A612" w14:textId="34939EEB" w:rsidR="002667DF" w:rsidRPr="002667DF" w:rsidRDefault="00001C4C" w:rsidP="00C911B6">
      <w:pPr>
        <w:spacing w:line="480" w:lineRule="auto"/>
        <w:rPr>
          <w:iCs/>
        </w:rPr>
      </w:pPr>
      <w:r w:rsidRPr="0048559C">
        <w:t xml:space="preserve">There were various routes which a </w:t>
      </w:r>
      <w:r w:rsidRPr="0048559C">
        <w:rPr>
          <w:i/>
          <w:iCs/>
        </w:rPr>
        <w:t xml:space="preserve">Zambrano </w:t>
      </w:r>
      <w:r w:rsidRPr="0048559C">
        <w:t xml:space="preserve">carer could take in order to </w:t>
      </w:r>
      <w:r w:rsidR="008C272A" w:rsidRPr="0048559C">
        <w:t xml:space="preserve">guarantee their </w:t>
      </w:r>
      <w:r w:rsidRPr="0048559C">
        <w:t>right</w:t>
      </w:r>
      <w:r w:rsidR="008C272A" w:rsidRPr="0048559C">
        <w:t xml:space="preserve"> </w:t>
      </w:r>
      <w:r w:rsidRPr="0048559C">
        <w:t>to remain in the UK before 31 December 2020</w:t>
      </w:r>
      <w:r w:rsidR="00EE5FEF">
        <w:t xml:space="preserve">, because the category consists of mainly non-EU nationals who could have had rights under UK domestic law, (pre-Brexit) </w:t>
      </w:r>
      <w:r w:rsidR="003C64CF">
        <w:t xml:space="preserve">applicable </w:t>
      </w:r>
      <w:r w:rsidR="00EE5FEF">
        <w:t>EU law, or now, post-Brexit “retained” EU law</w:t>
      </w:r>
      <w:r w:rsidRPr="0048559C">
        <w:t xml:space="preserve">. </w:t>
      </w:r>
      <w:r w:rsidR="00EE5FEF">
        <w:t xml:space="preserve">More specifically, one route is </w:t>
      </w:r>
      <w:r w:rsidRPr="0048559C">
        <w:t>solely based on UK immigration law,</w:t>
      </w:r>
      <w:r w:rsidR="002112EA">
        <w:rPr>
          <w:rStyle w:val="FootnoteReference"/>
        </w:rPr>
        <w:footnoteReference w:id="31"/>
      </w:r>
      <w:r w:rsidRPr="0048559C">
        <w:t xml:space="preserve"> the other </w:t>
      </w:r>
      <w:r w:rsidR="006C4CF6">
        <w:t>was</w:t>
      </w:r>
      <w:r w:rsidRPr="0048559C">
        <w:t xml:space="preserve"> based on enforcement of the</w:t>
      </w:r>
      <w:r w:rsidR="003C64CF">
        <w:t xml:space="preserve"> now repealed</w:t>
      </w:r>
      <w:r w:rsidRPr="0048559C">
        <w:t xml:space="preserve"> </w:t>
      </w:r>
      <w:r w:rsidR="00BD3A16" w:rsidRPr="0048559C">
        <w:t>Immigration (</w:t>
      </w:r>
      <w:r w:rsidRPr="0048559C">
        <w:t>E</w:t>
      </w:r>
      <w:r w:rsidR="00BD3A16" w:rsidRPr="0048559C">
        <w:t xml:space="preserve">uropean Economic </w:t>
      </w:r>
      <w:r w:rsidRPr="0048559C">
        <w:t>A</w:t>
      </w:r>
      <w:r w:rsidR="00BD3A16" w:rsidRPr="0048559C">
        <w:t>rea)</w:t>
      </w:r>
      <w:r w:rsidRPr="0048559C">
        <w:t xml:space="preserve"> Regulations </w:t>
      </w:r>
      <w:r w:rsidR="008C272A" w:rsidRPr="0048559C">
        <w:t>2016 (hereafter, EEA Regulations 2016)</w:t>
      </w:r>
      <w:r w:rsidR="00351FCA">
        <w:rPr>
          <w:rStyle w:val="FootnoteReference"/>
        </w:rPr>
        <w:footnoteReference w:id="32"/>
      </w:r>
      <w:r w:rsidR="008C272A" w:rsidRPr="0048559C">
        <w:t xml:space="preserve"> </w:t>
      </w:r>
      <w:r w:rsidRPr="0048559C">
        <w:t xml:space="preserve">and the final route </w:t>
      </w:r>
      <w:r w:rsidR="002667DF">
        <w:t xml:space="preserve">is </w:t>
      </w:r>
      <w:r w:rsidRPr="0048559C">
        <w:t xml:space="preserve">through the EUSS. </w:t>
      </w:r>
      <w:r w:rsidR="002667DF">
        <w:t>Confusingly, a</w:t>
      </w:r>
      <w:r w:rsidR="002667DF" w:rsidRPr="0048559C">
        <w:t xml:space="preserve">ny individual with rights based on the EEA Regulations 2016 (rather than UK immigration law) would have </w:t>
      </w:r>
      <w:r w:rsidR="002667DF">
        <w:t xml:space="preserve">had </w:t>
      </w:r>
      <w:r w:rsidR="002667DF" w:rsidRPr="0048559C">
        <w:t>to apply under the EUSS to be able to remain in a post-Brexit Britain</w:t>
      </w:r>
      <w:r w:rsidR="002667DF">
        <w:t xml:space="preserve"> </w:t>
      </w:r>
      <w:r w:rsidR="003C64CF">
        <w:t>as</w:t>
      </w:r>
      <w:r w:rsidR="002667DF">
        <w:t xml:space="preserve"> </w:t>
      </w:r>
      <w:r w:rsidR="002667DF" w:rsidRPr="0048559C">
        <w:t xml:space="preserve">the Regulations </w:t>
      </w:r>
      <w:r w:rsidR="002667DF">
        <w:t xml:space="preserve">were </w:t>
      </w:r>
      <w:r w:rsidR="002667DF" w:rsidRPr="0048559C">
        <w:t xml:space="preserve">repealed </w:t>
      </w:r>
      <w:r w:rsidR="002667DF">
        <w:t xml:space="preserve">after </w:t>
      </w:r>
      <w:r w:rsidR="002667DF" w:rsidRPr="0048559C">
        <w:t>1 January 2021</w:t>
      </w:r>
      <w:r w:rsidR="002667DF">
        <w:t>.</w:t>
      </w:r>
      <w:r w:rsidR="002667DF" w:rsidRPr="0048559C">
        <w:t xml:space="preserve"> </w:t>
      </w:r>
      <w:r w:rsidR="002667DF">
        <w:t>T</w:t>
      </w:r>
      <w:r w:rsidR="002667DF" w:rsidRPr="0048559C">
        <w:t xml:space="preserve">he domestic UK immigration route based on Appendix FM of the </w:t>
      </w:r>
      <w:r w:rsidR="002667DF" w:rsidRPr="0048559C">
        <w:lastRenderedPageBreak/>
        <w:t>Immigration Rules remain</w:t>
      </w:r>
      <w:r w:rsidR="002667DF">
        <w:t xml:space="preserve">ed </w:t>
      </w:r>
      <w:r w:rsidR="002667DF" w:rsidRPr="0048559C">
        <w:t>valid</w:t>
      </w:r>
      <w:r w:rsidR="002667DF">
        <w:t>,</w:t>
      </w:r>
      <w:r w:rsidR="002667DF" w:rsidRPr="0048559C">
        <w:rPr>
          <w:rStyle w:val="FootnoteReference"/>
        </w:rPr>
        <w:footnoteReference w:id="33"/>
      </w:r>
      <w:r w:rsidR="002667DF">
        <w:t xml:space="preserve"> but</w:t>
      </w:r>
      <w:r w:rsidR="002667DF" w:rsidRPr="0048559C">
        <w:t xml:space="preserve"> </w:t>
      </w:r>
      <w:r w:rsidR="002667DF">
        <w:t>b</w:t>
      </w:r>
      <w:r w:rsidR="002667DF" w:rsidRPr="0048559C">
        <w:t>efore 1 January 2021, Appendix FM would have been the le</w:t>
      </w:r>
      <w:r w:rsidR="00D00305">
        <w:t>ast</w:t>
      </w:r>
      <w:r w:rsidR="002667DF" w:rsidRPr="0048559C">
        <w:t xml:space="preserve"> attractive route on the basis that it entails fees of upwards of £1033. In contrast, being protected under the Regulations was a right guaranteed by EU law and thus more easily satisfied. The repeal of the EEA Regulations 2016 as a result of Brexit has clearly affected many more </w:t>
      </w:r>
      <w:r w:rsidR="00D00305">
        <w:t xml:space="preserve">applicants </w:t>
      </w:r>
      <w:r w:rsidR="002667DF" w:rsidRPr="0048559C">
        <w:t xml:space="preserve">than </w:t>
      </w:r>
      <w:r w:rsidR="00D00305">
        <w:t xml:space="preserve">those </w:t>
      </w:r>
      <w:r w:rsidR="002667DF" w:rsidRPr="0048559C">
        <w:t>under the still existing Appendix FM route.</w:t>
      </w:r>
      <w:r w:rsidR="002667DF">
        <w:t xml:space="preserve"> However, it was not so straightforward to apply</w:t>
      </w:r>
      <w:r w:rsidR="00D00305">
        <w:t xml:space="preserve"> to the EEA Regulations 2016’s replacement regime,</w:t>
      </w:r>
      <w:r w:rsidR="002667DF">
        <w:t xml:space="preserve"> the EUSS, vindicating the argument </w:t>
      </w:r>
      <w:r w:rsidR="00A651CE">
        <w:t>of a drastic loss of protection of</w:t>
      </w:r>
      <w:r w:rsidR="002667DF">
        <w:t xml:space="preserve"> EU citizens’ rights </w:t>
      </w:r>
      <w:r w:rsidR="00A651CE">
        <w:t xml:space="preserve">in a post-Brexit Britain and even </w:t>
      </w:r>
      <w:r w:rsidR="007F2935">
        <w:t>more so,</w:t>
      </w:r>
      <w:r w:rsidR="00A651CE">
        <w:t xml:space="preserve"> a disproportionate effect on women given </w:t>
      </w:r>
      <w:r w:rsidR="00275DD8">
        <w:t>that</w:t>
      </w:r>
      <w:r w:rsidR="00A651CE">
        <w:t xml:space="preserve"> NEFMs</w:t>
      </w:r>
      <w:r w:rsidR="00275DD8">
        <w:t xml:space="preserve"> are more likely to be female</w:t>
      </w:r>
      <w:r w:rsidR="002667DF">
        <w:t>.</w:t>
      </w:r>
    </w:p>
    <w:p w14:paraId="71C9AE68" w14:textId="77777777" w:rsidR="002667DF" w:rsidRDefault="002667DF" w:rsidP="00C911B6">
      <w:pPr>
        <w:spacing w:line="480" w:lineRule="auto"/>
      </w:pPr>
    </w:p>
    <w:p w14:paraId="6769146B" w14:textId="6AD3AA6B" w:rsidR="00406209" w:rsidRPr="00E42BEB" w:rsidRDefault="00EE5FEF" w:rsidP="00C911B6">
      <w:pPr>
        <w:spacing w:line="480" w:lineRule="auto"/>
        <w:rPr>
          <w:iCs/>
        </w:rPr>
      </w:pPr>
      <w:r>
        <w:t>Guidance on e</w:t>
      </w:r>
      <w:r w:rsidR="00001C4C" w:rsidRPr="0048559C">
        <w:t>ligibility for the EUSS route</w:t>
      </w:r>
      <w:r w:rsidR="002667DF">
        <w:t xml:space="preserve"> </w:t>
      </w:r>
      <w:r w:rsidR="007F2162">
        <w:t xml:space="preserve">via derivative rights </w:t>
      </w:r>
      <w:r w:rsidR="008C272A" w:rsidRPr="0048559C">
        <w:t>has only been available since May 2019</w:t>
      </w:r>
      <w:r w:rsidR="00796391">
        <w:t xml:space="preserve"> (Home Office, 2019)</w:t>
      </w:r>
      <w:r w:rsidR="007F2162">
        <w:t>, and</w:t>
      </w:r>
      <w:r w:rsidR="002667DF">
        <w:t xml:space="preserve"> </w:t>
      </w:r>
      <w:r w:rsidR="007F2162">
        <w:t xml:space="preserve">was </w:t>
      </w:r>
      <w:r w:rsidR="00001C4C" w:rsidRPr="0048559C">
        <w:t xml:space="preserve">based on </w:t>
      </w:r>
      <w:r w:rsidR="00351FCA">
        <w:t xml:space="preserve">required </w:t>
      </w:r>
      <w:r w:rsidR="00001C4C" w:rsidRPr="0048559C">
        <w:t>exhaustion of</w:t>
      </w:r>
      <w:r w:rsidR="007F2162">
        <w:t xml:space="preserve"> the</w:t>
      </w:r>
      <w:r w:rsidR="00001C4C" w:rsidRPr="0048559C">
        <w:t xml:space="preserve"> </w:t>
      </w:r>
      <w:r w:rsidR="00A651CE">
        <w:t xml:space="preserve">other </w:t>
      </w:r>
      <w:r w:rsidR="00001C4C" w:rsidRPr="0048559C">
        <w:t>two options</w:t>
      </w:r>
      <w:r w:rsidR="00A651CE">
        <w:t xml:space="preserve"> of leave to remain in the UK</w:t>
      </w:r>
      <w:r w:rsidR="002667DF">
        <w:t xml:space="preserve">. </w:t>
      </w:r>
      <w:r w:rsidR="002667DF">
        <w:rPr>
          <w:iCs/>
        </w:rPr>
        <w:t>U</w:t>
      </w:r>
      <w:r w:rsidR="00351FCA">
        <w:rPr>
          <w:iCs/>
        </w:rPr>
        <w:t xml:space="preserve">nder </w:t>
      </w:r>
      <w:r w:rsidR="005E46B4">
        <w:rPr>
          <w:iCs/>
        </w:rPr>
        <w:t>‘</w:t>
      </w:r>
      <w:r w:rsidR="00351FCA">
        <w:rPr>
          <w:iCs/>
        </w:rPr>
        <w:t xml:space="preserve">Annex 1 </w:t>
      </w:r>
      <w:r w:rsidR="005E46B4">
        <w:rPr>
          <w:iCs/>
        </w:rPr>
        <w:t xml:space="preserve">– Definitions’ </w:t>
      </w:r>
      <w:r w:rsidR="00351FCA">
        <w:rPr>
          <w:iCs/>
        </w:rPr>
        <w:t xml:space="preserve">of Appendix EU, </w:t>
      </w:r>
      <w:r w:rsidR="00A651CE">
        <w:rPr>
          <w:iCs/>
        </w:rPr>
        <w:t xml:space="preserve">the definition of </w:t>
      </w:r>
      <w:r w:rsidR="00351FCA">
        <w:rPr>
          <w:i/>
        </w:rPr>
        <w:t>Zambrano</w:t>
      </w:r>
      <w:r w:rsidR="00351FCA">
        <w:rPr>
          <w:iCs/>
        </w:rPr>
        <w:t xml:space="preserve"> carers </w:t>
      </w:r>
      <w:r w:rsidR="00A651CE">
        <w:rPr>
          <w:iCs/>
        </w:rPr>
        <w:t xml:space="preserve">as interpreted by the Home Office meant they </w:t>
      </w:r>
      <w:r w:rsidR="00351FCA">
        <w:rPr>
          <w:iCs/>
        </w:rPr>
        <w:t xml:space="preserve">were unable to apply under the EUSS if they </w:t>
      </w:r>
      <w:r w:rsidR="00A651CE">
        <w:rPr>
          <w:iCs/>
        </w:rPr>
        <w:t xml:space="preserve">could </w:t>
      </w:r>
      <w:r w:rsidR="00351FCA">
        <w:rPr>
          <w:iCs/>
        </w:rPr>
        <w:t>get other leave to</w:t>
      </w:r>
      <w:r w:rsidR="002667DF">
        <w:rPr>
          <w:iCs/>
        </w:rPr>
        <w:t xml:space="preserve"> remain, namely, under Appendix FM for at least £1033.</w:t>
      </w:r>
      <w:r w:rsidR="005E46B4">
        <w:rPr>
          <w:rStyle w:val="FootnoteReference"/>
          <w:iCs/>
        </w:rPr>
        <w:footnoteReference w:id="34"/>
      </w:r>
      <w:r w:rsidR="002667DF">
        <w:rPr>
          <w:iCs/>
        </w:rPr>
        <w:t xml:space="preserve"> </w:t>
      </w:r>
      <w:r w:rsidR="00A651CE">
        <w:rPr>
          <w:iCs/>
        </w:rPr>
        <w:t xml:space="preserve">This created significant extra obstacles </w:t>
      </w:r>
      <w:r w:rsidR="00001C4C" w:rsidRPr="0048559C">
        <w:t>for NEFMs seeking to remain in a post-Brexit Britain</w:t>
      </w:r>
      <w:r w:rsidR="00A651CE">
        <w:t xml:space="preserve"> and</w:t>
      </w:r>
      <w:r w:rsidR="002667DF">
        <w:t xml:space="preserve"> is likely to</w:t>
      </w:r>
      <w:r w:rsidR="00A651CE">
        <w:t xml:space="preserve"> be the explanation for </w:t>
      </w:r>
      <w:r w:rsidR="002667DF">
        <w:t xml:space="preserve">the high refusal rate </w:t>
      </w:r>
      <w:r w:rsidR="00A651CE">
        <w:t xml:space="preserve">for </w:t>
      </w:r>
      <w:r w:rsidR="00A651CE">
        <w:rPr>
          <w:i/>
          <w:iCs/>
        </w:rPr>
        <w:t xml:space="preserve">Zambrano </w:t>
      </w:r>
      <w:r w:rsidR="00A651CE">
        <w:t>carers as reflected in the quarterly statistics. Finally</w:t>
      </w:r>
      <w:r w:rsidR="007F2162">
        <w:t>,</w:t>
      </w:r>
      <w:r w:rsidR="006A35F6">
        <w:t xml:space="preserve"> in the face of such injustice</w:t>
      </w:r>
      <w:r w:rsidR="00A651CE">
        <w:t xml:space="preserve">, in </w:t>
      </w:r>
      <w:proofErr w:type="spellStart"/>
      <w:r w:rsidR="002667DF" w:rsidRPr="00351FCA">
        <w:rPr>
          <w:i/>
          <w:iCs/>
        </w:rPr>
        <w:t>Akinsanya</w:t>
      </w:r>
      <w:proofErr w:type="spellEnd"/>
      <w:r w:rsidR="002667DF">
        <w:t>,</w:t>
      </w:r>
      <w:r w:rsidR="00A651CE">
        <w:t xml:space="preserve"> the High Court held that </w:t>
      </w:r>
      <w:r w:rsidR="002667DF" w:rsidRPr="002112EA">
        <w:t>the</w:t>
      </w:r>
      <w:r w:rsidR="002667DF">
        <w:t xml:space="preserve"> Home Office</w:t>
      </w:r>
      <w:r w:rsidR="00A651CE">
        <w:t xml:space="preserve">’s reading of Annex 1 </w:t>
      </w:r>
      <w:r w:rsidR="002667DF">
        <w:t>was unlawful</w:t>
      </w:r>
      <w:r w:rsidR="007F2935">
        <w:t>, namely that claimants had to go through Appendix FM before the EUSS</w:t>
      </w:r>
      <w:r w:rsidR="002667DF" w:rsidRPr="0048559C">
        <w:t>.</w:t>
      </w:r>
      <w:r w:rsidR="002667DF" w:rsidRPr="0048559C">
        <w:rPr>
          <w:rStyle w:val="FootnoteReference"/>
        </w:rPr>
        <w:footnoteReference w:id="35"/>
      </w:r>
      <w:r w:rsidR="002667DF">
        <w:rPr>
          <w:i/>
          <w:iCs/>
        </w:rPr>
        <w:t xml:space="preserve"> </w:t>
      </w:r>
      <w:r w:rsidR="00E42BEB">
        <w:t>However, t</w:t>
      </w:r>
      <w:r w:rsidR="00A651CE">
        <w:t>he case</w:t>
      </w:r>
      <w:r w:rsidR="00E42BEB">
        <w:t xml:space="preserve"> was</w:t>
      </w:r>
      <w:r w:rsidR="00A651CE">
        <w:t xml:space="preserve"> decided </w:t>
      </w:r>
      <w:r w:rsidR="00E42BEB">
        <w:t xml:space="preserve">just </w:t>
      </w:r>
      <w:r w:rsidR="006A35F6">
        <w:t>three</w:t>
      </w:r>
      <w:r w:rsidR="00A651CE">
        <w:t xml:space="preserve"> weeks before the EUSS deadline, </w:t>
      </w:r>
      <w:r w:rsidR="00E42BEB">
        <w:t xml:space="preserve">and </w:t>
      </w:r>
      <w:r w:rsidR="00A651CE">
        <w:t>has</w:t>
      </w:r>
      <w:r w:rsidR="006A35F6">
        <w:t xml:space="preserve"> yet </w:t>
      </w:r>
      <w:r w:rsidR="005E46B4">
        <w:t xml:space="preserve">to </w:t>
      </w:r>
      <w:r w:rsidR="00A651CE">
        <w:t>trigger</w:t>
      </w:r>
      <w:r w:rsidR="005E46B4">
        <w:t xml:space="preserve"> </w:t>
      </w:r>
      <w:r w:rsidR="00A651CE">
        <w:t xml:space="preserve">any </w:t>
      </w:r>
      <w:r w:rsidR="005E46B4">
        <w:t xml:space="preserve">formal </w:t>
      </w:r>
      <w:r w:rsidR="00A651CE">
        <w:t>amendments to the Home Office caseworker guidance</w:t>
      </w:r>
      <w:r w:rsidR="007F2935">
        <w:t>,</w:t>
      </w:r>
      <w:r w:rsidR="00E42BEB">
        <w:t xml:space="preserve"> </w:t>
      </w:r>
      <w:r w:rsidR="00A651CE">
        <w:t>nor of Annex 1</w:t>
      </w:r>
      <w:r w:rsidR="007F2935">
        <w:t xml:space="preserve">, being </w:t>
      </w:r>
      <w:r w:rsidR="00A651CE">
        <w:t xml:space="preserve">due </w:t>
      </w:r>
      <w:r w:rsidR="00E42BEB">
        <w:t>before</w:t>
      </w:r>
      <w:r w:rsidR="00A651CE">
        <w:t xml:space="preserve"> the Court of Appeal</w:t>
      </w:r>
      <w:r w:rsidR="00E42BEB">
        <w:t xml:space="preserve">. Whilst </w:t>
      </w:r>
      <w:r w:rsidR="006A35F6">
        <w:t xml:space="preserve">no more decisions on </w:t>
      </w:r>
      <w:r w:rsidR="006A35F6">
        <w:rPr>
          <w:i/>
          <w:iCs/>
        </w:rPr>
        <w:t xml:space="preserve">Zambrano </w:t>
      </w:r>
      <w:r w:rsidR="006A35F6">
        <w:t>carers will be made, refusals or otherwise</w:t>
      </w:r>
      <w:r w:rsidR="00E42BEB">
        <w:t>,</w:t>
      </w:r>
      <w:r w:rsidR="006A35F6">
        <w:t xml:space="preserve"> </w:t>
      </w:r>
      <w:r w:rsidR="00E42BEB">
        <w:t>w</w:t>
      </w:r>
      <w:r w:rsidR="00B55476" w:rsidRPr="0048559C">
        <w:t xml:space="preserve">hat appeared to be </w:t>
      </w:r>
      <w:r w:rsidR="00170E45" w:rsidRPr="0048559C">
        <w:t xml:space="preserve">a positive step </w:t>
      </w:r>
      <w:r w:rsidR="00B55476" w:rsidRPr="0048559C">
        <w:t xml:space="preserve">when </w:t>
      </w:r>
      <w:r w:rsidR="00170E45" w:rsidRPr="0048559C">
        <w:rPr>
          <w:i/>
          <w:iCs/>
        </w:rPr>
        <w:t>Zambrano</w:t>
      </w:r>
      <w:r w:rsidR="00170E45" w:rsidRPr="0048559C">
        <w:t xml:space="preserve"> carers</w:t>
      </w:r>
      <w:r w:rsidR="00B55476" w:rsidRPr="0048559C">
        <w:t xml:space="preserve"> were </w:t>
      </w:r>
      <w:r w:rsidR="007F2935">
        <w:t xml:space="preserve">originally </w:t>
      </w:r>
      <w:r w:rsidR="00EE0FD5" w:rsidRPr="0048559C">
        <w:t xml:space="preserve">granted </w:t>
      </w:r>
      <w:r w:rsidR="00170E45" w:rsidRPr="0048559C">
        <w:t>eligib</w:t>
      </w:r>
      <w:r w:rsidR="00EE0FD5" w:rsidRPr="0048559C">
        <w:t xml:space="preserve">ility </w:t>
      </w:r>
      <w:r w:rsidR="00170E45" w:rsidRPr="0048559C">
        <w:t xml:space="preserve">under the EUSS </w:t>
      </w:r>
      <w:r w:rsidR="007F2935">
        <w:t xml:space="preserve">is </w:t>
      </w:r>
      <w:r w:rsidR="003A17E6" w:rsidRPr="0048559C">
        <w:t xml:space="preserve">now </w:t>
      </w:r>
      <w:r w:rsidR="00B55476" w:rsidRPr="0048559C">
        <w:t>undermined</w:t>
      </w:r>
      <w:r w:rsidR="007F2162">
        <w:t xml:space="preserve"> by the realities of applying successfully</w:t>
      </w:r>
      <w:r w:rsidR="00EE0FD5" w:rsidRPr="0048559C">
        <w:t>.</w:t>
      </w:r>
      <w:r w:rsidR="00E42BEB">
        <w:t xml:space="preserve"> Even the declaration of unlawfulness of Annex 1’s definition of a </w:t>
      </w:r>
      <w:r w:rsidR="00E42BEB">
        <w:rPr>
          <w:i/>
        </w:rPr>
        <w:t>Zambrano</w:t>
      </w:r>
      <w:r w:rsidR="00E42BEB">
        <w:rPr>
          <w:iCs/>
        </w:rPr>
        <w:t xml:space="preserve"> carer is cold comfort until the Court of Appeal hands down their case.</w:t>
      </w:r>
    </w:p>
    <w:p w14:paraId="7A995541" w14:textId="676888A2" w:rsidR="00DB5DD7" w:rsidRPr="0048559C" w:rsidRDefault="00DB5DD7" w:rsidP="00C911B6">
      <w:pPr>
        <w:spacing w:line="480" w:lineRule="auto"/>
      </w:pPr>
    </w:p>
    <w:p w14:paraId="55C0FC34" w14:textId="5C0FAC17" w:rsidR="00DB5DD7" w:rsidRPr="0048559C" w:rsidRDefault="00DB5DD7" w:rsidP="00C911B6">
      <w:pPr>
        <w:spacing w:line="480" w:lineRule="auto"/>
      </w:pPr>
      <w:r w:rsidRPr="0048559C">
        <w:lastRenderedPageBreak/>
        <w:t xml:space="preserve">It is </w:t>
      </w:r>
      <w:r w:rsidR="007F2162">
        <w:t xml:space="preserve">thus </w:t>
      </w:r>
      <w:r w:rsidRPr="0048559C">
        <w:t xml:space="preserve">only by outlining the full process and the data on </w:t>
      </w:r>
      <w:r w:rsidR="002A169A" w:rsidRPr="0048559C">
        <w:t>the NEFM routes</w:t>
      </w:r>
      <w:r w:rsidRPr="0048559C">
        <w:t xml:space="preserve"> that it </w:t>
      </w:r>
      <w:r w:rsidR="007F2162">
        <w:t>become</w:t>
      </w:r>
      <w:r w:rsidR="005400B7">
        <w:t>s</w:t>
      </w:r>
      <w:r w:rsidRPr="0048559C">
        <w:t xml:space="preserve"> evident how the EUSS rules operate to </w:t>
      </w:r>
      <w:r w:rsidR="003F26C2" w:rsidRPr="0048559C">
        <w:t xml:space="preserve">the </w:t>
      </w:r>
      <w:r w:rsidRPr="0048559C">
        <w:t>exclu</w:t>
      </w:r>
      <w:r w:rsidR="003F26C2" w:rsidRPr="0048559C">
        <w:t xml:space="preserve">sion of vulnerable </w:t>
      </w:r>
      <w:r w:rsidRPr="0048559C">
        <w:t xml:space="preserve">women who are seeking to remain in the UK in a post-Brexit Britain. Despite claiming to want to protect the rights of EU citizens seeking legal residency in the UK after the transition period, the design </w:t>
      </w:r>
      <w:r w:rsidR="00E4146D" w:rsidRPr="0048559C">
        <w:t xml:space="preserve">of the government’s EUSS </w:t>
      </w:r>
      <w:r w:rsidRPr="0048559C">
        <w:t xml:space="preserve">is such that </w:t>
      </w:r>
      <w:r w:rsidR="00E4146D" w:rsidRPr="0048559C">
        <w:t xml:space="preserve">it clearly entails significant procedural </w:t>
      </w:r>
      <w:r w:rsidRPr="0048559C">
        <w:t>difficulties for NEFMs because of its design</w:t>
      </w:r>
      <w:r w:rsidR="005400B7">
        <w:t>, with i</w:t>
      </w:r>
      <w:r w:rsidR="00A56780">
        <w:t>nterpretation of the applicable Immigration</w:t>
      </w:r>
      <w:r w:rsidR="007F2935">
        <w:t xml:space="preserve"> Rules</w:t>
      </w:r>
      <w:r w:rsidR="00A56780">
        <w:t xml:space="preserve"> declared unlawful as in </w:t>
      </w:r>
      <w:proofErr w:type="spellStart"/>
      <w:r w:rsidR="00BE1D2D">
        <w:rPr>
          <w:i/>
          <w:iCs/>
        </w:rPr>
        <w:t>Akinsanya</w:t>
      </w:r>
      <w:proofErr w:type="spellEnd"/>
      <w:r w:rsidR="00BE1D2D">
        <w:t>.</w:t>
      </w:r>
      <w:r w:rsidR="00BE1D2D">
        <w:rPr>
          <w:i/>
          <w:iCs/>
        </w:rPr>
        <w:t xml:space="preserve"> </w:t>
      </w:r>
      <w:r w:rsidR="005317F0">
        <w:t xml:space="preserve">Vulnerable </w:t>
      </w:r>
      <w:r w:rsidRPr="0048559C">
        <w:t>women</w:t>
      </w:r>
      <w:r w:rsidR="00E4146D" w:rsidRPr="0048559C">
        <w:t xml:space="preserve"> </w:t>
      </w:r>
      <w:r w:rsidR="005317F0">
        <w:t xml:space="preserve">are thus </w:t>
      </w:r>
      <w:r w:rsidR="00E4146D" w:rsidRPr="0048559C">
        <w:t xml:space="preserve">most likely to be </w:t>
      </w:r>
      <w:r w:rsidR="00D25CD2" w:rsidRPr="0048559C">
        <w:t xml:space="preserve">oppressed by </w:t>
      </w:r>
      <w:r w:rsidR="00E4146D" w:rsidRPr="0048559C">
        <w:t xml:space="preserve">the </w:t>
      </w:r>
      <w:r w:rsidR="00D25CD2" w:rsidRPr="0048559C">
        <w:t xml:space="preserve">legal framework of the </w:t>
      </w:r>
      <w:r w:rsidR="00E4146D" w:rsidRPr="0048559C">
        <w:t>Scheme</w:t>
      </w:r>
      <w:r w:rsidR="002A169A" w:rsidRPr="0048559C">
        <w:t xml:space="preserve"> because of the way NEFMs have been defined in the law</w:t>
      </w:r>
      <w:r w:rsidR="00647926">
        <w:t>, as well as relegated to applying by paper</w:t>
      </w:r>
      <w:r w:rsidR="005400B7">
        <w:t xml:space="preserve">, </w:t>
      </w:r>
      <w:r w:rsidR="00647926">
        <w:t xml:space="preserve">first </w:t>
      </w:r>
      <w:r w:rsidR="00B0554B">
        <w:t>overcom</w:t>
      </w:r>
      <w:r w:rsidR="00A933E3">
        <w:t xml:space="preserve">ing </w:t>
      </w:r>
      <w:r w:rsidR="00B0554B">
        <w:t>legal obstacles</w:t>
      </w:r>
      <w:r w:rsidR="008B247B">
        <w:t xml:space="preserve">, </w:t>
      </w:r>
      <w:r w:rsidR="00B0554B">
        <w:t>then</w:t>
      </w:r>
      <w:r w:rsidR="00647926">
        <w:t xml:space="preserve"> </w:t>
      </w:r>
      <w:r w:rsidR="008B247B">
        <w:t>apply</w:t>
      </w:r>
      <w:r w:rsidR="00A933E3">
        <w:t xml:space="preserve">ing </w:t>
      </w:r>
      <w:r w:rsidR="008B247B">
        <w:t xml:space="preserve">by </w:t>
      </w:r>
      <w:r w:rsidR="00A933E3">
        <w:t xml:space="preserve">the less successful </w:t>
      </w:r>
      <w:r w:rsidR="00A933E3">
        <w:t>and more cumbersome</w:t>
      </w:r>
      <w:r w:rsidR="00A933E3">
        <w:t xml:space="preserve"> </w:t>
      </w:r>
      <w:r w:rsidR="00584DB3">
        <w:t>route</w:t>
      </w:r>
      <w:r w:rsidR="00B0554B">
        <w:t xml:space="preserve">. </w:t>
      </w:r>
      <w:r w:rsidR="00D66CD0">
        <w:t>It is a perfect storm of difficulties that are a function of the</w:t>
      </w:r>
      <w:r w:rsidR="007F2162">
        <w:t>ir</w:t>
      </w:r>
      <w:r w:rsidR="00D66CD0">
        <w:t xml:space="preserve"> intersection</w:t>
      </w:r>
      <w:r w:rsidR="007F2162">
        <w:t xml:space="preserve"> </w:t>
      </w:r>
      <w:r w:rsidR="00D66CD0">
        <w:t xml:space="preserve">of gender and immigrant status, exemplifying the </w:t>
      </w:r>
      <w:r w:rsidR="00B0554B">
        <w:t xml:space="preserve">heightened </w:t>
      </w:r>
      <w:r w:rsidR="00E4146D" w:rsidRPr="0048559C">
        <w:t>vulnerab</w:t>
      </w:r>
      <w:r w:rsidR="00B0554B">
        <w:t xml:space="preserve">ility </w:t>
      </w:r>
      <w:r w:rsidR="007F2162">
        <w:t xml:space="preserve">that </w:t>
      </w:r>
      <w:r w:rsidR="00B0554B">
        <w:t xml:space="preserve">being an </w:t>
      </w:r>
      <w:r w:rsidR="00E4146D" w:rsidRPr="0048559C">
        <w:t>immigra</w:t>
      </w:r>
      <w:r w:rsidR="00B0554B">
        <w:t>nt woman in a post-Brexit Britain</w:t>
      </w:r>
      <w:r w:rsidR="007F2162">
        <w:t xml:space="preserve"> brings</w:t>
      </w:r>
      <w:r w:rsidR="002A169A" w:rsidRPr="0048559C">
        <w:t>.</w:t>
      </w:r>
    </w:p>
    <w:p w14:paraId="0E7207CC" w14:textId="77777777" w:rsidR="006A0F58" w:rsidRPr="0048559C" w:rsidRDefault="006A0F58" w:rsidP="00C911B6">
      <w:pPr>
        <w:spacing w:line="480" w:lineRule="auto"/>
      </w:pPr>
    </w:p>
    <w:p w14:paraId="62D35228" w14:textId="4DCA4576" w:rsidR="00E0040A" w:rsidRPr="00C911B6" w:rsidRDefault="00B8294A" w:rsidP="0082256C">
      <w:pPr>
        <w:pStyle w:val="Heading1"/>
        <w:numPr>
          <w:ilvl w:val="0"/>
          <w:numId w:val="0"/>
        </w:numPr>
        <w:rPr>
          <w:b/>
          <w:bCs/>
        </w:rPr>
      </w:pPr>
      <w:r w:rsidRPr="00C911B6">
        <w:rPr>
          <w:b/>
          <w:bCs/>
        </w:rPr>
        <w:t>CONCLUSION</w:t>
      </w:r>
    </w:p>
    <w:p w14:paraId="4D07B6AA" w14:textId="2AD88A64" w:rsidR="0058302E" w:rsidRPr="0048559C" w:rsidRDefault="0058302E" w:rsidP="00C911B6">
      <w:pPr>
        <w:spacing w:line="480" w:lineRule="auto"/>
      </w:pPr>
      <w:r w:rsidRPr="0048559C">
        <w:t xml:space="preserve">This paper outlined how and why it considers that the transitory regime of protection for EU citizens and their eligible family members of the EU Settlement Scheme </w:t>
      </w:r>
      <w:r w:rsidR="00A56780">
        <w:t xml:space="preserve">entrenches </w:t>
      </w:r>
      <w:r w:rsidR="00D66CD0">
        <w:t>intersectional</w:t>
      </w:r>
      <w:r w:rsidR="00A56780">
        <w:t xml:space="preserve"> oppression of women under the law</w:t>
      </w:r>
      <w:r w:rsidRPr="0048559C">
        <w:t xml:space="preserve">, and </w:t>
      </w:r>
      <w:r w:rsidR="00D66CD0">
        <w:t xml:space="preserve">how this </w:t>
      </w:r>
      <w:r w:rsidRPr="0048559C">
        <w:t xml:space="preserve">undermines the </w:t>
      </w:r>
      <w:r w:rsidR="00D66CD0">
        <w:t xml:space="preserve">mainstream </w:t>
      </w:r>
      <w:r w:rsidRPr="0048559C">
        <w:t xml:space="preserve">messaging </w:t>
      </w:r>
      <w:r w:rsidR="00D66CD0">
        <w:t xml:space="preserve">about </w:t>
      </w:r>
      <w:r w:rsidRPr="0048559C">
        <w:t xml:space="preserve">the Scheme </w:t>
      </w:r>
      <w:r w:rsidR="00D66CD0">
        <w:t xml:space="preserve">being </w:t>
      </w:r>
      <w:r w:rsidRPr="0048559C">
        <w:t xml:space="preserve">a success. </w:t>
      </w:r>
      <w:r w:rsidR="00D66CD0">
        <w:t>A</w:t>
      </w:r>
      <w:r w:rsidRPr="0048559C">
        <w:t>dopt</w:t>
      </w:r>
      <w:r w:rsidR="00D66CD0">
        <w:t>ing a</w:t>
      </w:r>
      <w:r w:rsidRPr="0048559C">
        <w:t xml:space="preserve"> framework underpinned by the theory of intersectionality </w:t>
      </w:r>
      <w:r w:rsidR="00A56780">
        <w:t>and theory of vulnerability</w:t>
      </w:r>
      <w:r w:rsidR="00D66CD0">
        <w:t xml:space="preserve">, it </w:t>
      </w:r>
      <w:r w:rsidR="00122678" w:rsidRPr="0048559C">
        <w:t>consider</w:t>
      </w:r>
      <w:r w:rsidR="00D66CD0">
        <w:t>ed</w:t>
      </w:r>
      <w:r w:rsidR="00122678" w:rsidRPr="0048559C">
        <w:t xml:space="preserve"> </w:t>
      </w:r>
      <w:r w:rsidRPr="0048559C">
        <w:t xml:space="preserve">two case studies of vulnerable women within the context of the EUSS – victims of violence against women and girls, who are </w:t>
      </w:r>
      <w:r w:rsidR="002F4A8E">
        <w:t>exclusively</w:t>
      </w:r>
      <w:r w:rsidRPr="0048559C">
        <w:t xml:space="preserve"> women, and non-EU family members of EU citizens, of whom the most vulnerable are most likely to be women</w:t>
      </w:r>
      <w:r w:rsidR="003E46BC">
        <w:t xml:space="preserve">. In this way, it was possible to </w:t>
      </w:r>
      <w:r w:rsidR="00D66CD0">
        <w:t xml:space="preserve">highlight </w:t>
      </w:r>
      <w:r w:rsidR="00D66123">
        <w:t xml:space="preserve">specific examples </w:t>
      </w:r>
      <w:r w:rsidR="003E46BC">
        <w:t xml:space="preserve">of </w:t>
      </w:r>
      <w:r w:rsidR="00D66123">
        <w:t>where Appendix EU</w:t>
      </w:r>
      <w:r w:rsidR="002F4A8E">
        <w:t xml:space="preserve"> of the</w:t>
      </w:r>
      <w:r w:rsidR="00D66123">
        <w:t xml:space="preserve"> Immigration Rules</w:t>
      </w:r>
      <w:r w:rsidR="003E46BC">
        <w:t xml:space="preserve"> as expressed through the EUSS, actually by </w:t>
      </w:r>
      <w:r w:rsidR="002F4A8E">
        <w:t xml:space="preserve">its </w:t>
      </w:r>
      <w:r w:rsidR="003E46BC">
        <w:t>design, applicable criteria and application process, disproportionately burden more women in</w:t>
      </w:r>
      <w:r w:rsidR="00D66123">
        <w:t xml:space="preserve"> a post-Brexit Britain</w:t>
      </w:r>
      <w:r w:rsidR="003E46BC">
        <w:t xml:space="preserve">. </w:t>
      </w:r>
      <w:r w:rsidR="002F4A8E">
        <w:t>From a</w:t>
      </w:r>
      <w:r w:rsidR="00122678" w:rsidRPr="0048559C">
        <w:t xml:space="preserve">n intersectional perspective, being in a vulnerable position because of one’s gender – such as being a victim of VAWG, or a NEFM carer of an EU citizen – is made worse when </w:t>
      </w:r>
      <w:r w:rsidR="00A76A4B">
        <w:t xml:space="preserve">having to additionally </w:t>
      </w:r>
      <w:r w:rsidR="0012560F" w:rsidRPr="0048559C">
        <w:t>be</w:t>
      </w:r>
      <w:r w:rsidR="00A76A4B">
        <w:t xml:space="preserve"> </w:t>
      </w:r>
      <w:r w:rsidR="0012560F" w:rsidRPr="0048559C">
        <w:t>aware of, apply</w:t>
      </w:r>
      <w:r w:rsidR="00A76A4B">
        <w:t xml:space="preserve"> </w:t>
      </w:r>
      <w:r w:rsidR="0012560F" w:rsidRPr="0048559C">
        <w:t>to and satisfy</w:t>
      </w:r>
      <w:r w:rsidR="00A76A4B">
        <w:t xml:space="preserve"> </w:t>
      </w:r>
      <w:r w:rsidR="0012560F" w:rsidRPr="0048559C">
        <w:t xml:space="preserve">the criteria for </w:t>
      </w:r>
      <w:r w:rsidR="00A76A4B">
        <w:t xml:space="preserve">the </w:t>
      </w:r>
      <w:r w:rsidR="0012560F" w:rsidRPr="0048559C">
        <w:t>new constitutive system of the EUSS because of a referendum they did not vote in</w:t>
      </w:r>
      <w:r w:rsidR="00141258">
        <w:t>. This situation of disparity due to one’s vulnerability has been created by the state, and must be addressed by it.</w:t>
      </w:r>
    </w:p>
    <w:p w14:paraId="1FB6A1C8" w14:textId="789B994D" w:rsidR="0058302E" w:rsidRDefault="0058302E" w:rsidP="00C911B6">
      <w:pPr>
        <w:spacing w:line="480" w:lineRule="auto"/>
      </w:pPr>
    </w:p>
    <w:p w14:paraId="29B91794" w14:textId="770A65DD" w:rsidR="00187B28" w:rsidRDefault="004E3472" w:rsidP="00C911B6">
      <w:pPr>
        <w:spacing w:line="480" w:lineRule="auto"/>
      </w:pPr>
      <w:r>
        <w:lastRenderedPageBreak/>
        <w:t>I</w:t>
      </w:r>
      <w:r w:rsidRPr="0048559C">
        <w:t xml:space="preserve">ntersectional </w:t>
      </w:r>
      <w:r>
        <w:t xml:space="preserve">and vulnerability </w:t>
      </w:r>
      <w:r w:rsidRPr="0048559C">
        <w:t xml:space="preserve">elements highlight how being a both woman and </w:t>
      </w:r>
      <w:r w:rsidR="00ED3057">
        <w:t xml:space="preserve">immigrant </w:t>
      </w:r>
      <w:r w:rsidRPr="0048559C">
        <w:t xml:space="preserve">subject to Appendix EU of the Immigration Rules is more oppressive for </w:t>
      </w:r>
      <w:r w:rsidR="009E5348">
        <w:t xml:space="preserve">immigrant </w:t>
      </w:r>
      <w:r w:rsidRPr="0048559C">
        <w:t xml:space="preserve">women because </w:t>
      </w:r>
      <w:r w:rsidR="009E5348">
        <w:t xml:space="preserve">of how the legal process </w:t>
      </w:r>
      <w:r w:rsidR="00ED3057">
        <w:t>specifically affects them</w:t>
      </w:r>
      <w:r w:rsidRPr="0048559C">
        <w:t>.</w:t>
      </w:r>
      <w:r w:rsidR="003E46BC">
        <w:t xml:space="preserve"> </w:t>
      </w:r>
      <w:r w:rsidR="00ED3057">
        <w:t>Firstly, v</w:t>
      </w:r>
      <w:r w:rsidR="009E5348">
        <w:t xml:space="preserve">ictims </w:t>
      </w:r>
      <w:r w:rsidR="003E46BC">
        <w:t xml:space="preserve">of VAWG, by </w:t>
      </w:r>
      <w:r w:rsidR="009E5348">
        <w:t xml:space="preserve">their </w:t>
      </w:r>
      <w:r w:rsidR="003E46BC">
        <w:t xml:space="preserve">very definition, </w:t>
      </w:r>
      <w:r w:rsidR="00ED3057">
        <w:t>are</w:t>
      </w:r>
      <w:r w:rsidR="009E5348">
        <w:t xml:space="preserve"> </w:t>
      </w:r>
      <w:r w:rsidR="003E46BC">
        <w:t>vulnerable, and formal extension of eligibility to these women has not translated to their protection, or substantive equality</w:t>
      </w:r>
      <w:r w:rsidR="006C196D">
        <w:t>, but actually indirectly acts to entrench them in an abusive situation</w:t>
      </w:r>
      <w:r w:rsidR="003E46BC">
        <w:t xml:space="preserve">. </w:t>
      </w:r>
      <w:r w:rsidR="006C196D">
        <w:t xml:space="preserve">It is clear that vulnerable immigrant women’s </w:t>
      </w:r>
      <w:r w:rsidR="00391499">
        <w:t xml:space="preserve">intersectional </w:t>
      </w:r>
      <w:r w:rsidR="006C196D">
        <w:t xml:space="preserve">needs have been overlooked with the </w:t>
      </w:r>
      <w:r w:rsidR="003E46BC">
        <w:t>simple fact that</w:t>
      </w:r>
      <w:r w:rsidR="006C196D">
        <w:t xml:space="preserve"> they must</w:t>
      </w:r>
      <w:r w:rsidR="003E46BC">
        <w:t xml:space="preserve"> prov</w:t>
      </w:r>
      <w:r w:rsidR="006C196D">
        <w:t xml:space="preserve">e </w:t>
      </w:r>
      <w:r w:rsidR="003E46BC">
        <w:t>ID</w:t>
      </w:r>
      <w:r w:rsidR="006C196D">
        <w:t xml:space="preserve"> or </w:t>
      </w:r>
      <w:r w:rsidR="001A60A1">
        <w:t xml:space="preserve">have </w:t>
      </w:r>
      <w:r w:rsidR="003E46BC">
        <w:t xml:space="preserve">to </w:t>
      </w:r>
      <w:r w:rsidR="002F4A8E">
        <w:t>put in a</w:t>
      </w:r>
      <w:r w:rsidR="006C196D">
        <w:t xml:space="preserve"> (paper) </w:t>
      </w:r>
      <w:r w:rsidR="003E46BC">
        <w:t>appl</w:t>
      </w:r>
      <w:r w:rsidR="002F4A8E">
        <w:t>ication to the Scheme</w:t>
      </w:r>
      <w:r w:rsidR="00ED3057">
        <w:t>.</w:t>
      </w:r>
      <w:r w:rsidR="009E5348">
        <w:t xml:space="preserve"> </w:t>
      </w:r>
      <w:r w:rsidR="00ED3057">
        <w:t>Secondly, a</w:t>
      </w:r>
      <w:r w:rsidRPr="0048559C">
        <w:t>n NEFM</w:t>
      </w:r>
      <w:r w:rsidR="00AF3B20">
        <w:t xml:space="preserve"> </w:t>
      </w:r>
      <w:r w:rsidRPr="0048559C">
        <w:t xml:space="preserve">is in a more complicated situation as a non-EU national that has to apply to the EUSS based </w:t>
      </w:r>
      <w:r w:rsidR="003E46BC">
        <w:t>narrow eligibility criteria and a paper-based application</w:t>
      </w:r>
      <w:r w:rsidR="00391499">
        <w:t>,</w:t>
      </w:r>
      <w:r w:rsidR="00AF3B20">
        <w:t xml:space="preserve"> </w:t>
      </w:r>
      <w:r w:rsidR="00391499">
        <w:t xml:space="preserve">yet </w:t>
      </w:r>
      <w:r w:rsidR="00ED3057">
        <w:t>affects more women because of the legal definition of categories of NEFMs,</w:t>
      </w:r>
      <w:r w:rsidR="003876C3">
        <w:t xml:space="preserve"> especially </w:t>
      </w:r>
      <w:r w:rsidR="003876C3">
        <w:rPr>
          <w:i/>
          <w:iCs/>
        </w:rPr>
        <w:t>Ruiz Zambrano</w:t>
      </w:r>
      <w:r w:rsidR="003876C3">
        <w:t xml:space="preserve"> carers</w:t>
      </w:r>
      <w:r w:rsidR="00ED3057">
        <w:t xml:space="preserve"> </w:t>
      </w:r>
      <w:r w:rsidR="00D40C7E">
        <w:t xml:space="preserve">of EU dependents, sometimes even victims of VAWG as well. </w:t>
      </w:r>
      <w:r w:rsidRPr="0048559C">
        <w:t xml:space="preserve">In this manner, they </w:t>
      </w:r>
      <w:r w:rsidR="00AF3B20">
        <w:t xml:space="preserve">are </w:t>
      </w:r>
      <w:r w:rsidRPr="0048559C">
        <w:t xml:space="preserve">disadvantaged as compared to </w:t>
      </w:r>
      <w:r w:rsidR="00D40C7E">
        <w:t xml:space="preserve">both </w:t>
      </w:r>
      <w:r w:rsidRPr="0048559C">
        <w:t>EU citizen</w:t>
      </w:r>
      <w:r w:rsidR="00D40C7E">
        <w:t>s</w:t>
      </w:r>
      <w:r w:rsidRPr="0048559C">
        <w:t xml:space="preserve"> applying to the Scheme</w:t>
      </w:r>
      <w:r w:rsidR="00D40C7E">
        <w:t xml:space="preserve"> and as well as </w:t>
      </w:r>
      <w:r w:rsidR="00AF3B20">
        <w:t xml:space="preserve">male </w:t>
      </w:r>
      <w:r w:rsidR="00D40C7E">
        <w:t>NEFMs.</w:t>
      </w:r>
      <w:r w:rsidR="003E46BC">
        <w:t xml:space="preserve"> </w:t>
      </w:r>
      <w:r w:rsidRPr="0048559C">
        <w:t xml:space="preserve">This puts </w:t>
      </w:r>
      <w:r w:rsidR="00D40C7E">
        <w:t xml:space="preserve">these </w:t>
      </w:r>
      <w:r w:rsidR="00486D65">
        <w:t xml:space="preserve">immigrant </w:t>
      </w:r>
      <w:r w:rsidR="00D40C7E">
        <w:t xml:space="preserve">women </w:t>
      </w:r>
      <w:r w:rsidRPr="0048559C">
        <w:t>firmly outside the mainstream</w:t>
      </w:r>
      <w:r w:rsidR="00486D65">
        <w:t xml:space="preserve">, a situation </w:t>
      </w:r>
      <w:r w:rsidRPr="0048559C">
        <w:t>the law has failed to remedy</w:t>
      </w:r>
      <w:r w:rsidR="00D40C7E">
        <w:t>,</w:t>
      </w:r>
      <w:r w:rsidRPr="0048559C">
        <w:t xml:space="preserve"> and has instead </w:t>
      </w:r>
      <w:r w:rsidR="00D40C7E">
        <w:t>exacerbated</w:t>
      </w:r>
      <w:r w:rsidRPr="0048559C">
        <w:t>.</w:t>
      </w:r>
      <w:r w:rsidR="00C622C2">
        <w:t xml:space="preserve"> </w:t>
      </w:r>
      <w:r w:rsidR="00864743" w:rsidRPr="00387DFE">
        <w:t>T</w:t>
      </w:r>
      <w:r w:rsidR="00027BD8" w:rsidRPr="00387DFE">
        <w:t xml:space="preserve">he paper considered it most appropriate to </w:t>
      </w:r>
      <w:r w:rsidR="009F15F0" w:rsidRPr="00387DFE">
        <w:t>analyse</w:t>
      </w:r>
      <w:r w:rsidR="00027BD8" w:rsidRPr="00387DFE">
        <w:t xml:space="preserve"> the specific experiences of the two case studies in order to highlight how both groups may experience the EUSS, thereby bringing to attention how the EUSS process itself is adding to the vulnerability of these parties</w:t>
      </w:r>
      <w:r w:rsidR="003876C3" w:rsidRPr="00387DFE">
        <w:t>, rather than eliminating it</w:t>
      </w:r>
      <w:r w:rsidR="00027BD8" w:rsidRPr="00387DFE">
        <w:t>.</w:t>
      </w:r>
      <w:r w:rsidR="00864743" w:rsidRPr="00387DFE">
        <w:t xml:space="preserve"> </w:t>
      </w:r>
      <w:r w:rsidR="00187B28">
        <w:t>W</w:t>
      </w:r>
      <w:r w:rsidR="001F6294" w:rsidRPr="00387DFE">
        <w:t>hilst a majority of applicants are successful, those who are unsuccess</w:t>
      </w:r>
      <w:r w:rsidR="008030D2" w:rsidRPr="00387DFE">
        <w:t>ful are the most vulnerable of society, and often women</w:t>
      </w:r>
      <w:r w:rsidR="00C37201" w:rsidRPr="00387DFE">
        <w:t>.</w:t>
      </w:r>
    </w:p>
    <w:p w14:paraId="43BB5072" w14:textId="040A0CD2" w:rsidR="00256932" w:rsidRDefault="00256932" w:rsidP="00C911B6">
      <w:pPr>
        <w:spacing w:line="480" w:lineRule="auto"/>
      </w:pPr>
    </w:p>
    <w:p w14:paraId="109A7AE1" w14:textId="4ED21C1C" w:rsidR="00256932" w:rsidRDefault="00256932" w:rsidP="00256932">
      <w:pPr>
        <w:spacing w:line="480" w:lineRule="auto"/>
        <w:rPr>
          <w:b/>
          <w:bCs/>
        </w:rPr>
      </w:pPr>
      <w:r>
        <w:rPr>
          <w:b/>
          <w:bCs/>
        </w:rPr>
        <w:t>References</w:t>
      </w:r>
    </w:p>
    <w:p w14:paraId="228F0C9B" w14:textId="77777777" w:rsidR="00161534" w:rsidRPr="00484693" w:rsidRDefault="00161534" w:rsidP="00161534">
      <w:pPr>
        <w:spacing w:line="480" w:lineRule="auto"/>
        <w:ind w:left="567" w:hanging="567"/>
      </w:pPr>
      <w:proofErr w:type="spellStart"/>
      <w:r w:rsidRPr="00484693">
        <w:t>Anitha</w:t>
      </w:r>
      <w:proofErr w:type="spellEnd"/>
      <w:r w:rsidRPr="00484693">
        <w:t xml:space="preserve"> S (2011) Legislating Gender Inequalities: The Nature and Patterns of Domestic Violence Experienced by South Asian Women With Insecure Immigration Status in the United Kingdom. Violence Against Women 17</w:t>
      </w:r>
      <w:r>
        <w:t>(10)</w:t>
      </w:r>
      <w:r w:rsidRPr="00484693">
        <w:t>: 1260.</w:t>
      </w:r>
    </w:p>
    <w:p w14:paraId="64E3620F" w14:textId="77777777" w:rsidR="00161534" w:rsidRPr="00434059" w:rsidRDefault="00161534" w:rsidP="00161534">
      <w:pPr>
        <w:spacing w:line="480" w:lineRule="auto"/>
        <w:ind w:left="567" w:hanging="567"/>
      </w:pPr>
      <w:r w:rsidRPr="00434059">
        <w:t>Barnard C and Costello F</w:t>
      </w:r>
      <w:r>
        <w:t xml:space="preserve"> (2021)</w:t>
      </w:r>
      <w:r w:rsidRPr="00434059">
        <w:t xml:space="preserve"> EU</w:t>
      </w:r>
      <w:r>
        <w:t xml:space="preserve">SS: paper applications to a digital scheme. </w:t>
      </w:r>
      <w:r w:rsidRPr="00434059">
        <w:t>UK in a Changing Europ</w:t>
      </w:r>
      <w:r>
        <w:t>e.</w:t>
      </w:r>
      <w:r w:rsidRPr="00434059">
        <w:t xml:space="preserve"> </w:t>
      </w:r>
      <w:r>
        <w:t xml:space="preserve">Available at: </w:t>
      </w:r>
      <w:r w:rsidRPr="00434059">
        <w:t xml:space="preserve">https://ukandeu.ac.uk/euss-paper-applications-to-a-digital-scheme/ </w:t>
      </w:r>
      <w:r>
        <w:t>(</w:t>
      </w:r>
      <w:r w:rsidRPr="00434059">
        <w:t>accessed</w:t>
      </w:r>
      <w:r>
        <w:t xml:space="preserve"> 11 June 2021).</w:t>
      </w:r>
    </w:p>
    <w:p w14:paraId="0235CBCB" w14:textId="77777777" w:rsidR="00161534" w:rsidRPr="00484693" w:rsidRDefault="00161534" w:rsidP="00161534">
      <w:pPr>
        <w:spacing w:line="480" w:lineRule="auto"/>
        <w:ind w:left="567" w:hanging="567"/>
      </w:pPr>
      <w:r w:rsidRPr="00484693">
        <w:t xml:space="preserve">Benn C (2020) EU Settlement Scheme Refusals and Other Outcomes: What does it mean? </w:t>
      </w:r>
      <w:proofErr w:type="spellStart"/>
      <w:r w:rsidRPr="00484693">
        <w:t>Seraphus</w:t>
      </w:r>
      <w:proofErr w:type="spellEnd"/>
      <w:r w:rsidRPr="00484693">
        <w:t>.  Available at: https://www.seraphus.co.uk/news/files/9236b9099a570fc8fdb79d29398e082e-24.php (accessed 1 November 2021).</w:t>
      </w:r>
    </w:p>
    <w:p w14:paraId="64D7E543" w14:textId="77777777" w:rsidR="00161534" w:rsidRPr="00484693" w:rsidRDefault="00161534" w:rsidP="00161534">
      <w:pPr>
        <w:spacing w:line="480" w:lineRule="auto"/>
        <w:ind w:left="567" w:hanging="567"/>
      </w:pPr>
      <w:r w:rsidRPr="00484693">
        <w:lastRenderedPageBreak/>
        <w:t xml:space="preserve">Burman E and </w:t>
      </w:r>
      <w:proofErr w:type="spellStart"/>
      <w:r w:rsidRPr="00484693">
        <w:t>Chantler</w:t>
      </w:r>
      <w:proofErr w:type="spellEnd"/>
      <w:r w:rsidRPr="00484693">
        <w:t xml:space="preserve"> K (2005) Domestic violence and </w:t>
      </w:r>
      <w:proofErr w:type="spellStart"/>
      <w:r w:rsidRPr="00484693">
        <w:t>minoritisation</w:t>
      </w:r>
      <w:proofErr w:type="spellEnd"/>
      <w:r w:rsidRPr="00484693">
        <w:t>: Legal and policy barriers facing minoritized women leaving violent relationships. International Journal of Law and Psychiatry 28</w:t>
      </w:r>
      <w:r>
        <w:t>(1)</w:t>
      </w:r>
      <w:r w:rsidRPr="00484693">
        <w:t>: 59-74.</w:t>
      </w:r>
    </w:p>
    <w:p w14:paraId="49833639" w14:textId="77777777" w:rsidR="00161534" w:rsidRPr="00484693" w:rsidRDefault="00161534" w:rsidP="00161534">
      <w:pPr>
        <w:spacing w:line="480" w:lineRule="auto"/>
        <w:ind w:left="567" w:hanging="567"/>
      </w:pPr>
      <w:r w:rsidRPr="00484693">
        <w:t xml:space="preserve">Burman E, </w:t>
      </w:r>
      <w:proofErr w:type="spellStart"/>
      <w:r w:rsidRPr="00484693">
        <w:t>Smailes</w:t>
      </w:r>
      <w:proofErr w:type="spellEnd"/>
      <w:r w:rsidRPr="00484693">
        <w:t xml:space="preserve"> SL and </w:t>
      </w:r>
      <w:proofErr w:type="spellStart"/>
      <w:r w:rsidRPr="00484693">
        <w:t>Chantler</w:t>
      </w:r>
      <w:proofErr w:type="spellEnd"/>
      <w:r w:rsidRPr="00484693">
        <w:t xml:space="preserve"> K (2004) ‘Culture’ as a barrier to service provision and delivery: domestic violence services for minoritized women. Critical Social Policy 24(3): 332-357.</w:t>
      </w:r>
    </w:p>
    <w:p w14:paraId="49C4155A" w14:textId="77777777" w:rsidR="00161534" w:rsidRPr="00484693" w:rsidRDefault="00161534" w:rsidP="00161534">
      <w:pPr>
        <w:spacing w:line="480" w:lineRule="auto"/>
        <w:ind w:left="567" w:hanging="567"/>
      </w:pPr>
      <w:proofErr w:type="spellStart"/>
      <w:r w:rsidRPr="00484693">
        <w:t>Carbado</w:t>
      </w:r>
      <w:proofErr w:type="spellEnd"/>
      <w:r w:rsidRPr="00484693">
        <w:t xml:space="preserve"> DW (2013) </w:t>
      </w:r>
      <w:proofErr w:type="spellStart"/>
      <w:r w:rsidRPr="00484693">
        <w:t>Colorblind</w:t>
      </w:r>
      <w:proofErr w:type="spellEnd"/>
      <w:r w:rsidRPr="00484693">
        <w:t xml:space="preserve"> Intersectionality. Signs: Journal of Women in Culture and Society 38(4): 811-845.</w:t>
      </w:r>
    </w:p>
    <w:p w14:paraId="02740613" w14:textId="77777777" w:rsidR="00161534" w:rsidRPr="00484693" w:rsidRDefault="00161534" w:rsidP="00161534">
      <w:pPr>
        <w:spacing w:line="480" w:lineRule="auto"/>
        <w:ind w:left="567" w:hanging="567"/>
      </w:pPr>
      <w:r w:rsidRPr="00484693">
        <w:t xml:space="preserve">Crenshaw K (1989) Demarginalizing the intersection of race and sex: A black feminist critique of antidiscrimination doctrine, feminist theory and antiracist politics. University of Chicago Legal Forum. </w:t>
      </w:r>
      <w:r>
        <w:t xml:space="preserve">1989: </w:t>
      </w:r>
      <w:r w:rsidRPr="00484693">
        <w:t>139.</w:t>
      </w:r>
    </w:p>
    <w:p w14:paraId="3819BB5A" w14:textId="77777777" w:rsidR="00161534" w:rsidRPr="00484693" w:rsidRDefault="00161534" w:rsidP="00161534">
      <w:pPr>
        <w:spacing w:line="480" w:lineRule="auto"/>
        <w:ind w:left="567" w:hanging="567"/>
      </w:pPr>
      <w:r w:rsidRPr="00484693">
        <w:t>Crenshaw K (199</w:t>
      </w:r>
      <w:r>
        <w:t>1</w:t>
      </w:r>
      <w:r w:rsidRPr="00484693">
        <w:t xml:space="preserve">) Mapping the margins: Intersectionality, identity politics, and violence against women of </w:t>
      </w:r>
      <w:proofErr w:type="spellStart"/>
      <w:r w:rsidRPr="00484693">
        <w:t>color</w:t>
      </w:r>
      <w:proofErr w:type="spellEnd"/>
      <w:r w:rsidRPr="00484693">
        <w:t>. Stan. L. Rev. 43</w:t>
      </w:r>
      <w:r>
        <w:t>(6)</w:t>
      </w:r>
      <w:r w:rsidRPr="00484693">
        <w:t>: 1241.</w:t>
      </w:r>
    </w:p>
    <w:p w14:paraId="4E354B3B" w14:textId="77777777" w:rsidR="00161534" w:rsidRPr="00484693" w:rsidRDefault="00161534" w:rsidP="00161534">
      <w:pPr>
        <w:spacing w:line="480" w:lineRule="auto"/>
        <w:ind w:left="567" w:hanging="567"/>
      </w:pPr>
      <w:proofErr w:type="spellStart"/>
      <w:r w:rsidRPr="00484693">
        <w:t>Dauvergne</w:t>
      </w:r>
      <w:proofErr w:type="spellEnd"/>
      <w:r w:rsidRPr="00484693">
        <w:t xml:space="preserve"> C (2007) Citizenship with a Vengeance. Theoretical inquiries in law 8(2): 489-508.</w:t>
      </w:r>
    </w:p>
    <w:p w14:paraId="6D93F79D" w14:textId="77777777" w:rsidR="00161534" w:rsidRPr="00484693" w:rsidRDefault="00161534" w:rsidP="00161534">
      <w:pPr>
        <w:spacing w:line="480" w:lineRule="auto"/>
        <w:ind w:left="567" w:hanging="567"/>
      </w:pPr>
      <w:r w:rsidRPr="00484693">
        <w:t>El-</w:t>
      </w:r>
      <w:proofErr w:type="spellStart"/>
      <w:r w:rsidRPr="00484693">
        <w:t>Enany</w:t>
      </w:r>
      <w:proofErr w:type="spellEnd"/>
      <w:r w:rsidRPr="00484693">
        <w:t xml:space="preserve"> N (2020) (B)ordering Britain: Law, Race and Empire. Manchester: Manchester University Press.</w:t>
      </w:r>
    </w:p>
    <w:p w14:paraId="608F326D" w14:textId="77777777" w:rsidR="00161534" w:rsidRPr="00484693" w:rsidRDefault="00161534" w:rsidP="00161534">
      <w:pPr>
        <w:spacing w:line="480" w:lineRule="auto"/>
        <w:ind w:left="567" w:hanging="567"/>
      </w:pPr>
      <w:proofErr w:type="spellStart"/>
      <w:r w:rsidRPr="00484693">
        <w:t>Erez</w:t>
      </w:r>
      <w:proofErr w:type="spellEnd"/>
      <w:r w:rsidRPr="00484693">
        <w:t xml:space="preserve"> E, Adelman M and Gregory C (2009) Intersections of immigration and domestic violence: Voices of battered immigrant women. Feminist criminology 4(1): 32-56.</w:t>
      </w:r>
    </w:p>
    <w:p w14:paraId="708E6B1E" w14:textId="77777777" w:rsidR="00161534" w:rsidRPr="00484693" w:rsidRDefault="00161534" w:rsidP="00161534">
      <w:pPr>
        <w:spacing w:line="480" w:lineRule="auto"/>
        <w:ind w:left="567" w:hanging="567"/>
      </w:pPr>
      <w:r w:rsidRPr="00484693">
        <w:t>Fineman MA (2008) The vulnerable subject: Anchoring equality in the human condition. Yale Journal of Law &amp; Feminism 20</w:t>
      </w:r>
      <w:r>
        <w:t>(1)</w:t>
      </w:r>
      <w:r w:rsidRPr="00484693">
        <w:t xml:space="preserve">: </w:t>
      </w:r>
      <w:r>
        <w:t>8</w:t>
      </w:r>
      <w:r w:rsidRPr="00484693">
        <w:t>.</w:t>
      </w:r>
    </w:p>
    <w:p w14:paraId="22B050D7" w14:textId="77777777" w:rsidR="00161534" w:rsidRPr="00484693" w:rsidRDefault="00161534" w:rsidP="00161534">
      <w:pPr>
        <w:spacing w:line="480" w:lineRule="auto"/>
        <w:ind w:left="567" w:hanging="567"/>
      </w:pPr>
      <w:r w:rsidRPr="00484693">
        <w:t>Fineman MA (2010) The vulnerable subject and the responsive state. Emory Law Journal 60</w:t>
      </w:r>
      <w:r>
        <w:t>(2)</w:t>
      </w:r>
      <w:r w:rsidRPr="00484693">
        <w:t>: 251.</w:t>
      </w:r>
    </w:p>
    <w:p w14:paraId="611A1428" w14:textId="77777777" w:rsidR="00161534" w:rsidRPr="00484693" w:rsidRDefault="00161534" w:rsidP="00161534">
      <w:pPr>
        <w:spacing w:line="480" w:lineRule="auto"/>
        <w:ind w:left="567" w:hanging="567"/>
      </w:pPr>
      <w:proofErr w:type="spellStart"/>
      <w:r w:rsidRPr="00484693">
        <w:t>Graca</w:t>
      </w:r>
      <w:proofErr w:type="spellEnd"/>
      <w:r w:rsidRPr="00484693">
        <w:t xml:space="preserve"> S (2017) Domestic violence policy and legislation in the UK: a discussion of immigrant women’s vulnerabilities. European journal of current legal issues 22(1): 1.</w:t>
      </w:r>
    </w:p>
    <w:p w14:paraId="40842A62" w14:textId="77777777" w:rsidR="00161534" w:rsidRPr="00484693" w:rsidRDefault="00161534" w:rsidP="00161534">
      <w:pPr>
        <w:spacing w:line="480" w:lineRule="auto"/>
        <w:ind w:left="567" w:hanging="567"/>
      </w:pPr>
      <w:proofErr w:type="spellStart"/>
      <w:r w:rsidRPr="00484693">
        <w:t>Guruge</w:t>
      </w:r>
      <w:proofErr w:type="spellEnd"/>
      <w:r w:rsidRPr="00484693">
        <w:t xml:space="preserve"> S and </w:t>
      </w:r>
      <w:proofErr w:type="spellStart"/>
      <w:r w:rsidRPr="00484693">
        <w:t>Khanlou</w:t>
      </w:r>
      <w:proofErr w:type="spellEnd"/>
      <w:r w:rsidRPr="00484693">
        <w:t xml:space="preserve"> N (2004) </w:t>
      </w:r>
      <w:proofErr w:type="spellStart"/>
      <w:r w:rsidRPr="00484693">
        <w:t>Intersectionalities</w:t>
      </w:r>
      <w:proofErr w:type="spellEnd"/>
      <w:r w:rsidRPr="00484693">
        <w:t xml:space="preserve"> of influence: researching the health of immigrant and refugee women. Canadian Journal of Nursing Research 36(3): 32-47.</w:t>
      </w:r>
    </w:p>
    <w:p w14:paraId="295AC200" w14:textId="77777777" w:rsidR="00161534" w:rsidRPr="00484693" w:rsidRDefault="00161534" w:rsidP="00161534">
      <w:pPr>
        <w:autoSpaceDE w:val="0"/>
        <w:autoSpaceDN w:val="0"/>
        <w:adjustRightInd w:val="0"/>
        <w:spacing w:line="480" w:lineRule="auto"/>
        <w:ind w:left="567" w:right="-720" w:hanging="567"/>
        <w:jc w:val="left"/>
        <w:rPr>
          <w:rFonts w:eastAsia="Calibri"/>
        </w:rPr>
      </w:pPr>
      <w:r w:rsidRPr="00484693">
        <w:rPr>
          <w:rFonts w:eastAsia="Calibri"/>
        </w:rPr>
        <w:t>Home Affairs Committee</w:t>
      </w:r>
      <w:r>
        <w:rPr>
          <w:rFonts w:eastAsia="Calibri"/>
        </w:rPr>
        <w:t xml:space="preserve"> (2019) </w:t>
      </w:r>
      <w:r w:rsidRPr="00484693">
        <w:rPr>
          <w:rFonts w:eastAsia="Calibri"/>
        </w:rPr>
        <w:t>EU Settlement Scheme</w:t>
      </w:r>
      <w:r>
        <w:rPr>
          <w:rFonts w:eastAsia="Calibri"/>
        </w:rPr>
        <w:t xml:space="preserve">. Report for House of Commons, </w:t>
      </w:r>
      <w:r w:rsidRPr="00484693">
        <w:rPr>
          <w:rFonts w:eastAsia="Calibri"/>
        </w:rPr>
        <w:t>HC 2017-19, 1945-I</w:t>
      </w:r>
      <w:r>
        <w:rPr>
          <w:rFonts w:eastAsia="Calibri"/>
        </w:rPr>
        <w:t>, 14 May.</w:t>
      </w:r>
    </w:p>
    <w:p w14:paraId="19D15005" w14:textId="77777777" w:rsidR="00161534" w:rsidRPr="00484693" w:rsidRDefault="00161534" w:rsidP="00161534">
      <w:pPr>
        <w:spacing w:line="480" w:lineRule="auto"/>
        <w:ind w:left="567" w:hanging="567"/>
      </w:pPr>
      <w:r w:rsidRPr="00484693">
        <w:lastRenderedPageBreak/>
        <w:t>Home Office (2018) EU Settlement Scheme: Statement of Intent. Available at: https://assets.publishing.service.gov.uk/government/uploads/system/uploads/attachment_data/file/718237/EU_Settlement_Scheme_SOI_June_2018.pdf (accessed 14 December 2020).</w:t>
      </w:r>
    </w:p>
    <w:p w14:paraId="0DF79760" w14:textId="77777777" w:rsidR="00161534" w:rsidRPr="00484693" w:rsidRDefault="00161534" w:rsidP="00161534">
      <w:pPr>
        <w:spacing w:line="480" w:lineRule="auto"/>
        <w:ind w:left="567" w:hanging="567"/>
      </w:pPr>
      <w:r w:rsidRPr="00484693">
        <w:t>Home Office (2019) EU Settlement Scheme: derivative right to reside (</w:t>
      </w:r>
      <w:r w:rsidRPr="00484693">
        <w:rPr>
          <w:i/>
          <w:iCs/>
        </w:rPr>
        <w:t>Chen and Ibrahim</w:t>
      </w:r>
      <w:r w:rsidRPr="00484693">
        <w:t>/</w:t>
      </w:r>
      <w:r w:rsidRPr="00484693">
        <w:rPr>
          <w:i/>
          <w:iCs/>
        </w:rPr>
        <w:t>Teixeira</w:t>
      </w:r>
      <w:r w:rsidRPr="00484693">
        <w:t xml:space="preserve"> cases). Report, </w:t>
      </w:r>
      <w:r>
        <w:t xml:space="preserve">18 </w:t>
      </w:r>
      <w:r w:rsidRPr="00484693">
        <w:t>November.</w:t>
      </w:r>
    </w:p>
    <w:p w14:paraId="6E770342" w14:textId="77777777" w:rsidR="00161534" w:rsidRDefault="00161534" w:rsidP="00161534">
      <w:pPr>
        <w:spacing w:line="480" w:lineRule="auto"/>
        <w:ind w:left="567" w:hanging="567"/>
      </w:pPr>
      <w:r w:rsidRPr="0080621E">
        <w:rPr>
          <w:noProof/>
        </w:rPr>
        <w:t>Home Office</w:t>
      </w:r>
      <w:r>
        <w:rPr>
          <w:noProof/>
        </w:rPr>
        <w:t xml:space="preserve"> (2020)</w:t>
      </w:r>
      <w:r w:rsidRPr="0080621E">
        <w:rPr>
          <w:noProof/>
        </w:rPr>
        <w:t xml:space="preserve"> More than 4 million applications to the EU Settlement Scheme</w:t>
      </w:r>
      <w:r>
        <w:rPr>
          <w:noProof/>
        </w:rPr>
        <w:t xml:space="preserve">. Available at: </w:t>
      </w:r>
      <w:r w:rsidRPr="0080621E">
        <w:rPr>
          <w:noProof/>
        </w:rPr>
        <w:t xml:space="preserve">https://www.gov.uk/government/news/more-than-4-million-applications-to-the-eu-settlement-scheme </w:t>
      </w:r>
      <w:r>
        <w:rPr>
          <w:noProof/>
        </w:rPr>
        <w:t>(</w:t>
      </w:r>
      <w:r w:rsidRPr="0080621E">
        <w:rPr>
          <w:noProof/>
        </w:rPr>
        <w:t>accessed 8 December 2020</w:t>
      </w:r>
      <w:r>
        <w:rPr>
          <w:noProof/>
        </w:rPr>
        <w:t>).</w:t>
      </w:r>
    </w:p>
    <w:p w14:paraId="66C4DC75" w14:textId="77777777" w:rsidR="00161534" w:rsidRPr="00484693" w:rsidRDefault="00161534" w:rsidP="00161534">
      <w:pPr>
        <w:spacing w:line="480" w:lineRule="auto"/>
        <w:ind w:left="567" w:hanging="567"/>
      </w:pPr>
      <w:r w:rsidRPr="00484693">
        <w:t>Home Office (2020</w:t>
      </w:r>
      <w:r>
        <w:t>b</w:t>
      </w:r>
      <w:r w:rsidRPr="00484693">
        <w:t>), The UK's Points-Based Immigration System: Policy Statement. Report for HM Government, UK. CP 220, February.</w:t>
      </w:r>
    </w:p>
    <w:p w14:paraId="294A5A7C" w14:textId="77777777" w:rsidR="00161534" w:rsidRPr="00484693" w:rsidRDefault="00161534" w:rsidP="00161534">
      <w:pPr>
        <w:spacing w:line="480" w:lineRule="auto"/>
        <w:ind w:left="567" w:hanging="567"/>
      </w:pPr>
      <w:r w:rsidRPr="00484693">
        <w:t>Home Office (2020</w:t>
      </w:r>
      <w:r>
        <w:t>c</w:t>
      </w:r>
      <w:r w:rsidRPr="00484693">
        <w:t>) EU Settlement Scheme quarterly statistics, June 2020. Available at: https://www.gov.uk/government/statistics/eu-settlement-scheme-quarterly-statistics-june-2021 (accessed 15 October 2021).</w:t>
      </w:r>
    </w:p>
    <w:p w14:paraId="247E02B1" w14:textId="77777777" w:rsidR="00161534" w:rsidRPr="00484693" w:rsidRDefault="00161534" w:rsidP="00161534">
      <w:pPr>
        <w:spacing w:line="480" w:lineRule="auto"/>
        <w:ind w:left="567" w:hanging="567"/>
      </w:pPr>
      <w:r w:rsidRPr="00484693">
        <w:t>Home Office (2020</w:t>
      </w:r>
      <w:r>
        <w:t>d</w:t>
      </w:r>
      <w:r w:rsidRPr="00484693">
        <w:t>) Statement of changes in Immigration Rules. Report for HM Government, UK. CP 232, May.</w:t>
      </w:r>
    </w:p>
    <w:p w14:paraId="113A0A42" w14:textId="77777777" w:rsidR="00161534" w:rsidRPr="00484693" w:rsidRDefault="00161534" w:rsidP="00161534">
      <w:pPr>
        <w:spacing w:line="480" w:lineRule="auto"/>
        <w:ind w:left="567" w:hanging="567"/>
      </w:pPr>
      <w:r w:rsidRPr="00484693">
        <w:t>Home Office (2020</w:t>
      </w:r>
      <w:r>
        <w:t>e</w:t>
      </w:r>
      <w:r w:rsidRPr="00484693">
        <w:t>) Home Office immigration and nationality fees: 1 December 2020. Available at: https://www.gov.uk/government/publications/visa-regulations-revised-table/home-office-immigration-and-nationality-fees-1-december-2020 (accessed 14 December 2020).</w:t>
      </w:r>
    </w:p>
    <w:p w14:paraId="7AA8442A" w14:textId="77777777" w:rsidR="00161534" w:rsidRPr="00484693" w:rsidRDefault="00161534" w:rsidP="00161534">
      <w:pPr>
        <w:spacing w:line="480" w:lineRule="auto"/>
        <w:ind w:left="567" w:hanging="567"/>
      </w:pPr>
      <w:r w:rsidRPr="00484693">
        <w:t>Home Office (2021a) EU Settlement Scheme statistics. Available at: https://www.gov.uk/government/collections/eu-settlement-scheme-statistics (accessed 14 October 2021).</w:t>
      </w:r>
    </w:p>
    <w:p w14:paraId="244BF652" w14:textId="77777777" w:rsidR="00161534" w:rsidRPr="00484693" w:rsidRDefault="00161534" w:rsidP="00161534">
      <w:pPr>
        <w:spacing w:line="480" w:lineRule="auto"/>
        <w:ind w:left="567" w:hanging="567"/>
      </w:pPr>
      <w:r w:rsidRPr="00484693">
        <w:t>Home Office (2021b) EU Settlement Scheme quarterly statistics, June 2021. Available at: https://www.gov.uk/government/statistics/eu-settlement-scheme-quarterly-statistics-june-2021&gt; accessed 14 October 2021.</w:t>
      </w:r>
    </w:p>
    <w:p w14:paraId="11357365" w14:textId="77777777" w:rsidR="00161534" w:rsidRPr="00484693" w:rsidRDefault="00161534" w:rsidP="00161534">
      <w:pPr>
        <w:spacing w:line="480" w:lineRule="auto"/>
        <w:ind w:left="567" w:hanging="567"/>
      </w:pPr>
      <w:r w:rsidRPr="00484693">
        <w:t>Home Office (2021c) Apply to the EU Settlement Scheme by post. Available at: https://www.gov.uk/government/publications/apply-to-the-eu-settlement-scheme-by-post-or-email (accessed 15 October 2021).</w:t>
      </w:r>
    </w:p>
    <w:p w14:paraId="4A98A7BB" w14:textId="77777777" w:rsidR="00161534" w:rsidRPr="00484693" w:rsidRDefault="00161534" w:rsidP="00161534">
      <w:pPr>
        <w:spacing w:line="480" w:lineRule="auto"/>
        <w:ind w:left="567" w:hanging="567"/>
      </w:pPr>
      <w:r w:rsidRPr="00484693">
        <w:lastRenderedPageBreak/>
        <w:t>Home Office (2021d) EU Settlement Scheme quarterly statistics, March 2021 Available at: https://www.gov.uk/government/statistics/eu-settlement-scheme-quarterly-statistics-march-2021 (accessed 29 July 2021).</w:t>
      </w:r>
    </w:p>
    <w:p w14:paraId="5D679A0E" w14:textId="77777777" w:rsidR="00161534" w:rsidRPr="00484693" w:rsidRDefault="00161534" w:rsidP="00161534">
      <w:pPr>
        <w:spacing w:line="480" w:lineRule="auto"/>
        <w:ind w:left="567" w:hanging="567"/>
      </w:pPr>
      <w:proofErr w:type="spellStart"/>
      <w:r w:rsidRPr="00484693">
        <w:t>Joppke</w:t>
      </w:r>
      <w:proofErr w:type="spellEnd"/>
      <w:r w:rsidRPr="00484693">
        <w:t xml:space="preserve"> C (1998) Why liberal states accept unwanted immigration. World Politics 50(2): 266-293.</w:t>
      </w:r>
    </w:p>
    <w:p w14:paraId="6A8E0537" w14:textId="77777777" w:rsidR="00161534" w:rsidRPr="00484693" w:rsidRDefault="00161534" w:rsidP="00161534">
      <w:pPr>
        <w:spacing w:line="480" w:lineRule="auto"/>
        <w:ind w:left="567" w:hanging="567"/>
      </w:pPr>
      <w:proofErr w:type="spellStart"/>
      <w:r w:rsidRPr="00484693">
        <w:t>Kasturirangan</w:t>
      </w:r>
      <w:proofErr w:type="spellEnd"/>
      <w:r w:rsidRPr="00484693">
        <w:t xml:space="preserve"> A, Krishnan S and </w:t>
      </w:r>
      <w:proofErr w:type="spellStart"/>
      <w:r w:rsidRPr="00484693">
        <w:t>Riger</w:t>
      </w:r>
      <w:proofErr w:type="spellEnd"/>
      <w:r w:rsidRPr="00484693">
        <w:t xml:space="preserve"> S (2004) The impact of culture and minority status on women’s experience of domestic violence. Trauma, Violence, &amp; Abuse 5(4): 318-332.</w:t>
      </w:r>
    </w:p>
    <w:p w14:paraId="656B1207" w14:textId="77777777" w:rsidR="00161534" w:rsidRPr="00484693" w:rsidRDefault="00161534" w:rsidP="00161534">
      <w:pPr>
        <w:spacing w:line="480" w:lineRule="auto"/>
        <w:ind w:left="567" w:hanging="567"/>
      </w:pPr>
      <w:proofErr w:type="spellStart"/>
      <w:r w:rsidRPr="00484693">
        <w:t>Kirkup</w:t>
      </w:r>
      <w:proofErr w:type="spellEnd"/>
      <w:r w:rsidRPr="00484693">
        <w:t xml:space="preserve"> J and </w:t>
      </w:r>
      <w:proofErr w:type="spellStart"/>
      <w:r w:rsidRPr="00484693">
        <w:t>Winnett</w:t>
      </w:r>
      <w:proofErr w:type="spellEnd"/>
      <w:r w:rsidRPr="00484693">
        <w:t xml:space="preserve"> R (2012) Theresa May interview: 'We’re going to give illegal migrants a really hostile reception’. The Telegraph, 25 May.</w:t>
      </w:r>
    </w:p>
    <w:p w14:paraId="579F8AD5" w14:textId="77777777" w:rsidR="00161534" w:rsidRPr="00484693" w:rsidRDefault="00161534" w:rsidP="00161534">
      <w:pPr>
        <w:spacing w:line="480" w:lineRule="auto"/>
        <w:ind w:left="567" w:hanging="567"/>
      </w:pPr>
      <w:proofErr w:type="spellStart"/>
      <w:r w:rsidRPr="00484693">
        <w:t>Kofman</w:t>
      </w:r>
      <w:proofErr w:type="spellEnd"/>
      <w:r w:rsidRPr="00484693">
        <w:t xml:space="preserve"> E (1999) Female ‘birds of passage’ a decade later: Gender and Immigration in the European Union. International migration review 33(2): 269-299.</w:t>
      </w:r>
    </w:p>
    <w:p w14:paraId="1E9DE3A0" w14:textId="77777777" w:rsidR="00161534" w:rsidRPr="00484693" w:rsidRDefault="00161534" w:rsidP="00161534">
      <w:pPr>
        <w:spacing w:line="480" w:lineRule="auto"/>
        <w:ind w:left="567" w:hanging="567"/>
      </w:pPr>
      <w:r w:rsidRPr="00484693">
        <w:t>Marshall TH (1950) Citizenship and Social Class, and other essays. Cambridge: Cambridge University Press.</w:t>
      </w:r>
    </w:p>
    <w:p w14:paraId="2A32273A" w14:textId="77777777" w:rsidR="00161534" w:rsidRPr="00484693" w:rsidRDefault="00161534" w:rsidP="00161534">
      <w:pPr>
        <w:spacing w:line="480" w:lineRule="auto"/>
        <w:ind w:left="567" w:hanging="567"/>
      </w:pPr>
      <w:r w:rsidRPr="00484693">
        <w:t>May T (2017) The government's negotiating objectives for exiting the EU: PM speech Available at: https://www.gov.uk/government/speeches/the-governments-negotiating-objectives-for-exiting-the-eu-pm-speech (accessed 8 December 2020).</w:t>
      </w:r>
    </w:p>
    <w:p w14:paraId="61179517" w14:textId="77777777" w:rsidR="00161534" w:rsidRPr="00484693" w:rsidRDefault="00161534" w:rsidP="00161534">
      <w:pPr>
        <w:spacing w:line="480" w:lineRule="auto"/>
        <w:ind w:left="567" w:hanging="567"/>
      </w:pPr>
      <w:r w:rsidRPr="00484693">
        <w:t xml:space="preserve">McKinney C (27 August 2020) EU Settlement Scheme rejects majority of Zambrano carers. </w:t>
      </w:r>
      <w:r>
        <w:t xml:space="preserve">Free Movement. </w:t>
      </w:r>
      <w:r w:rsidRPr="00484693">
        <w:t>Available at: https://www.freemovement.org.uk/eu-settlement-scheme-rejects-majority-of-zambrano-carers/ (accessed 14 December 2020).</w:t>
      </w:r>
    </w:p>
    <w:p w14:paraId="60BF75F6" w14:textId="77777777" w:rsidR="00161534" w:rsidRPr="00484693" w:rsidRDefault="00161534" w:rsidP="00161534">
      <w:pPr>
        <w:spacing w:line="480" w:lineRule="auto"/>
        <w:ind w:left="567" w:hanging="567"/>
      </w:pPr>
      <w:proofErr w:type="spellStart"/>
      <w:r w:rsidRPr="00484693">
        <w:t>Menjívar</w:t>
      </w:r>
      <w:proofErr w:type="spellEnd"/>
      <w:r w:rsidRPr="00484693">
        <w:t xml:space="preserve"> C and Salcido O (2002) Immigrant women and domestic violence: Common experiences in different countries. Gender &amp; </w:t>
      </w:r>
      <w:r>
        <w:t>S</w:t>
      </w:r>
      <w:r w:rsidRPr="00484693">
        <w:t>ociety 16(6): 898-920.</w:t>
      </w:r>
    </w:p>
    <w:p w14:paraId="2C1D39B5" w14:textId="77777777" w:rsidR="00161534" w:rsidRPr="00484693" w:rsidRDefault="00161534" w:rsidP="00161534">
      <w:pPr>
        <w:spacing w:line="480" w:lineRule="auto"/>
        <w:ind w:left="567" w:hanging="567"/>
      </w:pPr>
      <w:r w:rsidRPr="00484693">
        <w:t xml:space="preserve">Miller D (2000) Citizenship and National Identity. </w:t>
      </w:r>
      <w:r>
        <w:t xml:space="preserve">Cambridge: </w:t>
      </w:r>
      <w:r w:rsidRPr="00484693">
        <w:t>Polity Press.</w:t>
      </w:r>
    </w:p>
    <w:p w14:paraId="783B9856" w14:textId="77777777" w:rsidR="00161534" w:rsidRPr="00484693" w:rsidRDefault="00161534" w:rsidP="00161534">
      <w:pPr>
        <w:spacing w:line="480" w:lineRule="auto"/>
        <w:ind w:left="567" w:hanging="567"/>
      </w:pPr>
      <w:r w:rsidRPr="00484693">
        <w:t>Miller Westoby N (2021) Unpaid care work and gender equality in EU Law: Evaluating EU Social Policy and EU Free Movement of Persons Law. PhD Thesis, University of Glasgow, UK.</w:t>
      </w:r>
    </w:p>
    <w:p w14:paraId="2150154D" w14:textId="77777777" w:rsidR="00161534" w:rsidRPr="00484693" w:rsidRDefault="00161534" w:rsidP="00161534">
      <w:pPr>
        <w:spacing w:line="480" w:lineRule="auto"/>
        <w:ind w:left="567" w:hanging="567"/>
      </w:pPr>
      <w:r w:rsidRPr="00484693">
        <w:t xml:space="preserve">Nic </w:t>
      </w:r>
      <w:proofErr w:type="spellStart"/>
      <w:r w:rsidRPr="00484693">
        <w:t>Shuibhne</w:t>
      </w:r>
      <w:proofErr w:type="spellEnd"/>
      <w:r w:rsidRPr="00484693">
        <w:t xml:space="preserve"> N (2011) Seven Questions for Seven Paragraphs. European Law Review 36</w:t>
      </w:r>
      <w:r>
        <w:t>(2)</w:t>
      </w:r>
      <w:r w:rsidRPr="00484693">
        <w:t>: 161.</w:t>
      </w:r>
    </w:p>
    <w:p w14:paraId="184E00C5" w14:textId="77777777" w:rsidR="00161534" w:rsidRPr="00484693" w:rsidRDefault="00161534" w:rsidP="00161534">
      <w:pPr>
        <w:spacing w:line="480" w:lineRule="auto"/>
        <w:ind w:left="567" w:hanging="567"/>
      </w:pPr>
      <w:r w:rsidRPr="00484693">
        <w:t>O’Brien C (2021) Between the devil and the deep blue sea: vulnerable EU citizens cast adrift in the UK post-Brexit. Common Market Law Review 58(2): 431.</w:t>
      </w:r>
    </w:p>
    <w:p w14:paraId="03803839" w14:textId="77777777" w:rsidR="00161534" w:rsidRPr="008E2E7A" w:rsidRDefault="00161534" w:rsidP="00161534">
      <w:pPr>
        <w:spacing w:line="480" w:lineRule="auto"/>
        <w:ind w:left="567" w:hanging="567"/>
      </w:pPr>
      <w:r w:rsidRPr="008E2E7A">
        <w:lastRenderedPageBreak/>
        <w:t xml:space="preserve">O’Brien </w:t>
      </w:r>
      <w:r>
        <w:t xml:space="preserve">C </w:t>
      </w:r>
      <w:r w:rsidRPr="008E2E7A">
        <w:t>and Welsh</w:t>
      </w:r>
      <w:r>
        <w:t xml:space="preserve"> A (2021) </w:t>
      </w:r>
      <w:r w:rsidRPr="008E2E7A">
        <w:t>The Status of EU Nationals: Emergency Measures Needed</w:t>
      </w:r>
      <w:r>
        <w:t xml:space="preserve">. </w:t>
      </w:r>
      <w:r w:rsidRPr="008E2E7A">
        <w:t>EU Rights &amp; Brexit Hub</w:t>
      </w:r>
      <w:r>
        <w:t xml:space="preserve">. Available at: </w:t>
      </w:r>
      <w:r w:rsidRPr="008E2E7A">
        <w:t xml:space="preserve">https://www.eurightshub.york.ac.uk/publications </w:t>
      </w:r>
      <w:r>
        <w:t>(</w:t>
      </w:r>
      <w:r w:rsidRPr="008E2E7A">
        <w:t>accessed 27 May 2021</w:t>
      </w:r>
      <w:r>
        <w:t>).</w:t>
      </w:r>
    </w:p>
    <w:p w14:paraId="68F98E17" w14:textId="77777777" w:rsidR="00161534" w:rsidRPr="00484693" w:rsidRDefault="00161534" w:rsidP="00161534">
      <w:pPr>
        <w:spacing w:line="480" w:lineRule="auto"/>
        <w:ind w:left="567" w:hanging="567"/>
      </w:pPr>
      <w:r w:rsidRPr="00484693">
        <w:t>Raj A and Silverman J (2002) The roles of culture, context, and legal immigrant status on intimate partner violence. Violence Against Women 8(3): 367-398.</w:t>
      </w:r>
    </w:p>
    <w:p w14:paraId="48CCE8B7" w14:textId="77777777" w:rsidR="00161534" w:rsidRPr="00484693" w:rsidRDefault="00161534" w:rsidP="00161534">
      <w:pPr>
        <w:spacing w:line="480" w:lineRule="auto"/>
        <w:ind w:left="567" w:hanging="567"/>
      </w:pPr>
      <w:proofErr w:type="spellStart"/>
      <w:r w:rsidRPr="00484693">
        <w:t>Remigi</w:t>
      </w:r>
      <w:proofErr w:type="spellEnd"/>
      <w:r w:rsidRPr="00484693">
        <w:t xml:space="preserve"> E, Martin V and Sykes T (2017) In Limbo: Brexit testimonies from EU citizens in the UK. </w:t>
      </w:r>
      <w:r>
        <w:t xml:space="preserve">Milton Keynes: </w:t>
      </w:r>
      <w:proofErr w:type="spellStart"/>
      <w:r>
        <w:t>Byline</w:t>
      </w:r>
      <w:proofErr w:type="spellEnd"/>
      <w:r>
        <w:t xml:space="preserve"> Books.</w:t>
      </w:r>
    </w:p>
    <w:p w14:paraId="78087E95" w14:textId="77777777" w:rsidR="00161534" w:rsidRPr="00484693" w:rsidRDefault="00161534" w:rsidP="00161534">
      <w:pPr>
        <w:spacing w:line="480" w:lineRule="auto"/>
        <w:ind w:left="567" w:hanging="567"/>
      </w:pPr>
      <w:proofErr w:type="spellStart"/>
      <w:r w:rsidRPr="00484693">
        <w:t>Shutes</w:t>
      </w:r>
      <w:proofErr w:type="spellEnd"/>
      <w:r w:rsidRPr="00484693">
        <w:t xml:space="preserve"> I and Walker S (2018) Gender and free movement: EU migrant women’s access to residence and social rights in the UK. Journal of Ethnic and Migration Studies 44(1): 137-153.</w:t>
      </w:r>
    </w:p>
    <w:p w14:paraId="78ED0C9E" w14:textId="77777777" w:rsidR="00161534" w:rsidRPr="00484693" w:rsidRDefault="00161534" w:rsidP="00161534">
      <w:pPr>
        <w:spacing w:line="480" w:lineRule="auto"/>
        <w:ind w:left="567" w:hanging="567"/>
      </w:pPr>
      <w:proofErr w:type="spellStart"/>
      <w:r w:rsidRPr="00484693">
        <w:t>Smismans</w:t>
      </w:r>
      <w:proofErr w:type="spellEnd"/>
      <w:r w:rsidRPr="00484693">
        <w:t xml:space="preserve"> S (2019) Ring-fencing Citizens’ Rights in the Brexit Negotiations: Legal Framework and Political Dynamics. </w:t>
      </w:r>
      <w:r>
        <w:t xml:space="preserve">Report for </w:t>
      </w:r>
      <w:r w:rsidRPr="00FD7DF8">
        <w:t>DCU Brexit Institute</w:t>
      </w:r>
      <w:r>
        <w:t xml:space="preserve">. </w:t>
      </w:r>
      <w:r w:rsidRPr="00FD7DF8">
        <w:t>Working Paper 1-2019</w:t>
      </w:r>
      <w:r>
        <w:t>, 28 January.</w:t>
      </w:r>
    </w:p>
    <w:p w14:paraId="3909F838" w14:textId="77777777" w:rsidR="00161534" w:rsidRPr="00484693" w:rsidRDefault="00161534" w:rsidP="00161534">
      <w:pPr>
        <w:spacing w:line="480" w:lineRule="auto"/>
        <w:ind w:left="567" w:hanging="567"/>
      </w:pPr>
      <w:r w:rsidRPr="00484693">
        <w:t>Sokoloff NJ and Dupont I (2005) Domestic violence at the intersections of race, class, and gender: Challenges and contributions to understanding violence against marginalized women in diverse communities. Violence Against Women 11(1): 38-64.</w:t>
      </w:r>
    </w:p>
    <w:p w14:paraId="4E8448B2" w14:textId="77777777" w:rsidR="00161534" w:rsidRPr="00484693" w:rsidRDefault="00161534" w:rsidP="00161534">
      <w:pPr>
        <w:spacing w:line="480" w:lineRule="auto"/>
        <w:ind w:left="567" w:hanging="567"/>
      </w:pPr>
      <w:proofErr w:type="spellStart"/>
      <w:r w:rsidRPr="00484693">
        <w:t>Spijkerboer</w:t>
      </w:r>
      <w:proofErr w:type="spellEnd"/>
      <w:r w:rsidRPr="00484693">
        <w:t xml:space="preserve"> T and Van </w:t>
      </w:r>
      <w:proofErr w:type="spellStart"/>
      <w:r w:rsidRPr="00484693">
        <w:t>Walsum</w:t>
      </w:r>
      <w:proofErr w:type="spellEnd"/>
      <w:r w:rsidRPr="00484693">
        <w:t xml:space="preserve"> S (2007) Women and Immigration Law: New Variations on Classical Feminist Themes. </w:t>
      </w:r>
      <w:r>
        <w:t xml:space="preserve">London: </w:t>
      </w:r>
      <w:r w:rsidRPr="00484693">
        <w:t>Routledge.</w:t>
      </w:r>
    </w:p>
    <w:p w14:paraId="43E5B206" w14:textId="77777777" w:rsidR="00161534" w:rsidRPr="00484693" w:rsidRDefault="00161534" w:rsidP="00161534">
      <w:pPr>
        <w:spacing w:line="480" w:lineRule="auto"/>
        <w:ind w:left="567" w:hanging="567"/>
      </w:pPr>
      <w:r w:rsidRPr="00484693">
        <w:t>Sumption M and Fernández-</w:t>
      </w:r>
      <w:proofErr w:type="spellStart"/>
      <w:r w:rsidRPr="00484693">
        <w:t>Reino</w:t>
      </w:r>
      <w:proofErr w:type="spellEnd"/>
      <w:r w:rsidRPr="00484693">
        <w:t xml:space="preserve"> M </w:t>
      </w:r>
      <w:r>
        <w:t xml:space="preserve">(2020) </w:t>
      </w:r>
      <w:r w:rsidRPr="00484693">
        <w:t>Unsettled Status - 2020: Which EU Citizens are at Risk of Failing to Secure their Rights after Brexit? Report</w:t>
      </w:r>
      <w:r>
        <w:t xml:space="preserve"> for Migration Observatory, 24 September.</w:t>
      </w:r>
    </w:p>
    <w:p w14:paraId="5DEB7675" w14:textId="77777777" w:rsidR="00161534" w:rsidRPr="00484693" w:rsidRDefault="00161534" w:rsidP="00161534">
      <w:pPr>
        <w:spacing w:line="480" w:lineRule="auto"/>
        <w:ind w:left="567" w:hanging="567"/>
      </w:pPr>
      <w:r w:rsidRPr="00484693">
        <w:t xml:space="preserve">van </w:t>
      </w:r>
      <w:proofErr w:type="spellStart"/>
      <w:r w:rsidRPr="00484693">
        <w:t>Eijken</w:t>
      </w:r>
      <w:proofErr w:type="spellEnd"/>
      <w:r w:rsidRPr="00484693">
        <w:t xml:space="preserve"> H and de Vries S (2011) A New Route into the Promised Land? Being a European Citizen after Ruiz Zambrano. European Law Review 36</w:t>
      </w:r>
      <w:r>
        <w:t>(5)</w:t>
      </w:r>
      <w:r w:rsidRPr="00484693">
        <w:t>: 704.</w:t>
      </w:r>
    </w:p>
    <w:p w14:paraId="2D2C3E06" w14:textId="77777777" w:rsidR="00161534" w:rsidRDefault="00161534" w:rsidP="00161534">
      <w:pPr>
        <w:spacing w:line="480" w:lineRule="auto"/>
        <w:ind w:left="567" w:hanging="567"/>
      </w:pPr>
      <w:proofErr w:type="spellStart"/>
      <w:r w:rsidRPr="00484693">
        <w:t>Voolma</w:t>
      </w:r>
      <w:proofErr w:type="spellEnd"/>
      <w:r w:rsidRPr="00484693">
        <w:t xml:space="preserve"> H (2018) “I Must Be Silent Because of Residency”: Barriers to Escaping Domestic Violence in the Context of Insecure Immigration Status in England and Sweden. Violence Against Women 24(15): 1830-1850.</w:t>
      </w:r>
    </w:p>
    <w:p w14:paraId="155425A7" w14:textId="77777777" w:rsidR="00161534" w:rsidRPr="00484693" w:rsidRDefault="00161534" w:rsidP="00161534">
      <w:pPr>
        <w:spacing w:line="480" w:lineRule="auto"/>
        <w:ind w:left="567" w:hanging="567"/>
      </w:pPr>
      <w:r w:rsidRPr="00484693">
        <w:t xml:space="preserve">Yong A (2018) EU citizens: what settled status after Brexit really means – a legal expert explains. </w:t>
      </w:r>
      <w:r>
        <w:t xml:space="preserve">The Conversation. </w:t>
      </w:r>
      <w:r w:rsidRPr="00484693">
        <w:t>Available at: https://theconversation.com/eu-citizens-what-settled-status-after-brexit-really-means-a-legal-expert-explains-97810 (accessed 6 August 2018).</w:t>
      </w:r>
    </w:p>
    <w:p w14:paraId="5835375B" w14:textId="77777777" w:rsidR="00161534" w:rsidRPr="00484693" w:rsidRDefault="00161534" w:rsidP="00161534">
      <w:pPr>
        <w:spacing w:line="480" w:lineRule="auto"/>
        <w:ind w:left="567" w:hanging="567"/>
      </w:pPr>
      <w:r w:rsidRPr="00484693">
        <w:lastRenderedPageBreak/>
        <w:t xml:space="preserve">Yong A (2019a) Human rights protection as justice in post-Brexit Britain: a case study of deportation. In: Ahmed T and Fahey E (eds) On Brexit: Law, Justices and Injustices. </w:t>
      </w:r>
      <w:r>
        <w:t xml:space="preserve">Cheltenham: </w:t>
      </w:r>
      <w:r w:rsidRPr="00484693">
        <w:t>Edward Elgar.</w:t>
      </w:r>
    </w:p>
    <w:p w14:paraId="0C998709" w14:textId="77777777" w:rsidR="00161534" w:rsidRPr="00161534" w:rsidRDefault="00161534" w:rsidP="00161534">
      <w:pPr>
        <w:spacing w:line="480" w:lineRule="auto"/>
        <w:ind w:left="567" w:hanging="567"/>
      </w:pPr>
      <w:r w:rsidRPr="00484693">
        <w:t>Yong A (2019b) The Rise and Decline of Fundamental Rights in EU Citizenship.</w:t>
      </w:r>
      <w:r>
        <w:t xml:space="preserve"> Oxford:</w:t>
      </w:r>
      <w:r w:rsidRPr="00484693">
        <w:t xml:space="preserve"> Hart Publishing.</w:t>
      </w:r>
    </w:p>
    <w:sectPr w:rsidR="00161534" w:rsidRPr="00161534" w:rsidSect="00776029">
      <w:footnotePr>
        <w:numRestart w:val="eachSect"/>
      </w:footnotePr>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9A10" w14:textId="77777777" w:rsidR="009F030A" w:rsidRDefault="009F030A" w:rsidP="00D814CB">
      <w:r>
        <w:separator/>
      </w:r>
    </w:p>
  </w:endnote>
  <w:endnote w:type="continuationSeparator" w:id="0">
    <w:p w14:paraId="24851531" w14:textId="77777777" w:rsidR="009F030A" w:rsidRDefault="009F030A" w:rsidP="00D8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9917866"/>
      <w:docPartObj>
        <w:docPartGallery w:val="Page Numbers (Bottom of Page)"/>
        <w:docPartUnique/>
      </w:docPartObj>
    </w:sdtPr>
    <w:sdtEndPr>
      <w:rPr>
        <w:rStyle w:val="PageNumber"/>
      </w:rPr>
    </w:sdtEndPr>
    <w:sdtContent>
      <w:p w14:paraId="0F9BAA00" w14:textId="562DCDCD" w:rsidR="00515D4B" w:rsidRDefault="00515D4B" w:rsidP="00C834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83018694"/>
      <w:docPartObj>
        <w:docPartGallery w:val="Page Numbers (Bottom of Page)"/>
        <w:docPartUnique/>
      </w:docPartObj>
    </w:sdtPr>
    <w:sdtEndPr>
      <w:rPr>
        <w:rStyle w:val="PageNumber"/>
      </w:rPr>
    </w:sdtEndPr>
    <w:sdtContent>
      <w:p w14:paraId="5DFA4383" w14:textId="55B96E3F" w:rsidR="00515D4B" w:rsidRDefault="00515D4B" w:rsidP="00C834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8385C" w14:textId="77777777" w:rsidR="00515D4B" w:rsidRDefault="0051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821371"/>
      <w:docPartObj>
        <w:docPartGallery w:val="Page Numbers (Bottom of Page)"/>
        <w:docPartUnique/>
      </w:docPartObj>
    </w:sdtPr>
    <w:sdtEndPr>
      <w:rPr>
        <w:rStyle w:val="PageNumber"/>
      </w:rPr>
    </w:sdtEndPr>
    <w:sdtContent>
      <w:p w14:paraId="0248881E" w14:textId="75C27F16" w:rsidR="00515D4B" w:rsidRDefault="00515D4B" w:rsidP="00515D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A6AABC" w14:textId="77777777" w:rsidR="00515D4B" w:rsidRDefault="0051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3860" w14:textId="77777777" w:rsidR="009F030A" w:rsidRDefault="009F030A" w:rsidP="00D814CB">
      <w:r>
        <w:separator/>
      </w:r>
    </w:p>
  </w:footnote>
  <w:footnote w:type="continuationSeparator" w:id="0">
    <w:p w14:paraId="5236AD63" w14:textId="77777777" w:rsidR="009F030A" w:rsidRDefault="009F030A" w:rsidP="00D814CB">
      <w:r>
        <w:continuationSeparator/>
      </w:r>
    </w:p>
  </w:footnote>
  <w:footnote w:id="1">
    <w:p w14:paraId="4C4B5779" w14:textId="70B20C45" w:rsidR="00E543F6" w:rsidRPr="00756908" w:rsidRDefault="00E543F6" w:rsidP="00E543F6">
      <w:pPr>
        <w:pStyle w:val="Footer"/>
        <w:rPr>
          <w:i/>
          <w:iCs/>
          <w:sz w:val="20"/>
          <w:szCs w:val="20"/>
        </w:rPr>
      </w:pPr>
      <w:r w:rsidRPr="000044F0">
        <w:rPr>
          <w:rStyle w:val="FootnoteReference"/>
          <w:sz w:val="20"/>
          <w:szCs w:val="20"/>
        </w:rPr>
        <w:footnoteRef/>
      </w:r>
      <w:r w:rsidR="007B6B38">
        <w:rPr>
          <w:i/>
          <w:iCs/>
          <w:sz w:val="20"/>
          <w:szCs w:val="20"/>
        </w:rPr>
        <w:t xml:space="preserve"> </w:t>
      </w:r>
      <w:r w:rsidR="00756908">
        <w:rPr>
          <w:sz w:val="20"/>
          <w:szCs w:val="20"/>
        </w:rPr>
        <w:t xml:space="preserve">This paper </w:t>
      </w:r>
      <w:r w:rsidRPr="000044F0">
        <w:rPr>
          <w:sz w:val="20"/>
          <w:szCs w:val="20"/>
        </w:rPr>
        <w:t xml:space="preserve">aims to state the law as of 1 November 2021. All errors </w:t>
      </w:r>
      <w:r w:rsidR="00756908">
        <w:rPr>
          <w:sz w:val="20"/>
          <w:szCs w:val="20"/>
        </w:rPr>
        <w:t xml:space="preserve">are the author’s </w:t>
      </w:r>
      <w:r w:rsidRPr="000044F0">
        <w:rPr>
          <w:sz w:val="20"/>
          <w:szCs w:val="20"/>
        </w:rPr>
        <w:t>own.</w:t>
      </w:r>
    </w:p>
  </w:footnote>
  <w:footnote w:id="2">
    <w:p w14:paraId="7F16D7EF" w14:textId="77777777" w:rsidR="004C4BE1" w:rsidRPr="000044F0" w:rsidRDefault="004C4BE1" w:rsidP="004C4BE1">
      <w:pPr>
        <w:pStyle w:val="FootnoteText"/>
      </w:pPr>
      <w:r w:rsidRPr="000044F0">
        <w:rPr>
          <w:rStyle w:val="FootnoteReference"/>
        </w:rPr>
        <w:footnoteRef/>
      </w:r>
      <w:r w:rsidRPr="000044F0">
        <w:t xml:space="preserve"> In this paper, EU citizens broadly refers to EEA nationals as well as the eligible family members of EU citizens who are not always EU or EEA nationals themselves.</w:t>
      </w:r>
    </w:p>
  </w:footnote>
  <w:footnote w:id="3">
    <w:p w14:paraId="7174538E" w14:textId="706DE2C9" w:rsidR="00467FE0" w:rsidRPr="000044F0" w:rsidRDefault="00467FE0" w:rsidP="002436C8">
      <w:pPr>
        <w:pStyle w:val="FootnoteText"/>
      </w:pPr>
      <w:r w:rsidRPr="000044F0">
        <w:rPr>
          <w:rStyle w:val="FootnoteReference"/>
        </w:rPr>
        <w:footnoteRef/>
      </w:r>
      <w:r w:rsidRPr="000044F0">
        <w:t xml:space="preserve"> The term ‘post-Brexit’ refers in this case broadly to the time period after the end of the EU Settlement Scheme’s grace period for applicants, that is after 30 June 2021. In addition, constitutive systems are distinguished from declaratory systems in that they require, in the EUSS’ case, a successful application. Declaratory systems in this context </w:t>
      </w:r>
      <w:r w:rsidR="008974C4">
        <w:t xml:space="preserve">refers to </w:t>
      </w:r>
      <w:r w:rsidRPr="000044F0">
        <w:t>EU citizens</w:t>
      </w:r>
      <w:r w:rsidR="008974C4">
        <w:t xml:space="preserve"> previously </w:t>
      </w:r>
      <w:r w:rsidRPr="000044F0">
        <w:t>enjoy</w:t>
      </w:r>
      <w:r w:rsidR="008974C4">
        <w:t xml:space="preserve">ing </w:t>
      </w:r>
      <w:r w:rsidRPr="000044F0">
        <w:t xml:space="preserve">protection simply </w:t>
      </w:r>
      <w:r w:rsidR="008974C4">
        <w:t xml:space="preserve">by </w:t>
      </w:r>
      <w:r w:rsidRPr="000044F0">
        <w:t xml:space="preserve">virtue of their EU citizenship status under Article 20 TFEU. See for the arguments weighing up both systems, </w:t>
      </w:r>
      <w:proofErr w:type="spellStart"/>
      <w:r w:rsidR="007045C6" w:rsidRPr="000044F0">
        <w:t>Smis</w:t>
      </w:r>
      <w:r w:rsidR="00B45366" w:rsidRPr="000044F0">
        <w:t>mans</w:t>
      </w:r>
      <w:proofErr w:type="spellEnd"/>
      <w:r w:rsidR="00B45366" w:rsidRPr="000044F0">
        <w:t xml:space="preserve"> (2019).</w:t>
      </w:r>
    </w:p>
  </w:footnote>
  <w:footnote w:id="4">
    <w:p w14:paraId="015D64CF" w14:textId="2CA9EA84" w:rsidR="00467FE0" w:rsidRPr="000044F0" w:rsidRDefault="00467FE0" w:rsidP="002436C8">
      <w:pPr>
        <w:pStyle w:val="FootnoteText"/>
        <w:rPr>
          <w:highlight w:val="yellow"/>
        </w:rPr>
      </w:pPr>
      <w:r w:rsidRPr="000044F0">
        <w:rPr>
          <w:rStyle w:val="FootnoteReference"/>
        </w:rPr>
        <w:footnoteRef/>
      </w:r>
      <w:r w:rsidRPr="000044F0">
        <w:t xml:space="preserve"> The number of applicants as it stands is almost </w:t>
      </w:r>
      <w:r w:rsidR="00D04EC9" w:rsidRPr="000044F0">
        <w:t xml:space="preserve">double </w:t>
      </w:r>
      <w:r w:rsidRPr="000044F0">
        <w:t xml:space="preserve">the number originally estimated for how many EU citizens were in the UK, </w:t>
      </w:r>
      <w:r w:rsidR="003A1437" w:rsidRPr="000044F0">
        <w:t>just over 6</w:t>
      </w:r>
      <w:r w:rsidRPr="000044F0">
        <w:t xml:space="preserve"> million. </w:t>
      </w:r>
      <w:r w:rsidR="003A1437" w:rsidRPr="000044F0">
        <w:t>S</w:t>
      </w:r>
      <w:r w:rsidRPr="000044F0">
        <w:t xml:space="preserve">ee </w:t>
      </w:r>
      <w:r w:rsidR="00B45366" w:rsidRPr="000044F0">
        <w:t>Home Office (2021</w:t>
      </w:r>
      <w:r w:rsidR="00627AFA" w:rsidRPr="000044F0">
        <w:t>a</w:t>
      </w:r>
      <w:r w:rsidR="00B45366" w:rsidRPr="000044F0">
        <w:t>) which</w:t>
      </w:r>
      <w:r w:rsidR="003A1437" w:rsidRPr="000044F0">
        <w:t xml:space="preserve"> include</w:t>
      </w:r>
      <w:r w:rsidR="00B45366" w:rsidRPr="000044F0">
        <w:t>s</w:t>
      </w:r>
      <w:r w:rsidR="003A1437" w:rsidRPr="000044F0">
        <w:t xml:space="preserve"> repeat applications </w:t>
      </w:r>
      <w:r w:rsidR="0008087A" w:rsidRPr="000044F0">
        <w:t xml:space="preserve">and </w:t>
      </w:r>
      <w:r w:rsidR="003A1437" w:rsidRPr="000044F0">
        <w:t xml:space="preserve">most recent count of these from </w:t>
      </w:r>
      <w:r w:rsidR="00BF51C3" w:rsidRPr="000044F0">
        <w:t xml:space="preserve">30 June </w:t>
      </w:r>
      <w:r w:rsidR="003A1437" w:rsidRPr="000044F0">
        <w:t xml:space="preserve">2021 show that they make up about </w:t>
      </w:r>
      <w:r w:rsidR="00BF51C3" w:rsidRPr="000044F0">
        <w:t>8</w:t>
      </w:r>
      <w:r w:rsidR="003A1437" w:rsidRPr="000044F0">
        <w:t xml:space="preserve">% of </w:t>
      </w:r>
      <w:r w:rsidR="0008087A" w:rsidRPr="000044F0">
        <w:t xml:space="preserve">total </w:t>
      </w:r>
      <w:r w:rsidR="003A1437" w:rsidRPr="000044F0">
        <w:t>applications</w:t>
      </w:r>
      <w:r w:rsidR="00AB040B" w:rsidRPr="000044F0">
        <w:t>.</w:t>
      </w:r>
    </w:p>
  </w:footnote>
  <w:footnote w:id="5">
    <w:p w14:paraId="791902A9" w14:textId="26B88BB5" w:rsidR="00467FE0" w:rsidRPr="000044F0" w:rsidRDefault="00467FE0" w:rsidP="002436C8">
      <w:pPr>
        <w:pStyle w:val="FootnoteText"/>
      </w:pPr>
      <w:r w:rsidRPr="000044F0">
        <w:rPr>
          <w:rStyle w:val="FootnoteReference"/>
        </w:rPr>
        <w:footnoteRef/>
      </w:r>
      <w:r w:rsidRPr="000044F0">
        <w:t xml:space="preserve"> Th</w:t>
      </w:r>
      <w:r w:rsidR="0008087A" w:rsidRPr="000044F0">
        <w:t>e</w:t>
      </w:r>
      <w:r w:rsidRPr="000044F0">
        <w:t xml:space="preserve"> catch-all provision </w:t>
      </w:r>
      <w:r w:rsidR="0008087A" w:rsidRPr="000044F0">
        <w:t xml:space="preserve">of “unsuccessful applications” </w:t>
      </w:r>
      <w:r w:rsidRPr="000044F0">
        <w:t xml:space="preserve">includes the Home Office categories of refused, withdrawn or void and invalid applications. </w:t>
      </w:r>
      <w:r w:rsidR="00D04EC9" w:rsidRPr="000044F0">
        <w:t xml:space="preserve">For explanation of how </w:t>
      </w:r>
      <w:r w:rsidRPr="000044F0">
        <w:t>these categories are defined,</w:t>
      </w:r>
      <w:r w:rsidR="00D04EC9" w:rsidRPr="000044F0">
        <w:t xml:space="preserve"> see</w:t>
      </w:r>
      <w:r w:rsidRPr="000044F0">
        <w:t xml:space="preserve"> </w:t>
      </w:r>
      <w:r w:rsidR="00B45366" w:rsidRPr="000044F0">
        <w:t xml:space="preserve">Benn (2020). </w:t>
      </w:r>
      <w:r w:rsidR="00D04EC9" w:rsidRPr="000044F0">
        <w:t>F</w:t>
      </w:r>
      <w:r w:rsidRPr="000044F0">
        <w:t xml:space="preserve">or the purposes </w:t>
      </w:r>
      <w:r w:rsidR="00D04EC9" w:rsidRPr="000044F0">
        <w:t xml:space="preserve">of </w:t>
      </w:r>
      <w:r w:rsidRPr="000044F0">
        <w:t xml:space="preserve">this paper, anything that is pre-settled or settled status </w:t>
      </w:r>
      <w:r w:rsidR="00D04EC9" w:rsidRPr="000044F0">
        <w:t xml:space="preserve">counts as </w:t>
      </w:r>
      <w:r w:rsidRPr="000044F0">
        <w:t>“successful”</w:t>
      </w:r>
      <w:r w:rsidR="00D04EC9" w:rsidRPr="000044F0">
        <w:t xml:space="preserve"> though</w:t>
      </w:r>
      <w:r w:rsidRPr="000044F0">
        <w:t xml:space="preserve"> </w:t>
      </w:r>
      <w:r w:rsidR="00D04EC9" w:rsidRPr="000044F0">
        <w:t>i</w:t>
      </w:r>
      <w:r w:rsidR="00515D4B" w:rsidRPr="000044F0">
        <w:t xml:space="preserve">t is acknowledged that </w:t>
      </w:r>
      <w:r w:rsidR="0008087A" w:rsidRPr="000044F0">
        <w:t xml:space="preserve">this is more nuanced than it appears in this paper, as </w:t>
      </w:r>
      <w:r w:rsidR="00515D4B" w:rsidRPr="000044F0">
        <w:t xml:space="preserve">pre-settled status </w:t>
      </w:r>
      <w:r w:rsidR="00D04EC9" w:rsidRPr="000044F0">
        <w:t xml:space="preserve">is </w:t>
      </w:r>
      <w:r w:rsidR="0008087A" w:rsidRPr="000044F0">
        <w:t>far</w:t>
      </w:r>
      <w:r w:rsidR="00D04EC9" w:rsidRPr="000044F0">
        <w:t xml:space="preserve"> inferior to settled status.</w:t>
      </w:r>
      <w:r w:rsidR="0008087A" w:rsidRPr="000044F0">
        <w:t xml:space="preserve"> </w:t>
      </w:r>
      <w:r w:rsidR="00D04EC9" w:rsidRPr="000044F0">
        <w:t>T</w:t>
      </w:r>
      <w:r w:rsidR="00515D4B" w:rsidRPr="000044F0">
        <w:t>his is outside the scope of discussion of this paper</w:t>
      </w:r>
      <w:r w:rsidR="00D04EC9" w:rsidRPr="000044F0">
        <w:t>, but</w:t>
      </w:r>
      <w:r w:rsidR="00515D4B" w:rsidRPr="000044F0">
        <w:t xml:space="preserve"> </w:t>
      </w:r>
      <w:r w:rsidR="00D04EC9" w:rsidRPr="000044F0">
        <w:t>s</w:t>
      </w:r>
      <w:r w:rsidR="00515D4B" w:rsidRPr="000044F0">
        <w:t xml:space="preserve">ee </w:t>
      </w:r>
      <w:r w:rsidR="0008087A" w:rsidRPr="000044F0">
        <w:rPr>
          <w:i/>
          <w:iCs/>
        </w:rPr>
        <w:t>CG</w:t>
      </w:r>
      <w:r w:rsidR="0008087A" w:rsidRPr="000044F0">
        <w:t xml:space="preserve"> (C-709/20) EU:C:2021:602</w:t>
      </w:r>
      <w:r w:rsidR="00515D4B" w:rsidRPr="000044F0">
        <w:t>.</w:t>
      </w:r>
    </w:p>
  </w:footnote>
  <w:footnote w:id="6">
    <w:p w14:paraId="4BF713B5" w14:textId="6C755F85" w:rsidR="007F2CD8" w:rsidRPr="000044F0" w:rsidRDefault="007F2CD8">
      <w:pPr>
        <w:pStyle w:val="FootnoteText"/>
        <w:rPr>
          <w:lang w:val="en-US"/>
        </w:rPr>
      </w:pPr>
      <w:r w:rsidRPr="000044F0">
        <w:rPr>
          <w:rStyle w:val="FootnoteReference"/>
        </w:rPr>
        <w:footnoteRef/>
      </w:r>
      <w:r w:rsidRPr="000044F0">
        <w:t xml:space="preserve"> </w:t>
      </w:r>
      <w:r w:rsidRPr="000044F0">
        <w:rPr>
          <w:lang w:val="en-US"/>
        </w:rPr>
        <w:t>The exception i</w:t>
      </w:r>
      <w:r w:rsidR="008974C4">
        <w:rPr>
          <w:lang w:val="en-US"/>
        </w:rPr>
        <w:t>s</w:t>
      </w:r>
      <w:r w:rsidRPr="000044F0">
        <w:rPr>
          <w:lang w:val="en-US"/>
        </w:rPr>
        <w:t xml:space="preserve"> a freedom of information request made in June 2021 by Barnard &amp; Costello (2021), a source </w:t>
      </w:r>
      <w:r w:rsidR="008974C4">
        <w:rPr>
          <w:lang w:val="en-US"/>
        </w:rPr>
        <w:t xml:space="preserve">referred to later in </w:t>
      </w:r>
      <w:r w:rsidRPr="000044F0">
        <w:rPr>
          <w:lang w:val="en-US"/>
        </w:rPr>
        <w:t>this paper.</w:t>
      </w:r>
    </w:p>
  </w:footnote>
  <w:footnote w:id="7">
    <w:p w14:paraId="3D1384F9" w14:textId="16FAF151" w:rsidR="003E25CC" w:rsidRPr="000044F0" w:rsidRDefault="003E25CC" w:rsidP="003E25CC">
      <w:pPr>
        <w:pStyle w:val="FootnoteText"/>
      </w:pPr>
      <w:r w:rsidRPr="000044F0">
        <w:rPr>
          <w:rStyle w:val="FootnoteReference"/>
        </w:rPr>
        <w:footnoteRef/>
      </w:r>
      <w:r w:rsidRPr="000044F0">
        <w:t xml:space="preserve"> There is an argument to be made that the EU’s free movement rules themselves entrench certain gender norms, especially of the family and worker in its treatment of caring responsibilities</w:t>
      </w:r>
      <w:r w:rsidR="00B45366" w:rsidRPr="000044F0">
        <w:t>. T</w:t>
      </w:r>
      <w:r w:rsidRPr="000044F0">
        <w:t>his specific argument is outside the scope of this paper</w:t>
      </w:r>
      <w:r w:rsidR="00585E60">
        <w:t>, see Miller Westoby (2021).</w:t>
      </w:r>
    </w:p>
  </w:footnote>
  <w:footnote w:id="8">
    <w:p w14:paraId="1E87031B" w14:textId="47D12F8E" w:rsidR="00467FE0" w:rsidRPr="000044F0" w:rsidRDefault="00467FE0" w:rsidP="002436C8">
      <w:pPr>
        <w:pStyle w:val="FootnoteText"/>
      </w:pPr>
      <w:r w:rsidRPr="000044F0">
        <w:rPr>
          <w:rStyle w:val="FootnoteReference"/>
        </w:rPr>
        <w:footnoteRef/>
      </w:r>
      <w:r w:rsidRPr="000044F0">
        <w:t xml:space="preserve"> See Article 16 of</w:t>
      </w:r>
      <w:r w:rsidR="006F3500" w:rsidRPr="000044F0">
        <w:t xml:space="preserve"> Council Directive on 2004/38/EC of 29 April 2004 on the right of citizens of the Union and their family members to move and reside freely within the territory of the Member States amending Regulation (EEC) 1612/68 and repealing Directives 64/221/EEC, 68/360/EEC, 72/194/EEC, 73/148/EEC, 75/34/EEC, 75/35/EEC, 90/364/EEC, 90/365/EEC 93/96/EEC [2004] OJ L158/77.</w:t>
      </w:r>
    </w:p>
  </w:footnote>
  <w:footnote w:id="9">
    <w:p w14:paraId="6E6819A0" w14:textId="6B12B309" w:rsidR="00467FE0" w:rsidRPr="000044F0" w:rsidRDefault="00467FE0" w:rsidP="002436C8">
      <w:pPr>
        <w:pStyle w:val="FootnoteText"/>
      </w:pPr>
      <w:r w:rsidRPr="000044F0">
        <w:rPr>
          <w:rStyle w:val="FootnoteReference"/>
        </w:rPr>
        <w:footnoteRef/>
      </w:r>
      <w:r w:rsidRPr="000044F0">
        <w:t xml:space="preserve"> Appendix EU, Immigration Rules, EU9.</w:t>
      </w:r>
    </w:p>
  </w:footnote>
  <w:footnote w:id="10">
    <w:p w14:paraId="3AC703CB" w14:textId="77777777" w:rsidR="009B3724" w:rsidRPr="000044F0" w:rsidRDefault="009B3724" w:rsidP="009B3724">
      <w:pPr>
        <w:pStyle w:val="FootnoteText"/>
      </w:pPr>
      <w:r w:rsidRPr="000044F0">
        <w:rPr>
          <w:rStyle w:val="FootnoteReference"/>
        </w:rPr>
        <w:footnoteRef/>
      </w:r>
      <w:r w:rsidRPr="000044F0">
        <w:t xml:space="preserve"> Rights of Women, a charity supporting the legal rights of vulnerable women, were chosen as one of seven charities invited to participate in private beta testing stage 2 highlighting that the Home Office recognised women’s vulnerability. They were also one of 72 organisations across the UK funded to provide further support for applicants to the EUSS originally published in May 2019, a total of £17 million over two years.</w:t>
      </w:r>
    </w:p>
  </w:footnote>
  <w:footnote w:id="11">
    <w:p w14:paraId="52DFB945" w14:textId="5B9E4C77" w:rsidR="002B0746" w:rsidRPr="000044F0" w:rsidRDefault="002B0746">
      <w:pPr>
        <w:pStyle w:val="FootnoteText"/>
        <w:rPr>
          <w:lang w:val="en-US"/>
        </w:rPr>
      </w:pPr>
      <w:r w:rsidRPr="000044F0">
        <w:rPr>
          <w:rStyle w:val="FootnoteReference"/>
        </w:rPr>
        <w:footnoteRef/>
      </w:r>
      <w:r w:rsidRPr="000044F0">
        <w:t xml:space="preserve"> Paper-based applications are required for those who cannot easily satisfy the three main criteria – those who are unable to access the online application, those who do not have ID and those who have derive rights based on a dependency on an EU citizen, i.e. NEFMs.</w:t>
      </w:r>
    </w:p>
  </w:footnote>
  <w:footnote w:id="12">
    <w:p w14:paraId="4D5AE6AF" w14:textId="36BFEA6F" w:rsidR="00E50833" w:rsidRPr="000044F0" w:rsidRDefault="00E50833">
      <w:pPr>
        <w:pStyle w:val="FootnoteText"/>
      </w:pPr>
      <w:r w:rsidRPr="000044F0">
        <w:rPr>
          <w:rStyle w:val="FootnoteReference"/>
        </w:rPr>
        <w:footnoteRef/>
      </w:r>
      <w:r w:rsidRPr="000044F0">
        <w:t xml:space="preserve"> </w:t>
      </w:r>
      <w:r w:rsidR="00B45366" w:rsidRPr="000044F0">
        <w:t xml:space="preserve">It </w:t>
      </w:r>
      <w:r w:rsidRPr="000044F0">
        <w:t>states ‘The scheme makes separate provision for those with a derivative right to reside based on the CJEU judgment in Zambrano. From 1 May 2019, a ‘person with a Zambrano right to reside’ has been able to apply under the scheme.’</w:t>
      </w:r>
    </w:p>
  </w:footnote>
  <w:footnote w:id="13">
    <w:p w14:paraId="51782CEE" w14:textId="1AD8D7A5" w:rsidR="005F5955" w:rsidRPr="000044F0" w:rsidRDefault="005F5955" w:rsidP="00BB7D8F">
      <w:pPr>
        <w:autoSpaceDE w:val="0"/>
        <w:autoSpaceDN w:val="0"/>
        <w:adjustRightInd w:val="0"/>
        <w:ind w:right="-720"/>
        <w:jc w:val="left"/>
        <w:rPr>
          <w:sz w:val="20"/>
          <w:szCs w:val="20"/>
        </w:rPr>
      </w:pPr>
      <w:r w:rsidRPr="000044F0">
        <w:rPr>
          <w:rStyle w:val="FootnoteReference"/>
          <w:sz w:val="20"/>
          <w:szCs w:val="20"/>
        </w:rPr>
        <w:footnoteRef/>
      </w:r>
      <w:r w:rsidRPr="000044F0">
        <w:rPr>
          <w:sz w:val="20"/>
          <w:szCs w:val="20"/>
        </w:rPr>
        <w:t xml:space="preserve"> </w:t>
      </w:r>
      <w:r w:rsidR="000044F0" w:rsidRPr="000044F0">
        <w:rPr>
          <w:i/>
          <w:noProof/>
          <w:sz w:val="20"/>
          <w:szCs w:val="20"/>
        </w:rPr>
        <w:t>Ruiz Zambrano</w:t>
      </w:r>
      <w:r w:rsidR="000044F0" w:rsidRPr="000044F0">
        <w:rPr>
          <w:noProof/>
          <w:sz w:val="20"/>
          <w:szCs w:val="20"/>
        </w:rPr>
        <w:t xml:space="preserve"> (C-34/09) EU:C:2011:124</w:t>
      </w:r>
      <w:r w:rsidRPr="000044F0">
        <w:rPr>
          <w:sz w:val="20"/>
          <w:szCs w:val="20"/>
        </w:rPr>
        <w:t xml:space="preserve">. </w:t>
      </w:r>
    </w:p>
  </w:footnote>
  <w:footnote w:id="14">
    <w:p w14:paraId="3BC224D7" w14:textId="7844C542" w:rsidR="00CB655C" w:rsidRPr="000044F0" w:rsidRDefault="00CB655C" w:rsidP="00CB655C">
      <w:pPr>
        <w:pStyle w:val="FootnoteText"/>
      </w:pPr>
      <w:r w:rsidRPr="000044F0">
        <w:rPr>
          <w:rStyle w:val="FootnoteReference"/>
        </w:rPr>
        <w:footnoteRef/>
      </w:r>
      <w:r w:rsidRPr="000044F0">
        <w:t xml:space="preserve"> </w:t>
      </w:r>
      <w:r w:rsidR="00DB123F" w:rsidRPr="000044F0">
        <w:t>The FOI also shows there is a racial element to the data with Nigerians and Pakistanis making up the top two nationalities of individuals applying to the EUSS under the paper-based route, which is outside the scope of consideration for this paper though.</w:t>
      </w:r>
    </w:p>
  </w:footnote>
  <w:footnote w:id="15">
    <w:p w14:paraId="26566BC6" w14:textId="50B1F391" w:rsidR="004029E9" w:rsidRPr="000044F0" w:rsidRDefault="004029E9">
      <w:pPr>
        <w:pStyle w:val="FootnoteText"/>
      </w:pPr>
      <w:r w:rsidRPr="000044F0">
        <w:rPr>
          <w:rStyle w:val="FootnoteReference"/>
        </w:rPr>
        <w:footnoteRef/>
      </w:r>
      <w:r w:rsidRPr="000044F0">
        <w:t xml:space="preserve"> Paper applications forms were only freely available to download online two weeks before the application deadline of 30 June 2021, before that, they had to be requested by phone. Now that the deadline for the EUSS has passed, anyone who is submitting late for a valid reason can no longer email the form to Home Office, and must instead post their applications and before doing so, obtain approval from the EU Settlement Resolution Centre that they have been allowed to do this. See </w:t>
      </w:r>
      <w:r w:rsidR="009C3F3D" w:rsidRPr="000044F0">
        <w:t>Home Office (2021c).</w:t>
      </w:r>
    </w:p>
  </w:footnote>
  <w:footnote w:id="16">
    <w:p w14:paraId="7CFF20EF" w14:textId="1708A55D" w:rsidR="007F2A23" w:rsidRPr="000044F0" w:rsidRDefault="007F2A23" w:rsidP="007F2A23">
      <w:pPr>
        <w:pStyle w:val="FootnoteText"/>
      </w:pPr>
      <w:r w:rsidRPr="000044F0">
        <w:rPr>
          <w:rStyle w:val="FootnoteReference"/>
        </w:rPr>
        <w:footnoteRef/>
      </w:r>
      <w:r w:rsidR="00530BEE" w:rsidRPr="000044F0">
        <w:t xml:space="preserve"> This is not to say that the EU citizenship framework was the panacea to all problems</w:t>
      </w:r>
      <w:r w:rsidRPr="000044F0">
        <w:t>.</w:t>
      </w:r>
      <w:r w:rsidR="00530BEE" w:rsidRPr="000044F0">
        <w:t xml:space="preserve"> In fact, it has been criticised for its </w:t>
      </w:r>
      <w:r w:rsidR="00306FA2" w:rsidRPr="000044F0">
        <w:t xml:space="preserve">narrow scope and gendered nature, see </w:t>
      </w:r>
      <w:proofErr w:type="spellStart"/>
      <w:r w:rsidR="00306FA2" w:rsidRPr="000044F0">
        <w:t>Shutes</w:t>
      </w:r>
      <w:proofErr w:type="spellEnd"/>
      <w:r w:rsidR="00306FA2" w:rsidRPr="000044F0">
        <w:t xml:space="preserve"> and Walker</w:t>
      </w:r>
      <w:r w:rsidR="00F40FEC" w:rsidRPr="000044F0">
        <w:t xml:space="preserve"> (</w:t>
      </w:r>
      <w:r w:rsidR="007C07AB" w:rsidRPr="000044F0">
        <w:t>2018</w:t>
      </w:r>
      <w:r w:rsidR="00F40FEC" w:rsidRPr="000044F0">
        <w:t>)</w:t>
      </w:r>
      <w:r w:rsidR="00306FA2" w:rsidRPr="000044F0">
        <w:t>.</w:t>
      </w:r>
    </w:p>
  </w:footnote>
  <w:footnote w:id="17">
    <w:p w14:paraId="0FC56C6C" w14:textId="718DBB1A" w:rsidR="00E225B4" w:rsidRPr="000044F0" w:rsidRDefault="00E225B4">
      <w:pPr>
        <w:pStyle w:val="FootnoteText"/>
      </w:pPr>
      <w:r w:rsidRPr="000044F0">
        <w:rPr>
          <w:rStyle w:val="FootnoteReference"/>
        </w:rPr>
        <w:footnoteRef/>
      </w:r>
      <w:r w:rsidRPr="000044F0">
        <w:t xml:space="preserve"> Appendix EU9, Immigration Rules.</w:t>
      </w:r>
    </w:p>
  </w:footnote>
  <w:footnote w:id="18">
    <w:p w14:paraId="3559D78D" w14:textId="31AE3355" w:rsidR="00382B3E" w:rsidRPr="000044F0" w:rsidRDefault="00382B3E">
      <w:pPr>
        <w:pStyle w:val="FootnoteText"/>
      </w:pPr>
      <w:r w:rsidRPr="000044F0">
        <w:rPr>
          <w:rStyle w:val="FootnoteReference"/>
        </w:rPr>
        <w:footnoteRef/>
      </w:r>
      <w:r w:rsidRPr="000044F0">
        <w:t xml:space="preserve"> Appendix EU11ff, Immigration Rules.  </w:t>
      </w:r>
    </w:p>
  </w:footnote>
  <w:footnote w:id="19">
    <w:p w14:paraId="74C50B5C" w14:textId="7072CE5A" w:rsidR="000360C1" w:rsidRPr="000044F0" w:rsidRDefault="000360C1" w:rsidP="0080621E">
      <w:pPr>
        <w:pStyle w:val="FootnoteText"/>
      </w:pPr>
      <w:r w:rsidRPr="000044F0">
        <w:rPr>
          <w:rStyle w:val="FootnoteReference"/>
        </w:rPr>
        <w:footnoteRef/>
      </w:r>
      <w:r w:rsidR="0016115F" w:rsidRPr="000044F0">
        <w:t xml:space="preserve"> </w:t>
      </w:r>
      <w:r w:rsidR="008244DE" w:rsidRPr="000044F0">
        <w:t>Also, s</w:t>
      </w:r>
      <w:r w:rsidR="0016115F" w:rsidRPr="000044F0">
        <w:t>ince the deadline passed</w:t>
      </w:r>
      <w:r w:rsidR="008244DE" w:rsidRPr="000044F0">
        <w:t xml:space="preserve"> at the end of June 2021</w:t>
      </w:r>
      <w:r w:rsidR="0016115F" w:rsidRPr="000044F0">
        <w:t xml:space="preserve">, the </w:t>
      </w:r>
      <w:r w:rsidR="008244DE" w:rsidRPr="000044F0">
        <w:t xml:space="preserve">Home Office </w:t>
      </w:r>
      <w:r w:rsidR="0016115F" w:rsidRPr="000044F0">
        <w:t>website has been changed to reflect “reasonable grounds” for missing the deadline, which also includes those in abusive or controlling relationships.</w:t>
      </w:r>
    </w:p>
  </w:footnote>
  <w:footnote w:id="20">
    <w:p w14:paraId="76296DD4" w14:textId="6CE2833F" w:rsidR="006338B8" w:rsidRPr="000044F0" w:rsidRDefault="006338B8" w:rsidP="006338B8">
      <w:pPr>
        <w:pStyle w:val="FootnoteText"/>
      </w:pPr>
      <w:r w:rsidRPr="000044F0">
        <w:rPr>
          <w:rStyle w:val="FootnoteReference"/>
        </w:rPr>
        <w:footnoteRef/>
      </w:r>
      <w:r w:rsidR="00C13B8B" w:rsidRPr="000044F0">
        <w:t xml:space="preserve"> Appendix EU11, condition 7,  Appendix EU12, condition 4, Immigration Rules.</w:t>
      </w:r>
      <w:r w:rsidR="00932DA8" w:rsidRPr="000044F0">
        <w:t xml:space="preserve"> See also on derivative rights of NEFMs later in this paper.</w:t>
      </w:r>
    </w:p>
  </w:footnote>
  <w:footnote w:id="21">
    <w:p w14:paraId="12E5970A" w14:textId="63DD5584" w:rsidR="00467FE0" w:rsidRPr="000044F0" w:rsidRDefault="00467FE0" w:rsidP="002436C8">
      <w:pPr>
        <w:pStyle w:val="FootnoteText"/>
      </w:pPr>
      <w:r w:rsidRPr="000044F0">
        <w:rPr>
          <w:rStyle w:val="FootnoteReference"/>
        </w:rPr>
        <w:footnoteRef/>
      </w:r>
      <w:r w:rsidRPr="000044F0">
        <w:t xml:space="preserve"> </w:t>
      </w:r>
      <w:r w:rsidR="008866BF" w:rsidRPr="000044F0">
        <w:rPr>
          <w:i/>
          <w:noProof/>
        </w:rPr>
        <w:t>Lounes</w:t>
      </w:r>
      <w:r w:rsidR="008866BF" w:rsidRPr="000044F0">
        <w:rPr>
          <w:noProof/>
        </w:rPr>
        <w:t xml:space="preserve"> (C-165/16) EU:C:2017:862</w:t>
      </w:r>
      <w:r w:rsidR="008866BF" w:rsidRPr="000044F0">
        <w:t xml:space="preserve">; </w:t>
      </w:r>
      <w:r w:rsidR="008866BF" w:rsidRPr="000044F0">
        <w:rPr>
          <w:i/>
          <w:noProof/>
        </w:rPr>
        <w:t>KA and Others</w:t>
      </w:r>
      <w:r w:rsidR="008866BF" w:rsidRPr="000044F0">
        <w:rPr>
          <w:noProof/>
        </w:rPr>
        <w:t xml:space="preserve"> (C-82/16) EU:C:2018:308</w:t>
      </w:r>
      <w:r w:rsidR="008866BF" w:rsidRPr="000044F0">
        <w:t xml:space="preserve">; </w:t>
      </w:r>
      <w:r w:rsidR="008866BF" w:rsidRPr="000044F0">
        <w:rPr>
          <w:i/>
          <w:noProof/>
        </w:rPr>
        <w:t>RH</w:t>
      </w:r>
      <w:r w:rsidR="008866BF" w:rsidRPr="000044F0">
        <w:rPr>
          <w:noProof/>
        </w:rPr>
        <w:t xml:space="preserve"> (C-836/18) EU:C:2020:119</w:t>
      </w:r>
      <w:r w:rsidR="000044F0" w:rsidRPr="000044F0">
        <w:rPr>
          <w:noProof/>
        </w:rPr>
        <w:t>.</w:t>
      </w:r>
    </w:p>
  </w:footnote>
  <w:footnote w:id="22">
    <w:p w14:paraId="629C07AF" w14:textId="58A0F6BA" w:rsidR="00467FE0" w:rsidRPr="000044F0" w:rsidRDefault="00467FE0" w:rsidP="002436C8">
      <w:pPr>
        <w:pStyle w:val="FootnoteText"/>
      </w:pPr>
      <w:r w:rsidRPr="000044F0">
        <w:rPr>
          <w:rStyle w:val="FootnoteReference"/>
        </w:rPr>
        <w:footnoteRef/>
      </w:r>
      <w:r w:rsidRPr="000044F0">
        <w:t xml:space="preserve"> </w:t>
      </w:r>
      <w:r w:rsidR="000044F0" w:rsidRPr="000044F0">
        <w:rPr>
          <w:i/>
          <w:noProof/>
        </w:rPr>
        <w:t>Lounes</w:t>
      </w:r>
      <w:r w:rsidR="000044F0" w:rsidRPr="000044F0">
        <w:rPr>
          <w:noProof/>
        </w:rPr>
        <w:t xml:space="preserve"> (C-165/16) EU:C:2017:862</w:t>
      </w:r>
      <w:r w:rsidRPr="000044F0">
        <w:t>.</w:t>
      </w:r>
    </w:p>
  </w:footnote>
  <w:footnote w:id="23">
    <w:p w14:paraId="16A7B634" w14:textId="2F0B00CF" w:rsidR="00467FE0" w:rsidRPr="000044F0" w:rsidRDefault="00467FE0" w:rsidP="002436C8">
      <w:pPr>
        <w:pStyle w:val="FootnoteText"/>
      </w:pPr>
      <w:r w:rsidRPr="000044F0">
        <w:rPr>
          <w:rStyle w:val="FootnoteReference"/>
        </w:rPr>
        <w:footnoteRef/>
      </w:r>
      <w:r w:rsidRPr="000044F0">
        <w:t xml:space="preserve"> </w:t>
      </w:r>
      <w:r w:rsidR="000044F0" w:rsidRPr="000044F0">
        <w:rPr>
          <w:i/>
          <w:noProof/>
        </w:rPr>
        <w:t>Singh</w:t>
      </w:r>
      <w:r w:rsidR="000044F0" w:rsidRPr="000044F0">
        <w:rPr>
          <w:noProof/>
        </w:rPr>
        <w:t xml:space="preserve"> (C-370/90) EU:C:1992:296</w:t>
      </w:r>
      <w:r w:rsidR="000044F0" w:rsidRPr="000044F0">
        <w:t>.</w:t>
      </w:r>
    </w:p>
  </w:footnote>
  <w:footnote w:id="24">
    <w:p w14:paraId="0005C637" w14:textId="5B8D6F63" w:rsidR="00467FE0" w:rsidRPr="000044F0" w:rsidRDefault="00467FE0" w:rsidP="002436C8">
      <w:pPr>
        <w:pStyle w:val="FootnoteText"/>
      </w:pPr>
      <w:r w:rsidRPr="000044F0">
        <w:rPr>
          <w:rStyle w:val="FootnoteReference"/>
        </w:rPr>
        <w:footnoteRef/>
      </w:r>
      <w:r w:rsidRPr="000044F0">
        <w:t xml:space="preserve"> </w:t>
      </w:r>
      <w:r w:rsidR="000044F0" w:rsidRPr="000044F0">
        <w:rPr>
          <w:i/>
          <w:noProof/>
        </w:rPr>
        <w:t>Zhu and Chen</w:t>
      </w:r>
      <w:r w:rsidR="000044F0" w:rsidRPr="000044F0">
        <w:rPr>
          <w:noProof/>
        </w:rPr>
        <w:t xml:space="preserve"> (C-200/02) EU:C:2004:639</w:t>
      </w:r>
      <w:r w:rsidRPr="000044F0">
        <w:t>; Regulation 16(2), Immigration (European Economic Area) Regulations 2016.</w:t>
      </w:r>
    </w:p>
  </w:footnote>
  <w:footnote w:id="25">
    <w:p w14:paraId="48A7BFB8" w14:textId="345BE74C" w:rsidR="00467FE0" w:rsidRPr="000044F0" w:rsidRDefault="00467FE0" w:rsidP="002436C8">
      <w:pPr>
        <w:pStyle w:val="FootnoteText"/>
      </w:pPr>
      <w:r w:rsidRPr="000044F0">
        <w:rPr>
          <w:rStyle w:val="FootnoteReference"/>
        </w:rPr>
        <w:footnoteRef/>
      </w:r>
      <w:r w:rsidR="000044F0" w:rsidRPr="000044F0">
        <w:t xml:space="preserve"> </w:t>
      </w:r>
      <w:r w:rsidR="000044F0" w:rsidRPr="000044F0">
        <w:rPr>
          <w:i/>
          <w:noProof/>
        </w:rPr>
        <w:t>Teixeira</w:t>
      </w:r>
      <w:r w:rsidR="000044F0" w:rsidRPr="000044F0">
        <w:rPr>
          <w:noProof/>
        </w:rPr>
        <w:t xml:space="preserve"> (C-480/08) EU:C:2010:83</w:t>
      </w:r>
      <w:r w:rsidR="000044F0" w:rsidRPr="000044F0">
        <w:t xml:space="preserve">; </w:t>
      </w:r>
      <w:r w:rsidR="000044F0" w:rsidRPr="000044F0">
        <w:rPr>
          <w:i/>
          <w:noProof/>
        </w:rPr>
        <w:t>Ibrahim</w:t>
      </w:r>
      <w:r w:rsidR="000044F0" w:rsidRPr="000044F0">
        <w:rPr>
          <w:noProof/>
        </w:rPr>
        <w:t xml:space="preserve"> (C-310/08) EU:C:2010:80</w:t>
      </w:r>
      <w:r w:rsidRPr="000044F0">
        <w:t>; Regulation 16(3), 16(4) Immigration (EEA) Regulations 2016.</w:t>
      </w:r>
    </w:p>
  </w:footnote>
  <w:footnote w:id="26">
    <w:p w14:paraId="0148C912" w14:textId="065E7130" w:rsidR="00467FE0" w:rsidRPr="000044F0" w:rsidRDefault="00467FE0" w:rsidP="002436C8">
      <w:pPr>
        <w:pStyle w:val="FootnoteText"/>
      </w:pPr>
      <w:r w:rsidRPr="000044F0">
        <w:rPr>
          <w:rStyle w:val="FootnoteReference"/>
        </w:rPr>
        <w:footnoteRef/>
      </w:r>
      <w:r w:rsidRPr="000044F0">
        <w:t xml:space="preserve">  </w:t>
      </w:r>
      <w:r w:rsidR="000044F0" w:rsidRPr="0080621E">
        <w:rPr>
          <w:i/>
          <w:noProof/>
        </w:rPr>
        <w:t>Ruiz Zambrano</w:t>
      </w:r>
      <w:r w:rsidR="000044F0" w:rsidRPr="0080621E">
        <w:rPr>
          <w:noProof/>
        </w:rPr>
        <w:t xml:space="preserve"> (C-34/09) EU:C:2011:124</w:t>
      </w:r>
      <w:r w:rsidRPr="000044F0">
        <w:t>; Regulation 16(5) Immigration (EEA) Regulations 2016.</w:t>
      </w:r>
      <w:r w:rsidR="00726266" w:rsidRPr="000044F0">
        <w:t xml:space="preserve"> Whilst it is understood that the claimant’s full untruncated surname is </w:t>
      </w:r>
      <w:r w:rsidR="00726266" w:rsidRPr="000044F0">
        <w:rPr>
          <w:i/>
          <w:iCs/>
        </w:rPr>
        <w:t>Ruiz Zambrano</w:t>
      </w:r>
      <w:r w:rsidR="00726266" w:rsidRPr="000044F0">
        <w:t xml:space="preserve">, </w:t>
      </w:r>
      <w:r w:rsidR="00CB064F" w:rsidRPr="000044F0">
        <w:t>the Home Office has referred to this category of individuals as simply “</w:t>
      </w:r>
      <w:r w:rsidR="00CB064F" w:rsidRPr="000044F0">
        <w:rPr>
          <w:i/>
          <w:iCs/>
        </w:rPr>
        <w:t xml:space="preserve">Zambrano </w:t>
      </w:r>
      <w:r w:rsidR="00CB064F" w:rsidRPr="000044F0">
        <w:t>rights</w:t>
      </w:r>
      <w:r w:rsidR="00CB064F" w:rsidRPr="000044F0">
        <w:rPr>
          <w:i/>
          <w:iCs/>
        </w:rPr>
        <w:t xml:space="preserve"> </w:t>
      </w:r>
      <w:r w:rsidR="00CB064F" w:rsidRPr="000044F0">
        <w:t xml:space="preserve">holders” which will be the term this paper adopts. </w:t>
      </w:r>
    </w:p>
  </w:footnote>
  <w:footnote w:id="27">
    <w:p w14:paraId="191FB18F" w14:textId="36E523EB" w:rsidR="00467FE0" w:rsidRPr="000044F0" w:rsidRDefault="00467FE0" w:rsidP="002436C8">
      <w:pPr>
        <w:pStyle w:val="FootnoteText"/>
      </w:pPr>
      <w:r w:rsidRPr="000044F0">
        <w:rPr>
          <w:rStyle w:val="FootnoteReference"/>
        </w:rPr>
        <w:footnoteRef/>
      </w:r>
      <w:r w:rsidRPr="000044F0">
        <w:t xml:space="preserve"> </w:t>
      </w:r>
      <w:r w:rsidRPr="000044F0">
        <w:rPr>
          <w:i/>
          <w:iCs/>
        </w:rPr>
        <w:t xml:space="preserve">Jus soli </w:t>
      </w:r>
      <w:r w:rsidRPr="000044F0">
        <w:t xml:space="preserve">citizenship is granted to all those born on the territory of the State in question. Therefore in this case, being born on the island of Ireland was enough to confer Irish citizenship onto the baby. </w:t>
      </w:r>
    </w:p>
  </w:footnote>
  <w:footnote w:id="28">
    <w:p w14:paraId="4DF4A7A6" w14:textId="7ABA289D" w:rsidR="00467FE0" w:rsidRPr="000044F0" w:rsidRDefault="00467FE0" w:rsidP="002436C8">
      <w:pPr>
        <w:pStyle w:val="FootnoteText"/>
      </w:pPr>
      <w:r w:rsidRPr="000044F0">
        <w:rPr>
          <w:rStyle w:val="FootnoteReference"/>
        </w:rPr>
        <w:footnoteRef/>
      </w:r>
      <w:r w:rsidR="000315B3" w:rsidRPr="000044F0">
        <w:t xml:space="preserve"> Art 7(2), Directive 2004/38; </w:t>
      </w:r>
      <w:r w:rsidR="000044F0" w:rsidRPr="0080621E">
        <w:rPr>
          <w:i/>
          <w:noProof/>
        </w:rPr>
        <w:t>Baumbast</w:t>
      </w:r>
      <w:r w:rsidR="000044F0" w:rsidRPr="0080621E">
        <w:rPr>
          <w:noProof/>
        </w:rPr>
        <w:t xml:space="preserve"> (C-413/99) EU:C:2002:493</w:t>
      </w:r>
      <w:r w:rsidR="000044F0" w:rsidRPr="0080621E">
        <w:t>.</w:t>
      </w:r>
    </w:p>
  </w:footnote>
  <w:footnote w:id="29">
    <w:p w14:paraId="0D2023C0" w14:textId="24F8B3AA" w:rsidR="002436C8" w:rsidRPr="000044F0" w:rsidRDefault="002436C8" w:rsidP="002436C8">
      <w:pPr>
        <w:pStyle w:val="FootnoteText"/>
      </w:pPr>
      <w:r w:rsidRPr="000044F0">
        <w:rPr>
          <w:rStyle w:val="FootnoteReference"/>
        </w:rPr>
        <w:footnoteRef/>
      </w:r>
      <w:r w:rsidRPr="000044F0">
        <w:t xml:space="preserve"> Only recently was this process made slightly easier, previously those requiring a form had to call the EU Settlement Scheme hotline to ask one to be posted to them, and now this request can be made online.</w:t>
      </w:r>
    </w:p>
  </w:footnote>
  <w:footnote w:id="30">
    <w:p w14:paraId="7D693F4A" w14:textId="3B2C48B6" w:rsidR="00467FE0" w:rsidRPr="000044F0" w:rsidRDefault="00467FE0" w:rsidP="002436C8">
      <w:pPr>
        <w:pStyle w:val="FootnoteText"/>
      </w:pPr>
      <w:r w:rsidRPr="000044F0">
        <w:rPr>
          <w:rStyle w:val="FootnoteReference"/>
        </w:rPr>
        <w:footnoteRef/>
      </w:r>
      <w:r w:rsidRPr="000044F0">
        <w:t xml:space="preserve"> Th</w:t>
      </w:r>
      <w:r w:rsidR="00BF51C3" w:rsidRPr="000044F0">
        <w:t xml:space="preserve">is author noted that there were </w:t>
      </w:r>
      <w:r w:rsidR="002436C8" w:rsidRPr="000044F0">
        <w:t>10,130</w:t>
      </w:r>
      <w:r w:rsidRPr="000044F0">
        <w:t xml:space="preserve"> paper-based applications as of </w:t>
      </w:r>
      <w:r w:rsidR="002436C8" w:rsidRPr="000044F0">
        <w:t xml:space="preserve">March </w:t>
      </w:r>
      <w:r w:rsidRPr="000044F0">
        <w:t>202</w:t>
      </w:r>
      <w:r w:rsidR="002436C8" w:rsidRPr="000044F0">
        <w:t>1</w:t>
      </w:r>
      <w:r w:rsidR="00BF51C3" w:rsidRPr="000044F0">
        <w:t xml:space="preserve"> out </w:t>
      </w:r>
      <w:r w:rsidR="002436C8" w:rsidRPr="000044F0">
        <w:t>of</w:t>
      </w:r>
      <w:r w:rsidRPr="000044F0">
        <w:t xml:space="preserve"> just over </w:t>
      </w:r>
      <w:r w:rsidR="002436C8" w:rsidRPr="000044F0">
        <w:t>5</w:t>
      </w:r>
      <w:r w:rsidRPr="000044F0">
        <w:t xml:space="preserve"> million in total to the EUSS, with </w:t>
      </w:r>
      <w:r w:rsidR="002436C8" w:rsidRPr="000044F0">
        <w:t>34</w:t>
      </w:r>
      <w:r w:rsidRPr="000044F0">
        <w:t>0,</w:t>
      </w:r>
      <w:r w:rsidR="002436C8" w:rsidRPr="000044F0">
        <w:t>65</w:t>
      </w:r>
      <w:r w:rsidRPr="000044F0">
        <w:t>0 of these from non-EU nationals</w:t>
      </w:r>
      <w:r w:rsidR="00B449F9" w:rsidRPr="000044F0">
        <w:t>; see</w:t>
      </w:r>
      <w:r w:rsidR="00426311" w:rsidRPr="000044F0">
        <w:t xml:space="preserve"> Home Office (2021b).</w:t>
      </w:r>
    </w:p>
  </w:footnote>
  <w:footnote w:id="31">
    <w:p w14:paraId="5E028837" w14:textId="1139E8DD" w:rsidR="002112EA" w:rsidRPr="000044F0" w:rsidRDefault="002112EA">
      <w:pPr>
        <w:pStyle w:val="FootnoteText"/>
      </w:pPr>
      <w:r w:rsidRPr="000044F0">
        <w:rPr>
          <w:rStyle w:val="FootnoteReference"/>
        </w:rPr>
        <w:footnoteRef/>
      </w:r>
      <w:r w:rsidR="00351FCA" w:rsidRPr="000044F0">
        <w:t xml:space="preserve"> Under</w:t>
      </w:r>
      <w:r w:rsidRPr="000044F0">
        <w:t xml:space="preserve"> Appendix FM, Immigration Rules</w:t>
      </w:r>
      <w:r w:rsidR="00351FCA" w:rsidRPr="000044F0">
        <w:t>, as a parent of a dependent child.</w:t>
      </w:r>
    </w:p>
  </w:footnote>
  <w:footnote w:id="32">
    <w:p w14:paraId="278B5464" w14:textId="6761D60A" w:rsidR="00351FCA" w:rsidRPr="000044F0" w:rsidRDefault="00351FCA">
      <w:pPr>
        <w:pStyle w:val="FootnoteText"/>
      </w:pPr>
      <w:r w:rsidRPr="000044F0">
        <w:rPr>
          <w:rStyle w:val="FootnoteReference"/>
        </w:rPr>
        <w:footnoteRef/>
      </w:r>
      <w:r w:rsidRPr="000044F0">
        <w:t xml:space="preserve"> </w:t>
      </w:r>
      <w:r w:rsidR="001D7950" w:rsidRPr="000044F0">
        <w:t>Regulation 16(5) Immigration (EEA) Regulations 2016.</w:t>
      </w:r>
    </w:p>
  </w:footnote>
  <w:footnote w:id="33">
    <w:p w14:paraId="1D09BBB5" w14:textId="711A7E3A" w:rsidR="002667DF" w:rsidRPr="000044F0" w:rsidRDefault="002667DF" w:rsidP="002667DF">
      <w:pPr>
        <w:pStyle w:val="FootnoteText"/>
      </w:pPr>
      <w:r w:rsidRPr="000044F0">
        <w:rPr>
          <w:rStyle w:val="FootnoteReference"/>
        </w:rPr>
        <w:footnoteRef/>
      </w:r>
      <w:r w:rsidRPr="000044F0">
        <w:t xml:space="preserve"> Applications made under Appendix FM of the Immigration Rules is subject to the fee under “Leave to remain – Other” of £1033, see </w:t>
      </w:r>
      <w:r w:rsidR="00426311" w:rsidRPr="000044F0">
        <w:t>Home Office (2020</w:t>
      </w:r>
      <w:r w:rsidR="006B6F9B">
        <w:t>e</w:t>
      </w:r>
      <w:r w:rsidR="00426311" w:rsidRPr="000044F0">
        <w:t>).</w:t>
      </w:r>
    </w:p>
  </w:footnote>
  <w:footnote w:id="34">
    <w:p w14:paraId="78CC99F6" w14:textId="068DA726" w:rsidR="005E46B4" w:rsidRPr="000044F0" w:rsidRDefault="005E46B4">
      <w:pPr>
        <w:pStyle w:val="FootnoteText"/>
      </w:pPr>
      <w:r w:rsidRPr="000044F0">
        <w:rPr>
          <w:rStyle w:val="FootnoteReference"/>
        </w:rPr>
        <w:footnoteRef/>
      </w:r>
      <w:r w:rsidRPr="000044F0">
        <w:t xml:space="preserve"> </w:t>
      </w:r>
      <w:r w:rsidR="00426311" w:rsidRPr="000044F0">
        <w:t>U</w:t>
      </w:r>
      <w:r w:rsidRPr="000044F0">
        <w:t>nder ‘person with a Zambrano right to reside’.</w:t>
      </w:r>
      <w:r w:rsidR="00D364D1" w:rsidRPr="000044F0">
        <w:t xml:space="preserve"> See Home Office </w:t>
      </w:r>
      <w:r w:rsidR="00935A6D">
        <w:t>(</w:t>
      </w:r>
      <w:r w:rsidR="00D364D1" w:rsidRPr="000044F0">
        <w:t>2020</w:t>
      </w:r>
      <w:r w:rsidR="006B6F9B">
        <w:t>e</w:t>
      </w:r>
      <w:r w:rsidR="00935A6D">
        <w:t>)</w:t>
      </w:r>
      <w:r w:rsidR="00D364D1" w:rsidRPr="000044F0">
        <w:t>.</w:t>
      </w:r>
    </w:p>
  </w:footnote>
  <w:footnote w:id="35">
    <w:p w14:paraId="76CD9600" w14:textId="77777777" w:rsidR="002667DF" w:rsidRPr="000044F0" w:rsidRDefault="002667DF" w:rsidP="002667DF">
      <w:pPr>
        <w:pStyle w:val="FootnoteText"/>
      </w:pPr>
      <w:r w:rsidRPr="000044F0">
        <w:rPr>
          <w:rStyle w:val="FootnoteReference"/>
        </w:rPr>
        <w:footnoteRef/>
      </w:r>
      <w:r w:rsidRPr="000044F0">
        <w:t xml:space="preserve"> </w:t>
      </w:r>
      <w:r w:rsidRPr="000044F0">
        <w:rPr>
          <w:i/>
          <w:iCs/>
        </w:rPr>
        <w:t>R (</w:t>
      </w:r>
      <w:proofErr w:type="spellStart"/>
      <w:r w:rsidRPr="000044F0">
        <w:rPr>
          <w:i/>
          <w:iCs/>
        </w:rPr>
        <w:t>Akinsanya</w:t>
      </w:r>
      <w:proofErr w:type="spellEnd"/>
      <w:r w:rsidRPr="000044F0">
        <w:rPr>
          <w:i/>
          <w:iCs/>
        </w:rPr>
        <w:t xml:space="preserve">) v Secretary of State for the Home Department </w:t>
      </w:r>
      <w:r w:rsidRPr="000044F0">
        <w:t>[2021] EWHC 1535 (Admin).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963"/>
    <w:multiLevelType w:val="hybridMultilevel"/>
    <w:tmpl w:val="815C0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C2659"/>
    <w:multiLevelType w:val="hybridMultilevel"/>
    <w:tmpl w:val="E12C17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FF3EFF"/>
    <w:multiLevelType w:val="multilevel"/>
    <w:tmpl w:val="942CE92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F560E9"/>
    <w:multiLevelType w:val="hybridMultilevel"/>
    <w:tmpl w:val="85B86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00EFB"/>
    <w:multiLevelType w:val="hybridMultilevel"/>
    <w:tmpl w:val="B7D29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AA160C"/>
    <w:multiLevelType w:val="hybridMultilevel"/>
    <w:tmpl w:val="C49AC5C2"/>
    <w:lvl w:ilvl="0" w:tplc="59C2DC5A">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0738A"/>
    <w:multiLevelType w:val="hybridMultilevel"/>
    <w:tmpl w:val="887C807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8327B3"/>
    <w:multiLevelType w:val="multilevel"/>
    <w:tmpl w:val="942CE92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E8259E"/>
    <w:multiLevelType w:val="multilevel"/>
    <w:tmpl w:val="B4DE1BDC"/>
    <w:lvl w:ilvl="0">
      <w:start w:val="1"/>
      <w:numFmt w:val="upperRoman"/>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abstractNum w:abstractNumId="9" w15:restartNumberingAfterBreak="0">
    <w:nsid w:val="706D6723"/>
    <w:multiLevelType w:val="multilevel"/>
    <w:tmpl w:val="942CE92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012F52"/>
    <w:multiLevelType w:val="hybridMultilevel"/>
    <w:tmpl w:val="18340B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9"/>
  </w:num>
  <w:num w:numId="3">
    <w:abstractNumId w:val="9"/>
    <w:lvlOverride w:ilvl="0">
      <w:startOverride w:val="1"/>
    </w:lvlOverride>
  </w:num>
  <w:num w:numId="4">
    <w:abstractNumId w:val="0"/>
  </w:num>
  <w:num w:numId="5">
    <w:abstractNumId w:val="2"/>
  </w:num>
  <w:num w:numId="6">
    <w:abstractNumId w:val="7"/>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OSCOLA_2_4th_edn&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sftwfenzvppsevv90veew7vx5zvw25razz&quot;&gt;PHD THESIS LIBRARY&lt;record-ids&gt;&lt;item&gt;197&lt;/item&gt;&lt;item&gt;250&lt;/item&gt;&lt;item&gt;255&lt;/item&gt;&lt;item&gt;270&lt;/item&gt;&lt;item&gt;292&lt;/item&gt;&lt;item&gt;496&lt;/item&gt;&lt;item&gt;497&lt;/item&gt;&lt;item&gt;892&lt;/item&gt;&lt;item&gt;1014&lt;/item&gt;&lt;item&gt;1033&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B27294"/>
    <w:rsid w:val="00001C4C"/>
    <w:rsid w:val="000039CB"/>
    <w:rsid w:val="000040D8"/>
    <w:rsid w:val="000044F0"/>
    <w:rsid w:val="00005697"/>
    <w:rsid w:val="00007057"/>
    <w:rsid w:val="00007F76"/>
    <w:rsid w:val="00011C26"/>
    <w:rsid w:val="000128C0"/>
    <w:rsid w:val="000132F3"/>
    <w:rsid w:val="00013552"/>
    <w:rsid w:val="00013757"/>
    <w:rsid w:val="00014165"/>
    <w:rsid w:val="000141F6"/>
    <w:rsid w:val="0001660E"/>
    <w:rsid w:val="00017F87"/>
    <w:rsid w:val="0002045B"/>
    <w:rsid w:val="00021285"/>
    <w:rsid w:val="00022D4E"/>
    <w:rsid w:val="00023581"/>
    <w:rsid w:val="0002369B"/>
    <w:rsid w:val="000239F1"/>
    <w:rsid w:val="00025B57"/>
    <w:rsid w:val="00026A3F"/>
    <w:rsid w:val="00026F6F"/>
    <w:rsid w:val="00026FEB"/>
    <w:rsid w:val="00027BD8"/>
    <w:rsid w:val="00030140"/>
    <w:rsid w:val="00030A7D"/>
    <w:rsid w:val="000315B3"/>
    <w:rsid w:val="00033AD2"/>
    <w:rsid w:val="00035C0B"/>
    <w:rsid w:val="000360C1"/>
    <w:rsid w:val="00036B23"/>
    <w:rsid w:val="00036E0C"/>
    <w:rsid w:val="0004016F"/>
    <w:rsid w:val="000408EE"/>
    <w:rsid w:val="00040BDF"/>
    <w:rsid w:val="00040CF7"/>
    <w:rsid w:val="0004252A"/>
    <w:rsid w:val="00042802"/>
    <w:rsid w:val="00043D2F"/>
    <w:rsid w:val="000450C1"/>
    <w:rsid w:val="000456DE"/>
    <w:rsid w:val="00046F0B"/>
    <w:rsid w:val="0005037A"/>
    <w:rsid w:val="0005133E"/>
    <w:rsid w:val="000513F3"/>
    <w:rsid w:val="0005173F"/>
    <w:rsid w:val="00051B38"/>
    <w:rsid w:val="000521E8"/>
    <w:rsid w:val="00052AC6"/>
    <w:rsid w:val="00052F52"/>
    <w:rsid w:val="00052F77"/>
    <w:rsid w:val="00053A82"/>
    <w:rsid w:val="000564BE"/>
    <w:rsid w:val="00057838"/>
    <w:rsid w:val="000604DA"/>
    <w:rsid w:val="00060EE2"/>
    <w:rsid w:val="00061E8F"/>
    <w:rsid w:val="000620D0"/>
    <w:rsid w:val="000624B5"/>
    <w:rsid w:val="000631D0"/>
    <w:rsid w:val="0006527B"/>
    <w:rsid w:val="000653D9"/>
    <w:rsid w:val="00065DB0"/>
    <w:rsid w:val="00066615"/>
    <w:rsid w:val="00066910"/>
    <w:rsid w:val="00066BAC"/>
    <w:rsid w:val="00066CB6"/>
    <w:rsid w:val="00066FEC"/>
    <w:rsid w:val="0006758B"/>
    <w:rsid w:val="00067641"/>
    <w:rsid w:val="0007085D"/>
    <w:rsid w:val="00071F02"/>
    <w:rsid w:val="00072AF8"/>
    <w:rsid w:val="00073685"/>
    <w:rsid w:val="000738BB"/>
    <w:rsid w:val="000742A0"/>
    <w:rsid w:val="00074AD4"/>
    <w:rsid w:val="0007607A"/>
    <w:rsid w:val="00076A0F"/>
    <w:rsid w:val="00076CF8"/>
    <w:rsid w:val="00076E9D"/>
    <w:rsid w:val="0007772B"/>
    <w:rsid w:val="00077EE9"/>
    <w:rsid w:val="000800E8"/>
    <w:rsid w:val="0008087A"/>
    <w:rsid w:val="00081A73"/>
    <w:rsid w:val="00081F5C"/>
    <w:rsid w:val="000825DA"/>
    <w:rsid w:val="00083615"/>
    <w:rsid w:val="00083811"/>
    <w:rsid w:val="000867EF"/>
    <w:rsid w:val="0008745C"/>
    <w:rsid w:val="000904C2"/>
    <w:rsid w:val="00090E96"/>
    <w:rsid w:val="00093632"/>
    <w:rsid w:val="000943D4"/>
    <w:rsid w:val="00094D91"/>
    <w:rsid w:val="00094E93"/>
    <w:rsid w:val="00096E4F"/>
    <w:rsid w:val="000971B3"/>
    <w:rsid w:val="000A123D"/>
    <w:rsid w:val="000A1319"/>
    <w:rsid w:val="000A1E99"/>
    <w:rsid w:val="000A22AF"/>
    <w:rsid w:val="000A26AD"/>
    <w:rsid w:val="000A2A46"/>
    <w:rsid w:val="000A3908"/>
    <w:rsid w:val="000A4B6E"/>
    <w:rsid w:val="000A5E6C"/>
    <w:rsid w:val="000A6251"/>
    <w:rsid w:val="000B1C14"/>
    <w:rsid w:val="000B21AC"/>
    <w:rsid w:val="000B376F"/>
    <w:rsid w:val="000B409F"/>
    <w:rsid w:val="000B4512"/>
    <w:rsid w:val="000B5141"/>
    <w:rsid w:val="000B5159"/>
    <w:rsid w:val="000B541B"/>
    <w:rsid w:val="000B5C32"/>
    <w:rsid w:val="000B5EA4"/>
    <w:rsid w:val="000B61F4"/>
    <w:rsid w:val="000B66CE"/>
    <w:rsid w:val="000C1268"/>
    <w:rsid w:val="000C14FC"/>
    <w:rsid w:val="000C54A0"/>
    <w:rsid w:val="000C5850"/>
    <w:rsid w:val="000C5DE1"/>
    <w:rsid w:val="000C7C42"/>
    <w:rsid w:val="000D14BF"/>
    <w:rsid w:val="000D15F1"/>
    <w:rsid w:val="000D2216"/>
    <w:rsid w:val="000D260C"/>
    <w:rsid w:val="000D29D4"/>
    <w:rsid w:val="000D34F5"/>
    <w:rsid w:val="000D5A4F"/>
    <w:rsid w:val="000E1370"/>
    <w:rsid w:val="000E2078"/>
    <w:rsid w:val="000E33DE"/>
    <w:rsid w:val="000E34F7"/>
    <w:rsid w:val="000E5BA9"/>
    <w:rsid w:val="000E6EE9"/>
    <w:rsid w:val="000F0419"/>
    <w:rsid w:val="000F0A8D"/>
    <w:rsid w:val="000F0E73"/>
    <w:rsid w:val="000F110E"/>
    <w:rsid w:val="000F1E09"/>
    <w:rsid w:val="000F1F3D"/>
    <w:rsid w:val="000F52CD"/>
    <w:rsid w:val="000F605D"/>
    <w:rsid w:val="000F6D4A"/>
    <w:rsid w:val="000F785D"/>
    <w:rsid w:val="001003D0"/>
    <w:rsid w:val="00100F0B"/>
    <w:rsid w:val="00100FC0"/>
    <w:rsid w:val="00101191"/>
    <w:rsid w:val="00101EF9"/>
    <w:rsid w:val="001031D2"/>
    <w:rsid w:val="00104657"/>
    <w:rsid w:val="001050AF"/>
    <w:rsid w:val="001062BB"/>
    <w:rsid w:val="001071B5"/>
    <w:rsid w:val="0010738B"/>
    <w:rsid w:val="00113428"/>
    <w:rsid w:val="00113549"/>
    <w:rsid w:val="001136CB"/>
    <w:rsid w:val="00113D1C"/>
    <w:rsid w:val="00116515"/>
    <w:rsid w:val="00116577"/>
    <w:rsid w:val="0011665E"/>
    <w:rsid w:val="00116862"/>
    <w:rsid w:val="00120EC8"/>
    <w:rsid w:val="0012123E"/>
    <w:rsid w:val="00122678"/>
    <w:rsid w:val="00122819"/>
    <w:rsid w:val="00124410"/>
    <w:rsid w:val="0012560F"/>
    <w:rsid w:val="0012568C"/>
    <w:rsid w:val="001300EA"/>
    <w:rsid w:val="00130AFE"/>
    <w:rsid w:val="00132F3F"/>
    <w:rsid w:val="0013315E"/>
    <w:rsid w:val="0013319A"/>
    <w:rsid w:val="00134334"/>
    <w:rsid w:val="00135C14"/>
    <w:rsid w:val="001365A6"/>
    <w:rsid w:val="001367C0"/>
    <w:rsid w:val="00136D7F"/>
    <w:rsid w:val="00141258"/>
    <w:rsid w:val="001449D0"/>
    <w:rsid w:val="00147812"/>
    <w:rsid w:val="00147D50"/>
    <w:rsid w:val="00150242"/>
    <w:rsid w:val="001509A6"/>
    <w:rsid w:val="00152AAD"/>
    <w:rsid w:val="00154774"/>
    <w:rsid w:val="00154E4E"/>
    <w:rsid w:val="00155223"/>
    <w:rsid w:val="0015532E"/>
    <w:rsid w:val="00155E8F"/>
    <w:rsid w:val="00155F02"/>
    <w:rsid w:val="001573D5"/>
    <w:rsid w:val="00160673"/>
    <w:rsid w:val="00160DDB"/>
    <w:rsid w:val="0016115F"/>
    <w:rsid w:val="00161534"/>
    <w:rsid w:val="0016159B"/>
    <w:rsid w:val="001619FE"/>
    <w:rsid w:val="00162F63"/>
    <w:rsid w:val="001632EC"/>
    <w:rsid w:val="00164273"/>
    <w:rsid w:val="00165356"/>
    <w:rsid w:val="001673CA"/>
    <w:rsid w:val="00170D59"/>
    <w:rsid w:val="00170E45"/>
    <w:rsid w:val="00170FE3"/>
    <w:rsid w:val="001710A3"/>
    <w:rsid w:val="00172279"/>
    <w:rsid w:val="001732B4"/>
    <w:rsid w:val="0017367A"/>
    <w:rsid w:val="00173B90"/>
    <w:rsid w:val="00173C9C"/>
    <w:rsid w:val="001742AE"/>
    <w:rsid w:val="00174E0A"/>
    <w:rsid w:val="001760A8"/>
    <w:rsid w:val="00176507"/>
    <w:rsid w:val="00176677"/>
    <w:rsid w:val="00177AC7"/>
    <w:rsid w:val="00180BB1"/>
    <w:rsid w:val="00180F2D"/>
    <w:rsid w:val="00181801"/>
    <w:rsid w:val="00181F7D"/>
    <w:rsid w:val="001842B2"/>
    <w:rsid w:val="00185201"/>
    <w:rsid w:val="00185594"/>
    <w:rsid w:val="00186C27"/>
    <w:rsid w:val="0018713F"/>
    <w:rsid w:val="00187B28"/>
    <w:rsid w:val="00187B90"/>
    <w:rsid w:val="00191374"/>
    <w:rsid w:val="00191AF4"/>
    <w:rsid w:val="00191BB3"/>
    <w:rsid w:val="0019207A"/>
    <w:rsid w:val="001920B8"/>
    <w:rsid w:val="00192FAD"/>
    <w:rsid w:val="00194A1A"/>
    <w:rsid w:val="00194F00"/>
    <w:rsid w:val="0019612C"/>
    <w:rsid w:val="001963AD"/>
    <w:rsid w:val="00196BA5"/>
    <w:rsid w:val="00197CCA"/>
    <w:rsid w:val="001A048A"/>
    <w:rsid w:val="001A0984"/>
    <w:rsid w:val="001A13A3"/>
    <w:rsid w:val="001A2FC7"/>
    <w:rsid w:val="001A324C"/>
    <w:rsid w:val="001A43F3"/>
    <w:rsid w:val="001A5DDB"/>
    <w:rsid w:val="001A60A1"/>
    <w:rsid w:val="001A60E8"/>
    <w:rsid w:val="001A6117"/>
    <w:rsid w:val="001A6643"/>
    <w:rsid w:val="001A7347"/>
    <w:rsid w:val="001A7736"/>
    <w:rsid w:val="001A77D5"/>
    <w:rsid w:val="001A79E6"/>
    <w:rsid w:val="001B02C8"/>
    <w:rsid w:val="001B041B"/>
    <w:rsid w:val="001B060A"/>
    <w:rsid w:val="001B0C6A"/>
    <w:rsid w:val="001B101C"/>
    <w:rsid w:val="001B2C7F"/>
    <w:rsid w:val="001B2E2D"/>
    <w:rsid w:val="001B2E46"/>
    <w:rsid w:val="001B3A66"/>
    <w:rsid w:val="001B4C87"/>
    <w:rsid w:val="001B4E3F"/>
    <w:rsid w:val="001B5A21"/>
    <w:rsid w:val="001B5B72"/>
    <w:rsid w:val="001B5FDA"/>
    <w:rsid w:val="001B6449"/>
    <w:rsid w:val="001B65EF"/>
    <w:rsid w:val="001C010E"/>
    <w:rsid w:val="001C0BFB"/>
    <w:rsid w:val="001C103D"/>
    <w:rsid w:val="001C132B"/>
    <w:rsid w:val="001C18FC"/>
    <w:rsid w:val="001C287B"/>
    <w:rsid w:val="001C4A99"/>
    <w:rsid w:val="001C4E4A"/>
    <w:rsid w:val="001C6507"/>
    <w:rsid w:val="001C7229"/>
    <w:rsid w:val="001C78AD"/>
    <w:rsid w:val="001D0284"/>
    <w:rsid w:val="001D0581"/>
    <w:rsid w:val="001D1E0D"/>
    <w:rsid w:val="001D2409"/>
    <w:rsid w:val="001D27E3"/>
    <w:rsid w:val="001D5560"/>
    <w:rsid w:val="001D67E6"/>
    <w:rsid w:val="001D6E59"/>
    <w:rsid w:val="001D7950"/>
    <w:rsid w:val="001E0286"/>
    <w:rsid w:val="001E06F3"/>
    <w:rsid w:val="001E0761"/>
    <w:rsid w:val="001E0BC0"/>
    <w:rsid w:val="001E127A"/>
    <w:rsid w:val="001E401B"/>
    <w:rsid w:val="001E5D6E"/>
    <w:rsid w:val="001E60E0"/>
    <w:rsid w:val="001E7267"/>
    <w:rsid w:val="001E7B61"/>
    <w:rsid w:val="001F1510"/>
    <w:rsid w:val="001F1591"/>
    <w:rsid w:val="001F1FAF"/>
    <w:rsid w:val="001F2139"/>
    <w:rsid w:val="001F2778"/>
    <w:rsid w:val="001F367C"/>
    <w:rsid w:val="001F4681"/>
    <w:rsid w:val="001F51AC"/>
    <w:rsid w:val="001F536D"/>
    <w:rsid w:val="001F5457"/>
    <w:rsid w:val="001F57C1"/>
    <w:rsid w:val="001F57CC"/>
    <w:rsid w:val="001F5C49"/>
    <w:rsid w:val="001F6294"/>
    <w:rsid w:val="001F7E8D"/>
    <w:rsid w:val="002020C4"/>
    <w:rsid w:val="00202B16"/>
    <w:rsid w:val="00202E2C"/>
    <w:rsid w:val="00202E62"/>
    <w:rsid w:val="0020410D"/>
    <w:rsid w:val="002048C1"/>
    <w:rsid w:val="00205049"/>
    <w:rsid w:val="00207398"/>
    <w:rsid w:val="002073F0"/>
    <w:rsid w:val="0020771F"/>
    <w:rsid w:val="002078B6"/>
    <w:rsid w:val="002112EA"/>
    <w:rsid w:val="00211C42"/>
    <w:rsid w:val="00213B7E"/>
    <w:rsid w:val="00213C6C"/>
    <w:rsid w:val="002141ED"/>
    <w:rsid w:val="0021520C"/>
    <w:rsid w:val="002160C8"/>
    <w:rsid w:val="00216373"/>
    <w:rsid w:val="00217243"/>
    <w:rsid w:val="00217357"/>
    <w:rsid w:val="00217A87"/>
    <w:rsid w:val="0022008B"/>
    <w:rsid w:val="00220848"/>
    <w:rsid w:val="002213CA"/>
    <w:rsid w:val="00221E6A"/>
    <w:rsid w:val="002220F9"/>
    <w:rsid w:val="0022231D"/>
    <w:rsid w:val="00222AB8"/>
    <w:rsid w:val="0022391B"/>
    <w:rsid w:val="00224065"/>
    <w:rsid w:val="002243F0"/>
    <w:rsid w:val="002303C7"/>
    <w:rsid w:val="00230BD4"/>
    <w:rsid w:val="00231028"/>
    <w:rsid w:val="00231B64"/>
    <w:rsid w:val="002326BA"/>
    <w:rsid w:val="00232743"/>
    <w:rsid w:val="002342AA"/>
    <w:rsid w:val="0023446B"/>
    <w:rsid w:val="00235CDE"/>
    <w:rsid w:val="00236196"/>
    <w:rsid w:val="002361D5"/>
    <w:rsid w:val="00236323"/>
    <w:rsid w:val="002368EF"/>
    <w:rsid w:val="002368FC"/>
    <w:rsid w:val="002369BD"/>
    <w:rsid w:val="002372BF"/>
    <w:rsid w:val="00237B67"/>
    <w:rsid w:val="002411CF"/>
    <w:rsid w:val="002423B6"/>
    <w:rsid w:val="00242EC4"/>
    <w:rsid w:val="002436C8"/>
    <w:rsid w:val="0024424A"/>
    <w:rsid w:val="002446FB"/>
    <w:rsid w:val="00244BB8"/>
    <w:rsid w:val="00244C74"/>
    <w:rsid w:val="002453A2"/>
    <w:rsid w:val="00245A76"/>
    <w:rsid w:val="00245BA5"/>
    <w:rsid w:val="002460BA"/>
    <w:rsid w:val="0024616F"/>
    <w:rsid w:val="002463DA"/>
    <w:rsid w:val="002464D1"/>
    <w:rsid w:val="0024794D"/>
    <w:rsid w:val="0025060D"/>
    <w:rsid w:val="00250B12"/>
    <w:rsid w:val="00252A35"/>
    <w:rsid w:val="0025316A"/>
    <w:rsid w:val="002549A0"/>
    <w:rsid w:val="00254A8C"/>
    <w:rsid w:val="00254DB3"/>
    <w:rsid w:val="00255884"/>
    <w:rsid w:val="0025691E"/>
    <w:rsid w:val="00256932"/>
    <w:rsid w:val="00260825"/>
    <w:rsid w:val="002615BC"/>
    <w:rsid w:val="00261998"/>
    <w:rsid w:val="00261FA5"/>
    <w:rsid w:val="0026349C"/>
    <w:rsid w:val="00263911"/>
    <w:rsid w:val="00263D1A"/>
    <w:rsid w:val="00264374"/>
    <w:rsid w:val="002666D5"/>
    <w:rsid w:val="002667DF"/>
    <w:rsid w:val="00267650"/>
    <w:rsid w:val="00270221"/>
    <w:rsid w:val="002703F4"/>
    <w:rsid w:val="0027046E"/>
    <w:rsid w:val="00270A0D"/>
    <w:rsid w:val="00271FCB"/>
    <w:rsid w:val="00272075"/>
    <w:rsid w:val="00272CE0"/>
    <w:rsid w:val="00272E9D"/>
    <w:rsid w:val="00274BB2"/>
    <w:rsid w:val="00274EEB"/>
    <w:rsid w:val="00275DD8"/>
    <w:rsid w:val="00276794"/>
    <w:rsid w:val="00277582"/>
    <w:rsid w:val="00277840"/>
    <w:rsid w:val="0028153C"/>
    <w:rsid w:val="00283356"/>
    <w:rsid w:val="00284498"/>
    <w:rsid w:val="00284A44"/>
    <w:rsid w:val="00285AAB"/>
    <w:rsid w:val="00286FE2"/>
    <w:rsid w:val="0028728E"/>
    <w:rsid w:val="00291E46"/>
    <w:rsid w:val="0029240E"/>
    <w:rsid w:val="002924B0"/>
    <w:rsid w:val="002932F5"/>
    <w:rsid w:val="00293363"/>
    <w:rsid w:val="00293D14"/>
    <w:rsid w:val="00296081"/>
    <w:rsid w:val="002965A4"/>
    <w:rsid w:val="00297C25"/>
    <w:rsid w:val="002A0FBC"/>
    <w:rsid w:val="002A169A"/>
    <w:rsid w:val="002A22A9"/>
    <w:rsid w:val="002A298A"/>
    <w:rsid w:val="002A2994"/>
    <w:rsid w:val="002A2A3D"/>
    <w:rsid w:val="002A3BAB"/>
    <w:rsid w:val="002A3DE1"/>
    <w:rsid w:val="002A40F7"/>
    <w:rsid w:val="002A5023"/>
    <w:rsid w:val="002A54E2"/>
    <w:rsid w:val="002A5605"/>
    <w:rsid w:val="002A5653"/>
    <w:rsid w:val="002A66C6"/>
    <w:rsid w:val="002A6C54"/>
    <w:rsid w:val="002A7154"/>
    <w:rsid w:val="002A78F1"/>
    <w:rsid w:val="002B0369"/>
    <w:rsid w:val="002B0746"/>
    <w:rsid w:val="002B0D91"/>
    <w:rsid w:val="002B1C08"/>
    <w:rsid w:val="002B29F0"/>
    <w:rsid w:val="002B3306"/>
    <w:rsid w:val="002B5183"/>
    <w:rsid w:val="002B52A6"/>
    <w:rsid w:val="002B5A7E"/>
    <w:rsid w:val="002B6650"/>
    <w:rsid w:val="002B7CA9"/>
    <w:rsid w:val="002C0563"/>
    <w:rsid w:val="002C1673"/>
    <w:rsid w:val="002C29AC"/>
    <w:rsid w:val="002C35E1"/>
    <w:rsid w:val="002C486F"/>
    <w:rsid w:val="002C5561"/>
    <w:rsid w:val="002C5D5C"/>
    <w:rsid w:val="002C6D25"/>
    <w:rsid w:val="002C7303"/>
    <w:rsid w:val="002D0AA0"/>
    <w:rsid w:val="002D0CB5"/>
    <w:rsid w:val="002D1179"/>
    <w:rsid w:val="002D287D"/>
    <w:rsid w:val="002D4002"/>
    <w:rsid w:val="002D47D7"/>
    <w:rsid w:val="002D4A8E"/>
    <w:rsid w:val="002D54A7"/>
    <w:rsid w:val="002D5A3F"/>
    <w:rsid w:val="002D67E3"/>
    <w:rsid w:val="002D6B8A"/>
    <w:rsid w:val="002E03AF"/>
    <w:rsid w:val="002E0477"/>
    <w:rsid w:val="002E0814"/>
    <w:rsid w:val="002E0D8A"/>
    <w:rsid w:val="002E1FDF"/>
    <w:rsid w:val="002E39A6"/>
    <w:rsid w:val="002E41BB"/>
    <w:rsid w:val="002E4BBE"/>
    <w:rsid w:val="002E57AD"/>
    <w:rsid w:val="002E5C26"/>
    <w:rsid w:val="002F038F"/>
    <w:rsid w:val="002F1804"/>
    <w:rsid w:val="002F1AB8"/>
    <w:rsid w:val="002F1B1E"/>
    <w:rsid w:val="002F1C0E"/>
    <w:rsid w:val="002F2A24"/>
    <w:rsid w:val="002F3BBA"/>
    <w:rsid w:val="002F4A8E"/>
    <w:rsid w:val="002F6271"/>
    <w:rsid w:val="002F6FFB"/>
    <w:rsid w:val="00302630"/>
    <w:rsid w:val="00302703"/>
    <w:rsid w:val="00302735"/>
    <w:rsid w:val="003031BD"/>
    <w:rsid w:val="003060B4"/>
    <w:rsid w:val="00306E36"/>
    <w:rsid w:val="00306FA2"/>
    <w:rsid w:val="003074C7"/>
    <w:rsid w:val="00307A2A"/>
    <w:rsid w:val="00307AE1"/>
    <w:rsid w:val="003107AF"/>
    <w:rsid w:val="003118F2"/>
    <w:rsid w:val="003119C5"/>
    <w:rsid w:val="0031200D"/>
    <w:rsid w:val="00316BD1"/>
    <w:rsid w:val="0031726E"/>
    <w:rsid w:val="00317CB9"/>
    <w:rsid w:val="0032011F"/>
    <w:rsid w:val="00320E51"/>
    <w:rsid w:val="00321A48"/>
    <w:rsid w:val="003231C5"/>
    <w:rsid w:val="00323665"/>
    <w:rsid w:val="00323D94"/>
    <w:rsid w:val="003242BC"/>
    <w:rsid w:val="003244B0"/>
    <w:rsid w:val="003247E5"/>
    <w:rsid w:val="003254BD"/>
    <w:rsid w:val="00325F55"/>
    <w:rsid w:val="00326449"/>
    <w:rsid w:val="00326596"/>
    <w:rsid w:val="00326F06"/>
    <w:rsid w:val="00330E12"/>
    <w:rsid w:val="00332560"/>
    <w:rsid w:val="00332ACE"/>
    <w:rsid w:val="00332DDB"/>
    <w:rsid w:val="003350ED"/>
    <w:rsid w:val="00335208"/>
    <w:rsid w:val="00335DFE"/>
    <w:rsid w:val="00336E74"/>
    <w:rsid w:val="00337964"/>
    <w:rsid w:val="00337C77"/>
    <w:rsid w:val="00337E33"/>
    <w:rsid w:val="00340079"/>
    <w:rsid w:val="00340D66"/>
    <w:rsid w:val="00341AC0"/>
    <w:rsid w:val="00341FD7"/>
    <w:rsid w:val="00342EBC"/>
    <w:rsid w:val="00342FB6"/>
    <w:rsid w:val="0034310A"/>
    <w:rsid w:val="00343D64"/>
    <w:rsid w:val="003450E9"/>
    <w:rsid w:val="00345566"/>
    <w:rsid w:val="003455AA"/>
    <w:rsid w:val="00346119"/>
    <w:rsid w:val="00346E60"/>
    <w:rsid w:val="00346E6F"/>
    <w:rsid w:val="00347108"/>
    <w:rsid w:val="00347D2C"/>
    <w:rsid w:val="00351536"/>
    <w:rsid w:val="00351766"/>
    <w:rsid w:val="0035197A"/>
    <w:rsid w:val="00351FCA"/>
    <w:rsid w:val="0035387F"/>
    <w:rsid w:val="0035419E"/>
    <w:rsid w:val="00354E38"/>
    <w:rsid w:val="003550A1"/>
    <w:rsid w:val="00355317"/>
    <w:rsid w:val="00355519"/>
    <w:rsid w:val="003559EE"/>
    <w:rsid w:val="00356861"/>
    <w:rsid w:val="003575D5"/>
    <w:rsid w:val="003577FF"/>
    <w:rsid w:val="00360670"/>
    <w:rsid w:val="00360845"/>
    <w:rsid w:val="00360A0E"/>
    <w:rsid w:val="00360D87"/>
    <w:rsid w:val="00363488"/>
    <w:rsid w:val="00363D08"/>
    <w:rsid w:val="00364DD6"/>
    <w:rsid w:val="00365210"/>
    <w:rsid w:val="0036531A"/>
    <w:rsid w:val="003659C4"/>
    <w:rsid w:val="00365B1C"/>
    <w:rsid w:val="00366869"/>
    <w:rsid w:val="00367D11"/>
    <w:rsid w:val="00367F1E"/>
    <w:rsid w:val="003717DE"/>
    <w:rsid w:val="00371B44"/>
    <w:rsid w:val="00371CBF"/>
    <w:rsid w:val="00372B75"/>
    <w:rsid w:val="003733A9"/>
    <w:rsid w:val="00373E60"/>
    <w:rsid w:val="00373EA3"/>
    <w:rsid w:val="00376161"/>
    <w:rsid w:val="003765CB"/>
    <w:rsid w:val="00376D49"/>
    <w:rsid w:val="0038011B"/>
    <w:rsid w:val="00380603"/>
    <w:rsid w:val="0038068E"/>
    <w:rsid w:val="003814C6"/>
    <w:rsid w:val="00381E42"/>
    <w:rsid w:val="00382B3E"/>
    <w:rsid w:val="00383CBC"/>
    <w:rsid w:val="00383F77"/>
    <w:rsid w:val="003868DF"/>
    <w:rsid w:val="00387259"/>
    <w:rsid w:val="003876C3"/>
    <w:rsid w:val="00387DFE"/>
    <w:rsid w:val="00387F19"/>
    <w:rsid w:val="00387FB1"/>
    <w:rsid w:val="00390415"/>
    <w:rsid w:val="00391499"/>
    <w:rsid w:val="003919A2"/>
    <w:rsid w:val="0039202D"/>
    <w:rsid w:val="00393871"/>
    <w:rsid w:val="0039433F"/>
    <w:rsid w:val="00394894"/>
    <w:rsid w:val="0039534B"/>
    <w:rsid w:val="00395AA7"/>
    <w:rsid w:val="00396265"/>
    <w:rsid w:val="003973D5"/>
    <w:rsid w:val="003A0D0F"/>
    <w:rsid w:val="003A11F1"/>
    <w:rsid w:val="003A12C1"/>
    <w:rsid w:val="003A12C2"/>
    <w:rsid w:val="003A142F"/>
    <w:rsid w:val="003A1437"/>
    <w:rsid w:val="003A1554"/>
    <w:rsid w:val="003A17E6"/>
    <w:rsid w:val="003A212E"/>
    <w:rsid w:val="003A2C97"/>
    <w:rsid w:val="003A2D56"/>
    <w:rsid w:val="003A30B5"/>
    <w:rsid w:val="003A30D7"/>
    <w:rsid w:val="003A31A3"/>
    <w:rsid w:val="003A44F9"/>
    <w:rsid w:val="003A5176"/>
    <w:rsid w:val="003A51BF"/>
    <w:rsid w:val="003A5318"/>
    <w:rsid w:val="003A53A8"/>
    <w:rsid w:val="003A55B7"/>
    <w:rsid w:val="003A7704"/>
    <w:rsid w:val="003B121F"/>
    <w:rsid w:val="003B14BD"/>
    <w:rsid w:val="003B1E46"/>
    <w:rsid w:val="003B2906"/>
    <w:rsid w:val="003B2985"/>
    <w:rsid w:val="003B2AED"/>
    <w:rsid w:val="003B2C58"/>
    <w:rsid w:val="003B2D93"/>
    <w:rsid w:val="003B2EC0"/>
    <w:rsid w:val="003B32C1"/>
    <w:rsid w:val="003B4706"/>
    <w:rsid w:val="003B57A8"/>
    <w:rsid w:val="003B5A10"/>
    <w:rsid w:val="003B69C0"/>
    <w:rsid w:val="003B6B95"/>
    <w:rsid w:val="003B6DCE"/>
    <w:rsid w:val="003B6EB5"/>
    <w:rsid w:val="003C0593"/>
    <w:rsid w:val="003C0981"/>
    <w:rsid w:val="003C184A"/>
    <w:rsid w:val="003C2827"/>
    <w:rsid w:val="003C42D5"/>
    <w:rsid w:val="003C4480"/>
    <w:rsid w:val="003C4D41"/>
    <w:rsid w:val="003C57BD"/>
    <w:rsid w:val="003C64CF"/>
    <w:rsid w:val="003D02A2"/>
    <w:rsid w:val="003D08BE"/>
    <w:rsid w:val="003D1CA7"/>
    <w:rsid w:val="003D3052"/>
    <w:rsid w:val="003D6F0A"/>
    <w:rsid w:val="003D7542"/>
    <w:rsid w:val="003E16E0"/>
    <w:rsid w:val="003E25CC"/>
    <w:rsid w:val="003E3470"/>
    <w:rsid w:val="003E36A3"/>
    <w:rsid w:val="003E3731"/>
    <w:rsid w:val="003E3FBD"/>
    <w:rsid w:val="003E46BC"/>
    <w:rsid w:val="003E49A9"/>
    <w:rsid w:val="003E4C0B"/>
    <w:rsid w:val="003E57D6"/>
    <w:rsid w:val="003E6A38"/>
    <w:rsid w:val="003E7486"/>
    <w:rsid w:val="003F04F4"/>
    <w:rsid w:val="003F0652"/>
    <w:rsid w:val="003F160D"/>
    <w:rsid w:val="003F229B"/>
    <w:rsid w:val="003F26C2"/>
    <w:rsid w:val="003F31F4"/>
    <w:rsid w:val="003F3C7C"/>
    <w:rsid w:val="003F5061"/>
    <w:rsid w:val="003F57D1"/>
    <w:rsid w:val="003F6281"/>
    <w:rsid w:val="003F62B0"/>
    <w:rsid w:val="003F7EEF"/>
    <w:rsid w:val="004003E3"/>
    <w:rsid w:val="00400724"/>
    <w:rsid w:val="00400BC0"/>
    <w:rsid w:val="004016B4"/>
    <w:rsid w:val="00402170"/>
    <w:rsid w:val="004029E9"/>
    <w:rsid w:val="00403319"/>
    <w:rsid w:val="00404031"/>
    <w:rsid w:val="00406209"/>
    <w:rsid w:val="004102F3"/>
    <w:rsid w:val="0041262D"/>
    <w:rsid w:val="00412631"/>
    <w:rsid w:val="00414E18"/>
    <w:rsid w:val="00416E9D"/>
    <w:rsid w:val="00417E20"/>
    <w:rsid w:val="00421F45"/>
    <w:rsid w:val="004222D5"/>
    <w:rsid w:val="00422AEB"/>
    <w:rsid w:val="004238E3"/>
    <w:rsid w:val="00423A74"/>
    <w:rsid w:val="004243C8"/>
    <w:rsid w:val="00424D77"/>
    <w:rsid w:val="00425D75"/>
    <w:rsid w:val="00426311"/>
    <w:rsid w:val="004263F0"/>
    <w:rsid w:val="004267C1"/>
    <w:rsid w:val="004274A3"/>
    <w:rsid w:val="00427EBC"/>
    <w:rsid w:val="00430301"/>
    <w:rsid w:val="0043083E"/>
    <w:rsid w:val="00430A58"/>
    <w:rsid w:val="0043161D"/>
    <w:rsid w:val="00431B1C"/>
    <w:rsid w:val="00432C2E"/>
    <w:rsid w:val="0043347F"/>
    <w:rsid w:val="00433F6F"/>
    <w:rsid w:val="0043431A"/>
    <w:rsid w:val="00434D83"/>
    <w:rsid w:val="00435074"/>
    <w:rsid w:val="00436061"/>
    <w:rsid w:val="004363E7"/>
    <w:rsid w:val="00436B85"/>
    <w:rsid w:val="00437872"/>
    <w:rsid w:val="00437F2C"/>
    <w:rsid w:val="00441030"/>
    <w:rsid w:val="0044123B"/>
    <w:rsid w:val="0044236C"/>
    <w:rsid w:val="004425F4"/>
    <w:rsid w:val="00442FDB"/>
    <w:rsid w:val="00444819"/>
    <w:rsid w:val="00444981"/>
    <w:rsid w:val="00446577"/>
    <w:rsid w:val="00446F75"/>
    <w:rsid w:val="004472DF"/>
    <w:rsid w:val="0044735C"/>
    <w:rsid w:val="00447AAD"/>
    <w:rsid w:val="00451246"/>
    <w:rsid w:val="00451EA1"/>
    <w:rsid w:val="00455062"/>
    <w:rsid w:val="0045712F"/>
    <w:rsid w:val="004621A4"/>
    <w:rsid w:val="004625C9"/>
    <w:rsid w:val="00463609"/>
    <w:rsid w:val="004637CA"/>
    <w:rsid w:val="00466A15"/>
    <w:rsid w:val="00466F12"/>
    <w:rsid w:val="00467BE6"/>
    <w:rsid w:val="00467FE0"/>
    <w:rsid w:val="004709A8"/>
    <w:rsid w:val="004715B2"/>
    <w:rsid w:val="0047281E"/>
    <w:rsid w:val="004755F6"/>
    <w:rsid w:val="004759E9"/>
    <w:rsid w:val="00476279"/>
    <w:rsid w:val="004810CA"/>
    <w:rsid w:val="00481168"/>
    <w:rsid w:val="00481CC9"/>
    <w:rsid w:val="00481D8C"/>
    <w:rsid w:val="00482915"/>
    <w:rsid w:val="0048308A"/>
    <w:rsid w:val="004833BD"/>
    <w:rsid w:val="00483420"/>
    <w:rsid w:val="004838A0"/>
    <w:rsid w:val="00483F9E"/>
    <w:rsid w:val="00484C27"/>
    <w:rsid w:val="00485182"/>
    <w:rsid w:val="0048559C"/>
    <w:rsid w:val="00486114"/>
    <w:rsid w:val="0048630D"/>
    <w:rsid w:val="00486D65"/>
    <w:rsid w:val="00490412"/>
    <w:rsid w:val="004908F0"/>
    <w:rsid w:val="00491352"/>
    <w:rsid w:val="00491A80"/>
    <w:rsid w:val="00492135"/>
    <w:rsid w:val="00492140"/>
    <w:rsid w:val="00492493"/>
    <w:rsid w:val="004936F9"/>
    <w:rsid w:val="00493945"/>
    <w:rsid w:val="00493A9F"/>
    <w:rsid w:val="004970BC"/>
    <w:rsid w:val="004A07F5"/>
    <w:rsid w:val="004A12BE"/>
    <w:rsid w:val="004A4814"/>
    <w:rsid w:val="004A4C95"/>
    <w:rsid w:val="004A6A9F"/>
    <w:rsid w:val="004A6BD1"/>
    <w:rsid w:val="004A7500"/>
    <w:rsid w:val="004A7EC5"/>
    <w:rsid w:val="004B039F"/>
    <w:rsid w:val="004B1257"/>
    <w:rsid w:val="004B2918"/>
    <w:rsid w:val="004B447B"/>
    <w:rsid w:val="004B4DBB"/>
    <w:rsid w:val="004B5126"/>
    <w:rsid w:val="004B7376"/>
    <w:rsid w:val="004C0B52"/>
    <w:rsid w:val="004C1A32"/>
    <w:rsid w:val="004C275E"/>
    <w:rsid w:val="004C2FBA"/>
    <w:rsid w:val="004C31D7"/>
    <w:rsid w:val="004C3E57"/>
    <w:rsid w:val="004C4340"/>
    <w:rsid w:val="004C44D6"/>
    <w:rsid w:val="004C4BE1"/>
    <w:rsid w:val="004C51A1"/>
    <w:rsid w:val="004C53DC"/>
    <w:rsid w:val="004C5745"/>
    <w:rsid w:val="004C5787"/>
    <w:rsid w:val="004C676F"/>
    <w:rsid w:val="004C6A82"/>
    <w:rsid w:val="004C6BB5"/>
    <w:rsid w:val="004C78DB"/>
    <w:rsid w:val="004D0042"/>
    <w:rsid w:val="004D0FC7"/>
    <w:rsid w:val="004D1852"/>
    <w:rsid w:val="004D317E"/>
    <w:rsid w:val="004D3997"/>
    <w:rsid w:val="004D3AD8"/>
    <w:rsid w:val="004D4539"/>
    <w:rsid w:val="004D4683"/>
    <w:rsid w:val="004D5155"/>
    <w:rsid w:val="004D6D82"/>
    <w:rsid w:val="004D711F"/>
    <w:rsid w:val="004D7806"/>
    <w:rsid w:val="004E100A"/>
    <w:rsid w:val="004E1F12"/>
    <w:rsid w:val="004E3472"/>
    <w:rsid w:val="004E5B96"/>
    <w:rsid w:val="004E642B"/>
    <w:rsid w:val="004E66C1"/>
    <w:rsid w:val="004F0708"/>
    <w:rsid w:val="004F1E0C"/>
    <w:rsid w:val="004F22BC"/>
    <w:rsid w:val="004F2D13"/>
    <w:rsid w:val="004F321F"/>
    <w:rsid w:val="004F3FB7"/>
    <w:rsid w:val="004F4555"/>
    <w:rsid w:val="004F4FF9"/>
    <w:rsid w:val="0050076F"/>
    <w:rsid w:val="00501064"/>
    <w:rsid w:val="005012C3"/>
    <w:rsid w:val="0050140A"/>
    <w:rsid w:val="00501FB8"/>
    <w:rsid w:val="00503619"/>
    <w:rsid w:val="00503CD2"/>
    <w:rsid w:val="00504A3C"/>
    <w:rsid w:val="00504BD0"/>
    <w:rsid w:val="00505F67"/>
    <w:rsid w:val="00506ECB"/>
    <w:rsid w:val="005077CF"/>
    <w:rsid w:val="005078FA"/>
    <w:rsid w:val="00510B6C"/>
    <w:rsid w:val="00510D69"/>
    <w:rsid w:val="00510E2B"/>
    <w:rsid w:val="00510F95"/>
    <w:rsid w:val="00510FD2"/>
    <w:rsid w:val="005116B6"/>
    <w:rsid w:val="00513855"/>
    <w:rsid w:val="00514AEF"/>
    <w:rsid w:val="00514D45"/>
    <w:rsid w:val="0051581D"/>
    <w:rsid w:val="00515D4B"/>
    <w:rsid w:val="00516C0F"/>
    <w:rsid w:val="00516EFF"/>
    <w:rsid w:val="005206A6"/>
    <w:rsid w:val="00520B01"/>
    <w:rsid w:val="00520E28"/>
    <w:rsid w:val="00521E32"/>
    <w:rsid w:val="00521F2E"/>
    <w:rsid w:val="005229C8"/>
    <w:rsid w:val="00523B19"/>
    <w:rsid w:val="005241F2"/>
    <w:rsid w:val="00524577"/>
    <w:rsid w:val="005257C3"/>
    <w:rsid w:val="00526126"/>
    <w:rsid w:val="00526A63"/>
    <w:rsid w:val="00527B4B"/>
    <w:rsid w:val="00527CEC"/>
    <w:rsid w:val="00530487"/>
    <w:rsid w:val="00530BEE"/>
    <w:rsid w:val="005314F4"/>
    <w:rsid w:val="005317F0"/>
    <w:rsid w:val="00531E26"/>
    <w:rsid w:val="00532392"/>
    <w:rsid w:val="00532873"/>
    <w:rsid w:val="00534B64"/>
    <w:rsid w:val="00534B79"/>
    <w:rsid w:val="00535A34"/>
    <w:rsid w:val="00535DC8"/>
    <w:rsid w:val="00536E75"/>
    <w:rsid w:val="00537C2C"/>
    <w:rsid w:val="00537F29"/>
    <w:rsid w:val="005400B7"/>
    <w:rsid w:val="00540230"/>
    <w:rsid w:val="005406D7"/>
    <w:rsid w:val="00540C59"/>
    <w:rsid w:val="00540F0F"/>
    <w:rsid w:val="00541547"/>
    <w:rsid w:val="0054213C"/>
    <w:rsid w:val="0054357E"/>
    <w:rsid w:val="005436D8"/>
    <w:rsid w:val="00543D47"/>
    <w:rsid w:val="0054613C"/>
    <w:rsid w:val="00546C93"/>
    <w:rsid w:val="005474CC"/>
    <w:rsid w:val="00547AB0"/>
    <w:rsid w:val="005507A8"/>
    <w:rsid w:val="00550D87"/>
    <w:rsid w:val="00550F4D"/>
    <w:rsid w:val="00551613"/>
    <w:rsid w:val="005529AB"/>
    <w:rsid w:val="00552C36"/>
    <w:rsid w:val="005550ED"/>
    <w:rsid w:val="0055523A"/>
    <w:rsid w:val="00556715"/>
    <w:rsid w:val="00556DE4"/>
    <w:rsid w:val="00556E06"/>
    <w:rsid w:val="00557605"/>
    <w:rsid w:val="00561B3F"/>
    <w:rsid w:val="005623EB"/>
    <w:rsid w:val="00565028"/>
    <w:rsid w:val="00565E19"/>
    <w:rsid w:val="00566103"/>
    <w:rsid w:val="005664AB"/>
    <w:rsid w:val="00567E75"/>
    <w:rsid w:val="00567F57"/>
    <w:rsid w:val="00570137"/>
    <w:rsid w:val="00570178"/>
    <w:rsid w:val="0057065F"/>
    <w:rsid w:val="00570C37"/>
    <w:rsid w:val="00572E5B"/>
    <w:rsid w:val="0057410F"/>
    <w:rsid w:val="005741F8"/>
    <w:rsid w:val="00574428"/>
    <w:rsid w:val="00574812"/>
    <w:rsid w:val="00575B6D"/>
    <w:rsid w:val="00575F46"/>
    <w:rsid w:val="00577294"/>
    <w:rsid w:val="00577A00"/>
    <w:rsid w:val="00580996"/>
    <w:rsid w:val="00582F1F"/>
    <w:rsid w:val="0058302E"/>
    <w:rsid w:val="005836E3"/>
    <w:rsid w:val="005849FA"/>
    <w:rsid w:val="00584DB3"/>
    <w:rsid w:val="00585E60"/>
    <w:rsid w:val="00586071"/>
    <w:rsid w:val="00587008"/>
    <w:rsid w:val="00587C93"/>
    <w:rsid w:val="00590264"/>
    <w:rsid w:val="00590708"/>
    <w:rsid w:val="00590F2D"/>
    <w:rsid w:val="00592352"/>
    <w:rsid w:val="00592854"/>
    <w:rsid w:val="00594813"/>
    <w:rsid w:val="0059547A"/>
    <w:rsid w:val="0059662E"/>
    <w:rsid w:val="005977B8"/>
    <w:rsid w:val="00597DE4"/>
    <w:rsid w:val="00597DFF"/>
    <w:rsid w:val="005A0872"/>
    <w:rsid w:val="005A27EB"/>
    <w:rsid w:val="005A309F"/>
    <w:rsid w:val="005A384A"/>
    <w:rsid w:val="005A40F6"/>
    <w:rsid w:val="005A4163"/>
    <w:rsid w:val="005A4DDA"/>
    <w:rsid w:val="005A5704"/>
    <w:rsid w:val="005A5954"/>
    <w:rsid w:val="005A5F81"/>
    <w:rsid w:val="005A6136"/>
    <w:rsid w:val="005A6E9D"/>
    <w:rsid w:val="005A70AD"/>
    <w:rsid w:val="005A736D"/>
    <w:rsid w:val="005A74A2"/>
    <w:rsid w:val="005B0381"/>
    <w:rsid w:val="005B03EB"/>
    <w:rsid w:val="005B47C2"/>
    <w:rsid w:val="005B4E34"/>
    <w:rsid w:val="005B4F82"/>
    <w:rsid w:val="005B5C6E"/>
    <w:rsid w:val="005B68A3"/>
    <w:rsid w:val="005B6E14"/>
    <w:rsid w:val="005C0FFE"/>
    <w:rsid w:val="005C2893"/>
    <w:rsid w:val="005C2A81"/>
    <w:rsid w:val="005C2C94"/>
    <w:rsid w:val="005C2FB6"/>
    <w:rsid w:val="005C6570"/>
    <w:rsid w:val="005C6B44"/>
    <w:rsid w:val="005C75AF"/>
    <w:rsid w:val="005D23D2"/>
    <w:rsid w:val="005D3275"/>
    <w:rsid w:val="005D4400"/>
    <w:rsid w:val="005D5D40"/>
    <w:rsid w:val="005D6DC2"/>
    <w:rsid w:val="005D7649"/>
    <w:rsid w:val="005D7D2A"/>
    <w:rsid w:val="005E07C9"/>
    <w:rsid w:val="005E0948"/>
    <w:rsid w:val="005E0C86"/>
    <w:rsid w:val="005E21DD"/>
    <w:rsid w:val="005E300E"/>
    <w:rsid w:val="005E30E8"/>
    <w:rsid w:val="005E369F"/>
    <w:rsid w:val="005E46B4"/>
    <w:rsid w:val="005E4B31"/>
    <w:rsid w:val="005E576E"/>
    <w:rsid w:val="005E5CBF"/>
    <w:rsid w:val="005E668E"/>
    <w:rsid w:val="005E6A61"/>
    <w:rsid w:val="005F1434"/>
    <w:rsid w:val="005F1B08"/>
    <w:rsid w:val="005F2957"/>
    <w:rsid w:val="005F32F8"/>
    <w:rsid w:val="005F344B"/>
    <w:rsid w:val="005F3523"/>
    <w:rsid w:val="005F465C"/>
    <w:rsid w:val="005F4790"/>
    <w:rsid w:val="005F571C"/>
    <w:rsid w:val="005F5955"/>
    <w:rsid w:val="005F62A5"/>
    <w:rsid w:val="005F7429"/>
    <w:rsid w:val="005F7851"/>
    <w:rsid w:val="00600A72"/>
    <w:rsid w:val="006012F4"/>
    <w:rsid w:val="006018D4"/>
    <w:rsid w:val="00601ED0"/>
    <w:rsid w:val="00602696"/>
    <w:rsid w:val="006028E4"/>
    <w:rsid w:val="00602A2E"/>
    <w:rsid w:val="006042CB"/>
    <w:rsid w:val="0060472B"/>
    <w:rsid w:val="0060487F"/>
    <w:rsid w:val="006056B3"/>
    <w:rsid w:val="00606178"/>
    <w:rsid w:val="0060637B"/>
    <w:rsid w:val="00606841"/>
    <w:rsid w:val="00606906"/>
    <w:rsid w:val="006100CD"/>
    <w:rsid w:val="00610B19"/>
    <w:rsid w:val="00611272"/>
    <w:rsid w:val="00611EA7"/>
    <w:rsid w:val="0061263A"/>
    <w:rsid w:val="00613919"/>
    <w:rsid w:val="00613D10"/>
    <w:rsid w:val="0061492E"/>
    <w:rsid w:val="0061728B"/>
    <w:rsid w:val="00620DDF"/>
    <w:rsid w:val="00622D2B"/>
    <w:rsid w:val="006241F5"/>
    <w:rsid w:val="00624873"/>
    <w:rsid w:val="00625ECB"/>
    <w:rsid w:val="00627069"/>
    <w:rsid w:val="00627AFA"/>
    <w:rsid w:val="00630F5F"/>
    <w:rsid w:val="00630FB8"/>
    <w:rsid w:val="006319F6"/>
    <w:rsid w:val="006326AD"/>
    <w:rsid w:val="006331E6"/>
    <w:rsid w:val="006338B8"/>
    <w:rsid w:val="00633FF8"/>
    <w:rsid w:val="00634FFA"/>
    <w:rsid w:val="0063569C"/>
    <w:rsid w:val="00640BE8"/>
    <w:rsid w:val="00641193"/>
    <w:rsid w:val="0064198D"/>
    <w:rsid w:val="006425AD"/>
    <w:rsid w:val="006431C1"/>
    <w:rsid w:val="00643AA7"/>
    <w:rsid w:val="00643D97"/>
    <w:rsid w:val="0064499B"/>
    <w:rsid w:val="00647926"/>
    <w:rsid w:val="00650BAC"/>
    <w:rsid w:val="00651717"/>
    <w:rsid w:val="00652340"/>
    <w:rsid w:val="006523CF"/>
    <w:rsid w:val="006541D7"/>
    <w:rsid w:val="00656E90"/>
    <w:rsid w:val="006606FD"/>
    <w:rsid w:val="00660AF7"/>
    <w:rsid w:val="00662071"/>
    <w:rsid w:val="00662A5D"/>
    <w:rsid w:val="0066319B"/>
    <w:rsid w:val="00663944"/>
    <w:rsid w:val="00667513"/>
    <w:rsid w:val="0066798C"/>
    <w:rsid w:val="0067267C"/>
    <w:rsid w:val="00675DFA"/>
    <w:rsid w:val="006766B6"/>
    <w:rsid w:val="00677899"/>
    <w:rsid w:val="006807C9"/>
    <w:rsid w:val="00680C86"/>
    <w:rsid w:val="00681AF6"/>
    <w:rsid w:val="0068368D"/>
    <w:rsid w:val="00683CE1"/>
    <w:rsid w:val="00683FA6"/>
    <w:rsid w:val="0068574A"/>
    <w:rsid w:val="00685953"/>
    <w:rsid w:val="00685FB9"/>
    <w:rsid w:val="006905C8"/>
    <w:rsid w:val="00690E56"/>
    <w:rsid w:val="00692110"/>
    <w:rsid w:val="00693DF3"/>
    <w:rsid w:val="00694DDB"/>
    <w:rsid w:val="00695434"/>
    <w:rsid w:val="006969B5"/>
    <w:rsid w:val="006969E3"/>
    <w:rsid w:val="00697D37"/>
    <w:rsid w:val="006A0D0C"/>
    <w:rsid w:val="006A0F58"/>
    <w:rsid w:val="006A212F"/>
    <w:rsid w:val="006A2A40"/>
    <w:rsid w:val="006A35F6"/>
    <w:rsid w:val="006A6576"/>
    <w:rsid w:val="006B1FA0"/>
    <w:rsid w:val="006B49CE"/>
    <w:rsid w:val="006B4EC3"/>
    <w:rsid w:val="006B5BA9"/>
    <w:rsid w:val="006B6F9B"/>
    <w:rsid w:val="006C0FC2"/>
    <w:rsid w:val="006C10E8"/>
    <w:rsid w:val="006C16A5"/>
    <w:rsid w:val="006C18B0"/>
    <w:rsid w:val="006C196D"/>
    <w:rsid w:val="006C2046"/>
    <w:rsid w:val="006C2584"/>
    <w:rsid w:val="006C2672"/>
    <w:rsid w:val="006C28EE"/>
    <w:rsid w:val="006C3F08"/>
    <w:rsid w:val="006C4CF6"/>
    <w:rsid w:val="006C53FB"/>
    <w:rsid w:val="006C59D0"/>
    <w:rsid w:val="006C66FD"/>
    <w:rsid w:val="006C7457"/>
    <w:rsid w:val="006C74B1"/>
    <w:rsid w:val="006D0A7E"/>
    <w:rsid w:val="006D0C33"/>
    <w:rsid w:val="006D26EA"/>
    <w:rsid w:val="006D2EB9"/>
    <w:rsid w:val="006D4B1D"/>
    <w:rsid w:val="006D4DA7"/>
    <w:rsid w:val="006D530B"/>
    <w:rsid w:val="006D6440"/>
    <w:rsid w:val="006E014F"/>
    <w:rsid w:val="006E17BE"/>
    <w:rsid w:val="006E21FD"/>
    <w:rsid w:val="006E356D"/>
    <w:rsid w:val="006F0153"/>
    <w:rsid w:val="006F04CC"/>
    <w:rsid w:val="006F099F"/>
    <w:rsid w:val="006F2A7A"/>
    <w:rsid w:val="006F3500"/>
    <w:rsid w:val="006F38C3"/>
    <w:rsid w:val="006F469D"/>
    <w:rsid w:val="006F474E"/>
    <w:rsid w:val="006F60AF"/>
    <w:rsid w:val="006F65E8"/>
    <w:rsid w:val="00700833"/>
    <w:rsid w:val="00700DEE"/>
    <w:rsid w:val="0070123E"/>
    <w:rsid w:val="00702892"/>
    <w:rsid w:val="00702C73"/>
    <w:rsid w:val="00703267"/>
    <w:rsid w:val="00703756"/>
    <w:rsid w:val="007045C6"/>
    <w:rsid w:val="00705A98"/>
    <w:rsid w:val="00706D88"/>
    <w:rsid w:val="00710F28"/>
    <w:rsid w:val="00711625"/>
    <w:rsid w:val="007123A6"/>
    <w:rsid w:val="00712629"/>
    <w:rsid w:val="00712A05"/>
    <w:rsid w:val="007137FA"/>
    <w:rsid w:val="00715460"/>
    <w:rsid w:val="007172C4"/>
    <w:rsid w:val="007179EC"/>
    <w:rsid w:val="00717ABC"/>
    <w:rsid w:val="00717E4F"/>
    <w:rsid w:val="0072264D"/>
    <w:rsid w:val="00723817"/>
    <w:rsid w:val="00723E50"/>
    <w:rsid w:val="00723FE5"/>
    <w:rsid w:val="00724DE4"/>
    <w:rsid w:val="0072503C"/>
    <w:rsid w:val="00725F45"/>
    <w:rsid w:val="00726266"/>
    <w:rsid w:val="00726AD0"/>
    <w:rsid w:val="00726CE3"/>
    <w:rsid w:val="00727820"/>
    <w:rsid w:val="007304F4"/>
    <w:rsid w:val="0073057D"/>
    <w:rsid w:val="00730632"/>
    <w:rsid w:val="0073224D"/>
    <w:rsid w:val="00732277"/>
    <w:rsid w:val="00732B5D"/>
    <w:rsid w:val="00732DE9"/>
    <w:rsid w:val="0073333B"/>
    <w:rsid w:val="007335D0"/>
    <w:rsid w:val="007401D6"/>
    <w:rsid w:val="00740465"/>
    <w:rsid w:val="00743080"/>
    <w:rsid w:val="007458CD"/>
    <w:rsid w:val="00745BEF"/>
    <w:rsid w:val="007460B8"/>
    <w:rsid w:val="00746CFB"/>
    <w:rsid w:val="007472D8"/>
    <w:rsid w:val="00747E13"/>
    <w:rsid w:val="00750381"/>
    <w:rsid w:val="00750B1B"/>
    <w:rsid w:val="00750F65"/>
    <w:rsid w:val="00751003"/>
    <w:rsid w:val="0075530A"/>
    <w:rsid w:val="00756908"/>
    <w:rsid w:val="0075783E"/>
    <w:rsid w:val="007602EB"/>
    <w:rsid w:val="00760355"/>
    <w:rsid w:val="0076057A"/>
    <w:rsid w:val="00760C69"/>
    <w:rsid w:val="007612BB"/>
    <w:rsid w:val="00761794"/>
    <w:rsid w:val="007617C9"/>
    <w:rsid w:val="00762345"/>
    <w:rsid w:val="00762587"/>
    <w:rsid w:val="007627A5"/>
    <w:rsid w:val="0076322E"/>
    <w:rsid w:val="00763860"/>
    <w:rsid w:val="007664C4"/>
    <w:rsid w:val="00767124"/>
    <w:rsid w:val="00771974"/>
    <w:rsid w:val="00772BBD"/>
    <w:rsid w:val="007732F8"/>
    <w:rsid w:val="0077390B"/>
    <w:rsid w:val="0077567E"/>
    <w:rsid w:val="00775D31"/>
    <w:rsid w:val="00776029"/>
    <w:rsid w:val="0077691A"/>
    <w:rsid w:val="007774EB"/>
    <w:rsid w:val="00777EC7"/>
    <w:rsid w:val="007802EA"/>
    <w:rsid w:val="00780FFD"/>
    <w:rsid w:val="0078250D"/>
    <w:rsid w:val="00782F7E"/>
    <w:rsid w:val="007831A4"/>
    <w:rsid w:val="007832A4"/>
    <w:rsid w:val="007832E0"/>
    <w:rsid w:val="00783809"/>
    <w:rsid w:val="00784978"/>
    <w:rsid w:val="00785495"/>
    <w:rsid w:val="00785C86"/>
    <w:rsid w:val="00786051"/>
    <w:rsid w:val="00786E58"/>
    <w:rsid w:val="007878CA"/>
    <w:rsid w:val="00787ECD"/>
    <w:rsid w:val="00787F8A"/>
    <w:rsid w:val="0079051D"/>
    <w:rsid w:val="00790AAD"/>
    <w:rsid w:val="00791EDD"/>
    <w:rsid w:val="0079218A"/>
    <w:rsid w:val="007931B3"/>
    <w:rsid w:val="00793676"/>
    <w:rsid w:val="00793AB1"/>
    <w:rsid w:val="007956D3"/>
    <w:rsid w:val="00795C48"/>
    <w:rsid w:val="00795D49"/>
    <w:rsid w:val="00795FD2"/>
    <w:rsid w:val="00796391"/>
    <w:rsid w:val="007973B0"/>
    <w:rsid w:val="00797F1D"/>
    <w:rsid w:val="007A0837"/>
    <w:rsid w:val="007A1265"/>
    <w:rsid w:val="007A1547"/>
    <w:rsid w:val="007A2115"/>
    <w:rsid w:val="007A215B"/>
    <w:rsid w:val="007A36EA"/>
    <w:rsid w:val="007A3BF5"/>
    <w:rsid w:val="007A4508"/>
    <w:rsid w:val="007A522B"/>
    <w:rsid w:val="007A5937"/>
    <w:rsid w:val="007A5F5C"/>
    <w:rsid w:val="007A669F"/>
    <w:rsid w:val="007A6CF3"/>
    <w:rsid w:val="007A6E7C"/>
    <w:rsid w:val="007A7FF2"/>
    <w:rsid w:val="007B03F0"/>
    <w:rsid w:val="007B3DF2"/>
    <w:rsid w:val="007B5805"/>
    <w:rsid w:val="007B598F"/>
    <w:rsid w:val="007B6B38"/>
    <w:rsid w:val="007C07AB"/>
    <w:rsid w:val="007C0D46"/>
    <w:rsid w:val="007C13EC"/>
    <w:rsid w:val="007C3DA8"/>
    <w:rsid w:val="007C4FB6"/>
    <w:rsid w:val="007C5318"/>
    <w:rsid w:val="007C72F2"/>
    <w:rsid w:val="007C7449"/>
    <w:rsid w:val="007D0878"/>
    <w:rsid w:val="007D0A3E"/>
    <w:rsid w:val="007D1E50"/>
    <w:rsid w:val="007D2467"/>
    <w:rsid w:val="007D2F6A"/>
    <w:rsid w:val="007D3341"/>
    <w:rsid w:val="007D39E3"/>
    <w:rsid w:val="007D3A88"/>
    <w:rsid w:val="007D56E3"/>
    <w:rsid w:val="007D59A6"/>
    <w:rsid w:val="007D6969"/>
    <w:rsid w:val="007D70AE"/>
    <w:rsid w:val="007D70CE"/>
    <w:rsid w:val="007E12F2"/>
    <w:rsid w:val="007E28D2"/>
    <w:rsid w:val="007E2A84"/>
    <w:rsid w:val="007E3E79"/>
    <w:rsid w:val="007E3F74"/>
    <w:rsid w:val="007E717D"/>
    <w:rsid w:val="007E75C2"/>
    <w:rsid w:val="007E7B86"/>
    <w:rsid w:val="007F0674"/>
    <w:rsid w:val="007F08CA"/>
    <w:rsid w:val="007F0C71"/>
    <w:rsid w:val="007F1DFF"/>
    <w:rsid w:val="007F2162"/>
    <w:rsid w:val="007F22F4"/>
    <w:rsid w:val="007F2935"/>
    <w:rsid w:val="007F2A23"/>
    <w:rsid w:val="007F2CD8"/>
    <w:rsid w:val="007F3775"/>
    <w:rsid w:val="007F4404"/>
    <w:rsid w:val="007F5145"/>
    <w:rsid w:val="007F5498"/>
    <w:rsid w:val="007F5CD4"/>
    <w:rsid w:val="007F5D75"/>
    <w:rsid w:val="007F5EBE"/>
    <w:rsid w:val="007F68EA"/>
    <w:rsid w:val="007F7452"/>
    <w:rsid w:val="007F7DD4"/>
    <w:rsid w:val="008003B3"/>
    <w:rsid w:val="0080182A"/>
    <w:rsid w:val="00801BE2"/>
    <w:rsid w:val="00801FCE"/>
    <w:rsid w:val="008030D2"/>
    <w:rsid w:val="00803413"/>
    <w:rsid w:val="00803B25"/>
    <w:rsid w:val="00803E73"/>
    <w:rsid w:val="00804944"/>
    <w:rsid w:val="00804A24"/>
    <w:rsid w:val="00804B58"/>
    <w:rsid w:val="0080621E"/>
    <w:rsid w:val="00807997"/>
    <w:rsid w:val="008079A5"/>
    <w:rsid w:val="00807AC0"/>
    <w:rsid w:val="00810218"/>
    <w:rsid w:val="00811523"/>
    <w:rsid w:val="00811561"/>
    <w:rsid w:val="0081276A"/>
    <w:rsid w:val="00814B2F"/>
    <w:rsid w:val="00816FF6"/>
    <w:rsid w:val="008203BB"/>
    <w:rsid w:val="0082256C"/>
    <w:rsid w:val="0082403F"/>
    <w:rsid w:val="008241EF"/>
    <w:rsid w:val="008244DE"/>
    <w:rsid w:val="00824F13"/>
    <w:rsid w:val="008264E1"/>
    <w:rsid w:val="00826735"/>
    <w:rsid w:val="00826A47"/>
    <w:rsid w:val="0082724F"/>
    <w:rsid w:val="00827889"/>
    <w:rsid w:val="0082797F"/>
    <w:rsid w:val="0083055A"/>
    <w:rsid w:val="00831558"/>
    <w:rsid w:val="00833325"/>
    <w:rsid w:val="008334A5"/>
    <w:rsid w:val="00834292"/>
    <w:rsid w:val="0083434A"/>
    <w:rsid w:val="008348E8"/>
    <w:rsid w:val="0083670B"/>
    <w:rsid w:val="008368D0"/>
    <w:rsid w:val="00837803"/>
    <w:rsid w:val="0083796A"/>
    <w:rsid w:val="00840AC4"/>
    <w:rsid w:val="00841BEC"/>
    <w:rsid w:val="00841FB0"/>
    <w:rsid w:val="008428BE"/>
    <w:rsid w:val="00843479"/>
    <w:rsid w:val="008437F0"/>
    <w:rsid w:val="008439D3"/>
    <w:rsid w:val="008443AB"/>
    <w:rsid w:val="0084465F"/>
    <w:rsid w:val="00845E27"/>
    <w:rsid w:val="00847057"/>
    <w:rsid w:val="00847627"/>
    <w:rsid w:val="008508F1"/>
    <w:rsid w:val="008512E6"/>
    <w:rsid w:val="008516C0"/>
    <w:rsid w:val="00852244"/>
    <w:rsid w:val="00852E79"/>
    <w:rsid w:val="00853295"/>
    <w:rsid w:val="0085396D"/>
    <w:rsid w:val="00854286"/>
    <w:rsid w:val="00854EDF"/>
    <w:rsid w:val="00855FAD"/>
    <w:rsid w:val="00856629"/>
    <w:rsid w:val="00857EC7"/>
    <w:rsid w:val="00860268"/>
    <w:rsid w:val="00860A03"/>
    <w:rsid w:val="0086175C"/>
    <w:rsid w:val="00862582"/>
    <w:rsid w:val="00862750"/>
    <w:rsid w:val="00863D4A"/>
    <w:rsid w:val="00864743"/>
    <w:rsid w:val="00864E00"/>
    <w:rsid w:val="0086618E"/>
    <w:rsid w:val="00866E43"/>
    <w:rsid w:val="00872D78"/>
    <w:rsid w:val="008734D2"/>
    <w:rsid w:val="00873996"/>
    <w:rsid w:val="00874221"/>
    <w:rsid w:val="00876228"/>
    <w:rsid w:val="008770F0"/>
    <w:rsid w:val="00877487"/>
    <w:rsid w:val="00880289"/>
    <w:rsid w:val="00881369"/>
    <w:rsid w:val="00881B22"/>
    <w:rsid w:val="00882664"/>
    <w:rsid w:val="008827F9"/>
    <w:rsid w:val="0088508B"/>
    <w:rsid w:val="008853AD"/>
    <w:rsid w:val="00885E00"/>
    <w:rsid w:val="00886080"/>
    <w:rsid w:val="008866BF"/>
    <w:rsid w:val="008933CB"/>
    <w:rsid w:val="008938BB"/>
    <w:rsid w:val="00893EC9"/>
    <w:rsid w:val="00895EC9"/>
    <w:rsid w:val="008974C4"/>
    <w:rsid w:val="00897CD9"/>
    <w:rsid w:val="008A059D"/>
    <w:rsid w:val="008A2B38"/>
    <w:rsid w:val="008A4236"/>
    <w:rsid w:val="008A44BB"/>
    <w:rsid w:val="008A6D8F"/>
    <w:rsid w:val="008B0152"/>
    <w:rsid w:val="008B247B"/>
    <w:rsid w:val="008B30CE"/>
    <w:rsid w:val="008B5A5E"/>
    <w:rsid w:val="008B6895"/>
    <w:rsid w:val="008B6FF9"/>
    <w:rsid w:val="008C06EC"/>
    <w:rsid w:val="008C0EE1"/>
    <w:rsid w:val="008C0F86"/>
    <w:rsid w:val="008C1538"/>
    <w:rsid w:val="008C272A"/>
    <w:rsid w:val="008C2BDD"/>
    <w:rsid w:val="008C3658"/>
    <w:rsid w:val="008C4278"/>
    <w:rsid w:val="008C51C6"/>
    <w:rsid w:val="008C5EC5"/>
    <w:rsid w:val="008D05DE"/>
    <w:rsid w:val="008D0E44"/>
    <w:rsid w:val="008D1405"/>
    <w:rsid w:val="008D146B"/>
    <w:rsid w:val="008D2C7B"/>
    <w:rsid w:val="008D30CB"/>
    <w:rsid w:val="008D527D"/>
    <w:rsid w:val="008D6474"/>
    <w:rsid w:val="008E3022"/>
    <w:rsid w:val="008E4179"/>
    <w:rsid w:val="008E42C5"/>
    <w:rsid w:val="008E448C"/>
    <w:rsid w:val="008E59A8"/>
    <w:rsid w:val="008E5DFC"/>
    <w:rsid w:val="008E6E96"/>
    <w:rsid w:val="008E71AA"/>
    <w:rsid w:val="008E73ED"/>
    <w:rsid w:val="008E76BC"/>
    <w:rsid w:val="008F2CB8"/>
    <w:rsid w:val="008F339D"/>
    <w:rsid w:val="008F3AEC"/>
    <w:rsid w:val="008F483E"/>
    <w:rsid w:val="008F54EE"/>
    <w:rsid w:val="008F591B"/>
    <w:rsid w:val="009003D0"/>
    <w:rsid w:val="009015FC"/>
    <w:rsid w:val="00903A21"/>
    <w:rsid w:val="009045CC"/>
    <w:rsid w:val="009061DA"/>
    <w:rsid w:val="00906934"/>
    <w:rsid w:val="00906CDC"/>
    <w:rsid w:val="009074D1"/>
    <w:rsid w:val="00907574"/>
    <w:rsid w:val="00910743"/>
    <w:rsid w:val="00910A64"/>
    <w:rsid w:val="00910EF5"/>
    <w:rsid w:val="0091163F"/>
    <w:rsid w:val="009151D4"/>
    <w:rsid w:val="00916592"/>
    <w:rsid w:val="009171C7"/>
    <w:rsid w:val="00917711"/>
    <w:rsid w:val="00917A4C"/>
    <w:rsid w:val="0092009A"/>
    <w:rsid w:val="00920A14"/>
    <w:rsid w:val="00921D37"/>
    <w:rsid w:val="0092363B"/>
    <w:rsid w:val="00925A80"/>
    <w:rsid w:val="00925E3A"/>
    <w:rsid w:val="00926967"/>
    <w:rsid w:val="00926B00"/>
    <w:rsid w:val="00926CF6"/>
    <w:rsid w:val="00927913"/>
    <w:rsid w:val="00927E3C"/>
    <w:rsid w:val="009300B6"/>
    <w:rsid w:val="00930457"/>
    <w:rsid w:val="00930570"/>
    <w:rsid w:val="0093155F"/>
    <w:rsid w:val="0093187D"/>
    <w:rsid w:val="00931F90"/>
    <w:rsid w:val="00932DA8"/>
    <w:rsid w:val="009339E7"/>
    <w:rsid w:val="00934DE9"/>
    <w:rsid w:val="00934F1C"/>
    <w:rsid w:val="00934F7F"/>
    <w:rsid w:val="00935074"/>
    <w:rsid w:val="009358F6"/>
    <w:rsid w:val="00935A6D"/>
    <w:rsid w:val="00937E9F"/>
    <w:rsid w:val="0094088E"/>
    <w:rsid w:val="009414A5"/>
    <w:rsid w:val="00941B15"/>
    <w:rsid w:val="00944725"/>
    <w:rsid w:val="0094489C"/>
    <w:rsid w:val="0094494B"/>
    <w:rsid w:val="00944B94"/>
    <w:rsid w:val="00945FB5"/>
    <w:rsid w:val="00946F61"/>
    <w:rsid w:val="00950097"/>
    <w:rsid w:val="00950839"/>
    <w:rsid w:val="00952352"/>
    <w:rsid w:val="009544E5"/>
    <w:rsid w:val="00954704"/>
    <w:rsid w:val="00954D01"/>
    <w:rsid w:val="00954F64"/>
    <w:rsid w:val="00960DF8"/>
    <w:rsid w:val="00961C47"/>
    <w:rsid w:val="00962790"/>
    <w:rsid w:val="00962ABA"/>
    <w:rsid w:val="00962FF2"/>
    <w:rsid w:val="00965FD7"/>
    <w:rsid w:val="00967154"/>
    <w:rsid w:val="00967852"/>
    <w:rsid w:val="009706BC"/>
    <w:rsid w:val="00970DF1"/>
    <w:rsid w:val="0097125B"/>
    <w:rsid w:val="009713BD"/>
    <w:rsid w:val="0097150B"/>
    <w:rsid w:val="009723EB"/>
    <w:rsid w:val="00972C44"/>
    <w:rsid w:val="00974199"/>
    <w:rsid w:val="0097561F"/>
    <w:rsid w:val="00975CD4"/>
    <w:rsid w:val="00975E93"/>
    <w:rsid w:val="00976015"/>
    <w:rsid w:val="00981320"/>
    <w:rsid w:val="009814BC"/>
    <w:rsid w:val="009825F4"/>
    <w:rsid w:val="00983D4A"/>
    <w:rsid w:val="00983FFF"/>
    <w:rsid w:val="00985085"/>
    <w:rsid w:val="009855DD"/>
    <w:rsid w:val="00986D8C"/>
    <w:rsid w:val="00986F55"/>
    <w:rsid w:val="0098722E"/>
    <w:rsid w:val="00987B69"/>
    <w:rsid w:val="00990A35"/>
    <w:rsid w:val="0099457A"/>
    <w:rsid w:val="009A04BF"/>
    <w:rsid w:val="009A171D"/>
    <w:rsid w:val="009A1CFD"/>
    <w:rsid w:val="009A532B"/>
    <w:rsid w:val="009A7878"/>
    <w:rsid w:val="009A7D73"/>
    <w:rsid w:val="009B2D0C"/>
    <w:rsid w:val="009B3724"/>
    <w:rsid w:val="009B3D2B"/>
    <w:rsid w:val="009B4BD0"/>
    <w:rsid w:val="009B4D8F"/>
    <w:rsid w:val="009B7219"/>
    <w:rsid w:val="009B75EC"/>
    <w:rsid w:val="009B7B0A"/>
    <w:rsid w:val="009C05F2"/>
    <w:rsid w:val="009C0709"/>
    <w:rsid w:val="009C09CF"/>
    <w:rsid w:val="009C1009"/>
    <w:rsid w:val="009C231F"/>
    <w:rsid w:val="009C271C"/>
    <w:rsid w:val="009C274F"/>
    <w:rsid w:val="009C3F3D"/>
    <w:rsid w:val="009C53B8"/>
    <w:rsid w:val="009C5408"/>
    <w:rsid w:val="009C6341"/>
    <w:rsid w:val="009C69D1"/>
    <w:rsid w:val="009C74E6"/>
    <w:rsid w:val="009C7CC7"/>
    <w:rsid w:val="009D0139"/>
    <w:rsid w:val="009D07ED"/>
    <w:rsid w:val="009D13BB"/>
    <w:rsid w:val="009D176A"/>
    <w:rsid w:val="009D1E44"/>
    <w:rsid w:val="009D243B"/>
    <w:rsid w:val="009D40B9"/>
    <w:rsid w:val="009D43E2"/>
    <w:rsid w:val="009D59EC"/>
    <w:rsid w:val="009D61B1"/>
    <w:rsid w:val="009D621F"/>
    <w:rsid w:val="009D6966"/>
    <w:rsid w:val="009D7153"/>
    <w:rsid w:val="009E0412"/>
    <w:rsid w:val="009E0603"/>
    <w:rsid w:val="009E081E"/>
    <w:rsid w:val="009E0DEE"/>
    <w:rsid w:val="009E2FEE"/>
    <w:rsid w:val="009E3182"/>
    <w:rsid w:val="009E3A13"/>
    <w:rsid w:val="009E3B4B"/>
    <w:rsid w:val="009E5348"/>
    <w:rsid w:val="009E6F6A"/>
    <w:rsid w:val="009F030A"/>
    <w:rsid w:val="009F0628"/>
    <w:rsid w:val="009F15F0"/>
    <w:rsid w:val="009F166D"/>
    <w:rsid w:val="009F16C9"/>
    <w:rsid w:val="009F18DF"/>
    <w:rsid w:val="009F219B"/>
    <w:rsid w:val="009F22E9"/>
    <w:rsid w:val="009F22FC"/>
    <w:rsid w:val="009F2D45"/>
    <w:rsid w:val="009F32F4"/>
    <w:rsid w:val="009F3A63"/>
    <w:rsid w:val="009F453A"/>
    <w:rsid w:val="009F5720"/>
    <w:rsid w:val="00A00989"/>
    <w:rsid w:val="00A00DCC"/>
    <w:rsid w:val="00A010E1"/>
    <w:rsid w:val="00A01FFD"/>
    <w:rsid w:val="00A0289A"/>
    <w:rsid w:val="00A03212"/>
    <w:rsid w:val="00A04397"/>
    <w:rsid w:val="00A049C0"/>
    <w:rsid w:val="00A0687E"/>
    <w:rsid w:val="00A073A5"/>
    <w:rsid w:val="00A11481"/>
    <w:rsid w:val="00A11EC3"/>
    <w:rsid w:val="00A12ACF"/>
    <w:rsid w:val="00A13140"/>
    <w:rsid w:val="00A136D1"/>
    <w:rsid w:val="00A13FA8"/>
    <w:rsid w:val="00A14ABB"/>
    <w:rsid w:val="00A14D22"/>
    <w:rsid w:val="00A14F8A"/>
    <w:rsid w:val="00A16A2F"/>
    <w:rsid w:val="00A16DA5"/>
    <w:rsid w:val="00A16E07"/>
    <w:rsid w:val="00A179BA"/>
    <w:rsid w:val="00A20DD1"/>
    <w:rsid w:val="00A216F4"/>
    <w:rsid w:val="00A22D65"/>
    <w:rsid w:val="00A233AD"/>
    <w:rsid w:val="00A23EBA"/>
    <w:rsid w:val="00A244A1"/>
    <w:rsid w:val="00A25246"/>
    <w:rsid w:val="00A25383"/>
    <w:rsid w:val="00A2553B"/>
    <w:rsid w:val="00A25E9B"/>
    <w:rsid w:val="00A25F8D"/>
    <w:rsid w:val="00A25FD9"/>
    <w:rsid w:val="00A262AE"/>
    <w:rsid w:val="00A268ED"/>
    <w:rsid w:val="00A31040"/>
    <w:rsid w:val="00A31D00"/>
    <w:rsid w:val="00A32C15"/>
    <w:rsid w:val="00A32E3D"/>
    <w:rsid w:val="00A33815"/>
    <w:rsid w:val="00A3436A"/>
    <w:rsid w:val="00A34A0C"/>
    <w:rsid w:val="00A34A2B"/>
    <w:rsid w:val="00A357C4"/>
    <w:rsid w:val="00A3590C"/>
    <w:rsid w:val="00A36363"/>
    <w:rsid w:val="00A368BC"/>
    <w:rsid w:val="00A36B4B"/>
    <w:rsid w:val="00A375F1"/>
    <w:rsid w:val="00A37E92"/>
    <w:rsid w:val="00A40856"/>
    <w:rsid w:val="00A4382D"/>
    <w:rsid w:val="00A45121"/>
    <w:rsid w:val="00A46805"/>
    <w:rsid w:val="00A469C8"/>
    <w:rsid w:val="00A474D4"/>
    <w:rsid w:val="00A5076F"/>
    <w:rsid w:val="00A52703"/>
    <w:rsid w:val="00A52D36"/>
    <w:rsid w:val="00A56780"/>
    <w:rsid w:val="00A570CD"/>
    <w:rsid w:val="00A60067"/>
    <w:rsid w:val="00A60320"/>
    <w:rsid w:val="00A604DB"/>
    <w:rsid w:val="00A61342"/>
    <w:rsid w:val="00A61363"/>
    <w:rsid w:val="00A613EC"/>
    <w:rsid w:val="00A619F8"/>
    <w:rsid w:val="00A61B25"/>
    <w:rsid w:val="00A63B4D"/>
    <w:rsid w:val="00A63BF2"/>
    <w:rsid w:val="00A64121"/>
    <w:rsid w:val="00A64141"/>
    <w:rsid w:val="00A651CE"/>
    <w:rsid w:val="00A65840"/>
    <w:rsid w:val="00A65E27"/>
    <w:rsid w:val="00A6653F"/>
    <w:rsid w:val="00A675A2"/>
    <w:rsid w:val="00A67FD6"/>
    <w:rsid w:val="00A70C13"/>
    <w:rsid w:val="00A70CBD"/>
    <w:rsid w:val="00A71329"/>
    <w:rsid w:val="00A7159F"/>
    <w:rsid w:val="00A71CF8"/>
    <w:rsid w:val="00A72913"/>
    <w:rsid w:val="00A72DE9"/>
    <w:rsid w:val="00A73B72"/>
    <w:rsid w:val="00A7616A"/>
    <w:rsid w:val="00A7691F"/>
    <w:rsid w:val="00A76A4B"/>
    <w:rsid w:val="00A776B7"/>
    <w:rsid w:val="00A77953"/>
    <w:rsid w:val="00A77F0D"/>
    <w:rsid w:val="00A80AD1"/>
    <w:rsid w:val="00A80D99"/>
    <w:rsid w:val="00A80FC7"/>
    <w:rsid w:val="00A8146A"/>
    <w:rsid w:val="00A81B3D"/>
    <w:rsid w:val="00A81BB2"/>
    <w:rsid w:val="00A82390"/>
    <w:rsid w:val="00A842C3"/>
    <w:rsid w:val="00A8572B"/>
    <w:rsid w:val="00A86283"/>
    <w:rsid w:val="00A86366"/>
    <w:rsid w:val="00A8690F"/>
    <w:rsid w:val="00A86B1D"/>
    <w:rsid w:val="00A9111C"/>
    <w:rsid w:val="00A933E3"/>
    <w:rsid w:val="00A9356F"/>
    <w:rsid w:val="00A938C9"/>
    <w:rsid w:val="00A947E1"/>
    <w:rsid w:val="00A94E72"/>
    <w:rsid w:val="00A9539A"/>
    <w:rsid w:val="00A9684B"/>
    <w:rsid w:val="00A96982"/>
    <w:rsid w:val="00A9707D"/>
    <w:rsid w:val="00AA3B09"/>
    <w:rsid w:val="00AA3CC7"/>
    <w:rsid w:val="00AA439F"/>
    <w:rsid w:val="00AA4BC6"/>
    <w:rsid w:val="00AA5E36"/>
    <w:rsid w:val="00AA6434"/>
    <w:rsid w:val="00AA7070"/>
    <w:rsid w:val="00AA7671"/>
    <w:rsid w:val="00AB040B"/>
    <w:rsid w:val="00AB077C"/>
    <w:rsid w:val="00AB0DFD"/>
    <w:rsid w:val="00AB1584"/>
    <w:rsid w:val="00AB19A5"/>
    <w:rsid w:val="00AB1D6B"/>
    <w:rsid w:val="00AB2C50"/>
    <w:rsid w:val="00AB34C4"/>
    <w:rsid w:val="00AB4614"/>
    <w:rsid w:val="00AB473C"/>
    <w:rsid w:val="00AB5747"/>
    <w:rsid w:val="00AB5A3E"/>
    <w:rsid w:val="00AB7617"/>
    <w:rsid w:val="00AB7F70"/>
    <w:rsid w:val="00AC139F"/>
    <w:rsid w:val="00AC2FE3"/>
    <w:rsid w:val="00AC35A9"/>
    <w:rsid w:val="00AC35ED"/>
    <w:rsid w:val="00AC38FB"/>
    <w:rsid w:val="00AC42AB"/>
    <w:rsid w:val="00AC4899"/>
    <w:rsid w:val="00AC5B74"/>
    <w:rsid w:val="00AC649E"/>
    <w:rsid w:val="00AC7C7B"/>
    <w:rsid w:val="00AC7F72"/>
    <w:rsid w:val="00AD0B27"/>
    <w:rsid w:val="00AD27E6"/>
    <w:rsid w:val="00AD3C1F"/>
    <w:rsid w:val="00AD407B"/>
    <w:rsid w:val="00AD4A1E"/>
    <w:rsid w:val="00AD532C"/>
    <w:rsid w:val="00AD767D"/>
    <w:rsid w:val="00AD7C13"/>
    <w:rsid w:val="00AE099C"/>
    <w:rsid w:val="00AE1B8F"/>
    <w:rsid w:val="00AE4A2B"/>
    <w:rsid w:val="00AE6F39"/>
    <w:rsid w:val="00AE7658"/>
    <w:rsid w:val="00AF0D4F"/>
    <w:rsid w:val="00AF13A5"/>
    <w:rsid w:val="00AF3634"/>
    <w:rsid w:val="00AF3B20"/>
    <w:rsid w:val="00AF3C11"/>
    <w:rsid w:val="00AF3D96"/>
    <w:rsid w:val="00AF5613"/>
    <w:rsid w:val="00AF5E20"/>
    <w:rsid w:val="00B00480"/>
    <w:rsid w:val="00B01267"/>
    <w:rsid w:val="00B0193A"/>
    <w:rsid w:val="00B026B9"/>
    <w:rsid w:val="00B028C2"/>
    <w:rsid w:val="00B02D67"/>
    <w:rsid w:val="00B03BEC"/>
    <w:rsid w:val="00B03D43"/>
    <w:rsid w:val="00B04132"/>
    <w:rsid w:val="00B041DE"/>
    <w:rsid w:val="00B04B4B"/>
    <w:rsid w:val="00B04D12"/>
    <w:rsid w:val="00B0554B"/>
    <w:rsid w:val="00B0587E"/>
    <w:rsid w:val="00B05D1F"/>
    <w:rsid w:val="00B060B9"/>
    <w:rsid w:val="00B06598"/>
    <w:rsid w:val="00B06B34"/>
    <w:rsid w:val="00B07090"/>
    <w:rsid w:val="00B074CC"/>
    <w:rsid w:val="00B075FB"/>
    <w:rsid w:val="00B1210C"/>
    <w:rsid w:val="00B1226F"/>
    <w:rsid w:val="00B15A0C"/>
    <w:rsid w:val="00B15BB9"/>
    <w:rsid w:val="00B15F7F"/>
    <w:rsid w:val="00B1609A"/>
    <w:rsid w:val="00B161D0"/>
    <w:rsid w:val="00B1640C"/>
    <w:rsid w:val="00B1717A"/>
    <w:rsid w:val="00B175A6"/>
    <w:rsid w:val="00B177B0"/>
    <w:rsid w:val="00B20BE5"/>
    <w:rsid w:val="00B21962"/>
    <w:rsid w:val="00B21AF2"/>
    <w:rsid w:val="00B224ED"/>
    <w:rsid w:val="00B236AC"/>
    <w:rsid w:val="00B24268"/>
    <w:rsid w:val="00B264F1"/>
    <w:rsid w:val="00B27294"/>
    <w:rsid w:val="00B27C37"/>
    <w:rsid w:val="00B311A0"/>
    <w:rsid w:val="00B351E8"/>
    <w:rsid w:val="00B35FD1"/>
    <w:rsid w:val="00B360FE"/>
    <w:rsid w:val="00B36389"/>
    <w:rsid w:val="00B36D20"/>
    <w:rsid w:val="00B36D60"/>
    <w:rsid w:val="00B403ED"/>
    <w:rsid w:val="00B40E1E"/>
    <w:rsid w:val="00B41D49"/>
    <w:rsid w:val="00B42E83"/>
    <w:rsid w:val="00B449F9"/>
    <w:rsid w:val="00B45366"/>
    <w:rsid w:val="00B4556B"/>
    <w:rsid w:val="00B4573E"/>
    <w:rsid w:val="00B4615B"/>
    <w:rsid w:val="00B46C2D"/>
    <w:rsid w:val="00B47555"/>
    <w:rsid w:val="00B50B89"/>
    <w:rsid w:val="00B528DC"/>
    <w:rsid w:val="00B54047"/>
    <w:rsid w:val="00B543EE"/>
    <w:rsid w:val="00B544F4"/>
    <w:rsid w:val="00B549C0"/>
    <w:rsid w:val="00B552D5"/>
    <w:rsid w:val="00B55476"/>
    <w:rsid w:val="00B56A18"/>
    <w:rsid w:val="00B60416"/>
    <w:rsid w:val="00B60D7A"/>
    <w:rsid w:val="00B61C34"/>
    <w:rsid w:val="00B62C00"/>
    <w:rsid w:val="00B633E5"/>
    <w:rsid w:val="00B633F1"/>
    <w:rsid w:val="00B635A7"/>
    <w:rsid w:val="00B64F50"/>
    <w:rsid w:val="00B66054"/>
    <w:rsid w:val="00B66725"/>
    <w:rsid w:val="00B66D85"/>
    <w:rsid w:val="00B67547"/>
    <w:rsid w:val="00B70A03"/>
    <w:rsid w:val="00B70D6F"/>
    <w:rsid w:val="00B76B81"/>
    <w:rsid w:val="00B775A9"/>
    <w:rsid w:val="00B77994"/>
    <w:rsid w:val="00B8042A"/>
    <w:rsid w:val="00B8094C"/>
    <w:rsid w:val="00B817D3"/>
    <w:rsid w:val="00B8294A"/>
    <w:rsid w:val="00B82E78"/>
    <w:rsid w:val="00B83AAF"/>
    <w:rsid w:val="00B8424C"/>
    <w:rsid w:val="00B84437"/>
    <w:rsid w:val="00B84980"/>
    <w:rsid w:val="00B85545"/>
    <w:rsid w:val="00B8679F"/>
    <w:rsid w:val="00B86B83"/>
    <w:rsid w:val="00B86C18"/>
    <w:rsid w:val="00B86C5D"/>
    <w:rsid w:val="00B86D18"/>
    <w:rsid w:val="00B86F01"/>
    <w:rsid w:val="00B87BF1"/>
    <w:rsid w:val="00B9113F"/>
    <w:rsid w:val="00B91F62"/>
    <w:rsid w:val="00B93520"/>
    <w:rsid w:val="00B943D5"/>
    <w:rsid w:val="00B94425"/>
    <w:rsid w:val="00B94AF9"/>
    <w:rsid w:val="00B95A9E"/>
    <w:rsid w:val="00B974EA"/>
    <w:rsid w:val="00BA05D5"/>
    <w:rsid w:val="00BA0A18"/>
    <w:rsid w:val="00BA1193"/>
    <w:rsid w:val="00BA243E"/>
    <w:rsid w:val="00BA2594"/>
    <w:rsid w:val="00BA277E"/>
    <w:rsid w:val="00BA2DCB"/>
    <w:rsid w:val="00BA3E42"/>
    <w:rsid w:val="00BA3F55"/>
    <w:rsid w:val="00BA49AF"/>
    <w:rsid w:val="00BA5FCE"/>
    <w:rsid w:val="00BA6BFE"/>
    <w:rsid w:val="00BA7B47"/>
    <w:rsid w:val="00BB0636"/>
    <w:rsid w:val="00BB0A90"/>
    <w:rsid w:val="00BB0E84"/>
    <w:rsid w:val="00BB1412"/>
    <w:rsid w:val="00BB1D02"/>
    <w:rsid w:val="00BB2500"/>
    <w:rsid w:val="00BB306E"/>
    <w:rsid w:val="00BB32C2"/>
    <w:rsid w:val="00BB5B48"/>
    <w:rsid w:val="00BB6ABA"/>
    <w:rsid w:val="00BB7340"/>
    <w:rsid w:val="00BB76B0"/>
    <w:rsid w:val="00BB7B0E"/>
    <w:rsid w:val="00BB7D8F"/>
    <w:rsid w:val="00BC08D4"/>
    <w:rsid w:val="00BC0AC5"/>
    <w:rsid w:val="00BC180B"/>
    <w:rsid w:val="00BC3129"/>
    <w:rsid w:val="00BC31EC"/>
    <w:rsid w:val="00BC3473"/>
    <w:rsid w:val="00BC6413"/>
    <w:rsid w:val="00BC642B"/>
    <w:rsid w:val="00BC7762"/>
    <w:rsid w:val="00BD0B08"/>
    <w:rsid w:val="00BD0FB9"/>
    <w:rsid w:val="00BD1E93"/>
    <w:rsid w:val="00BD1F77"/>
    <w:rsid w:val="00BD2139"/>
    <w:rsid w:val="00BD2CBC"/>
    <w:rsid w:val="00BD2E7C"/>
    <w:rsid w:val="00BD316D"/>
    <w:rsid w:val="00BD3A16"/>
    <w:rsid w:val="00BD431C"/>
    <w:rsid w:val="00BD4F2F"/>
    <w:rsid w:val="00BD5908"/>
    <w:rsid w:val="00BD5CC9"/>
    <w:rsid w:val="00BD7117"/>
    <w:rsid w:val="00BD7FFC"/>
    <w:rsid w:val="00BE0283"/>
    <w:rsid w:val="00BE175A"/>
    <w:rsid w:val="00BE1C9D"/>
    <w:rsid w:val="00BE1D2D"/>
    <w:rsid w:val="00BE238C"/>
    <w:rsid w:val="00BE2DD1"/>
    <w:rsid w:val="00BE3DF9"/>
    <w:rsid w:val="00BE496F"/>
    <w:rsid w:val="00BE666C"/>
    <w:rsid w:val="00BE7E6F"/>
    <w:rsid w:val="00BF0AB0"/>
    <w:rsid w:val="00BF0D24"/>
    <w:rsid w:val="00BF255E"/>
    <w:rsid w:val="00BF299E"/>
    <w:rsid w:val="00BF2A0A"/>
    <w:rsid w:val="00BF2CB4"/>
    <w:rsid w:val="00BF2E3C"/>
    <w:rsid w:val="00BF375F"/>
    <w:rsid w:val="00BF49F3"/>
    <w:rsid w:val="00BF4FFB"/>
    <w:rsid w:val="00BF51C3"/>
    <w:rsid w:val="00BF6551"/>
    <w:rsid w:val="00BF6F3B"/>
    <w:rsid w:val="00BF70B4"/>
    <w:rsid w:val="00C013A7"/>
    <w:rsid w:val="00C0219F"/>
    <w:rsid w:val="00C021D4"/>
    <w:rsid w:val="00C027DD"/>
    <w:rsid w:val="00C02818"/>
    <w:rsid w:val="00C03FB9"/>
    <w:rsid w:val="00C04AD6"/>
    <w:rsid w:val="00C0533B"/>
    <w:rsid w:val="00C067D1"/>
    <w:rsid w:val="00C07EF7"/>
    <w:rsid w:val="00C1003C"/>
    <w:rsid w:val="00C1072B"/>
    <w:rsid w:val="00C1091A"/>
    <w:rsid w:val="00C13B8B"/>
    <w:rsid w:val="00C13CBF"/>
    <w:rsid w:val="00C14CFC"/>
    <w:rsid w:val="00C153B6"/>
    <w:rsid w:val="00C1575A"/>
    <w:rsid w:val="00C157B7"/>
    <w:rsid w:val="00C158E0"/>
    <w:rsid w:val="00C15BD5"/>
    <w:rsid w:val="00C15DAD"/>
    <w:rsid w:val="00C217E8"/>
    <w:rsid w:val="00C21ABD"/>
    <w:rsid w:val="00C2573B"/>
    <w:rsid w:val="00C25D19"/>
    <w:rsid w:val="00C263AF"/>
    <w:rsid w:val="00C26803"/>
    <w:rsid w:val="00C27587"/>
    <w:rsid w:val="00C307C1"/>
    <w:rsid w:val="00C3149A"/>
    <w:rsid w:val="00C340DF"/>
    <w:rsid w:val="00C350A6"/>
    <w:rsid w:val="00C3552E"/>
    <w:rsid w:val="00C35F27"/>
    <w:rsid w:val="00C3671B"/>
    <w:rsid w:val="00C36A3B"/>
    <w:rsid w:val="00C37201"/>
    <w:rsid w:val="00C37673"/>
    <w:rsid w:val="00C4099C"/>
    <w:rsid w:val="00C40F9B"/>
    <w:rsid w:val="00C415F5"/>
    <w:rsid w:val="00C43227"/>
    <w:rsid w:val="00C434FF"/>
    <w:rsid w:val="00C441EE"/>
    <w:rsid w:val="00C4440A"/>
    <w:rsid w:val="00C44EB6"/>
    <w:rsid w:val="00C44EF4"/>
    <w:rsid w:val="00C45229"/>
    <w:rsid w:val="00C4533F"/>
    <w:rsid w:val="00C453A3"/>
    <w:rsid w:val="00C45614"/>
    <w:rsid w:val="00C47BC3"/>
    <w:rsid w:val="00C508EC"/>
    <w:rsid w:val="00C51147"/>
    <w:rsid w:val="00C5131E"/>
    <w:rsid w:val="00C52296"/>
    <w:rsid w:val="00C55333"/>
    <w:rsid w:val="00C56763"/>
    <w:rsid w:val="00C56C39"/>
    <w:rsid w:val="00C56E74"/>
    <w:rsid w:val="00C572AB"/>
    <w:rsid w:val="00C575B2"/>
    <w:rsid w:val="00C5788A"/>
    <w:rsid w:val="00C579A9"/>
    <w:rsid w:val="00C57A47"/>
    <w:rsid w:val="00C57F37"/>
    <w:rsid w:val="00C60BF1"/>
    <w:rsid w:val="00C61607"/>
    <w:rsid w:val="00C61D09"/>
    <w:rsid w:val="00C622C2"/>
    <w:rsid w:val="00C62484"/>
    <w:rsid w:val="00C6741E"/>
    <w:rsid w:val="00C674AA"/>
    <w:rsid w:val="00C67740"/>
    <w:rsid w:val="00C7000A"/>
    <w:rsid w:val="00C701ED"/>
    <w:rsid w:val="00C7176B"/>
    <w:rsid w:val="00C72335"/>
    <w:rsid w:val="00C737D4"/>
    <w:rsid w:val="00C740E0"/>
    <w:rsid w:val="00C74651"/>
    <w:rsid w:val="00C74688"/>
    <w:rsid w:val="00C7486E"/>
    <w:rsid w:val="00C75B9A"/>
    <w:rsid w:val="00C75C61"/>
    <w:rsid w:val="00C76007"/>
    <w:rsid w:val="00C804E9"/>
    <w:rsid w:val="00C80796"/>
    <w:rsid w:val="00C8098A"/>
    <w:rsid w:val="00C819BD"/>
    <w:rsid w:val="00C82329"/>
    <w:rsid w:val="00C82661"/>
    <w:rsid w:val="00C82AFC"/>
    <w:rsid w:val="00C8568B"/>
    <w:rsid w:val="00C86E40"/>
    <w:rsid w:val="00C87EF6"/>
    <w:rsid w:val="00C90766"/>
    <w:rsid w:val="00C911B6"/>
    <w:rsid w:val="00C9216E"/>
    <w:rsid w:val="00C92F10"/>
    <w:rsid w:val="00C93560"/>
    <w:rsid w:val="00C93B07"/>
    <w:rsid w:val="00C95479"/>
    <w:rsid w:val="00C962D1"/>
    <w:rsid w:val="00C96432"/>
    <w:rsid w:val="00C964BE"/>
    <w:rsid w:val="00C97149"/>
    <w:rsid w:val="00C97FC1"/>
    <w:rsid w:val="00CA1E8C"/>
    <w:rsid w:val="00CA2370"/>
    <w:rsid w:val="00CA2551"/>
    <w:rsid w:val="00CA328E"/>
    <w:rsid w:val="00CA339D"/>
    <w:rsid w:val="00CA3829"/>
    <w:rsid w:val="00CA590A"/>
    <w:rsid w:val="00CA5AE2"/>
    <w:rsid w:val="00CA5DC0"/>
    <w:rsid w:val="00CA6504"/>
    <w:rsid w:val="00CA6BFE"/>
    <w:rsid w:val="00CA7E62"/>
    <w:rsid w:val="00CB064F"/>
    <w:rsid w:val="00CB0AA1"/>
    <w:rsid w:val="00CB1926"/>
    <w:rsid w:val="00CB26E4"/>
    <w:rsid w:val="00CB2920"/>
    <w:rsid w:val="00CB314B"/>
    <w:rsid w:val="00CB3541"/>
    <w:rsid w:val="00CB59D9"/>
    <w:rsid w:val="00CB655C"/>
    <w:rsid w:val="00CB6A81"/>
    <w:rsid w:val="00CB6AC4"/>
    <w:rsid w:val="00CB72A5"/>
    <w:rsid w:val="00CB72DB"/>
    <w:rsid w:val="00CB7BB2"/>
    <w:rsid w:val="00CC08E3"/>
    <w:rsid w:val="00CC08F6"/>
    <w:rsid w:val="00CC19BF"/>
    <w:rsid w:val="00CC1A54"/>
    <w:rsid w:val="00CC3042"/>
    <w:rsid w:val="00CC324F"/>
    <w:rsid w:val="00CC4DB3"/>
    <w:rsid w:val="00CC7F04"/>
    <w:rsid w:val="00CD030C"/>
    <w:rsid w:val="00CD2117"/>
    <w:rsid w:val="00CD2F34"/>
    <w:rsid w:val="00CD478A"/>
    <w:rsid w:val="00CD5060"/>
    <w:rsid w:val="00CD5518"/>
    <w:rsid w:val="00CD7894"/>
    <w:rsid w:val="00CD7BC9"/>
    <w:rsid w:val="00CE186F"/>
    <w:rsid w:val="00CE27BA"/>
    <w:rsid w:val="00CE2B50"/>
    <w:rsid w:val="00CE42BC"/>
    <w:rsid w:val="00CE43D1"/>
    <w:rsid w:val="00CE5E19"/>
    <w:rsid w:val="00CE6F21"/>
    <w:rsid w:val="00CE797F"/>
    <w:rsid w:val="00CF2AB7"/>
    <w:rsid w:val="00CF2F94"/>
    <w:rsid w:val="00CF389D"/>
    <w:rsid w:val="00CF3C9F"/>
    <w:rsid w:val="00CF54AC"/>
    <w:rsid w:val="00CF5C56"/>
    <w:rsid w:val="00CF71BA"/>
    <w:rsid w:val="00CF731D"/>
    <w:rsid w:val="00CF7E3A"/>
    <w:rsid w:val="00D00259"/>
    <w:rsid w:val="00D00305"/>
    <w:rsid w:val="00D01218"/>
    <w:rsid w:val="00D02A84"/>
    <w:rsid w:val="00D02F64"/>
    <w:rsid w:val="00D02F92"/>
    <w:rsid w:val="00D04B74"/>
    <w:rsid w:val="00D04EC9"/>
    <w:rsid w:val="00D058AE"/>
    <w:rsid w:val="00D07402"/>
    <w:rsid w:val="00D07F7F"/>
    <w:rsid w:val="00D10182"/>
    <w:rsid w:val="00D1249E"/>
    <w:rsid w:val="00D17895"/>
    <w:rsid w:val="00D2322B"/>
    <w:rsid w:val="00D233C9"/>
    <w:rsid w:val="00D24649"/>
    <w:rsid w:val="00D25CD2"/>
    <w:rsid w:val="00D2629D"/>
    <w:rsid w:val="00D26B16"/>
    <w:rsid w:val="00D26D39"/>
    <w:rsid w:val="00D26F9E"/>
    <w:rsid w:val="00D272A6"/>
    <w:rsid w:val="00D27655"/>
    <w:rsid w:val="00D27A1C"/>
    <w:rsid w:val="00D3088E"/>
    <w:rsid w:val="00D30B4F"/>
    <w:rsid w:val="00D30CA6"/>
    <w:rsid w:val="00D30CE3"/>
    <w:rsid w:val="00D31751"/>
    <w:rsid w:val="00D318B7"/>
    <w:rsid w:val="00D32CAB"/>
    <w:rsid w:val="00D330AA"/>
    <w:rsid w:val="00D33317"/>
    <w:rsid w:val="00D337BB"/>
    <w:rsid w:val="00D34D61"/>
    <w:rsid w:val="00D364D1"/>
    <w:rsid w:val="00D3744E"/>
    <w:rsid w:val="00D375E1"/>
    <w:rsid w:val="00D37A88"/>
    <w:rsid w:val="00D40C7E"/>
    <w:rsid w:val="00D41309"/>
    <w:rsid w:val="00D41846"/>
    <w:rsid w:val="00D41BF9"/>
    <w:rsid w:val="00D41C82"/>
    <w:rsid w:val="00D41F78"/>
    <w:rsid w:val="00D424E3"/>
    <w:rsid w:val="00D43165"/>
    <w:rsid w:val="00D439F4"/>
    <w:rsid w:val="00D44AFF"/>
    <w:rsid w:val="00D45989"/>
    <w:rsid w:val="00D45A0A"/>
    <w:rsid w:val="00D45CD9"/>
    <w:rsid w:val="00D46CA7"/>
    <w:rsid w:val="00D4769F"/>
    <w:rsid w:val="00D51255"/>
    <w:rsid w:val="00D51392"/>
    <w:rsid w:val="00D516C3"/>
    <w:rsid w:val="00D529B6"/>
    <w:rsid w:val="00D52FF6"/>
    <w:rsid w:val="00D53686"/>
    <w:rsid w:val="00D54092"/>
    <w:rsid w:val="00D54631"/>
    <w:rsid w:val="00D54BCE"/>
    <w:rsid w:val="00D55542"/>
    <w:rsid w:val="00D562E4"/>
    <w:rsid w:val="00D56BCC"/>
    <w:rsid w:val="00D56FD9"/>
    <w:rsid w:val="00D57796"/>
    <w:rsid w:val="00D57C63"/>
    <w:rsid w:val="00D57E30"/>
    <w:rsid w:val="00D6014B"/>
    <w:rsid w:val="00D602E7"/>
    <w:rsid w:val="00D61687"/>
    <w:rsid w:val="00D61861"/>
    <w:rsid w:val="00D61D73"/>
    <w:rsid w:val="00D62439"/>
    <w:rsid w:val="00D63265"/>
    <w:rsid w:val="00D633B4"/>
    <w:rsid w:val="00D6397C"/>
    <w:rsid w:val="00D63EBD"/>
    <w:rsid w:val="00D643B7"/>
    <w:rsid w:val="00D6507B"/>
    <w:rsid w:val="00D66123"/>
    <w:rsid w:val="00D66CD0"/>
    <w:rsid w:val="00D703AE"/>
    <w:rsid w:val="00D70802"/>
    <w:rsid w:val="00D71425"/>
    <w:rsid w:val="00D71C5B"/>
    <w:rsid w:val="00D71DC4"/>
    <w:rsid w:val="00D71F67"/>
    <w:rsid w:val="00D737EC"/>
    <w:rsid w:val="00D75B69"/>
    <w:rsid w:val="00D7607C"/>
    <w:rsid w:val="00D769BA"/>
    <w:rsid w:val="00D77017"/>
    <w:rsid w:val="00D81343"/>
    <w:rsid w:val="00D814CB"/>
    <w:rsid w:val="00D827F5"/>
    <w:rsid w:val="00D829F2"/>
    <w:rsid w:val="00D82B64"/>
    <w:rsid w:val="00D8320D"/>
    <w:rsid w:val="00D832F4"/>
    <w:rsid w:val="00D838E6"/>
    <w:rsid w:val="00D842C2"/>
    <w:rsid w:val="00D843C0"/>
    <w:rsid w:val="00D84E1C"/>
    <w:rsid w:val="00D84E2F"/>
    <w:rsid w:val="00D85038"/>
    <w:rsid w:val="00D851B0"/>
    <w:rsid w:val="00D85749"/>
    <w:rsid w:val="00D85753"/>
    <w:rsid w:val="00D85A64"/>
    <w:rsid w:val="00D85D62"/>
    <w:rsid w:val="00D90607"/>
    <w:rsid w:val="00D90AD3"/>
    <w:rsid w:val="00D91ECA"/>
    <w:rsid w:val="00D926A8"/>
    <w:rsid w:val="00D9451D"/>
    <w:rsid w:val="00D94611"/>
    <w:rsid w:val="00D94EF7"/>
    <w:rsid w:val="00D94F52"/>
    <w:rsid w:val="00D95BF0"/>
    <w:rsid w:val="00DA2CF5"/>
    <w:rsid w:val="00DA2D5C"/>
    <w:rsid w:val="00DA331A"/>
    <w:rsid w:val="00DA398D"/>
    <w:rsid w:val="00DA52BF"/>
    <w:rsid w:val="00DA56B3"/>
    <w:rsid w:val="00DA576B"/>
    <w:rsid w:val="00DA70ED"/>
    <w:rsid w:val="00DA7740"/>
    <w:rsid w:val="00DB02CA"/>
    <w:rsid w:val="00DB0BD3"/>
    <w:rsid w:val="00DB11F3"/>
    <w:rsid w:val="00DB123F"/>
    <w:rsid w:val="00DB154D"/>
    <w:rsid w:val="00DB23B0"/>
    <w:rsid w:val="00DB263D"/>
    <w:rsid w:val="00DB2DBE"/>
    <w:rsid w:val="00DB2F5F"/>
    <w:rsid w:val="00DB3B1B"/>
    <w:rsid w:val="00DB3C42"/>
    <w:rsid w:val="00DB4BB2"/>
    <w:rsid w:val="00DB5B96"/>
    <w:rsid w:val="00DB5DD7"/>
    <w:rsid w:val="00DB6BF3"/>
    <w:rsid w:val="00DC07FF"/>
    <w:rsid w:val="00DC1095"/>
    <w:rsid w:val="00DC261E"/>
    <w:rsid w:val="00DC2B67"/>
    <w:rsid w:val="00DC3644"/>
    <w:rsid w:val="00DC4121"/>
    <w:rsid w:val="00DC574F"/>
    <w:rsid w:val="00DC69A2"/>
    <w:rsid w:val="00DC7897"/>
    <w:rsid w:val="00DC7C91"/>
    <w:rsid w:val="00DD0765"/>
    <w:rsid w:val="00DD1A7C"/>
    <w:rsid w:val="00DD1B16"/>
    <w:rsid w:val="00DD1D9E"/>
    <w:rsid w:val="00DD3315"/>
    <w:rsid w:val="00DD39F0"/>
    <w:rsid w:val="00DD3FE4"/>
    <w:rsid w:val="00DD794F"/>
    <w:rsid w:val="00DD7CE2"/>
    <w:rsid w:val="00DE0056"/>
    <w:rsid w:val="00DE1135"/>
    <w:rsid w:val="00DE1201"/>
    <w:rsid w:val="00DE311D"/>
    <w:rsid w:val="00DE5D7A"/>
    <w:rsid w:val="00DE639F"/>
    <w:rsid w:val="00DE63E0"/>
    <w:rsid w:val="00DE750C"/>
    <w:rsid w:val="00DF0912"/>
    <w:rsid w:val="00DF1BEA"/>
    <w:rsid w:val="00DF37B0"/>
    <w:rsid w:val="00DF3D43"/>
    <w:rsid w:val="00DF418F"/>
    <w:rsid w:val="00DF4C3C"/>
    <w:rsid w:val="00DF5A72"/>
    <w:rsid w:val="00DF5CFE"/>
    <w:rsid w:val="00DF7033"/>
    <w:rsid w:val="00E00045"/>
    <w:rsid w:val="00E0040A"/>
    <w:rsid w:val="00E01689"/>
    <w:rsid w:val="00E02C4B"/>
    <w:rsid w:val="00E051CB"/>
    <w:rsid w:val="00E05D94"/>
    <w:rsid w:val="00E06408"/>
    <w:rsid w:val="00E069B6"/>
    <w:rsid w:val="00E06D55"/>
    <w:rsid w:val="00E06E27"/>
    <w:rsid w:val="00E10EB7"/>
    <w:rsid w:val="00E11424"/>
    <w:rsid w:val="00E12411"/>
    <w:rsid w:val="00E128C2"/>
    <w:rsid w:val="00E12CBA"/>
    <w:rsid w:val="00E12F35"/>
    <w:rsid w:val="00E133D2"/>
    <w:rsid w:val="00E1347D"/>
    <w:rsid w:val="00E14B02"/>
    <w:rsid w:val="00E1567D"/>
    <w:rsid w:val="00E16254"/>
    <w:rsid w:val="00E16A80"/>
    <w:rsid w:val="00E1701D"/>
    <w:rsid w:val="00E17575"/>
    <w:rsid w:val="00E17FF6"/>
    <w:rsid w:val="00E205CC"/>
    <w:rsid w:val="00E2256C"/>
    <w:rsid w:val="00E225B4"/>
    <w:rsid w:val="00E22B30"/>
    <w:rsid w:val="00E23653"/>
    <w:rsid w:val="00E24726"/>
    <w:rsid w:val="00E2510C"/>
    <w:rsid w:val="00E2551A"/>
    <w:rsid w:val="00E26ADD"/>
    <w:rsid w:val="00E26D7D"/>
    <w:rsid w:val="00E2751B"/>
    <w:rsid w:val="00E278AA"/>
    <w:rsid w:val="00E3004A"/>
    <w:rsid w:val="00E3079E"/>
    <w:rsid w:val="00E32084"/>
    <w:rsid w:val="00E32476"/>
    <w:rsid w:val="00E33313"/>
    <w:rsid w:val="00E33847"/>
    <w:rsid w:val="00E33AC9"/>
    <w:rsid w:val="00E35FC2"/>
    <w:rsid w:val="00E36F2D"/>
    <w:rsid w:val="00E374E2"/>
    <w:rsid w:val="00E37CA3"/>
    <w:rsid w:val="00E4019B"/>
    <w:rsid w:val="00E404DD"/>
    <w:rsid w:val="00E4065F"/>
    <w:rsid w:val="00E4146D"/>
    <w:rsid w:val="00E41BAA"/>
    <w:rsid w:val="00E41DCA"/>
    <w:rsid w:val="00E429F4"/>
    <w:rsid w:val="00E42BEB"/>
    <w:rsid w:val="00E42E05"/>
    <w:rsid w:val="00E4331D"/>
    <w:rsid w:val="00E43ABB"/>
    <w:rsid w:val="00E4451D"/>
    <w:rsid w:val="00E44623"/>
    <w:rsid w:val="00E45A00"/>
    <w:rsid w:val="00E4649B"/>
    <w:rsid w:val="00E46D45"/>
    <w:rsid w:val="00E4729C"/>
    <w:rsid w:val="00E47B9C"/>
    <w:rsid w:val="00E50213"/>
    <w:rsid w:val="00E5037D"/>
    <w:rsid w:val="00E50833"/>
    <w:rsid w:val="00E51E34"/>
    <w:rsid w:val="00E52587"/>
    <w:rsid w:val="00E52A5F"/>
    <w:rsid w:val="00E5380F"/>
    <w:rsid w:val="00E53C8C"/>
    <w:rsid w:val="00E543F6"/>
    <w:rsid w:val="00E545F6"/>
    <w:rsid w:val="00E54E39"/>
    <w:rsid w:val="00E57261"/>
    <w:rsid w:val="00E6044C"/>
    <w:rsid w:val="00E604CA"/>
    <w:rsid w:val="00E608C1"/>
    <w:rsid w:val="00E62198"/>
    <w:rsid w:val="00E6416D"/>
    <w:rsid w:val="00E65237"/>
    <w:rsid w:val="00E67272"/>
    <w:rsid w:val="00E70B71"/>
    <w:rsid w:val="00E70C62"/>
    <w:rsid w:val="00E720D6"/>
    <w:rsid w:val="00E72206"/>
    <w:rsid w:val="00E72ABA"/>
    <w:rsid w:val="00E744CD"/>
    <w:rsid w:val="00E74741"/>
    <w:rsid w:val="00E75456"/>
    <w:rsid w:val="00E75B56"/>
    <w:rsid w:val="00E75D2E"/>
    <w:rsid w:val="00E77B71"/>
    <w:rsid w:val="00E80F0D"/>
    <w:rsid w:val="00E822F0"/>
    <w:rsid w:val="00E837A9"/>
    <w:rsid w:val="00E837D7"/>
    <w:rsid w:val="00E8419B"/>
    <w:rsid w:val="00E84400"/>
    <w:rsid w:val="00E8599E"/>
    <w:rsid w:val="00E8663F"/>
    <w:rsid w:val="00E87795"/>
    <w:rsid w:val="00E87F26"/>
    <w:rsid w:val="00E9117F"/>
    <w:rsid w:val="00E91703"/>
    <w:rsid w:val="00E93BB6"/>
    <w:rsid w:val="00E93D30"/>
    <w:rsid w:val="00E93F64"/>
    <w:rsid w:val="00E951AC"/>
    <w:rsid w:val="00E9533A"/>
    <w:rsid w:val="00E95E87"/>
    <w:rsid w:val="00E95FA2"/>
    <w:rsid w:val="00E96D19"/>
    <w:rsid w:val="00E96F1A"/>
    <w:rsid w:val="00E97AA8"/>
    <w:rsid w:val="00EA14EB"/>
    <w:rsid w:val="00EA2133"/>
    <w:rsid w:val="00EA430E"/>
    <w:rsid w:val="00EA4A32"/>
    <w:rsid w:val="00EA4AF7"/>
    <w:rsid w:val="00EA5052"/>
    <w:rsid w:val="00EA5ED5"/>
    <w:rsid w:val="00EA60AB"/>
    <w:rsid w:val="00EA6262"/>
    <w:rsid w:val="00EA6770"/>
    <w:rsid w:val="00EA76CC"/>
    <w:rsid w:val="00EB0BE5"/>
    <w:rsid w:val="00EB299D"/>
    <w:rsid w:val="00EB3980"/>
    <w:rsid w:val="00EB3FF0"/>
    <w:rsid w:val="00EB487F"/>
    <w:rsid w:val="00EB5734"/>
    <w:rsid w:val="00EB6338"/>
    <w:rsid w:val="00EC02AD"/>
    <w:rsid w:val="00EC0A0E"/>
    <w:rsid w:val="00EC340B"/>
    <w:rsid w:val="00EC3A9B"/>
    <w:rsid w:val="00EC403E"/>
    <w:rsid w:val="00EC4346"/>
    <w:rsid w:val="00EC4492"/>
    <w:rsid w:val="00EC4E61"/>
    <w:rsid w:val="00EC6543"/>
    <w:rsid w:val="00EC65D3"/>
    <w:rsid w:val="00EC6DEC"/>
    <w:rsid w:val="00EC7B41"/>
    <w:rsid w:val="00ED1DD7"/>
    <w:rsid w:val="00ED2453"/>
    <w:rsid w:val="00ED2AC3"/>
    <w:rsid w:val="00ED3057"/>
    <w:rsid w:val="00ED3F73"/>
    <w:rsid w:val="00ED6CA3"/>
    <w:rsid w:val="00ED755E"/>
    <w:rsid w:val="00ED7ABF"/>
    <w:rsid w:val="00EE019D"/>
    <w:rsid w:val="00EE08A9"/>
    <w:rsid w:val="00EE0C87"/>
    <w:rsid w:val="00EE0FC6"/>
    <w:rsid w:val="00EE0FD5"/>
    <w:rsid w:val="00EE1F12"/>
    <w:rsid w:val="00EE2039"/>
    <w:rsid w:val="00EE47A5"/>
    <w:rsid w:val="00EE5FEF"/>
    <w:rsid w:val="00EE60DC"/>
    <w:rsid w:val="00EE723C"/>
    <w:rsid w:val="00EF0C6A"/>
    <w:rsid w:val="00EF17B4"/>
    <w:rsid w:val="00EF1FA5"/>
    <w:rsid w:val="00EF3D47"/>
    <w:rsid w:val="00EF423E"/>
    <w:rsid w:val="00EF44A1"/>
    <w:rsid w:val="00EF4787"/>
    <w:rsid w:val="00EF53DA"/>
    <w:rsid w:val="00EF5D8B"/>
    <w:rsid w:val="00EF6587"/>
    <w:rsid w:val="00EF73C5"/>
    <w:rsid w:val="00EF7A55"/>
    <w:rsid w:val="00EF7F86"/>
    <w:rsid w:val="00F000E2"/>
    <w:rsid w:val="00F00511"/>
    <w:rsid w:val="00F00755"/>
    <w:rsid w:val="00F009CD"/>
    <w:rsid w:val="00F011D0"/>
    <w:rsid w:val="00F01354"/>
    <w:rsid w:val="00F01B47"/>
    <w:rsid w:val="00F02B2A"/>
    <w:rsid w:val="00F03F10"/>
    <w:rsid w:val="00F03F5E"/>
    <w:rsid w:val="00F0466B"/>
    <w:rsid w:val="00F04C1A"/>
    <w:rsid w:val="00F0520B"/>
    <w:rsid w:val="00F0598A"/>
    <w:rsid w:val="00F05BD1"/>
    <w:rsid w:val="00F0674F"/>
    <w:rsid w:val="00F06A6A"/>
    <w:rsid w:val="00F07BCF"/>
    <w:rsid w:val="00F111C5"/>
    <w:rsid w:val="00F11545"/>
    <w:rsid w:val="00F1176C"/>
    <w:rsid w:val="00F11C4D"/>
    <w:rsid w:val="00F1213E"/>
    <w:rsid w:val="00F15744"/>
    <w:rsid w:val="00F16B21"/>
    <w:rsid w:val="00F16BC9"/>
    <w:rsid w:val="00F17227"/>
    <w:rsid w:val="00F1765A"/>
    <w:rsid w:val="00F17E62"/>
    <w:rsid w:val="00F20E1C"/>
    <w:rsid w:val="00F27992"/>
    <w:rsid w:val="00F3095F"/>
    <w:rsid w:val="00F310B6"/>
    <w:rsid w:val="00F31873"/>
    <w:rsid w:val="00F31BA8"/>
    <w:rsid w:val="00F32150"/>
    <w:rsid w:val="00F33AEE"/>
    <w:rsid w:val="00F344FC"/>
    <w:rsid w:val="00F34923"/>
    <w:rsid w:val="00F35147"/>
    <w:rsid w:val="00F357E9"/>
    <w:rsid w:val="00F35B87"/>
    <w:rsid w:val="00F379E9"/>
    <w:rsid w:val="00F37C82"/>
    <w:rsid w:val="00F40FEC"/>
    <w:rsid w:val="00F427B9"/>
    <w:rsid w:val="00F4288B"/>
    <w:rsid w:val="00F461D2"/>
    <w:rsid w:val="00F4620D"/>
    <w:rsid w:val="00F470E7"/>
    <w:rsid w:val="00F477BD"/>
    <w:rsid w:val="00F50877"/>
    <w:rsid w:val="00F5256E"/>
    <w:rsid w:val="00F53C45"/>
    <w:rsid w:val="00F56604"/>
    <w:rsid w:val="00F57588"/>
    <w:rsid w:val="00F57881"/>
    <w:rsid w:val="00F57ADC"/>
    <w:rsid w:val="00F60A6A"/>
    <w:rsid w:val="00F60F6A"/>
    <w:rsid w:val="00F61F4A"/>
    <w:rsid w:val="00F62CD5"/>
    <w:rsid w:val="00F63272"/>
    <w:rsid w:val="00F632C1"/>
    <w:rsid w:val="00F639B2"/>
    <w:rsid w:val="00F64A5F"/>
    <w:rsid w:val="00F64F76"/>
    <w:rsid w:val="00F6571D"/>
    <w:rsid w:val="00F66C37"/>
    <w:rsid w:val="00F67DC9"/>
    <w:rsid w:val="00F70549"/>
    <w:rsid w:val="00F70848"/>
    <w:rsid w:val="00F747F4"/>
    <w:rsid w:val="00F74C83"/>
    <w:rsid w:val="00F76A9F"/>
    <w:rsid w:val="00F77496"/>
    <w:rsid w:val="00F810B7"/>
    <w:rsid w:val="00F81E32"/>
    <w:rsid w:val="00F8217D"/>
    <w:rsid w:val="00F828AA"/>
    <w:rsid w:val="00F8319E"/>
    <w:rsid w:val="00F84064"/>
    <w:rsid w:val="00F856A4"/>
    <w:rsid w:val="00F85C38"/>
    <w:rsid w:val="00F87F82"/>
    <w:rsid w:val="00F87FFD"/>
    <w:rsid w:val="00F9229F"/>
    <w:rsid w:val="00F934F3"/>
    <w:rsid w:val="00F93594"/>
    <w:rsid w:val="00F93CFF"/>
    <w:rsid w:val="00F9434E"/>
    <w:rsid w:val="00F94DFC"/>
    <w:rsid w:val="00F97805"/>
    <w:rsid w:val="00FA199E"/>
    <w:rsid w:val="00FA1BEF"/>
    <w:rsid w:val="00FA1ECF"/>
    <w:rsid w:val="00FA1F99"/>
    <w:rsid w:val="00FA20EB"/>
    <w:rsid w:val="00FA29C7"/>
    <w:rsid w:val="00FA31BC"/>
    <w:rsid w:val="00FA5E29"/>
    <w:rsid w:val="00FA60F2"/>
    <w:rsid w:val="00FA6F75"/>
    <w:rsid w:val="00FA70D9"/>
    <w:rsid w:val="00FB0912"/>
    <w:rsid w:val="00FB0BC3"/>
    <w:rsid w:val="00FB0D72"/>
    <w:rsid w:val="00FB1EDB"/>
    <w:rsid w:val="00FB28E6"/>
    <w:rsid w:val="00FB2F14"/>
    <w:rsid w:val="00FB314A"/>
    <w:rsid w:val="00FB3E0B"/>
    <w:rsid w:val="00FB5AB2"/>
    <w:rsid w:val="00FB67D5"/>
    <w:rsid w:val="00FB78F2"/>
    <w:rsid w:val="00FB7E49"/>
    <w:rsid w:val="00FC010B"/>
    <w:rsid w:val="00FC12EC"/>
    <w:rsid w:val="00FC1AF5"/>
    <w:rsid w:val="00FC2E6A"/>
    <w:rsid w:val="00FC39C1"/>
    <w:rsid w:val="00FC42B8"/>
    <w:rsid w:val="00FC4B51"/>
    <w:rsid w:val="00FC52DD"/>
    <w:rsid w:val="00FC59FB"/>
    <w:rsid w:val="00FC5EAF"/>
    <w:rsid w:val="00FC64E2"/>
    <w:rsid w:val="00FC705B"/>
    <w:rsid w:val="00FC761C"/>
    <w:rsid w:val="00FD1530"/>
    <w:rsid w:val="00FD16C2"/>
    <w:rsid w:val="00FD1AFD"/>
    <w:rsid w:val="00FD1E45"/>
    <w:rsid w:val="00FD2093"/>
    <w:rsid w:val="00FD2EC2"/>
    <w:rsid w:val="00FD3CF6"/>
    <w:rsid w:val="00FD4EA7"/>
    <w:rsid w:val="00FD5FAC"/>
    <w:rsid w:val="00FD65A6"/>
    <w:rsid w:val="00FD6E11"/>
    <w:rsid w:val="00FE05DE"/>
    <w:rsid w:val="00FE1626"/>
    <w:rsid w:val="00FE1841"/>
    <w:rsid w:val="00FE27B9"/>
    <w:rsid w:val="00FE2ADB"/>
    <w:rsid w:val="00FE2DC4"/>
    <w:rsid w:val="00FE3512"/>
    <w:rsid w:val="00FE64E0"/>
    <w:rsid w:val="00FE664A"/>
    <w:rsid w:val="00FE689E"/>
    <w:rsid w:val="00FE705C"/>
    <w:rsid w:val="00FE76BB"/>
    <w:rsid w:val="00FF0D78"/>
    <w:rsid w:val="00FF16E4"/>
    <w:rsid w:val="00FF17C6"/>
    <w:rsid w:val="00FF195C"/>
    <w:rsid w:val="00FF3183"/>
    <w:rsid w:val="00FF40AE"/>
    <w:rsid w:val="00FF5412"/>
    <w:rsid w:val="00FF70AB"/>
    <w:rsid w:val="00FF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844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4CB"/>
    <w:pPr>
      <w:jc w:val="both"/>
    </w:pPr>
    <w:rPr>
      <w:rFonts w:ascii="Times New Roman" w:hAnsi="Times New Roman" w:cs="Times New Roman"/>
      <w:sz w:val="22"/>
      <w:szCs w:val="22"/>
    </w:rPr>
  </w:style>
  <w:style w:type="paragraph" w:styleId="Heading1">
    <w:name w:val="heading 1"/>
    <w:basedOn w:val="ListParagraph"/>
    <w:next w:val="Normal"/>
    <w:link w:val="Heading1Char"/>
    <w:uiPriority w:val="9"/>
    <w:qFormat/>
    <w:rsid w:val="0048559C"/>
    <w:pPr>
      <w:numPr>
        <w:numId w:val="9"/>
      </w:numPr>
      <w:autoSpaceDE w:val="0"/>
      <w:autoSpaceDN w:val="0"/>
      <w:adjustRightInd w:val="0"/>
      <w:spacing w:line="480" w:lineRule="auto"/>
      <w:jc w:val="center"/>
      <w:outlineLvl w:val="0"/>
    </w:pPr>
  </w:style>
  <w:style w:type="paragraph" w:styleId="Heading2">
    <w:name w:val="heading 2"/>
    <w:basedOn w:val="Normal"/>
    <w:next w:val="Normal"/>
    <w:link w:val="Heading2Char"/>
    <w:uiPriority w:val="9"/>
    <w:semiHidden/>
    <w:unhideWhenUsed/>
    <w:qFormat/>
    <w:rsid w:val="00343D64"/>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3D64"/>
    <w:pPr>
      <w:keepNext/>
      <w:keepLines/>
      <w:numPr>
        <w:ilvl w:val="2"/>
        <w:numId w:val="7"/>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3D64"/>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3D64"/>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3D64"/>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3D64"/>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3D6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3D6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7E6"/>
    <w:rPr>
      <w:sz w:val="18"/>
      <w:szCs w:val="18"/>
    </w:rPr>
  </w:style>
  <w:style w:type="character" w:customStyle="1" w:styleId="BalloonTextChar">
    <w:name w:val="Balloon Text Char"/>
    <w:basedOn w:val="DefaultParagraphFont"/>
    <w:link w:val="BalloonText"/>
    <w:uiPriority w:val="99"/>
    <w:semiHidden/>
    <w:rsid w:val="001D67E6"/>
    <w:rPr>
      <w:rFonts w:ascii="Times New Roman" w:hAnsi="Times New Roman" w:cs="Times New Roman"/>
      <w:sz w:val="18"/>
      <w:szCs w:val="18"/>
    </w:rPr>
  </w:style>
  <w:style w:type="paragraph" w:styleId="FootnoteText">
    <w:name w:val="footnote text"/>
    <w:basedOn w:val="Normal"/>
    <w:link w:val="FootnoteTextChar"/>
    <w:uiPriority w:val="99"/>
    <w:unhideWhenUsed/>
    <w:rsid w:val="00B27294"/>
    <w:rPr>
      <w:sz w:val="20"/>
      <w:szCs w:val="20"/>
    </w:rPr>
  </w:style>
  <w:style w:type="character" w:customStyle="1" w:styleId="FootnoteTextChar">
    <w:name w:val="Footnote Text Char"/>
    <w:basedOn w:val="DefaultParagraphFont"/>
    <w:link w:val="FootnoteText"/>
    <w:uiPriority w:val="99"/>
    <w:rsid w:val="00B27294"/>
    <w:rPr>
      <w:sz w:val="20"/>
      <w:szCs w:val="20"/>
    </w:rPr>
  </w:style>
  <w:style w:type="character" w:styleId="FootnoteReference">
    <w:name w:val="footnote reference"/>
    <w:basedOn w:val="DefaultParagraphFont"/>
    <w:uiPriority w:val="99"/>
    <w:semiHidden/>
    <w:unhideWhenUsed/>
    <w:rsid w:val="00B27294"/>
    <w:rPr>
      <w:vertAlign w:val="superscript"/>
    </w:rPr>
  </w:style>
  <w:style w:type="paragraph" w:styleId="EndnoteText">
    <w:name w:val="endnote text"/>
    <w:basedOn w:val="Normal"/>
    <w:link w:val="EndnoteTextChar"/>
    <w:uiPriority w:val="99"/>
    <w:semiHidden/>
    <w:unhideWhenUsed/>
    <w:rsid w:val="00E720D6"/>
    <w:rPr>
      <w:sz w:val="20"/>
      <w:szCs w:val="20"/>
    </w:rPr>
  </w:style>
  <w:style w:type="character" w:customStyle="1" w:styleId="EndnoteTextChar">
    <w:name w:val="Endnote Text Char"/>
    <w:basedOn w:val="DefaultParagraphFont"/>
    <w:link w:val="EndnoteText"/>
    <w:uiPriority w:val="99"/>
    <w:semiHidden/>
    <w:rsid w:val="00E720D6"/>
    <w:rPr>
      <w:sz w:val="20"/>
      <w:szCs w:val="20"/>
    </w:rPr>
  </w:style>
  <w:style w:type="character" w:styleId="EndnoteReference">
    <w:name w:val="endnote reference"/>
    <w:basedOn w:val="DefaultParagraphFont"/>
    <w:uiPriority w:val="99"/>
    <w:semiHidden/>
    <w:unhideWhenUsed/>
    <w:rsid w:val="00E720D6"/>
    <w:rPr>
      <w:vertAlign w:val="superscript"/>
    </w:rPr>
  </w:style>
  <w:style w:type="paragraph" w:styleId="ListParagraph">
    <w:name w:val="List Paragraph"/>
    <w:basedOn w:val="Normal"/>
    <w:uiPriority w:val="34"/>
    <w:qFormat/>
    <w:rsid w:val="00AA5E36"/>
    <w:pPr>
      <w:ind w:left="720"/>
      <w:contextualSpacing/>
    </w:pPr>
  </w:style>
  <w:style w:type="character" w:customStyle="1" w:styleId="Heading1Char">
    <w:name w:val="Heading 1 Char"/>
    <w:basedOn w:val="DefaultParagraphFont"/>
    <w:link w:val="Heading1"/>
    <w:uiPriority w:val="9"/>
    <w:rsid w:val="0048559C"/>
    <w:rPr>
      <w:rFonts w:ascii="Times New Roman" w:hAnsi="Times New Roman" w:cs="Times New Roman"/>
      <w:sz w:val="22"/>
      <w:szCs w:val="22"/>
    </w:rPr>
  </w:style>
  <w:style w:type="paragraph" w:customStyle="1" w:styleId="EndNoteBibliographyTitle">
    <w:name w:val="EndNote Bibliography Title"/>
    <w:basedOn w:val="Normal"/>
    <w:link w:val="EndNoteBibliographyTitleChar"/>
    <w:rsid w:val="00187B90"/>
    <w:pPr>
      <w:jc w:val="center"/>
    </w:pPr>
    <w:rPr>
      <w:rFonts w:ascii="Calibri" w:hAnsi="Calibri" w:cs="Calibri"/>
      <w:sz w:val="24"/>
      <w:lang w:val="en-US"/>
    </w:rPr>
  </w:style>
  <w:style w:type="character" w:customStyle="1" w:styleId="EndNoteBibliographyTitleChar">
    <w:name w:val="EndNote Bibliography Title Char"/>
    <w:basedOn w:val="FootnoteTextChar"/>
    <w:link w:val="EndNoteBibliographyTitle"/>
    <w:rsid w:val="00187B90"/>
    <w:rPr>
      <w:rFonts w:ascii="Calibri" w:hAnsi="Calibri" w:cs="Calibri"/>
      <w:sz w:val="20"/>
      <w:szCs w:val="22"/>
      <w:lang w:val="en-US"/>
    </w:rPr>
  </w:style>
  <w:style w:type="paragraph" w:customStyle="1" w:styleId="EndNoteBibliography">
    <w:name w:val="EndNote Bibliography"/>
    <w:basedOn w:val="Normal"/>
    <w:link w:val="EndNoteBibliographyChar"/>
    <w:rsid w:val="00187B90"/>
    <w:rPr>
      <w:rFonts w:ascii="Calibri" w:hAnsi="Calibri" w:cs="Calibri"/>
      <w:sz w:val="24"/>
      <w:lang w:val="en-US"/>
    </w:rPr>
  </w:style>
  <w:style w:type="character" w:customStyle="1" w:styleId="EndNoteBibliographyChar">
    <w:name w:val="EndNote Bibliography Char"/>
    <w:basedOn w:val="FootnoteTextChar"/>
    <w:link w:val="EndNoteBibliography"/>
    <w:rsid w:val="00187B90"/>
    <w:rPr>
      <w:rFonts w:ascii="Calibri" w:hAnsi="Calibri" w:cs="Calibri"/>
      <w:sz w:val="20"/>
      <w:szCs w:val="22"/>
      <w:lang w:val="en-US"/>
    </w:rPr>
  </w:style>
  <w:style w:type="character" w:styleId="Hyperlink">
    <w:name w:val="Hyperlink"/>
    <w:basedOn w:val="DefaultParagraphFont"/>
    <w:uiPriority w:val="99"/>
    <w:unhideWhenUsed/>
    <w:rsid w:val="0022231D"/>
    <w:rPr>
      <w:color w:val="0563C1" w:themeColor="hyperlink"/>
      <w:u w:val="single"/>
    </w:rPr>
  </w:style>
  <w:style w:type="character" w:styleId="UnresolvedMention">
    <w:name w:val="Unresolved Mention"/>
    <w:basedOn w:val="DefaultParagraphFont"/>
    <w:uiPriority w:val="99"/>
    <w:rsid w:val="0022231D"/>
    <w:rPr>
      <w:color w:val="605E5C"/>
      <w:shd w:val="clear" w:color="auto" w:fill="E1DFDD"/>
    </w:rPr>
  </w:style>
  <w:style w:type="paragraph" w:styleId="Header">
    <w:name w:val="header"/>
    <w:basedOn w:val="Normal"/>
    <w:link w:val="HeaderChar"/>
    <w:uiPriority w:val="99"/>
    <w:unhideWhenUsed/>
    <w:rsid w:val="00C15BD5"/>
    <w:pPr>
      <w:tabs>
        <w:tab w:val="center" w:pos="4680"/>
        <w:tab w:val="right" w:pos="9360"/>
      </w:tabs>
    </w:pPr>
  </w:style>
  <w:style w:type="character" w:customStyle="1" w:styleId="HeaderChar">
    <w:name w:val="Header Char"/>
    <w:basedOn w:val="DefaultParagraphFont"/>
    <w:link w:val="Header"/>
    <w:uiPriority w:val="99"/>
    <w:rsid w:val="00C15BD5"/>
  </w:style>
  <w:style w:type="paragraph" w:styleId="Footer">
    <w:name w:val="footer"/>
    <w:basedOn w:val="Normal"/>
    <w:link w:val="FooterChar"/>
    <w:uiPriority w:val="99"/>
    <w:unhideWhenUsed/>
    <w:rsid w:val="00C15BD5"/>
    <w:pPr>
      <w:tabs>
        <w:tab w:val="center" w:pos="4680"/>
        <w:tab w:val="right" w:pos="9360"/>
      </w:tabs>
    </w:pPr>
  </w:style>
  <w:style w:type="character" w:customStyle="1" w:styleId="FooterChar">
    <w:name w:val="Footer Char"/>
    <w:basedOn w:val="DefaultParagraphFont"/>
    <w:link w:val="Footer"/>
    <w:uiPriority w:val="99"/>
    <w:rsid w:val="00C15BD5"/>
  </w:style>
  <w:style w:type="character" w:styleId="FollowedHyperlink">
    <w:name w:val="FollowedHyperlink"/>
    <w:basedOn w:val="DefaultParagraphFont"/>
    <w:uiPriority w:val="99"/>
    <w:semiHidden/>
    <w:unhideWhenUsed/>
    <w:rsid w:val="005F344B"/>
    <w:rPr>
      <w:color w:val="954F72" w:themeColor="followedHyperlink"/>
      <w:u w:val="single"/>
    </w:rPr>
  </w:style>
  <w:style w:type="character" w:styleId="SubtleReference">
    <w:name w:val="Subtle Reference"/>
    <w:basedOn w:val="DefaultParagraphFont"/>
    <w:uiPriority w:val="31"/>
    <w:qFormat/>
    <w:rsid w:val="00B8294A"/>
    <w:rPr>
      <w:smallCaps/>
      <w:color w:val="5A5A5A" w:themeColor="text1" w:themeTint="A5"/>
    </w:rPr>
  </w:style>
  <w:style w:type="paragraph" w:styleId="NoSpacing">
    <w:name w:val="No Spacing"/>
    <w:uiPriority w:val="1"/>
    <w:qFormat/>
    <w:rsid w:val="004F321F"/>
    <w:pPr>
      <w:jc w:val="both"/>
    </w:pPr>
    <w:rPr>
      <w:rFonts w:ascii="Times New Roman" w:hAnsi="Times New Roman" w:cs="Times New Roman"/>
      <w:sz w:val="22"/>
      <w:szCs w:val="22"/>
    </w:rPr>
  </w:style>
  <w:style w:type="paragraph" w:customStyle="1" w:styleId="EndNoteCategoryHeading">
    <w:name w:val="EndNote Category Heading"/>
    <w:basedOn w:val="Normal"/>
    <w:link w:val="EndNoteCategoryHeadingChar"/>
    <w:rsid w:val="00363D08"/>
    <w:pPr>
      <w:spacing w:before="120" w:after="120"/>
      <w:jc w:val="left"/>
    </w:pPr>
    <w:rPr>
      <w:b/>
      <w:lang w:val="en-US"/>
    </w:rPr>
  </w:style>
  <w:style w:type="character" w:customStyle="1" w:styleId="EndNoteCategoryHeadingChar">
    <w:name w:val="EndNote Category Heading Char"/>
    <w:basedOn w:val="DefaultParagraphFont"/>
    <w:link w:val="EndNoteCategoryHeading"/>
    <w:rsid w:val="00363D08"/>
    <w:rPr>
      <w:rFonts w:ascii="Times New Roman" w:hAnsi="Times New Roman" w:cs="Times New Roman"/>
      <w:b/>
      <w:sz w:val="22"/>
      <w:szCs w:val="22"/>
      <w:lang w:val="en-US"/>
    </w:rPr>
  </w:style>
  <w:style w:type="character" w:customStyle="1" w:styleId="Heading2Char">
    <w:name w:val="Heading 2 Char"/>
    <w:basedOn w:val="DefaultParagraphFont"/>
    <w:link w:val="Heading2"/>
    <w:uiPriority w:val="9"/>
    <w:semiHidden/>
    <w:rsid w:val="00343D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43D6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43D64"/>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343D64"/>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343D64"/>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343D64"/>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343D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3D6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A4BC6"/>
    <w:rPr>
      <w:sz w:val="16"/>
      <w:szCs w:val="16"/>
    </w:rPr>
  </w:style>
  <w:style w:type="paragraph" w:styleId="CommentText">
    <w:name w:val="annotation text"/>
    <w:basedOn w:val="Normal"/>
    <w:link w:val="CommentTextChar"/>
    <w:uiPriority w:val="99"/>
    <w:semiHidden/>
    <w:unhideWhenUsed/>
    <w:rsid w:val="00AA4BC6"/>
    <w:rPr>
      <w:sz w:val="20"/>
      <w:szCs w:val="20"/>
    </w:rPr>
  </w:style>
  <w:style w:type="character" w:customStyle="1" w:styleId="CommentTextChar">
    <w:name w:val="Comment Text Char"/>
    <w:basedOn w:val="DefaultParagraphFont"/>
    <w:link w:val="CommentText"/>
    <w:uiPriority w:val="99"/>
    <w:semiHidden/>
    <w:rsid w:val="00AA4BC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BC6"/>
    <w:rPr>
      <w:b/>
      <w:bCs/>
    </w:rPr>
  </w:style>
  <w:style w:type="character" w:customStyle="1" w:styleId="CommentSubjectChar">
    <w:name w:val="Comment Subject Char"/>
    <w:basedOn w:val="CommentTextChar"/>
    <w:link w:val="CommentSubject"/>
    <w:uiPriority w:val="99"/>
    <w:semiHidden/>
    <w:rsid w:val="00AA4BC6"/>
    <w:rPr>
      <w:rFonts w:ascii="Times New Roman" w:hAnsi="Times New Roman" w:cs="Times New Roman"/>
      <w:b/>
      <w:bCs/>
      <w:sz w:val="20"/>
      <w:szCs w:val="20"/>
    </w:rPr>
  </w:style>
  <w:style w:type="character" w:styleId="PageNumber">
    <w:name w:val="page number"/>
    <w:basedOn w:val="DefaultParagraphFont"/>
    <w:uiPriority w:val="99"/>
    <w:semiHidden/>
    <w:unhideWhenUsed/>
    <w:rsid w:val="00515D4B"/>
  </w:style>
  <w:style w:type="paragraph" w:styleId="Revision">
    <w:name w:val="Revision"/>
    <w:hidden/>
    <w:uiPriority w:val="99"/>
    <w:semiHidden/>
    <w:rsid w:val="00A63BF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147">
      <w:bodyDiv w:val="1"/>
      <w:marLeft w:val="0"/>
      <w:marRight w:val="0"/>
      <w:marTop w:val="0"/>
      <w:marBottom w:val="0"/>
      <w:divBdr>
        <w:top w:val="none" w:sz="0" w:space="0" w:color="auto"/>
        <w:left w:val="none" w:sz="0" w:space="0" w:color="auto"/>
        <w:bottom w:val="none" w:sz="0" w:space="0" w:color="auto"/>
        <w:right w:val="none" w:sz="0" w:space="0" w:color="auto"/>
      </w:divBdr>
    </w:div>
    <w:div w:id="49577149">
      <w:bodyDiv w:val="1"/>
      <w:marLeft w:val="0"/>
      <w:marRight w:val="0"/>
      <w:marTop w:val="0"/>
      <w:marBottom w:val="0"/>
      <w:divBdr>
        <w:top w:val="none" w:sz="0" w:space="0" w:color="auto"/>
        <w:left w:val="none" w:sz="0" w:space="0" w:color="auto"/>
        <w:bottom w:val="none" w:sz="0" w:space="0" w:color="auto"/>
        <w:right w:val="none" w:sz="0" w:space="0" w:color="auto"/>
      </w:divBdr>
    </w:div>
    <w:div w:id="149637618">
      <w:bodyDiv w:val="1"/>
      <w:marLeft w:val="0"/>
      <w:marRight w:val="0"/>
      <w:marTop w:val="0"/>
      <w:marBottom w:val="0"/>
      <w:divBdr>
        <w:top w:val="none" w:sz="0" w:space="0" w:color="auto"/>
        <w:left w:val="none" w:sz="0" w:space="0" w:color="auto"/>
        <w:bottom w:val="none" w:sz="0" w:space="0" w:color="auto"/>
        <w:right w:val="none" w:sz="0" w:space="0" w:color="auto"/>
      </w:divBdr>
    </w:div>
    <w:div w:id="158348006">
      <w:bodyDiv w:val="1"/>
      <w:marLeft w:val="0"/>
      <w:marRight w:val="0"/>
      <w:marTop w:val="0"/>
      <w:marBottom w:val="0"/>
      <w:divBdr>
        <w:top w:val="none" w:sz="0" w:space="0" w:color="auto"/>
        <w:left w:val="none" w:sz="0" w:space="0" w:color="auto"/>
        <w:bottom w:val="none" w:sz="0" w:space="0" w:color="auto"/>
        <w:right w:val="none" w:sz="0" w:space="0" w:color="auto"/>
      </w:divBdr>
    </w:div>
    <w:div w:id="169876601">
      <w:bodyDiv w:val="1"/>
      <w:marLeft w:val="0"/>
      <w:marRight w:val="0"/>
      <w:marTop w:val="0"/>
      <w:marBottom w:val="0"/>
      <w:divBdr>
        <w:top w:val="none" w:sz="0" w:space="0" w:color="auto"/>
        <w:left w:val="none" w:sz="0" w:space="0" w:color="auto"/>
        <w:bottom w:val="none" w:sz="0" w:space="0" w:color="auto"/>
        <w:right w:val="none" w:sz="0" w:space="0" w:color="auto"/>
      </w:divBdr>
    </w:div>
    <w:div w:id="598148186">
      <w:bodyDiv w:val="1"/>
      <w:marLeft w:val="0"/>
      <w:marRight w:val="0"/>
      <w:marTop w:val="0"/>
      <w:marBottom w:val="0"/>
      <w:divBdr>
        <w:top w:val="none" w:sz="0" w:space="0" w:color="auto"/>
        <w:left w:val="none" w:sz="0" w:space="0" w:color="auto"/>
        <w:bottom w:val="none" w:sz="0" w:space="0" w:color="auto"/>
        <w:right w:val="none" w:sz="0" w:space="0" w:color="auto"/>
      </w:divBdr>
    </w:div>
    <w:div w:id="635768424">
      <w:bodyDiv w:val="1"/>
      <w:marLeft w:val="0"/>
      <w:marRight w:val="0"/>
      <w:marTop w:val="0"/>
      <w:marBottom w:val="0"/>
      <w:divBdr>
        <w:top w:val="none" w:sz="0" w:space="0" w:color="auto"/>
        <w:left w:val="none" w:sz="0" w:space="0" w:color="auto"/>
        <w:bottom w:val="none" w:sz="0" w:space="0" w:color="auto"/>
        <w:right w:val="none" w:sz="0" w:space="0" w:color="auto"/>
      </w:divBdr>
    </w:div>
    <w:div w:id="643393508">
      <w:bodyDiv w:val="1"/>
      <w:marLeft w:val="0"/>
      <w:marRight w:val="0"/>
      <w:marTop w:val="0"/>
      <w:marBottom w:val="0"/>
      <w:divBdr>
        <w:top w:val="none" w:sz="0" w:space="0" w:color="auto"/>
        <w:left w:val="none" w:sz="0" w:space="0" w:color="auto"/>
        <w:bottom w:val="none" w:sz="0" w:space="0" w:color="auto"/>
        <w:right w:val="none" w:sz="0" w:space="0" w:color="auto"/>
      </w:divBdr>
    </w:div>
    <w:div w:id="650796492">
      <w:bodyDiv w:val="1"/>
      <w:marLeft w:val="0"/>
      <w:marRight w:val="0"/>
      <w:marTop w:val="0"/>
      <w:marBottom w:val="0"/>
      <w:divBdr>
        <w:top w:val="none" w:sz="0" w:space="0" w:color="auto"/>
        <w:left w:val="none" w:sz="0" w:space="0" w:color="auto"/>
        <w:bottom w:val="none" w:sz="0" w:space="0" w:color="auto"/>
        <w:right w:val="none" w:sz="0" w:space="0" w:color="auto"/>
      </w:divBdr>
    </w:div>
    <w:div w:id="661003357">
      <w:bodyDiv w:val="1"/>
      <w:marLeft w:val="0"/>
      <w:marRight w:val="0"/>
      <w:marTop w:val="0"/>
      <w:marBottom w:val="0"/>
      <w:divBdr>
        <w:top w:val="none" w:sz="0" w:space="0" w:color="auto"/>
        <w:left w:val="none" w:sz="0" w:space="0" w:color="auto"/>
        <w:bottom w:val="none" w:sz="0" w:space="0" w:color="auto"/>
        <w:right w:val="none" w:sz="0" w:space="0" w:color="auto"/>
      </w:divBdr>
    </w:div>
    <w:div w:id="688028127">
      <w:bodyDiv w:val="1"/>
      <w:marLeft w:val="0"/>
      <w:marRight w:val="0"/>
      <w:marTop w:val="0"/>
      <w:marBottom w:val="0"/>
      <w:divBdr>
        <w:top w:val="none" w:sz="0" w:space="0" w:color="auto"/>
        <w:left w:val="none" w:sz="0" w:space="0" w:color="auto"/>
        <w:bottom w:val="none" w:sz="0" w:space="0" w:color="auto"/>
        <w:right w:val="none" w:sz="0" w:space="0" w:color="auto"/>
      </w:divBdr>
    </w:div>
    <w:div w:id="1107584842">
      <w:bodyDiv w:val="1"/>
      <w:marLeft w:val="0"/>
      <w:marRight w:val="0"/>
      <w:marTop w:val="0"/>
      <w:marBottom w:val="0"/>
      <w:divBdr>
        <w:top w:val="none" w:sz="0" w:space="0" w:color="auto"/>
        <w:left w:val="none" w:sz="0" w:space="0" w:color="auto"/>
        <w:bottom w:val="none" w:sz="0" w:space="0" w:color="auto"/>
        <w:right w:val="none" w:sz="0" w:space="0" w:color="auto"/>
      </w:divBdr>
    </w:div>
    <w:div w:id="1114131352">
      <w:bodyDiv w:val="1"/>
      <w:marLeft w:val="0"/>
      <w:marRight w:val="0"/>
      <w:marTop w:val="0"/>
      <w:marBottom w:val="0"/>
      <w:divBdr>
        <w:top w:val="none" w:sz="0" w:space="0" w:color="auto"/>
        <w:left w:val="none" w:sz="0" w:space="0" w:color="auto"/>
        <w:bottom w:val="none" w:sz="0" w:space="0" w:color="auto"/>
        <w:right w:val="none" w:sz="0" w:space="0" w:color="auto"/>
      </w:divBdr>
    </w:div>
    <w:div w:id="1132671221">
      <w:bodyDiv w:val="1"/>
      <w:marLeft w:val="0"/>
      <w:marRight w:val="0"/>
      <w:marTop w:val="0"/>
      <w:marBottom w:val="0"/>
      <w:divBdr>
        <w:top w:val="none" w:sz="0" w:space="0" w:color="auto"/>
        <w:left w:val="none" w:sz="0" w:space="0" w:color="auto"/>
        <w:bottom w:val="none" w:sz="0" w:space="0" w:color="auto"/>
        <w:right w:val="none" w:sz="0" w:space="0" w:color="auto"/>
      </w:divBdr>
    </w:div>
    <w:div w:id="1161383357">
      <w:bodyDiv w:val="1"/>
      <w:marLeft w:val="0"/>
      <w:marRight w:val="0"/>
      <w:marTop w:val="0"/>
      <w:marBottom w:val="0"/>
      <w:divBdr>
        <w:top w:val="none" w:sz="0" w:space="0" w:color="auto"/>
        <w:left w:val="none" w:sz="0" w:space="0" w:color="auto"/>
        <w:bottom w:val="none" w:sz="0" w:space="0" w:color="auto"/>
        <w:right w:val="none" w:sz="0" w:space="0" w:color="auto"/>
      </w:divBdr>
    </w:div>
    <w:div w:id="1179587533">
      <w:bodyDiv w:val="1"/>
      <w:marLeft w:val="0"/>
      <w:marRight w:val="0"/>
      <w:marTop w:val="0"/>
      <w:marBottom w:val="0"/>
      <w:divBdr>
        <w:top w:val="none" w:sz="0" w:space="0" w:color="auto"/>
        <w:left w:val="none" w:sz="0" w:space="0" w:color="auto"/>
        <w:bottom w:val="none" w:sz="0" w:space="0" w:color="auto"/>
        <w:right w:val="none" w:sz="0" w:space="0" w:color="auto"/>
      </w:divBdr>
    </w:div>
    <w:div w:id="1328552817">
      <w:bodyDiv w:val="1"/>
      <w:marLeft w:val="0"/>
      <w:marRight w:val="0"/>
      <w:marTop w:val="0"/>
      <w:marBottom w:val="0"/>
      <w:divBdr>
        <w:top w:val="none" w:sz="0" w:space="0" w:color="auto"/>
        <w:left w:val="none" w:sz="0" w:space="0" w:color="auto"/>
        <w:bottom w:val="none" w:sz="0" w:space="0" w:color="auto"/>
        <w:right w:val="none" w:sz="0" w:space="0" w:color="auto"/>
      </w:divBdr>
    </w:div>
    <w:div w:id="1365059442">
      <w:bodyDiv w:val="1"/>
      <w:marLeft w:val="0"/>
      <w:marRight w:val="0"/>
      <w:marTop w:val="0"/>
      <w:marBottom w:val="0"/>
      <w:divBdr>
        <w:top w:val="none" w:sz="0" w:space="0" w:color="auto"/>
        <w:left w:val="none" w:sz="0" w:space="0" w:color="auto"/>
        <w:bottom w:val="none" w:sz="0" w:space="0" w:color="auto"/>
        <w:right w:val="none" w:sz="0" w:space="0" w:color="auto"/>
      </w:divBdr>
    </w:div>
    <w:div w:id="1403528061">
      <w:bodyDiv w:val="1"/>
      <w:marLeft w:val="0"/>
      <w:marRight w:val="0"/>
      <w:marTop w:val="0"/>
      <w:marBottom w:val="0"/>
      <w:divBdr>
        <w:top w:val="none" w:sz="0" w:space="0" w:color="auto"/>
        <w:left w:val="none" w:sz="0" w:space="0" w:color="auto"/>
        <w:bottom w:val="none" w:sz="0" w:space="0" w:color="auto"/>
        <w:right w:val="none" w:sz="0" w:space="0" w:color="auto"/>
      </w:divBdr>
    </w:div>
    <w:div w:id="1437403835">
      <w:bodyDiv w:val="1"/>
      <w:marLeft w:val="0"/>
      <w:marRight w:val="0"/>
      <w:marTop w:val="0"/>
      <w:marBottom w:val="0"/>
      <w:divBdr>
        <w:top w:val="none" w:sz="0" w:space="0" w:color="auto"/>
        <w:left w:val="none" w:sz="0" w:space="0" w:color="auto"/>
        <w:bottom w:val="none" w:sz="0" w:space="0" w:color="auto"/>
        <w:right w:val="none" w:sz="0" w:space="0" w:color="auto"/>
      </w:divBdr>
    </w:div>
    <w:div w:id="1441755911">
      <w:bodyDiv w:val="1"/>
      <w:marLeft w:val="0"/>
      <w:marRight w:val="0"/>
      <w:marTop w:val="0"/>
      <w:marBottom w:val="0"/>
      <w:divBdr>
        <w:top w:val="none" w:sz="0" w:space="0" w:color="auto"/>
        <w:left w:val="none" w:sz="0" w:space="0" w:color="auto"/>
        <w:bottom w:val="none" w:sz="0" w:space="0" w:color="auto"/>
        <w:right w:val="none" w:sz="0" w:space="0" w:color="auto"/>
      </w:divBdr>
    </w:div>
    <w:div w:id="1501503320">
      <w:bodyDiv w:val="1"/>
      <w:marLeft w:val="0"/>
      <w:marRight w:val="0"/>
      <w:marTop w:val="0"/>
      <w:marBottom w:val="0"/>
      <w:divBdr>
        <w:top w:val="none" w:sz="0" w:space="0" w:color="auto"/>
        <w:left w:val="none" w:sz="0" w:space="0" w:color="auto"/>
        <w:bottom w:val="none" w:sz="0" w:space="0" w:color="auto"/>
        <w:right w:val="none" w:sz="0" w:space="0" w:color="auto"/>
      </w:divBdr>
    </w:div>
    <w:div w:id="1872693442">
      <w:bodyDiv w:val="1"/>
      <w:marLeft w:val="0"/>
      <w:marRight w:val="0"/>
      <w:marTop w:val="0"/>
      <w:marBottom w:val="0"/>
      <w:divBdr>
        <w:top w:val="none" w:sz="0" w:space="0" w:color="auto"/>
        <w:left w:val="none" w:sz="0" w:space="0" w:color="auto"/>
        <w:bottom w:val="none" w:sz="0" w:space="0" w:color="auto"/>
        <w:right w:val="none" w:sz="0" w:space="0" w:color="auto"/>
      </w:divBdr>
    </w:div>
    <w:div w:id="1903249591">
      <w:bodyDiv w:val="1"/>
      <w:marLeft w:val="0"/>
      <w:marRight w:val="0"/>
      <w:marTop w:val="0"/>
      <w:marBottom w:val="0"/>
      <w:divBdr>
        <w:top w:val="none" w:sz="0" w:space="0" w:color="auto"/>
        <w:left w:val="none" w:sz="0" w:space="0" w:color="auto"/>
        <w:bottom w:val="none" w:sz="0" w:space="0" w:color="auto"/>
        <w:right w:val="none" w:sz="0" w:space="0" w:color="auto"/>
      </w:divBdr>
    </w:div>
    <w:div w:id="1925190436">
      <w:bodyDiv w:val="1"/>
      <w:marLeft w:val="0"/>
      <w:marRight w:val="0"/>
      <w:marTop w:val="0"/>
      <w:marBottom w:val="0"/>
      <w:divBdr>
        <w:top w:val="none" w:sz="0" w:space="0" w:color="auto"/>
        <w:left w:val="none" w:sz="0" w:space="0" w:color="auto"/>
        <w:bottom w:val="none" w:sz="0" w:space="0" w:color="auto"/>
        <w:right w:val="none" w:sz="0" w:space="0" w:color="auto"/>
      </w:divBdr>
    </w:div>
    <w:div w:id="1947691861">
      <w:bodyDiv w:val="1"/>
      <w:marLeft w:val="0"/>
      <w:marRight w:val="0"/>
      <w:marTop w:val="0"/>
      <w:marBottom w:val="0"/>
      <w:divBdr>
        <w:top w:val="none" w:sz="0" w:space="0" w:color="auto"/>
        <w:left w:val="none" w:sz="0" w:space="0" w:color="auto"/>
        <w:bottom w:val="none" w:sz="0" w:space="0" w:color="auto"/>
        <w:right w:val="none" w:sz="0" w:space="0" w:color="auto"/>
      </w:divBdr>
    </w:div>
    <w:div w:id="1989020190">
      <w:bodyDiv w:val="1"/>
      <w:marLeft w:val="0"/>
      <w:marRight w:val="0"/>
      <w:marTop w:val="0"/>
      <w:marBottom w:val="0"/>
      <w:divBdr>
        <w:top w:val="none" w:sz="0" w:space="0" w:color="auto"/>
        <w:left w:val="none" w:sz="0" w:space="0" w:color="auto"/>
        <w:bottom w:val="none" w:sz="0" w:space="0" w:color="auto"/>
        <w:right w:val="none" w:sz="0" w:space="0" w:color="auto"/>
      </w:divBdr>
    </w:div>
    <w:div w:id="21320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CBA9D-EA5E-4DCD-B140-DAF85671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10191</Words>
  <Characters>55951</Characters>
  <Application>Microsoft Office Word</Application>
  <DocSecurity>0</DocSecurity>
  <Lines>777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2022-03-11T16:01:00Z</dcterms:created>
  <dcterms:modified xsi:type="dcterms:W3CDTF">2022-03-14T17:03:00Z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2021-07-15T10:42:59Z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10980ec6-d7ea-4468-b01e-665be08d4b05</vt:lpwstr>
  </property>
  <property fmtid="{D5CDD505-2E9C-101B-9397-08002B2CF9AE}" pid="8" name="MSIP_Label_06c24981-b6df-48f8-949b-0896357b9b03_ContentBits">
    <vt:lpwstr>0</vt:lpwstr>
  </property>
</Properties>
</file>