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982046" w14:textId="299F538E" w:rsidR="00902C30" w:rsidRPr="00614418" w:rsidRDefault="00902C30" w:rsidP="002E0DFF">
      <w:pPr>
        <w:spacing w:line="360" w:lineRule="auto"/>
        <w:jc w:val="center"/>
        <w:rPr>
          <w:rFonts w:ascii="Garamond" w:eastAsia="Times New Roman" w:hAnsi="Garamond" w:cs="Times New Roman"/>
          <w:b/>
          <w:color w:val="000000"/>
        </w:rPr>
      </w:pPr>
      <w:r w:rsidRPr="00614418">
        <w:rPr>
          <w:rFonts w:ascii="Garamond" w:eastAsia="Times New Roman" w:hAnsi="Garamond" w:cs="Times New Roman"/>
          <w:b/>
          <w:color w:val="000000"/>
        </w:rPr>
        <w:t>Signaling Virtue or V</w:t>
      </w:r>
      <w:r w:rsidR="002E0DFF" w:rsidRPr="00614418">
        <w:rPr>
          <w:rFonts w:ascii="Garamond" w:eastAsia="Times New Roman" w:hAnsi="Garamond" w:cs="Times New Roman"/>
          <w:b/>
          <w:color w:val="000000"/>
        </w:rPr>
        <w:t xml:space="preserve">ulnerability? </w:t>
      </w:r>
    </w:p>
    <w:p w14:paraId="5DCED705" w14:textId="5CB3CC4D" w:rsidR="002E0DFF" w:rsidRPr="00614418" w:rsidRDefault="00FF7294" w:rsidP="002E0DFF">
      <w:pPr>
        <w:spacing w:line="360" w:lineRule="auto"/>
        <w:jc w:val="center"/>
        <w:rPr>
          <w:rFonts w:ascii="Garamond" w:eastAsia="Times New Roman" w:hAnsi="Garamond" w:cs="Times New Roman"/>
          <w:b/>
          <w:color w:val="000000"/>
        </w:rPr>
      </w:pPr>
      <w:r w:rsidRPr="00614418">
        <w:rPr>
          <w:rFonts w:ascii="Garamond" w:eastAsia="Times New Roman" w:hAnsi="Garamond" w:cs="Times New Roman"/>
          <w:b/>
          <w:color w:val="000000"/>
        </w:rPr>
        <w:t xml:space="preserve">The Changing Impact of Exchange Rate </w:t>
      </w:r>
      <w:r w:rsidR="00B702CE" w:rsidRPr="00614418">
        <w:rPr>
          <w:rFonts w:ascii="Garamond" w:eastAsia="Times New Roman" w:hAnsi="Garamond" w:cs="Times New Roman"/>
          <w:b/>
          <w:color w:val="000000"/>
        </w:rPr>
        <w:t>Regime</w:t>
      </w:r>
      <w:r w:rsidR="00DA02A0" w:rsidRPr="00614418">
        <w:rPr>
          <w:rFonts w:ascii="Garamond" w:eastAsia="Times New Roman" w:hAnsi="Garamond" w:cs="Times New Roman"/>
          <w:b/>
          <w:color w:val="000000"/>
        </w:rPr>
        <w:t>s</w:t>
      </w:r>
      <w:r w:rsidRPr="00614418">
        <w:rPr>
          <w:rFonts w:ascii="Garamond" w:eastAsia="Times New Roman" w:hAnsi="Garamond" w:cs="Times New Roman"/>
          <w:b/>
          <w:color w:val="000000"/>
        </w:rPr>
        <w:t xml:space="preserve"> on </w:t>
      </w:r>
      <w:r w:rsidR="00B702CE" w:rsidRPr="00614418">
        <w:rPr>
          <w:rFonts w:ascii="Garamond" w:eastAsia="Times New Roman" w:hAnsi="Garamond" w:cs="Times New Roman"/>
          <w:b/>
          <w:color w:val="000000"/>
        </w:rPr>
        <w:t xml:space="preserve">Government </w:t>
      </w:r>
      <w:r w:rsidRPr="00614418">
        <w:rPr>
          <w:rFonts w:ascii="Garamond" w:eastAsia="Times New Roman" w:hAnsi="Garamond" w:cs="Times New Roman"/>
          <w:b/>
          <w:color w:val="000000"/>
        </w:rPr>
        <w:t>Bond</w:t>
      </w:r>
      <w:r w:rsidR="00DA02A0" w:rsidRPr="00614418">
        <w:rPr>
          <w:rFonts w:ascii="Garamond" w:eastAsia="Times New Roman" w:hAnsi="Garamond" w:cs="Times New Roman"/>
          <w:b/>
          <w:color w:val="000000"/>
        </w:rPr>
        <w:t xml:space="preserve"> Yields</w:t>
      </w:r>
      <w:r w:rsidR="00902C30" w:rsidRPr="00614418">
        <w:rPr>
          <w:rFonts w:ascii="Garamond" w:eastAsia="Times New Roman" w:hAnsi="Garamond" w:cs="Times New Roman"/>
          <w:b/>
          <w:color w:val="000000"/>
        </w:rPr>
        <w:t xml:space="preserve"> </w:t>
      </w:r>
    </w:p>
    <w:p w14:paraId="06C92B5E" w14:textId="0C85E4D8" w:rsidR="002E0DFF" w:rsidRDefault="002E0DFF" w:rsidP="002E0DFF">
      <w:pPr>
        <w:spacing w:line="360" w:lineRule="auto"/>
        <w:jc w:val="center"/>
        <w:rPr>
          <w:rFonts w:ascii="Garamond" w:eastAsia="Times New Roman" w:hAnsi="Garamond" w:cs="Times New Roman"/>
          <w:b/>
          <w:color w:val="000000"/>
        </w:rPr>
      </w:pPr>
    </w:p>
    <w:p w14:paraId="07A8F622" w14:textId="4AF4AF83" w:rsidR="00A76124" w:rsidRDefault="00A76124" w:rsidP="002E0DFF">
      <w:pPr>
        <w:spacing w:line="360" w:lineRule="auto"/>
        <w:jc w:val="center"/>
        <w:rPr>
          <w:rFonts w:ascii="Garamond" w:eastAsia="Times New Roman" w:hAnsi="Garamond" w:cs="Times New Roman"/>
          <w:b/>
          <w:color w:val="000000"/>
        </w:rPr>
      </w:pPr>
      <w:r>
        <w:rPr>
          <w:rFonts w:ascii="Garamond" w:eastAsia="Times New Roman" w:hAnsi="Garamond" w:cs="Times New Roman"/>
          <w:b/>
          <w:color w:val="000000"/>
        </w:rPr>
        <w:t>Paper for the 2022 EUSA Conference</w:t>
      </w:r>
    </w:p>
    <w:p w14:paraId="63480DC9" w14:textId="02C7C82D" w:rsidR="00A76124" w:rsidRPr="00614418" w:rsidRDefault="00A76124" w:rsidP="002E0DFF">
      <w:pPr>
        <w:spacing w:line="360" w:lineRule="auto"/>
        <w:jc w:val="center"/>
        <w:rPr>
          <w:rFonts w:ascii="Garamond" w:eastAsia="Times New Roman" w:hAnsi="Garamond" w:cs="Times New Roman"/>
          <w:b/>
          <w:color w:val="000000"/>
        </w:rPr>
      </w:pPr>
      <w:r>
        <w:rPr>
          <w:rFonts w:ascii="Garamond" w:eastAsia="Times New Roman" w:hAnsi="Garamond" w:cs="Times New Roman"/>
          <w:b/>
          <w:color w:val="000000"/>
        </w:rPr>
        <w:t>&lt;&lt;Draft: Please do not cite without authors’ permission&gt;&gt;</w:t>
      </w:r>
    </w:p>
    <w:p w14:paraId="073BDBBA" w14:textId="77777777" w:rsidR="00FA40AD" w:rsidRPr="00614418" w:rsidRDefault="00FA40AD" w:rsidP="002E0DFF">
      <w:pPr>
        <w:spacing w:line="360" w:lineRule="auto"/>
        <w:jc w:val="center"/>
        <w:rPr>
          <w:rFonts w:ascii="Garamond" w:eastAsia="Times New Roman" w:hAnsi="Garamond" w:cs="Times New Roman"/>
          <w:b/>
          <w:color w:val="000000"/>
        </w:rPr>
      </w:pPr>
    </w:p>
    <w:p w14:paraId="402410DD" w14:textId="041B183F" w:rsidR="00FA40AD" w:rsidRPr="00614418" w:rsidRDefault="00FA40AD" w:rsidP="00C9074E">
      <w:pPr>
        <w:spacing w:line="360" w:lineRule="auto"/>
        <w:jc w:val="center"/>
        <w:rPr>
          <w:rFonts w:ascii="Garamond" w:eastAsia="Times New Roman" w:hAnsi="Garamond" w:cs="Times New Roman"/>
          <w:bCs/>
          <w:color w:val="000000"/>
        </w:rPr>
      </w:pPr>
      <w:r w:rsidRPr="00614418">
        <w:rPr>
          <w:rFonts w:ascii="Garamond" w:eastAsia="Times New Roman" w:hAnsi="Garamond" w:cs="Times New Roman"/>
          <w:bCs/>
          <w:color w:val="000000"/>
        </w:rPr>
        <w:t>Zs</w:t>
      </w:r>
      <w:r w:rsidR="003A79C2">
        <w:rPr>
          <w:rFonts w:ascii="Garamond" w:eastAsia="Times New Roman" w:hAnsi="Garamond" w:cs="Times New Roman"/>
          <w:bCs/>
          <w:color w:val="000000"/>
        </w:rPr>
        <w:t>ó</w:t>
      </w:r>
      <w:r w:rsidRPr="00614418">
        <w:rPr>
          <w:rFonts w:ascii="Garamond" w:eastAsia="Times New Roman" w:hAnsi="Garamond" w:cs="Times New Roman"/>
          <w:bCs/>
          <w:color w:val="000000"/>
        </w:rPr>
        <w:t>fia Barta (University of Albany), Lucio Baccaro (</w:t>
      </w:r>
      <w:proofErr w:type="spellStart"/>
      <w:r w:rsidRPr="00614418">
        <w:rPr>
          <w:rFonts w:ascii="Garamond" w:eastAsia="Times New Roman" w:hAnsi="Garamond" w:cs="Times New Roman"/>
          <w:bCs/>
          <w:color w:val="000000"/>
        </w:rPr>
        <w:t>M</w:t>
      </w:r>
      <w:r w:rsidR="007719DA" w:rsidRPr="00614418">
        <w:rPr>
          <w:rFonts w:ascii="Garamond" w:eastAsia="Times New Roman" w:hAnsi="Garamond" w:cs="Times New Roman"/>
          <w:bCs/>
          <w:color w:val="000000"/>
        </w:rPr>
        <w:t>PIfG</w:t>
      </w:r>
      <w:proofErr w:type="spellEnd"/>
      <w:r w:rsidR="00800E00">
        <w:rPr>
          <w:rFonts w:ascii="Garamond" w:eastAsia="Times New Roman" w:hAnsi="Garamond" w:cs="Times New Roman"/>
          <w:bCs/>
          <w:color w:val="000000"/>
        </w:rPr>
        <w:t>)</w:t>
      </w:r>
      <w:r w:rsidRPr="00614418">
        <w:rPr>
          <w:rFonts w:ascii="Garamond" w:eastAsia="Times New Roman" w:hAnsi="Garamond" w:cs="Times New Roman"/>
          <w:bCs/>
          <w:color w:val="000000"/>
        </w:rPr>
        <w:t xml:space="preserve"> and Alison Johnston (Oregon State University)</w:t>
      </w:r>
      <w:r w:rsidR="00F20E46">
        <w:rPr>
          <w:rStyle w:val="FootnoteReference"/>
          <w:rFonts w:ascii="Garamond" w:eastAsia="Times New Roman" w:hAnsi="Garamond" w:cs="Times New Roman"/>
          <w:bCs/>
          <w:color w:val="000000"/>
        </w:rPr>
        <w:footnoteReference w:id="1"/>
      </w:r>
    </w:p>
    <w:p w14:paraId="5ECD536A" w14:textId="0605E719" w:rsidR="00FA40AD" w:rsidRPr="00614418" w:rsidRDefault="00FA40AD" w:rsidP="002E0DFF">
      <w:pPr>
        <w:spacing w:line="360" w:lineRule="auto"/>
        <w:jc w:val="center"/>
        <w:rPr>
          <w:rFonts w:ascii="Garamond" w:eastAsia="Times New Roman" w:hAnsi="Garamond" w:cs="Times New Roman"/>
          <w:b/>
          <w:color w:val="000000"/>
        </w:rPr>
      </w:pPr>
    </w:p>
    <w:p w14:paraId="2B7F588A" w14:textId="788FE34E" w:rsidR="00FA40AD" w:rsidRPr="00614418" w:rsidRDefault="00535195" w:rsidP="008F262D">
      <w:pPr>
        <w:jc w:val="both"/>
        <w:rPr>
          <w:rFonts w:ascii="Garamond" w:hAnsi="Garamond" w:cs="Times New Roman"/>
        </w:rPr>
      </w:pPr>
      <w:r w:rsidRPr="00614418">
        <w:rPr>
          <w:rFonts w:ascii="Garamond" w:eastAsia="Times New Roman" w:hAnsi="Garamond" w:cs="Times New Roman"/>
          <w:b/>
          <w:color w:val="000000"/>
        </w:rPr>
        <w:t xml:space="preserve">Abstract: </w:t>
      </w:r>
      <w:r w:rsidRPr="00614418">
        <w:rPr>
          <w:rFonts w:ascii="Garamond" w:eastAsia="Times New Roman" w:hAnsi="Garamond" w:cs="Times New Roman"/>
          <w:color w:val="000000"/>
        </w:rPr>
        <w:t>Do exchange</w:t>
      </w:r>
      <w:r w:rsidR="00177B57">
        <w:rPr>
          <w:rFonts w:ascii="Garamond" w:eastAsia="Times New Roman" w:hAnsi="Garamond" w:cs="Times New Roman"/>
          <w:color w:val="000000"/>
        </w:rPr>
        <w:t>-</w:t>
      </w:r>
      <w:r w:rsidRPr="00614418">
        <w:rPr>
          <w:rFonts w:ascii="Garamond" w:eastAsia="Times New Roman" w:hAnsi="Garamond" w:cs="Times New Roman"/>
          <w:color w:val="000000"/>
        </w:rPr>
        <w:t>rate regimes affect the conditions under which developed countr</w:t>
      </w:r>
      <w:r w:rsidR="00177B57">
        <w:rPr>
          <w:rFonts w:ascii="Garamond" w:eastAsia="Times New Roman" w:hAnsi="Garamond" w:cs="Times New Roman"/>
          <w:color w:val="000000"/>
        </w:rPr>
        <w:t>ies</w:t>
      </w:r>
      <w:r w:rsidRPr="00614418">
        <w:rPr>
          <w:rFonts w:ascii="Garamond" w:eastAsia="Times New Roman" w:hAnsi="Garamond" w:cs="Times New Roman"/>
          <w:color w:val="000000"/>
        </w:rPr>
        <w:t xml:space="preserve"> borrow? </w:t>
      </w:r>
      <w:r w:rsidR="000438AD">
        <w:rPr>
          <w:rFonts w:ascii="Garamond" w:eastAsia="Times New Roman" w:hAnsi="Garamond" w:cs="Times New Roman"/>
          <w:color w:val="000000"/>
        </w:rPr>
        <w:t>T</w:t>
      </w:r>
      <w:r w:rsidRPr="00614418">
        <w:rPr>
          <w:rFonts w:ascii="Garamond" w:eastAsia="Times New Roman" w:hAnsi="Garamond" w:cs="Times New Roman"/>
          <w:color w:val="000000"/>
        </w:rPr>
        <w:t>his paper argue</w:t>
      </w:r>
      <w:r w:rsidR="000438AD">
        <w:rPr>
          <w:rFonts w:ascii="Garamond" w:eastAsia="Times New Roman" w:hAnsi="Garamond" w:cs="Times New Roman"/>
          <w:color w:val="000000"/>
        </w:rPr>
        <w:t>s</w:t>
      </w:r>
      <w:r w:rsidRPr="00614418">
        <w:rPr>
          <w:rFonts w:ascii="Garamond" w:eastAsia="Times New Roman" w:hAnsi="Garamond" w:cs="Times New Roman"/>
          <w:color w:val="000000"/>
        </w:rPr>
        <w:t xml:space="preserve"> that </w:t>
      </w:r>
      <w:r w:rsidR="00A43A96" w:rsidRPr="00614418">
        <w:rPr>
          <w:rFonts w:ascii="Garamond" w:eastAsia="Times New Roman" w:hAnsi="Garamond" w:cs="Times New Roman"/>
          <w:color w:val="000000"/>
        </w:rPr>
        <w:t>they do</w:t>
      </w:r>
      <w:r w:rsidRPr="00614418">
        <w:rPr>
          <w:rFonts w:ascii="Garamond" w:eastAsia="Times New Roman" w:hAnsi="Garamond" w:cs="Times New Roman"/>
          <w:color w:val="000000"/>
        </w:rPr>
        <w:t>, but the</w:t>
      </w:r>
      <w:r w:rsidR="00A43A96" w:rsidRPr="00614418">
        <w:rPr>
          <w:rFonts w:ascii="Garamond" w:eastAsia="Times New Roman" w:hAnsi="Garamond" w:cs="Times New Roman"/>
          <w:color w:val="000000"/>
        </w:rPr>
        <w:t>ir</w:t>
      </w:r>
      <w:r w:rsidRPr="00614418">
        <w:rPr>
          <w:rFonts w:ascii="Garamond" w:eastAsia="Times New Roman" w:hAnsi="Garamond" w:cs="Times New Roman"/>
          <w:color w:val="000000"/>
        </w:rPr>
        <w:t xml:space="preserve"> impact</w:t>
      </w:r>
      <w:r w:rsidR="00A43A96" w:rsidRPr="00614418">
        <w:rPr>
          <w:rFonts w:ascii="Garamond" w:eastAsia="Times New Roman" w:hAnsi="Garamond" w:cs="Times New Roman"/>
          <w:color w:val="000000"/>
        </w:rPr>
        <w:t xml:space="preserve"> on yields</w:t>
      </w:r>
      <w:r w:rsidRPr="00614418">
        <w:rPr>
          <w:rFonts w:ascii="Garamond" w:eastAsia="Times New Roman" w:hAnsi="Garamond" w:cs="Times New Roman"/>
          <w:color w:val="000000"/>
        </w:rPr>
        <w:t xml:space="preserve"> depends </w:t>
      </w:r>
      <w:r w:rsidRPr="00583463">
        <w:rPr>
          <w:rFonts w:ascii="Garamond" w:eastAsia="Times New Roman" w:hAnsi="Garamond" w:cs="Times New Roman"/>
          <w:color w:val="000000"/>
        </w:rPr>
        <w:t xml:space="preserve">on the prevailing </w:t>
      </w:r>
      <w:r w:rsidR="00D42CD6" w:rsidRPr="00583463">
        <w:rPr>
          <w:rFonts w:ascii="Garamond" w:eastAsia="Times New Roman" w:hAnsi="Garamond" w:cs="Times New Roman"/>
          <w:color w:val="000000"/>
        </w:rPr>
        <w:t xml:space="preserve">macroeconomic </w:t>
      </w:r>
      <w:r w:rsidRPr="00583463">
        <w:rPr>
          <w:rFonts w:ascii="Garamond" w:eastAsia="Times New Roman" w:hAnsi="Garamond" w:cs="Times New Roman"/>
          <w:color w:val="000000"/>
        </w:rPr>
        <w:t>context</w:t>
      </w:r>
      <w:r w:rsidRPr="00614418">
        <w:rPr>
          <w:rFonts w:ascii="Garamond" w:eastAsia="Times New Roman" w:hAnsi="Garamond" w:cs="Times New Roman"/>
          <w:color w:val="000000"/>
        </w:rPr>
        <w:t xml:space="preserve">. </w:t>
      </w:r>
      <w:r w:rsidR="00521954" w:rsidRPr="00614418">
        <w:rPr>
          <w:rFonts w:ascii="Garamond" w:eastAsia="Times New Roman" w:hAnsi="Garamond" w:cs="Times New Roman"/>
          <w:color w:val="000000"/>
        </w:rPr>
        <w:t>When</w:t>
      </w:r>
      <w:r w:rsidRPr="00614418">
        <w:rPr>
          <w:rFonts w:ascii="Garamond" w:eastAsia="Times New Roman" w:hAnsi="Garamond" w:cs="Times New Roman"/>
          <w:color w:val="000000"/>
        </w:rPr>
        <w:t xml:space="preserve"> </w:t>
      </w:r>
      <w:r w:rsidR="00177B57">
        <w:rPr>
          <w:rFonts w:ascii="Garamond" w:eastAsia="Times New Roman" w:hAnsi="Garamond" w:cs="Times New Roman"/>
          <w:color w:val="000000"/>
        </w:rPr>
        <w:t xml:space="preserve">investors </w:t>
      </w:r>
      <w:r w:rsidRPr="00614418">
        <w:rPr>
          <w:rFonts w:ascii="Garamond" w:eastAsia="Times New Roman" w:hAnsi="Garamond" w:cs="Times New Roman"/>
          <w:color w:val="000000"/>
        </w:rPr>
        <w:t xml:space="preserve">regard inflation as the most relevant risk to </w:t>
      </w:r>
      <w:r w:rsidR="005A5506">
        <w:rPr>
          <w:rFonts w:ascii="Garamond" w:eastAsia="Times New Roman" w:hAnsi="Garamond" w:cs="Times New Roman"/>
          <w:color w:val="000000"/>
        </w:rPr>
        <w:t>bondholdings</w:t>
      </w:r>
      <w:r w:rsidRPr="00614418">
        <w:rPr>
          <w:rFonts w:ascii="Garamond" w:eastAsia="Times New Roman" w:hAnsi="Garamond" w:cs="Times New Roman"/>
          <w:color w:val="000000"/>
        </w:rPr>
        <w:t xml:space="preserve">, </w:t>
      </w:r>
      <w:r w:rsidR="005F4DF8" w:rsidRPr="00614418">
        <w:rPr>
          <w:rFonts w:ascii="Garamond" w:eastAsia="Times New Roman" w:hAnsi="Garamond" w:cs="Times New Roman"/>
          <w:color w:val="000000"/>
        </w:rPr>
        <w:t>monetary union</w:t>
      </w:r>
      <w:r w:rsidR="00521954" w:rsidRPr="00614418">
        <w:rPr>
          <w:rFonts w:ascii="Garamond" w:eastAsia="Times New Roman" w:hAnsi="Garamond" w:cs="Times New Roman"/>
          <w:color w:val="000000"/>
        </w:rPr>
        <w:t xml:space="preserve"> </w:t>
      </w:r>
      <w:r w:rsidR="00583463" w:rsidRPr="00614418">
        <w:rPr>
          <w:rFonts w:ascii="Garamond" w:eastAsia="Times New Roman" w:hAnsi="Garamond" w:cs="Times New Roman"/>
          <w:color w:val="000000"/>
        </w:rPr>
        <w:t>ha</w:t>
      </w:r>
      <w:r w:rsidR="00583463">
        <w:rPr>
          <w:rFonts w:ascii="Garamond" w:eastAsia="Times New Roman" w:hAnsi="Garamond" w:cs="Times New Roman"/>
          <w:color w:val="000000"/>
        </w:rPr>
        <w:t>s</w:t>
      </w:r>
      <w:r w:rsidR="00583463" w:rsidRPr="00614418">
        <w:rPr>
          <w:rFonts w:ascii="Garamond" w:eastAsia="Times New Roman" w:hAnsi="Garamond" w:cs="Times New Roman"/>
          <w:color w:val="000000"/>
        </w:rPr>
        <w:t xml:space="preserve"> </w:t>
      </w:r>
      <w:r w:rsidR="007B171A">
        <w:rPr>
          <w:rFonts w:ascii="Garamond" w:eastAsia="Times New Roman" w:hAnsi="Garamond" w:cs="Times New Roman"/>
          <w:color w:val="000000"/>
        </w:rPr>
        <w:t xml:space="preserve">a </w:t>
      </w:r>
      <w:r w:rsidRPr="00614418">
        <w:rPr>
          <w:rFonts w:ascii="Garamond" w:eastAsia="Times New Roman" w:hAnsi="Garamond" w:cs="Times New Roman"/>
          <w:color w:val="000000"/>
        </w:rPr>
        <w:t xml:space="preserve">distinct advantage over floating </w:t>
      </w:r>
      <w:r w:rsidR="00583463">
        <w:rPr>
          <w:rFonts w:ascii="Garamond" w:eastAsia="Times New Roman" w:hAnsi="Garamond" w:cs="Times New Roman"/>
          <w:color w:val="000000"/>
        </w:rPr>
        <w:t xml:space="preserve">and fixed </w:t>
      </w:r>
      <w:r w:rsidRPr="00614418">
        <w:rPr>
          <w:rFonts w:ascii="Garamond" w:eastAsia="Times New Roman" w:hAnsi="Garamond" w:cs="Times New Roman"/>
          <w:color w:val="000000"/>
        </w:rPr>
        <w:t>exchange</w:t>
      </w:r>
      <w:r w:rsidR="005F4DF8" w:rsidRPr="00614418">
        <w:rPr>
          <w:rFonts w:ascii="Garamond" w:eastAsia="Times New Roman" w:hAnsi="Garamond" w:cs="Times New Roman"/>
          <w:color w:val="000000"/>
        </w:rPr>
        <w:t xml:space="preserve"> rates</w:t>
      </w:r>
      <w:r w:rsidRPr="00614418">
        <w:rPr>
          <w:rFonts w:ascii="Garamond" w:eastAsia="Times New Roman" w:hAnsi="Garamond" w:cs="Times New Roman"/>
          <w:color w:val="000000"/>
        </w:rPr>
        <w:t>, because</w:t>
      </w:r>
      <w:r w:rsidRPr="00614418">
        <w:rPr>
          <w:rFonts w:ascii="Garamond" w:hAnsi="Garamond"/>
        </w:rPr>
        <w:t xml:space="preserve"> </w:t>
      </w:r>
      <w:r w:rsidR="00521954" w:rsidRPr="00614418">
        <w:rPr>
          <w:rFonts w:ascii="Garamond" w:hAnsi="Garamond"/>
        </w:rPr>
        <w:t xml:space="preserve">of </w:t>
      </w:r>
      <w:r w:rsidR="00583463">
        <w:rPr>
          <w:rFonts w:ascii="Garamond" w:hAnsi="Garamond"/>
        </w:rPr>
        <w:t>its credible</w:t>
      </w:r>
      <w:r w:rsidRPr="00614418">
        <w:rPr>
          <w:rFonts w:ascii="Garamond" w:hAnsi="Garamond"/>
        </w:rPr>
        <w:t xml:space="preserve"> in-built mechanism</w:t>
      </w:r>
      <w:r w:rsidR="00521954" w:rsidRPr="00614418">
        <w:rPr>
          <w:rFonts w:ascii="Garamond" w:hAnsi="Garamond"/>
        </w:rPr>
        <w:t xml:space="preserve"> </w:t>
      </w:r>
      <w:r w:rsidRPr="00614418">
        <w:rPr>
          <w:rFonts w:ascii="Garamond" w:hAnsi="Garamond"/>
        </w:rPr>
        <w:t xml:space="preserve">to control inflation. </w:t>
      </w:r>
      <w:r w:rsidR="00A43A96" w:rsidRPr="00614418">
        <w:rPr>
          <w:rFonts w:ascii="Garamond" w:hAnsi="Garamond"/>
        </w:rPr>
        <w:t xml:space="preserve">However, </w:t>
      </w:r>
      <w:r w:rsidR="00A43A96" w:rsidRPr="00614418">
        <w:rPr>
          <w:rFonts w:ascii="Garamond" w:eastAsia="Times New Roman" w:hAnsi="Garamond" w:cs="Times New Roman"/>
          <w:color w:val="000000"/>
        </w:rPr>
        <w:t>o</w:t>
      </w:r>
      <w:r w:rsidR="00521954" w:rsidRPr="00614418">
        <w:rPr>
          <w:rFonts w:ascii="Garamond" w:eastAsia="Times New Roman" w:hAnsi="Garamond" w:cs="Times New Roman"/>
          <w:color w:val="000000"/>
        </w:rPr>
        <w:t xml:space="preserve">nce </w:t>
      </w:r>
      <w:r w:rsidR="00A43A96" w:rsidRPr="00614418">
        <w:rPr>
          <w:rFonts w:ascii="Garamond" w:eastAsia="Times New Roman" w:hAnsi="Garamond" w:cs="Times New Roman"/>
          <w:color w:val="000000"/>
        </w:rPr>
        <w:t>default</w:t>
      </w:r>
      <w:r w:rsidR="00521954" w:rsidRPr="00614418">
        <w:rPr>
          <w:rFonts w:ascii="Garamond" w:eastAsia="Times New Roman" w:hAnsi="Garamond" w:cs="Times New Roman"/>
          <w:color w:val="000000"/>
        </w:rPr>
        <w:t xml:space="preserve"> </w:t>
      </w:r>
      <w:r w:rsidR="005A5506">
        <w:rPr>
          <w:rFonts w:ascii="Garamond" w:eastAsia="Times New Roman" w:hAnsi="Garamond" w:cs="Times New Roman"/>
          <w:color w:val="000000"/>
        </w:rPr>
        <w:t>is</w:t>
      </w:r>
      <w:r w:rsidR="005A5506" w:rsidRPr="00614418">
        <w:rPr>
          <w:rFonts w:ascii="Garamond" w:eastAsia="Times New Roman" w:hAnsi="Garamond" w:cs="Times New Roman"/>
          <w:color w:val="000000"/>
        </w:rPr>
        <w:t xml:space="preserve"> </w:t>
      </w:r>
      <w:r w:rsidR="00912C81">
        <w:rPr>
          <w:rFonts w:ascii="Garamond" w:eastAsia="Times New Roman" w:hAnsi="Garamond" w:cs="Times New Roman"/>
          <w:color w:val="000000"/>
        </w:rPr>
        <w:t xml:space="preserve">seen as </w:t>
      </w:r>
      <w:r w:rsidR="00A43A96" w:rsidRPr="00614418">
        <w:rPr>
          <w:rFonts w:ascii="Garamond" w:eastAsia="Times New Roman" w:hAnsi="Garamond" w:cs="Times New Roman"/>
          <w:color w:val="000000"/>
        </w:rPr>
        <w:t>the most relevant risk</w:t>
      </w:r>
      <w:r w:rsidR="005420A2">
        <w:rPr>
          <w:rFonts w:ascii="Garamond" w:eastAsia="Times New Roman" w:hAnsi="Garamond" w:cs="Times New Roman"/>
          <w:color w:val="000000"/>
        </w:rPr>
        <w:t>,</w:t>
      </w:r>
      <w:r w:rsidR="00A43A96" w:rsidRPr="00614418">
        <w:rPr>
          <w:rFonts w:ascii="Garamond" w:eastAsia="Times New Roman" w:hAnsi="Garamond" w:cs="Times New Roman"/>
          <w:color w:val="000000"/>
        </w:rPr>
        <w:t xml:space="preserve"> </w:t>
      </w:r>
      <w:r w:rsidR="00177B57" w:rsidRPr="00614418">
        <w:rPr>
          <w:rFonts w:ascii="Garamond" w:eastAsia="Times New Roman" w:hAnsi="Garamond" w:cs="Times New Roman"/>
          <w:color w:val="000000"/>
        </w:rPr>
        <w:t>exchange</w:t>
      </w:r>
      <w:r w:rsidR="00177B57">
        <w:rPr>
          <w:rFonts w:ascii="Garamond" w:eastAsia="Times New Roman" w:hAnsi="Garamond" w:cs="Times New Roman"/>
          <w:color w:val="000000"/>
        </w:rPr>
        <w:t>-</w:t>
      </w:r>
      <w:r w:rsidR="00A43A96" w:rsidRPr="00614418">
        <w:rPr>
          <w:rFonts w:ascii="Garamond" w:eastAsia="Times New Roman" w:hAnsi="Garamond" w:cs="Times New Roman"/>
          <w:color w:val="000000"/>
        </w:rPr>
        <w:t xml:space="preserve">rate rigidity </w:t>
      </w:r>
      <w:r w:rsidR="005A5506">
        <w:rPr>
          <w:rFonts w:ascii="Garamond" w:eastAsia="Times New Roman" w:hAnsi="Garamond" w:cs="Times New Roman"/>
          <w:color w:val="000000"/>
        </w:rPr>
        <w:t>becomes</w:t>
      </w:r>
      <w:r w:rsidR="00A43A96" w:rsidRPr="00614418">
        <w:rPr>
          <w:rFonts w:ascii="Garamond" w:eastAsia="Times New Roman" w:hAnsi="Garamond" w:cs="Times New Roman"/>
          <w:color w:val="000000"/>
        </w:rPr>
        <w:t xml:space="preserve"> a liability due to its constraining effect</w:t>
      </w:r>
      <w:r w:rsidR="00521954" w:rsidRPr="00614418">
        <w:rPr>
          <w:rFonts w:ascii="Garamond" w:eastAsia="Times New Roman" w:hAnsi="Garamond" w:cs="Times New Roman"/>
          <w:color w:val="000000"/>
        </w:rPr>
        <w:t xml:space="preserve"> on</w:t>
      </w:r>
      <w:r w:rsidR="005F4DF8" w:rsidRPr="00614418">
        <w:rPr>
          <w:rFonts w:ascii="Garamond" w:eastAsia="Times New Roman" w:hAnsi="Garamond" w:cs="Times New Roman"/>
          <w:color w:val="000000"/>
        </w:rPr>
        <w:t xml:space="preserve"> governments</w:t>
      </w:r>
      <w:r w:rsidR="00521954" w:rsidRPr="00614418">
        <w:rPr>
          <w:rFonts w:ascii="Garamond" w:eastAsia="Times New Roman" w:hAnsi="Garamond" w:cs="Times New Roman"/>
          <w:color w:val="000000"/>
        </w:rPr>
        <w:t>’ ability</w:t>
      </w:r>
      <w:r w:rsidR="005F4DF8" w:rsidRPr="00614418">
        <w:rPr>
          <w:rFonts w:ascii="Garamond" w:eastAsia="Times New Roman" w:hAnsi="Garamond" w:cs="Times New Roman"/>
          <w:color w:val="000000"/>
        </w:rPr>
        <w:t xml:space="preserve"> to </w:t>
      </w:r>
      <w:r w:rsidR="006D3C2D">
        <w:rPr>
          <w:rFonts w:ascii="Garamond" w:eastAsia="Times New Roman" w:hAnsi="Garamond" w:cs="Times New Roman"/>
          <w:color w:val="000000"/>
        </w:rPr>
        <w:t xml:space="preserve">respond </w:t>
      </w:r>
      <w:r w:rsidR="00566BC6">
        <w:rPr>
          <w:rFonts w:ascii="Garamond" w:eastAsia="Times New Roman" w:hAnsi="Garamond" w:cs="Times New Roman"/>
          <w:color w:val="000000"/>
        </w:rPr>
        <w:t xml:space="preserve">to </w:t>
      </w:r>
      <w:r w:rsidR="006D3C2D">
        <w:rPr>
          <w:rFonts w:ascii="Garamond" w:eastAsia="Times New Roman" w:hAnsi="Garamond" w:cs="Times New Roman"/>
          <w:color w:val="000000"/>
        </w:rPr>
        <w:t>adverse</w:t>
      </w:r>
      <w:r w:rsidR="00566BC6">
        <w:rPr>
          <w:rFonts w:ascii="Garamond" w:eastAsia="Times New Roman" w:hAnsi="Garamond" w:cs="Times New Roman"/>
          <w:color w:val="000000"/>
        </w:rPr>
        <w:t xml:space="preserve"> shock</w:t>
      </w:r>
      <w:r w:rsidR="000438AD">
        <w:rPr>
          <w:rFonts w:ascii="Garamond" w:eastAsia="Times New Roman" w:hAnsi="Garamond" w:cs="Times New Roman"/>
          <w:color w:val="000000"/>
        </w:rPr>
        <w:t>s</w:t>
      </w:r>
      <w:r w:rsidR="005F4DF8" w:rsidRPr="00614418">
        <w:rPr>
          <w:rFonts w:ascii="Garamond" w:eastAsia="Times New Roman" w:hAnsi="Garamond" w:cs="Times New Roman"/>
          <w:color w:val="000000"/>
        </w:rPr>
        <w:t xml:space="preserve">.  </w:t>
      </w:r>
      <w:r w:rsidR="008F262D" w:rsidRPr="00614418">
        <w:rPr>
          <w:rFonts w:ascii="Garamond" w:eastAsia="Times New Roman" w:hAnsi="Garamond" w:cs="Times New Roman"/>
          <w:color w:val="000000"/>
        </w:rPr>
        <w:t xml:space="preserve">We test our argument with </w:t>
      </w:r>
      <w:r w:rsidR="005F4DF8" w:rsidRPr="00614418">
        <w:rPr>
          <w:rFonts w:ascii="Garamond" w:eastAsia="Times New Roman" w:hAnsi="Garamond" w:cs="Times New Roman"/>
          <w:color w:val="000000"/>
        </w:rPr>
        <w:t>a moving</w:t>
      </w:r>
      <w:r w:rsidR="00521954" w:rsidRPr="00614418">
        <w:rPr>
          <w:rFonts w:ascii="Garamond" w:eastAsia="Times New Roman" w:hAnsi="Garamond" w:cs="Times New Roman"/>
          <w:color w:val="000000"/>
        </w:rPr>
        <w:t>-</w:t>
      </w:r>
      <w:r w:rsidR="005F4DF8" w:rsidRPr="00614418">
        <w:rPr>
          <w:rFonts w:ascii="Garamond" w:eastAsia="Times New Roman" w:hAnsi="Garamond" w:cs="Times New Roman"/>
          <w:color w:val="000000"/>
        </w:rPr>
        <w:t xml:space="preserve">window </w:t>
      </w:r>
      <w:r w:rsidR="00521954" w:rsidRPr="00614418">
        <w:rPr>
          <w:rFonts w:ascii="Garamond" w:eastAsia="Times New Roman" w:hAnsi="Garamond" w:cs="Times New Roman"/>
          <w:color w:val="000000"/>
        </w:rPr>
        <w:t>panel-</w:t>
      </w:r>
      <w:r w:rsidR="005F4DF8" w:rsidRPr="00614418">
        <w:rPr>
          <w:rFonts w:ascii="Garamond" w:eastAsia="Times New Roman" w:hAnsi="Garamond" w:cs="Times New Roman"/>
          <w:color w:val="000000"/>
        </w:rPr>
        <w:t xml:space="preserve">analysis </w:t>
      </w:r>
      <w:r w:rsidR="009924F8">
        <w:rPr>
          <w:rFonts w:ascii="Garamond" w:eastAsia="Times New Roman" w:hAnsi="Garamond" w:cs="Times New Roman"/>
          <w:color w:val="000000"/>
        </w:rPr>
        <w:t>for 23 OECD</w:t>
      </w:r>
      <w:r w:rsidR="000438AD">
        <w:rPr>
          <w:rFonts w:ascii="Garamond" w:eastAsia="Times New Roman" w:hAnsi="Garamond" w:cs="Times New Roman"/>
          <w:color w:val="000000"/>
        </w:rPr>
        <w:t>-</w:t>
      </w:r>
      <w:r w:rsidR="009924F8">
        <w:rPr>
          <w:rFonts w:ascii="Garamond" w:eastAsia="Times New Roman" w:hAnsi="Garamond" w:cs="Times New Roman"/>
          <w:color w:val="000000"/>
        </w:rPr>
        <w:t xml:space="preserve">countries from 1980 to </w:t>
      </w:r>
      <w:r w:rsidR="005F4DF8" w:rsidRPr="00614418">
        <w:rPr>
          <w:rFonts w:ascii="Garamond" w:eastAsia="Times New Roman" w:hAnsi="Garamond" w:cs="Times New Roman"/>
          <w:color w:val="000000"/>
        </w:rPr>
        <w:t>2017</w:t>
      </w:r>
      <w:r w:rsidR="008F262D" w:rsidRPr="00614418">
        <w:rPr>
          <w:rFonts w:ascii="Garamond" w:eastAsia="Times New Roman" w:hAnsi="Garamond" w:cs="Times New Roman"/>
          <w:color w:val="000000"/>
        </w:rPr>
        <w:t>. W</w:t>
      </w:r>
      <w:r w:rsidR="005F4DF8" w:rsidRPr="00614418">
        <w:rPr>
          <w:rFonts w:ascii="Garamond" w:hAnsi="Garamond" w:cs="Times New Roman"/>
        </w:rPr>
        <w:t xml:space="preserve">e find </w:t>
      </w:r>
      <w:r w:rsidR="008F262D" w:rsidRPr="00614418">
        <w:rPr>
          <w:rFonts w:ascii="Garamond" w:hAnsi="Garamond" w:cs="Times New Roman"/>
        </w:rPr>
        <w:t>that</w:t>
      </w:r>
      <w:r w:rsidR="00583463">
        <w:rPr>
          <w:rFonts w:ascii="Garamond" w:hAnsi="Garamond" w:cs="Times New Roman"/>
        </w:rPr>
        <w:t xml:space="preserve"> </w:t>
      </w:r>
      <w:r w:rsidR="00FF432B">
        <w:rPr>
          <w:rFonts w:ascii="Garamond" w:hAnsi="Garamond" w:cs="Times New Roman"/>
        </w:rPr>
        <w:t>before</w:t>
      </w:r>
      <w:r w:rsidR="0025118A">
        <w:rPr>
          <w:rFonts w:ascii="Garamond" w:hAnsi="Garamond" w:cs="Times New Roman"/>
        </w:rPr>
        <w:t xml:space="preserve"> </w:t>
      </w:r>
      <w:r w:rsidR="00583463">
        <w:rPr>
          <w:rFonts w:ascii="Garamond" w:hAnsi="Garamond" w:cs="Times New Roman"/>
        </w:rPr>
        <w:t>the late 2000s,</w:t>
      </w:r>
      <w:r w:rsidR="008F262D" w:rsidRPr="00614418">
        <w:rPr>
          <w:rFonts w:ascii="Garamond" w:hAnsi="Garamond" w:cs="Times New Roman"/>
        </w:rPr>
        <w:t xml:space="preserve"> inflation was penalized </w:t>
      </w:r>
      <w:r w:rsidR="00177B57">
        <w:rPr>
          <w:rFonts w:ascii="Garamond" w:hAnsi="Garamond" w:cs="Times New Roman"/>
        </w:rPr>
        <w:t xml:space="preserve">under </w:t>
      </w:r>
      <w:r w:rsidR="005F4DF8" w:rsidRPr="00614418">
        <w:rPr>
          <w:rFonts w:ascii="Garamond" w:hAnsi="Garamond" w:cs="Times New Roman"/>
        </w:rPr>
        <w:t xml:space="preserve">floating and </w:t>
      </w:r>
      <w:r w:rsidR="008F262D" w:rsidRPr="00614418">
        <w:rPr>
          <w:rFonts w:ascii="Garamond" w:hAnsi="Garamond" w:cs="Times New Roman"/>
        </w:rPr>
        <w:t xml:space="preserve">(to a lesser extent) </w:t>
      </w:r>
      <w:r w:rsidR="005F4DF8" w:rsidRPr="00614418">
        <w:rPr>
          <w:rFonts w:ascii="Garamond" w:hAnsi="Garamond" w:cs="Times New Roman"/>
        </w:rPr>
        <w:t>fixed exchange</w:t>
      </w:r>
      <w:r w:rsidR="00177B57">
        <w:rPr>
          <w:rFonts w:ascii="Garamond" w:hAnsi="Garamond" w:cs="Times New Roman"/>
        </w:rPr>
        <w:t>-</w:t>
      </w:r>
      <w:r w:rsidR="005F4DF8" w:rsidRPr="00614418">
        <w:rPr>
          <w:rFonts w:ascii="Garamond" w:hAnsi="Garamond" w:cs="Times New Roman"/>
        </w:rPr>
        <w:t>rate regimes</w:t>
      </w:r>
      <w:r w:rsidR="008F262D" w:rsidRPr="00614418">
        <w:rPr>
          <w:rFonts w:ascii="Garamond" w:hAnsi="Garamond" w:cs="Times New Roman"/>
        </w:rPr>
        <w:t>, but</w:t>
      </w:r>
      <w:r w:rsidR="005F4DF8" w:rsidRPr="00614418">
        <w:rPr>
          <w:rFonts w:ascii="Garamond" w:hAnsi="Garamond" w:cs="Times New Roman"/>
        </w:rPr>
        <w:t xml:space="preserve"> </w:t>
      </w:r>
      <w:r w:rsidR="008F262D" w:rsidRPr="00614418">
        <w:rPr>
          <w:rFonts w:ascii="Garamond" w:hAnsi="Garamond" w:cs="Times New Roman"/>
        </w:rPr>
        <w:t xml:space="preserve">not in </w:t>
      </w:r>
      <w:r w:rsidR="006C4CDA" w:rsidRPr="00614418">
        <w:rPr>
          <w:rFonts w:ascii="Garamond" w:hAnsi="Garamond" w:cs="Times New Roman"/>
        </w:rPr>
        <w:t>countries in</w:t>
      </w:r>
      <w:r w:rsidR="008F262D" w:rsidRPr="00614418">
        <w:rPr>
          <w:rFonts w:ascii="Garamond" w:hAnsi="Garamond" w:cs="Times New Roman"/>
        </w:rPr>
        <w:t xml:space="preserve"> monetary union.</w:t>
      </w:r>
      <w:r w:rsidR="008F262D" w:rsidRPr="00614418" w:rsidDel="00521954">
        <w:rPr>
          <w:rFonts w:ascii="Garamond" w:hAnsi="Garamond" w:cs="Times New Roman"/>
        </w:rPr>
        <w:t xml:space="preserve"> </w:t>
      </w:r>
      <w:r w:rsidR="007C573B" w:rsidRPr="00614418">
        <w:rPr>
          <w:rFonts w:ascii="Garamond" w:hAnsi="Garamond" w:cs="Times New Roman"/>
        </w:rPr>
        <w:t>Since the 2010s, inflation carries no penalty under any exchange</w:t>
      </w:r>
      <w:r w:rsidR="00177B57">
        <w:rPr>
          <w:rFonts w:ascii="Garamond" w:hAnsi="Garamond" w:cs="Times New Roman"/>
        </w:rPr>
        <w:t>-</w:t>
      </w:r>
      <w:r w:rsidR="007C573B" w:rsidRPr="00614418">
        <w:rPr>
          <w:rFonts w:ascii="Garamond" w:hAnsi="Garamond" w:cs="Times New Roman"/>
        </w:rPr>
        <w:t>rate regime.</w:t>
      </w:r>
      <w:r w:rsidR="005F4DF8" w:rsidRPr="00614418">
        <w:rPr>
          <w:rFonts w:ascii="Garamond" w:hAnsi="Garamond" w:cs="Times New Roman"/>
        </w:rPr>
        <w:t xml:space="preserve"> </w:t>
      </w:r>
      <w:r w:rsidR="0025118A">
        <w:rPr>
          <w:rFonts w:ascii="Garamond" w:hAnsi="Garamond" w:cs="Times New Roman"/>
        </w:rPr>
        <w:t>V</w:t>
      </w:r>
      <w:r w:rsidR="006C4CDA" w:rsidRPr="00614418">
        <w:rPr>
          <w:rFonts w:ascii="Garamond" w:hAnsi="Garamond" w:cs="Times New Roman"/>
        </w:rPr>
        <w:t>ariables linked to d</w:t>
      </w:r>
      <w:r w:rsidR="00F5096B" w:rsidRPr="00614418">
        <w:rPr>
          <w:rFonts w:ascii="Garamond" w:hAnsi="Garamond" w:cs="Times New Roman"/>
        </w:rPr>
        <w:t>efault</w:t>
      </w:r>
      <w:r w:rsidR="005A5506">
        <w:rPr>
          <w:rFonts w:ascii="Garamond" w:hAnsi="Garamond" w:cs="Times New Roman"/>
        </w:rPr>
        <w:t>-</w:t>
      </w:r>
      <w:r w:rsidR="00F5096B" w:rsidRPr="00614418">
        <w:rPr>
          <w:rFonts w:ascii="Garamond" w:hAnsi="Garamond" w:cs="Times New Roman"/>
        </w:rPr>
        <w:t>risk</w:t>
      </w:r>
      <w:r w:rsidR="00133B31" w:rsidRPr="00614418">
        <w:rPr>
          <w:rFonts w:ascii="Garamond" w:hAnsi="Garamond" w:cs="Times New Roman"/>
        </w:rPr>
        <w:t xml:space="preserve"> </w:t>
      </w:r>
      <w:r w:rsidR="00583463">
        <w:rPr>
          <w:rFonts w:ascii="Garamond" w:hAnsi="Garamond" w:cs="Times New Roman"/>
        </w:rPr>
        <w:t>(debt and entitlement</w:t>
      </w:r>
      <w:r w:rsidR="002943FA">
        <w:rPr>
          <w:rFonts w:ascii="Garamond" w:hAnsi="Garamond" w:cs="Times New Roman"/>
        </w:rPr>
        <w:t>-</w:t>
      </w:r>
      <w:r w:rsidR="00583463">
        <w:rPr>
          <w:rFonts w:ascii="Garamond" w:hAnsi="Garamond" w:cs="Times New Roman"/>
        </w:rPr>
        <w:t>spending)</w:t>
      </w:r>
      <w:r w:rsidR="005420A2">
        <w:rPr>
          <w:rFonts w:ascii="Garamond" w:hAnsi="Garamond" w:cs="Times New Roman"/>
        </w:rPr>
        <w:t xml:space="preserve"> </w:t>
      </w:r>
      <w:r w:rsidR="00133B31" w:rsidRPr="00614418">
        <w:rPr>
          <w:rFonts w:ascii="Garamond" w:hAnsi="Garamond" w:cs="Times New Roman"/>
        </w:rPr>
        <w:t xml:space="preserve">did not affect </w:t>
      </w:r>
      <w:r w:rsidR="005F4DF8" w:rsidRPr="00614418">
        <w:rPr>
          <w:rFonts w:ascii="Garamond" w:hAnsi="Garamond" w:cs="Times New Roman"/>
        </w:rPr>
        <w:t xml:space="preserve">yields </w:t>
      </w:r>
      <w:r w:rsidR="00133B31" w:rsidRPr="00614418">
        <w:rPr>
          <w:rFonts w:ascii="Garamond" w:hAnsi="Garamond" w:cs="Times New Roman"/>
        </w:rPr>
        <w:t>under any</w:t>
      </w:r>
      <w:r w:rsidR="005F4DF8" w:rsidRPr="00614418">
        <w:rPr>
          <w:rFonts w:ascii="Garamond" w:hAnsi="Garamond" w:cs="Times New Roman"/>
        </w:rPr>
        <w:t xml:space="preserve"> exchange</w:t>
      </w:r>
      <w:r w:rsidR="00177B57">
        <w:rPr>
          <w:rFonts w:ascii="Garamond" w:hAnsi="Garamond" w:cs="Times New Roman"/>
        </w:rPr>
        <w:t>-</w:t>
      </w:r>
      <w:r w:rsidR="005F4DF8" w:rsidRPr="00614418">
        <w:rPr>
          <w:rFonts w:ascii="Garamond" w:hAnsi="Garamond" w:cs="Times New Roman"/>
        </w:rPr>
        <w:t>rate arrangements</w:t>
      </w:r>
      <w:r w:rsidR="00133B31" w:rsidRPr="00614418">
        <w:rPr>
          <w:rFonts w:ascii="Garamond" w:hAnsi="Garamond" w:cs="Times New Roman"/>
        </w:rPr>
        <w:t xml:space="preserve"> </w:t>
      </w:r>
      <w:r w:rsidR="00FF432B">
        <w:rPr>
          <w:rFonts w:ascii="Garamond" w:hAnsi="Garamond" w:cs="Times New Roman"/>
        </w:rPr>
        <w:t>until</w:t>
      </w:r>
      <w:r w:rsidR="00FF432B" w:rsidRPr="00614418">
        <w:rPr>
          <w:rFonts w:ascii="Garamond" w:hAnsi="Garamond" w:cs="Times New Roman"/>
        </w:rPr>
        <w:t xml:space="preserve"> </w:t>
      </w:r>
      <w:r w:rsidR="00133B31" w:rsidRPr="00614418">
        <w:rPr>
          <w:rFonts w:ascii="Garamond" w:hAnsi="Garamond" w:cs="Times New Roman"/>
        </w:rPr>
        <w:t>the mid-2000s</w:t>
      </w:r>
      <w:r w:rsidR="00FF432B">
        <w:rPr>
          <w:rFonts w:ascii="Garamond" w:hAnsi="Garamond" w:cs="Times New Roman"/>
        </w:rPr>
        <w:t>. Afterwards,</w:t>
      </w:r>
      <w:r w:rsidR="000438AD">
        <w:rPr>
          <w:rFonts w:ascii="Garamond" w:hAnsi="Garamond" w:cs="Times New Roman"/>
        </w:rPr>
        <w:t xml:space="preserve"> </w:t>
      </w:r>
      <w:r w:rsidR="005F4DF8" w:rsidRPr="00614418">
        <w:rPr>
          <w:rFonts w:ascii="Garamond" w:hAnsi="Garamond" w:cs="Times New Roman"/>
        </w:rPr>
        <w:t>countries in monetary union</w:t>
      </w:r>
      <w:r w:rsidR="00566BC6">
        <w:rPr>
          <w:rFonts w:ascii="Garamond" w:hAnsi="Garamond" w:cs="Times New Roman"/>
        </w:rPr>
        <w:t xml:space="preserve"> (and to a lesser extent in fixed ex</w:t>
      </w:r>
      <w:r w:rsidR="001C0A9C">
        <w:rPr>
          <w:rFonts w:ascii="Garamond" w:hAnsi="Garamond" w:cs="Times New Roman"/>
        </w:rPr>
        <w:t>change</w:t>
      </w:r>
      <w:r w:rsidR="00177B57">
        <w:rPr>
          <w:rFonts w:ascii="Garamond" w:hAnsi="Garamond" w:cs="Times New Roman"/>
        </w:rPr>
        <w:t>-</w:t>
      </w:r>
      <w:r w:rsidR="001C0A9C">
        <w:rPr>
          <w:rFonts w:ascii="Garamond" w:hAnsi="Garamond" w:cs="Times New Roman"/>
        </w:rPr>
        <w:t>rate regime</w:t>
      </w:r>
      <w:r w:rsidR="00D2753A">
        <w:rPr>
          <w:rFonts w:ascii="Garamond" w:hAnsi="Garamond" w:cs="Times New Roman"/>
        </w:rPr>
        <w:t>s</w:t>
      </w:r>
      <w:r w:rsidR="00566BC6">
        <w:rPr>
          <w:rFonts w:ascii="Garamond" w:hAnsi="Garamond" w:cs="Times New Roman"/>
        </w:rPr>
        <w:t>)</w:t>
      </w:r>
      <w:r w:rsidR="005F4DF8" w:rsidRPr="00614418">
        <w:rPr>
          <w:rFonts w:ascii="Garamond" w:hAnsi="Garamond" w:cs="Times New Roman"/>
        </w:rPr>
        <w:t xml:space="preserve"> </w:t>
      </w:r>
      <w:r w:rsidR="00271ECB">
        <w:rPr>
          <w:rFonts w:ascii="Garamond" w:hAnsi="Garamond" w:cs="Times New Roman"/>
        </w:rPr>
        <w:t>became</w:t>
      </w:r>
      <w:r w:rsidR="00271ECB" w:rsidRPr="00614418">
        <w:rPr>
          <w:rFonts w:ascii="Garamond" w:hAnsi="Garamond" w:cs="Times New Roman"/>
        </w:rPr>
        <w:t xml:space="preserve"> </w:t>
      </w:r>
      <w:r w:rsidR="00133B31" w:rsidRPr="00614418">
        <w:rPr>
          <w:rFonts w:ascii="Garamond" w:hAnsi="Garamond" w:cs="Times New Roman"/>
        </w:rPr>
        <w:t xml:space="preserve">significantly penalized for public debt and </w:t>
      </w:r>
      <w:r w:rsidR="008F262D" w:rsidRPr="00614418">
        <w:rPr>
          <w:rFonts w:ascii="Garamond" w:hAnsi="Garamond" w:cs="Times New Roman"/>
        </w:rPr>
        <w:t>entitlement</w:t>
      </w:r>
      <w:r w:rsidR="002943FA">
        <w:rPr>
          <w:rFonts w:ascii="Garamond" w:hAnsi="Garamond" w:cs="Times New Roman"/>
        </w:rPr>
        <w:t>-</w:t>
      </w:r>
      <w:r w:rsidR="00133B31" w:rsidRPr="00614418">
        <w:rPr>
          <w:rFonts w:ascii="Garamond" w:hAnsi="Garamond" w:cs="Times New Roman"/>
        </w:rPr>
        <w:t xml:space="preserve">spending, </w:t>
      </w:r>
      <w:r w:rsidR="006C4CDA" w:rsidRPr="00614418">
        <w:rPr>
          <w:rFonts w:ascii="Garamond" w:hAnsi="Garamond" w:cs="Times New Roman"/>
        </w:rPr>
        <w:t>whereas</w:t>
      </w:r>
      <w:r w:rsidR="00FF432B">
        <w:rPr>
          <w:rFonts w:ascii="Garamond" w:hAnsi="Garamond" w:cs="Times New Roman"/>
        </w:rPr>
        <w:t xml:space="preserve"> countries with</w:t>
      </w:r>
      <w:r w:rsidR="00133B31" w:rsidRPr="00614418">
        <w:rPr>
          <w:rFonts w:ascii="Garamond" w:hAnsi="Garamond" w:cs="Times New Roman"/>
        </w:rPr>
        <w:t xml:space="preserve"> </w:t>
      </w:r>
      <w:r w:rsidR="00566BC6">
        <w:rPr>
          <w:rFonts w:ascii="Garamond" w:hAnsi="Garamond" w:cs="Times New Roman"/>
        </w:rPr>
        <w:t xml:space="preserve">floating </w:t>
      </w:r>
      <w:r w:rsidR="00FF432B">
        <w:rPr>
          <w:rFonts w:ascii="Garamond" w:hAnsi="Garamond" w:cs="Times New Roman"/>
        </w:rPr>
        <w:t>regimes</w:t>
      </w:r>
      <w:r w:rsidR="00133B31" w:rsidRPr="00614418">
        <w:rPr>
          <w:rFonts w:ascii="Garamond" w:hAnsi="Garamond" w:cs="Times New Roman"/>
        </w:rPr>
        <w:t xml:space="preserve"> </w:t>
      </w:r>
      <w:r w:rsidR="004533ED">
        <w:rPr>
          <w:rFonts w:ascii="Garamond" w:hAnsi="Garamond" w:cs="Times New Roman"/>
        </w:rPr>
        <w:t>were</w:t>
      </w:r>
      <w:r w:rsidR="00133B31" w:rsidRPr="00614418">
        <w:rPr>
          <w:rFonts w:ascii="Garamond" w:hAnsi="Garamond" w:cs="Times New Roman"/>
        </w:rPr>
        <w:t xml:space="preserve"> </w:t>
      </w:r>
      <w:r w:rsidR="00177B57">
        <w:rPr>
          <w:rFonts w:ascii="Garamond" w:hAnsi="Garamond" w:cs="Times New Roman"/>
        </w:rPr>
        <w:t>not</w:t>
      </w:r>
      <w:r w:rsidR="00133B31" w:rsidRPr="00614418">
        <w:rPr>
          <w:rFonts w:ascii="Garamond" w:hAnsi="Garamond" w:cs="Times New Roman"/>
        </w:rPr>
        <w:t>.</w:t>
      </w:r>
      <w:r w:rsidR="006D3C2D">
        <w:rPr>
          <w:rFonts w:ascii="Garamond" w:hAnsi="Garamond" w:cs="Times New Roman"/>
        </w:rPr>
        <w:t xml:space="preserve"> Our results </w:t>
      </w:r>
      <w:r w:rsidR="00177B57">
        <w:rPr>
          <w:rFonts w:ascii="Garamond" w:hAnsi="Garamond" w:cs="Times New Roman"/>
        </w:rPr>
        <w:t>speak to</w:t>
      </w:r>
      <w:r w:rsidR="006D3C2D">
        <w:rPr>
          <w:rFonts w:ascii="Garamond" w:hAnsi="Garamond" w:cs="Times New Roman"/>
        </w:rPr>
        <w:t xml:space="preserve"> </w:t>
      </w:r>
      <w:r w:rsidR="00FF432B">
        <w:rPr>
          <w:rFonts w:ascii="Garamond" w:hAnsi="Garamond" w:cs="Times New Roman"/>
        </w:rPr>
        <w:t xml:space="preserve">the </w:t>
      </w:r>
      <w:r w:rsidR="006D3C2D">
        <w:rPr>
          <w:rFonts w:ascii="Garamond" w:hAnsi="Garamond" w:cs="Times New Roman"/>
        </w:rPr>
        <w:t xml:space="preserve">literatures on </w:t>
      </w:r>
      <w:r w:rsidR="00566BC6">
        <w:rPr>
          <w:rFonts w:ascii="Garamond" w:hAnsi="Garamond" w:cs="Times New Roman"/>
        </w:rPr>
        <w:t xml:space="preserve">governments' </w:t>
      </w:r>
      <w:r w:rsidR="006D3C2D">
        <w:rPr>
          <w:rFonts w:ascii="Garamond" w:hAnsi="Garamond" w:cs="Times New Roman"/>
        </w:rPr>
        <w:t>institutional commitment</w:t>
      </w:r>
      <w:r w:rsidR="00E7501D">
        <w:rPr>
          <w:rFonts w:ascii="Garamond" w:hAnsi="Garamond" w:cs="Times New Roman"/>
        </w:rPr>
        <w:t>s</w:t>
      </w:r>
      <w:r w:rsidR="006D3C2D">
        <w:rPr>
          <w:rFonts w:ascii="Garamond" w:hAnsi="Garamond" w:cs="Times New Roman"/>
        </w:rPr>
        <w:t xml:space="preserve"> and </w:t>
      </w:r>
      <w:r w:rsidR="00373B9D">
        <w:rPr>
          <w:rFonts w:ascii="Garamond" w:hAnsi="Garamond" w:cs="Times New Roman"/>
        </w:rPr>
        <w:t>‘</w:t>
      </w:r>
      <w:r w:rsidR="006D3C2D">
        <w:rPr>
          <w:rFonts w:ascii="Garamond" w:hAnsi="Garamond" w:cs="Times New Roman"/>
        </w:rPr>
        <w:t>room to move</w:t>
      </w:r>
      <w:r w:rsidR="00373B9D">
        <w:rPr>
          <w:rFonts w:ascii="Garamond" w:hAnsi="Garamond" w:cs="Times New Roman"/>
        </w:rPr>
        <w:t>’</w:t>
      </w:r>
      <w:r w:rsidR="00566BC6">
        <w:rPr>
          <w:rFonts w:ascii="Garamond" w:hAnsi="Garamond" w:cs="Times New Roman"/>
        </w:rPr>
        <w:t>.</w:t>
      </w:r>
    </w:p>
    <w:p w14:paraId="6D39C591" w14:textId="2FA7BECB" w:rsidR="00C9074E" w:rsidRDefault="005F4DF8" w:rsidP="005F4DF8">
      <w:pPr>
        <w:spacing w:line="360" w:lineRule="auto"/>
        <w:rPr>
          <w:rFonts w:ascii="Garamond" w:eastAsia="Times New Roman" w:hAnsi="Garamond" w:cs="Times New Roman"/>
          <w:b/>
          <w:color w:val="000000"/>
        </w:rPr>
      </w:pPr>
      <w:r w:rsidRPr="00614418">
        <w:rPr>
          <w:rFonts w:ascii="Garamond" w:eastAsia="Times New Roman" w:hAnsi="Garamond" w:cs="Times New Roman"/>
          <w:b/>
          <w:color w:val="000000"/>
        </w:rPr>
        <w:t xml:space="preserve"> </w:t>
      </w:r>
    </w:p>
    <w:p w14:paraId="514F358E" w14:textId="66C6712F" w:rsidR="004804DB" w:rsidRDefault="004804DB" w:rsidP="005F4DF8">
      <w:pPr>
        <w:spacing w:line="360" w:lineRule="auto"/>
        <w:rPr>
          <w:rFonts w:ascii="Garamond" w:eastAsia="Times New Roman" w:hAnsi="Garamond" w:cs="Times New Roman"/>
          <w:b/>
          <w:color w:val="000000"/>
        </w:rPr>
      </w:pPr>
    </w:p>
    <w:p w14:paraId="65F107CA" w14:textId="6AC4C9EA" w:rsidR="004804DB" w:rsidRDefault="004804DB" w:rsidP="005F4DF8">
      <w:pPr>
        <w:spacing w:line="360" w:lineRule="auto"/>
        <w:rPr>
          <w:rFonts w:ascii="Garamond" w:eastAsia="Times New Roman" w:hAnsi="Garamond" w:cs="Times New Roman"/>
          <w:b/>
          <w:color w:val="000000"/>
        </w:rPr>
      </w:pPr>
    </w:p>
    <w:p w14:paraId="1A8307AD" w14:textId="2FCA4074" w:rsidR="004804DB" w:rsidRDefault="004804DB" w:rsidP="005F4DF8">
      <w:pPr>
        <w:spacing w:line="360" w:lineRule="auto"/>
        <w:rPr>
          <w:rFonts w:ascii="Garamond" w:eastAsia="Times New Roman" w:hAnsi="Garamond" w:cs="Times New Roman"/>
          <w:b/>
          <w:color w:val="000000"/>
        </w:rPr>
      </w:pPr>
    </w:p>
    <w:p w14:paraId="7D177C5A" w14:textId="090A7D36" w:rsidR="004804DB" w:rsidRDefault="004804DB" w:rsidP="005F4DF8">
      <w:pPr>
        <w:spacing w:line="360" w:lineRule="auto"/>
        <w:rPr>
          <w:rFonts w:ascii="Garamond" w:eastAsia="Times New Roman" w:hAnsi="Garamond" w:cs="Times New Roman"/>
          <w:b/>
          <w:color w:val="000000"/>
        </w:rPr>
      </w:pPr>
    </w:p>
    <w:p w14:paraId="72724579" w14:textId="24E03064" w:rsidR="004804DB" w:rsidRDefault="004804DB" w:rsidP="005F4DF8">
      <w:pPr>
        <w:spacing w:line="360" w:lineRule="auto"/>
        <w:rPr>
          <w:rFonts w:ascii="Garamond" w:eastAsia="Times New Roman" w:hAnsi="Garamond" w:cs="Times New Roman"/>
          <w:b/>
          <w:color w:val="000000"/>
        </w:rPr>
      </w:pPr>
    </w:p>
    <w:p w14:paraId="47AD2280" w14:textId="58116EDA" w:rsidR="004804DB" w:rsidRDefault="004804DB" w:rsidP="005F4DF8">
      <w:pPr>
        <w:spacing w:line="360" w:lineRule="auto"/>
        <w:rPr>
          <w:rFonts w:ascii="Garamond" w:eastAsia="Times New Roman" w:hAnsi="Garamond" w:cs="Times New Roman"/>
          <w:b/>
          <w:color w:val="000000"/>
        </w:rPr>
      </w:pPr>
    </w:p>
    <w:p w14:paraId="2FD67FAE" w14:textId="16E79BD8" w:rsidR="004804DB" w:rsidRDefault="004804DB" w:rsidP="005F4DF8">
      <w:pPr>
        <w:spacing w:line="360" w:lineRule="auto"/>
        <w:rPr>
          <w:rFonts w:ascii="Garamond" w:eastAsia="Times New Roman" w:hAnsi="Garamond" w:cs="Times New Roman"/>
          <w:b/>
          <w:color w:val="000000"/>
        </w:rPr>
      </w:pPr>
    </w:p>
    <w:p w14:paraId="4E52704E" w14:textId="4BAB3B13" w:rsidR="00797331" w:rsidRDefault="00797331" w:rsidP="005F4DF8">
      <w:pPr>
        <w:spacing w:line="360" w:lineRule="auto"/>
        <w:rPr>
          <w:rFonts w:ascii="Garamond" w:eastAsia="Times New Roman" w:hAnsi="Garamond" w:cs="Times New Roman"/>
          <w:b/>
          <w:color w:val="000000"/>
        </w:rPr>
      </w:pPr>
    </w:p>
    <w:p w14:paraId="03062079" w14:textId="1D1869E5" w:rsidR="00797331" w:rsidRDefault="00797331" w:rsidP="005F4DF8">
      <w:pPr>
        <w:spacing w:line="360" w:lineRule="auto"/>
        <w:rPr>
          <w:rFonts w:ascii="Garamond" w:eastAsia="Times New Roman" w:hAnsi="Garamond" w:cs="Times New Roman"/>
          <w:b/>
          <w:color w:val="000000"/>
        </w:rPr>
      </w:pPr>
    </w:p>
    <w:p w14:paraId="4CA348EA" w14:textId="2F3117DE" w:rsidR="00797331" w:rsidRDefault="00797331" w:rsidP="005F4DF8">
      <w:pPr>
        <w:spacing w:line="360" w:lineRule="auto"/>
        <w:rPr>
          <w:rFonts w:ascii="Garamond" w:eastAsia="Times New Roman" w:hAnsi="Garamond" w:cs="Times New Roman"/>
          <w:b/>
          <w:color w:val="000000"/>
        </w:rPr>
      </w:pPr>
    </w:p>
    <w:p w14:paraId="09B771CA" w14:textId="7B7835F6" w:rsidR="003711C2" w:rsidRPr="00614418" w:rsidRDefault="006238C9" w:rsidP="003711C2">
      <w:pPr>
        <w:spacing w:line="360" w:lineRule="auto"/>
        <w:ind w:firstLine="720"/>
        <w:jc w:val="both"/>
        <w:rPr>
          <w:rFonts w:ascii="Garamond" w:eastAsia="Times New Roman" w:hAnsi="Garamond" w:cs="Times New Roman"/>
          <w:color w:val="000000"/>
        </w:rPr>
      </w:pPr>
      <w:r w:rsidRPr="00614418">
        <w:rPr>
          <w:rFonts w:ascii="Garamond" w:eastAsia="Times New Roman" w:hAnsi="Garamond" w:cs="Times New Roman"/>
          <w:color w:val="000000"/>
        </w:rPr>
        <w:lastRenderedPageBreak/>
        <w:t>D</w:t>
      </w:r>
      <w:r w:rsidR="00FF7294" w:rsidRPr="00614418">
        <w:rPr>
          <w:rFonts w:ascii="Garamond" w:eastAsia="Times New Roman" w:hAnsi="Garamond" w:cs="Times New Roman"/>
          <w:color w:val="000000"/>
        </w:rPr>
        <w:t xml:space="preserve">o exchange rate regimes </w:t>
      </w:r>
      <w:r w:rsidRPr="00614418">
        <w:rPr>
          <w:rFonts w:ascii="Garamond" w:eastAsia="Times New Roman" w:hAnsi="Garamond" w:cs="Times New Roman"/>
          <w:color w:val="000000"/>
        </w:rPr>
        <w:t>affect</w:t>
      </w:r>
      <w:r w:rsidR="00FF7294" w:rsidRPr="00614418">
        <w:rPr>
          <w:rFonts w:ascii="Garamond" w:eastAsia="Times New Roman" w:hAnsi="Garamond" w:cs="Times New Roman"/>
          <w:color w:val="000000"/>
        </w:rPr>
        <w:t xml:space="preserve"> the conditions under which </w:t>
      </w:r>
      <w:r w:rsidR="00E5668B" w:rsidRPr="00614418">
        <w:rPr>
          <w:rFonts w:ascii="Garamond" w:eastAsia="Times New Roman" w:hAnsi="Garamond" w:cs="Times New Roman"/>
          <w:color w:val="000000"/>
        </w:rPr>
        <w:t xml:space="preserve">developed country </w:t>
      </w:r>
      <w:r w:rsidR="002E0DFF" w:rsidRPr="00614418">
        <w:rPr>
          <w:rFonts w:ascii="Garamond" w:eastAsia="Times New Roman" w:hAnsi="Garamond" w:cs="Times New Roman"/>
          <w:color w:val="000000"/>
        </w:rPr>
        <w:t xml:space="preserve">governments borrow? </w:t>
      </w:r>
      <w:r w:rsidR="00E5668B" w:rsidRPr="00614418">
        <w:rPr>
          <w:rFonts w:ascii="Garamond" w:eastAsia="Times New Roman" w:hAnsi="Garamond" w:cs="Times New Roman"/>
          <w:color w:val="000000"/>
        </w:rPr>
        <w:t>In the 1980s and 1990s, several European countries attempted to achieve better standing in financial markets by fixing their exchange rates within the European Monetary System</w:t>
      </w:r>
      <w:r w:rsidR="00475ED0" w:rsidRPr="00614418">
        <w:rPr>
          <w:rFonts w:ascii="Garamond" w:eastAsia="Times New Roman" w:hAnsi="Garamond" w:cs="Times New Roman"/>
          <w:color w:val="000000"/>
        </w:rPr>
        <w:t xml:space="preserve"> (EMS)</w:t>
      </w:r>
      <w:r w:rsidR="00E5668B" w:rsidRPr="00614418">
        <w:rPr>
          <w:rFonts w:ascii="Garamond" w:eastAsia="Times New Roman" w:hAnsi="Garamond" w:cs="Times New Roman"/>
          <w:color w:val="000000"/>
        </w:rPr>
        <w:t xml:space="preserve">. The logic of this strategy was centered on importing the </w:t>
      </w:r>
      <w:r w:rsidR="00086AE8" w:rsidRPr="00614418">
        <w:rPr>
          <w:rFonts w:ascii="Garamond" w:eastAsia="Times New Roman" w:hAnsi="Garamond" w:cs="Times New Roman"/>
          <w:color w:val="000000"/>
        </w:rPr>
        <w:t xml:space="preserve">(inflation) </w:t>
      </w:r>
      <w:r w:rsidR="00E5668B" w:rsidRPr="00614418">
        <w:rPr>
          <w:rFonts w:ascii="Garamond" w:eastAsia="Times New Roman" w:hAnsi="Garamond" w:cs="Times New Roman"/>
          <w:color w:val="000000"/>
        </w:rPr>
        <w:t xml:space="preserve">credibility of Germany by </w:t>
      </w:r>
      <w:r w:rsidR="000F29C7" w:rsidRPr="00614418">
        <w:rPr>
          <w:rFonts w:ascii="Garamond" w:eastAsia="Times New Roman" w:hAnsi="Garamond" w:cs="Times New Roman"/>
          <w:color w:val="000000"/>
        </w:rPr>
        <w:t>‘</w:t>
      </w:r>
      <w:r w:rsidR="00E5668B" w:rsidRPr="00614418">
        <w:rPr>
          <w:rFonts w:ascii="Garamond" w:eastAsia="Times New Roman" w:hAnsi="Garamond" w:cs="Times New Roman"/>
          <w:color w:val="000000"/>
        </w:rPr>
        <w:t>tying the hands</w:t>
      </w:r>
      <w:r w:rsidR="000F29C7" w:rsidRPr="00614418">
        <w:rPr>
          <w:rFonts w:ascii="Garamond" w:eastAsia="Times New Roman" w:hAnsi="Garamond" w:cs="Times New Roman"/>
          <w:color w:val="000000"/>
        </w:rPr>
        <w:t>’</w:t>
      </w:r>
      <w:r w:rsidR="00E5668B" w:rsidRPr="00614418">
        <w:rPr>
          <w:rFonts w:ascii="Garamond" w:eastAsia="Times New Roman" w:hAnsi="Garamond" w:cs="Times New Roman"/>
          <w:color w:val="000000"/>
        </w:rPr>
        <w:t xml:space="preserve"> of governments around a set of deflationary policies required to maintain the peg with the deutsche mark</w:t>
      </w:r>
      <w:r w:rsidR="00271ECB">
        <w:rPr>
          <w:rFonts w:ascii="Garamond" w:eastAsia="Times New Roman" w:hAnsi="Garamond" w:cs="Times New Roman"/>
          <w:color w:val="000000"/>
        </w:rPr>
        <w:t xml:space="preserve"> (Weber 1991</w:t>
      </w:r>
      <w:r w:rsidR="00161F38">
        <w:rPr>
          <w:rFonts w:ascii="Garamond" w:eastAsia="Times New Roman" w:hAnsi="Garamond" w:cs="Times New Roman"/>
          <w:color w:val="000000"/>
        </w:rPr>
        <w:t xml:space="preserve">; </w:t>
      </w:r>
      <w:proofErr w:type="spellStart"/>
      <w:r w:rsidR="00161F38">
        <w:rPr>
          <w:rFonts w:ascii="Garamond" w:eastAsia="Times New Roman" w:hAnsi="Garamond" w:cs="Times New Roman"/>
          <w:color w:val="000000"/>
        </w:rPr>
        <w:t>Giavazzi</w:t>
      </w:r>
      <w:proofErr w:type="spellEnd"/>
      <w:r w:rsidR="00161F38">
        <w:rPr>
          <w:rFonts w:ascii="Garamond" w:eastAsia="Times New Roman" w:hAnsi="Garamond" w:cs="Times New Roman"/>
          <w:color w:val="000000"/>
        </w:rPr>
        <w:t xml:space="preserve"> and Pagano 19</w:t>
      </w:r>
      <w:r w:rsidR="00582218">
        <w:rPr>
          <w:rFonts w:ascii="Garamond" w:eastAsia="Times New Roman" w:hAnsi="Garamond" w:cs="Times New Roman"/>
          <w:color w:val="000000"/>
        </w:rPr>
        <w:t>88</w:t>
      </w:r>
      <w:r w:rsidR="00271ECB">
        <w:rPr>
          <w:rFonts w:ascii="Garamond" w:eastAsia="Times New Roman" w:hAnsi="Garamond" w:cs="Times New Roman"/>
          <w:color w:val="000000"/>
        </w:rPr>
        <w:t>)</w:t>
      </w:r>
      <w:r w:rsidR="00E5668B" w:rsidRPr="00614418">
        <w:rPr>
          <w:rFonts w:ascii="Garamond" w:eastAsia="Times New Roman" w:hAnsi="Garamond" w:cs="Times New Roman"/>
          <w:color w:val="000000"/>
        </w:rPr>
        <w:t>. With the creation of the Economic and Monetary Union</w:t>
      </w:r>
      <w:r w:rsidR="002943FA">
        <w:rPr>
          <w:rFonts w:ascii="Garamond" w:eastAsia="Times New Roman" w:hAnsi="Garamond" w:cs="Times New Roman"/>
          <w:color w:val="000000"/>
        </w:rPr>
        <w:t xml:space="preserve"> (EMU)</w:t>
      </w:r>
      <w:r w:rsidR="00E5668B" w:rsidRPr="00614418">
        <w:rPr>
          <w:rFonts w:ascii="Garamond" w:eastAsia="Times New Roman" w:hAnsi="Garamond" w:cs="Times New Roman"/>
          <w:color w:val="000000"/>
        </w:rPr>
        <w:t xml:space="preserve"> in 1999, the strategy was set in stone</w:t>
      </w:r>
      <w:r w:rsidRPr="00614418">
        <w:rPr>
          <w:rFonts w:ascii="Garamond" w:eastAsia="Times New Roman" w:hAnsi="Garamond" w:cs="Times New Roman"/>
          <w:color w:val="000000"/>
        </w:rPr>
        <w:t>, and</w:t>
      </w:r>
      <w:r w:rsidR="00921441" w:rsidRPr="00614418">
        <w:rPr>
          <w:rFonts w:ascii="Garamond" w:eastAsia="Times New Roman" w:hAnsi="Garamond" w:cs="Times New Roman"/>
          <w:color w:val="000000"/>
        </w:rPr>
        <w:t>, at least for some time,</w:t>
      </w:r>
      <w:r w:rsidRPr="00614418">
        <w:rPr>
          <w:rFonts w:ascii="Garamond" w:eastAsia="Times New Roman" w:hAnsi="Garamond" w:cs="Times New Roman"/>
          <w:color w:val="000000"/>
        </w:rPr>
        <w:t xml:space="preserve"> it </w:t>
      </w:r>
      <w:r w:rsidR="00921441" w:rsidRPr="00614418">
        <w:rPr>
          <w:rFonts w:ascii="Garamond" w:eastAsia="Times New Roman" w:hAnsi="Garamond" w:cs="Times New Roman"/>
          <w:color w:val="000000"/>
        </w:rPr>
        <w:t>paid</w:t>
      </w:r>
      <w:r w:rsidRPr="00614418">
        <w:rPr>
          <w:rFonts w:ascii="Garamond" w:eastAsia="Times New Roman" w:hAnsi="Garamond" w:cs="Times New Roman"/>
          <w:color w:val="000000"/>
        </w:rPr>
        <w:t xml:space="preserve"> off</w:t>
      </w:r>
      <w:r w:rsidR="00E5668B" w:rsidRPr="00614418">
        <w:rPr>
          <w:rFonts w:ascii="Garamond" w:eastAsia="Times New Roman" w:hAnsi="Garamond" w:cs="Times New Roman"/>
          <w:color w:val="000000"/>
        </w:rPr>
        <w:t>. Interest rates converge</w:t>
      </w:r>
      <w:r w:rsidRPr="00614418">
        <w:rPr>
          <w:rFonts w:ascii="Garamond" w:eastAsia="Times New Roman" w:hAnsi="Garamond" w:cs="Times New Roman"/>
          <w:color w:val="000000"/>
        </w:rPr>
        <w:t>d</w:t>
      </w:r>
      <w:r w:rsidR="00E5668B" w:rsidRPr="00614418">
        <w:rPr>
          <w:rFonts w:ascii="Garamond" w:eastAsia="Times New Roman" w:hAnsi="Garamond" w:cs="Times New Roman"/>
          <w:color w:val="000000"/>
        </w:rPr>
        <w:t xml:space="preserve"> across Europe in the 1990s and 2000s, as countries previously deemed less creditworthy </w:t>
      </w:r>
      <w:r w:rsidR="007F0EF2" w:rsidRPr="00614418">
        <w:rPr>
          <w:rFonts w:ascii="Garamond" w:eastAsia="Times New Roman" w:hAnsi="Garamond" w:cs="Times New Roman"/>
          <w:color w:val="000000"/>
        </w:rPr>
        <w:t>saw the yields on their government bonds fall</w:t>
      </w:r>
      <w:r w:rsidR="00872835" w:rsidRPr="00614418">
        <w:rPr>
          <w:rFonts w:ascii="Garamond" w:eastAsia="Times New Roman" w:hAnsi="Garamond" w:cs="Times New Roman"/>
          <w:color w:val="000000"/>
        </w:rPr>
        <w:t xml:space="preserve"> close to German </w:t>
      </w:r>
      <w:r w:rsidR="00204B7E" w:rsidRPr="00614418">
        <w:rPr>
          <w:rFonts w:ascii="Garamond" w:eastAsia="Times New Roman" w:hAnsi="Garamond" w:cs="Times New Roman"/>
          <w:color w:val="000000"/>
        </w:rPr>
        <w:t>levels</w:t>
      </w:r>
      <w:r w:rsidR="000F29C7" w:rsidRPr="00614418">
        <w:rPr>
          <w:rFonts w:ascii="Garamond" w:eastAsia="Times New Roman" w:hAnsi="Garamond" w:cs="Times New Roman"/>
          <w:color w:val="000000"/>
        </w:rPr>
        <w:t xml:space="preserve">, despite some persistent differences in their </w:t>
      </w:r>
      <w:r w:rsidRPr="00614418">
        <w:rPr>
          <w:rFonts w:ascii="Garamond" w:eastAsia="Times New Roman" w:hAnsi="Garamond" w:cs="Times New Roman"/>
          <w:color w:val="000000"/>
        </w:rPr>
        <w:t xml:space="preserve">macroeconomic </w:t>
      </w:r>
      <w:r w:rsidR="009708EC" w:rsidRPr="00614418">
        <w:rPr>
          <w:rFonts w:ascii="Garamond" w:eastAsia="Times New Roman" w:hAnsi="Garamond" w:cs="Times New Roman"/>
          <w:color w:val="000000"/>
        </w:rPr>
        <w:t xml:space="preserve">and fiscal </w:t>
      </w:r>
      <w:r w:rsidRPr="00614418">
        <w:rPr>
          <w:rFonts w:ascii="Garamond" w:eastAsia="Times New Roman" w:hAnsi="Garamond" w:cs="Times New Roman"/>
          <w:color w:val="000000"/>
        </w:rPr>
        <w:t>fundamentals</w:t>
      </w:r>
      <w:r w:rsidR="00E5668B" w:rsidRPr="00614418">
        <w:rPr>
          <w:rFonts w:ascii="Garamond" w:eastAsia="Times New Roman" w:hAnsi="Garamond" w:cs="Times New Roman"/>
          <w:color w:val="000000"/>
        </w:rPr>
        <w:t xml:space="preserve">. </w:t>
      </w:r>
      <w:r w:rsidRPr="00614418">
        <w:rPr>
          <w:rFonts w:ascii="Garamond" w:eastAsia="Times New Roman" w:hAnsi="Garamond" w:cs="Times New Roman"/>
          <w:color w:val="000000"/>
        </w:rPr>
        <w:t xml:space="preserve">But </w:t>
      </w:r>
      <w:r w:rsidR="007F0EF2" w:rsidRPr="00614418">
        <w:rPr>
          <w:rFonts w:ascii="Garamond" w:eastAsia="Times New Roman" w:hAnsi="Garamond" w:cs="Times New Roman"/>
          <w:color w:val="000000"/>
        </w:rPr>
        <w:t>things</w:t>
      </w:r>
      <w:r w:rsidR="00921441" w:rsidRPr="00614418">
        <w:rPr>
          <w:rFonts w:ascii="Garamond" w:eastAsia="Times New Roman" w:hAnsi="Garamond" w:cs="Times New Roman"/>
          <w:color w:val="000000"/>
        </w:rPr>
        <w:t xml:space="preserve"> changed </w:t>
      </w:r>
      <w:r w:rsidR="001233BB" w:rsidRPr="00614418">
        <w:rPr>
          <w:rFonts w:ascii="Garamond" w:eastAsia="Times New Roman" w:hAnsi="Garamond" w:cs="Times New Roman"/>
          <w:color w:val="000000"/>
        </w:rPr>
        <w:t>drastically</w:t>
      </w:r>
      <w:r w:rsidR="007F0EF2" w:rsidRPr="00614418">
        <w:rPr>
          <w:rFonts w:ascii="Garamond" w:eastAsia="Times New Roman" w:hAnsi="Garamond" w:cs="Times New Roman"/>
          <w:color w:val="000000"/>
        </w:rPr>
        <w:t xml:space="preserve"> </w:t>
      </w:r>
      <w:r w:rsidR="00921441" w:rsidRPr="00614418">
        <w:rPr>
          <w:rFonts w:ascii="Garamond" w:eastAsia="Times New Roman" w:hAnsi="Garamond" w:cs="Times New Roman"/>
          <w:color w:val="000000"/>
        </w:rPr>
        <w:t xml:space="preserve">with </w:t>
      </w:r>
      <w:r w:rsidR="00475ED0" w:rsidRPr="00614418">
        <w:rPr>
          <w:rFonts w:ascii="Garamond" w:eastAsia="Times New Roman" w:hAnsi="Garamond" w:cs="Times New Roman"/>
          <w:color w:val="000000"/>
        </w:rPr>
        <w:t>the European debt crisis in 2010</w:t>
      </w:r>
      <w:r w:rsidR="007F0EF2" w:rsidRPr="00614418">
        <w:rPr>
          <w:rFonts w:ascii="Garamond" w:eastAsia="Times New Roman" w:hAnsi="Garamond" w:cs="Times New Roman"/>
          <w:color w:val="000000"/>
        </w:rPr>
        <w:t>.</w:t>
      </w:r>
      <w:r w:rsidR="00A32676" w:rsidRPr="00614418">
        <w:rPr>
          <w:rFonts w:ascii="Garamond" w:eastAsia="Times New Roman" w:hAnsi="Garamond" w:cs="Times New Roman"/>
          <w:color w:val="000000"/>
        </w:rPr>
        <w:t xml:space="preserve"> T</w:t>
      </w:r>
      <w:r w:rsidR="00475ED0" w:rsidRPr="00614418">
        <w:rPr>
          <w:rFonts w:ascii="Garamond" w:eastAsia="Times New Roman" w:hAnsi="Garamond" w:cs="Times New Roman"/>
          <w:color w:val="000000"/>
        </w:rPr>
        <w:t>he</w:t>
      </w:r>
      <w:r w:rsidR="007F0EF2" w:rsidRPr="00614418">
        <w:rPr>
          <w:rFonts w:ascii="Garamond" w:eastAsia="Times New Roman" w:hAnsi="Garamond" w:cs="Times New Roman"/>
          <w:color w:val="000000"/>
        </w:rPr>
        <w:t>n</w:t>
      </w:r>
      <w:r w:rsidR="002943FA">
        <w:rPr>
          <w:rFonts w:ascii="Garamond" w:eastAsia="Times New Roman" w:hAnsi="Garamond" w:cs="Times New Roman"/>
          <w:color w:val="000000"/>
        </w:rPr>
        <w:t>,</w:t>
      </w:r>
      <w:r w:rsidR="007F0EF2" w:rsidRPr="00614418">
        <w:rPr>
          <w:rFonts w:ascii="Garamond" w:eastAsia="Times New Roman" w:hAnsi="Garamond" w:cs="Times New Roman"/>
          <w:color w:val="000000"/>
        </w:rPr>
        <w:t xml:space="preserve"> the</w:t>
      </w:r>
      <w:r w:rsidR="00475ED0" w:rsidRPr="00614418">
        <w:rPr>
          <w:rFonts w:ascii="Garamond" w:eastAsia="Times New Roman" w:hAnsi="Garamond" w:cs="Times New Roman"/>
          <w:color w:val="000000"/>
        </w:rPr>
        <w:t xml:space="preserve"> interest rates of </w:t>
      </w:r>
      <w:r w:rsidR="008C1BB3" w:rsidRPr="00614418">
        <w:rPr>
          <w:rFonts w:ascii="Garamond" w:eastAsia="Times New Roman" w:hAnsi="Garamond" w:cs="Times New Roman"/>
          <w:color w:val="000000"/>
        </w:rPr>
        <w:t xml:space="preserve">the </w:t>
      </w:r>
      <w:r w:rsidR="002943FA">
        <w:rPr>
          <w:rFonts w:ascii="Garamond" w:eastAsia="Times New Roman" w:hAnsi="Garamond" w:cs="Times New Roman"/>
          <w:color w:val="000000"/>
        </w:rPr>
        <w:t>EMU</w:t>
      </w:r>
      <w:r w:rsidR="00086AE8" w:rsidRPr="00614418">
        <w:rPr>
          <w:rFonts w:ascii="Garamond" w:eastAsia="Times New Roman" w:hAnsi="Garamond" w:cs="Times New Roman"/>
          <w:color w:val="000000"/>
        </w:rPr>
        <w:t xml:space="preserve">’s </w:t>
      </w:r>
      <w:r w:rsidR="00475ED0" w:rsidRPr="00614418">
        <w:rPr>
          <w:rFonts w:ascii="Garamond" w:eastAsia="Times New Roman" w:hAnsi="Garamond" w:cs="Times New Roman"/>
          <w:color w:val="000000"/>
        </w:rPr>
        <w:t xml:space="preserve">peripheral countries </w:t>
      </w:r>
      <w:r w:rsidR="00E75955" w:rsidRPr="00614418">
        <w:rPr>
          <w:rFonts w:ascii="Garamond" w:eastAsia="Times New Roman" w:hAnsi="Garamond" w:cs="Times New Roman"/>
          <w:color w:val="000000"/>
        </w:rPr>
        <w:t>spiked</w:t>
      </w:r>
      <w:r w:rsidR="007F0EF2" w:rsidRPr="00614418">
        <w:rPr>
          <w:rFonts w:ascii="Garamond" w:eastAsia="Times New Roman" w:hAnsi="Garamond" w:cs="Times New Roman"/>
          <w:color w:val="000000"/>
        </w:rPr>
        <w:t xml:space="preserve"> again</w:t>
      </w:r>
      <w:r w:rsidR="00A24BE1">
        <w:rPr>
          <w:rFonts w:ascii="Garamond" w:eastAsia="Times New Roman" w:hAnsi="Garamond" w:cs="Times New Roman"/>
          <w:color w:val="000000"/>
        </w:rPr>
        <w:t xml:space="preserve">. </w:t>
      </w:r>
      <w:r w:rsidR="000875A7">
        <w:rPr>
          <w:rFonts w:ascii="Garamond" w:eastAsia="Times New Roman" w:hAnsi="Garamond" w:cs="Times New Roman"/>
          <w:color w:val="000000"/>
        </w:rPr>
        <w:t>Yet</w:t>
      </w:r>
      <w:r w:rsidR="00E75955" w:rsidRPr="00614418">
        <w:rPr>
          <w:rFonts w:ascii="Garamond" w:eastAsia="Times New Roman" w:hAnsi="Garamond" w:cs="Times New Roman"/>
          <w:color w:val="000000"/>
        </w:rPr>
        <w:t xml:space="preserve">, the interest rates of other countries, such as France and Belgium, were </w:t>
      </w:r>
      <w:r w:rsidR="001233BB" w:rsidRPr="00614418">
        <w:rPr>
          <w:rFonts w:ascii="Garamond" w:eastAsia="Times New Roman" w:hAnsi="Garamond" w:cs="Times New Roman"/>
          <w:color w:val="000000"/>
        </w:rPr>
        <w:t xml:space="preserve">not heavily </w:t>
      </w:r>
      <w:r w:rsidR="00E75955" w:rsidRPr="00614418">
        <w:rPr>
          <w:rFonts w:ascii="Garamond" w:eastAsia="Times New Roman" w:hAnsi="Garamond" w:cs="Times New Roman"/>
          <w:color w:val="000000"/>
        </w:rPr>
        <w:t>affected</w:t>
      </w:r>
      <w:r w:rsidR="001233BB" w:rsidRPr="00614418">
        <w:rPr>
          <w:rFonts w:ascii="Garamond" w:eastAsia="Times New Roman" w:hAnsi="Garamond" w:cs="Times New Roman"/>
          <w:color w:val="000000"/>
        </w:rPr>
        <w:t xml:space="preserve"> by the crisis</w:t>
      </w:r>
      <w:r w:rsidR="00E5668B" w:rsidRPr="00614418">
        <w:rPr>
          <w:rFonts w:ascii="Garamond" w:eastAsia="Times New Roman" w:hAnsi="Garamond" w:cs="Times New Roman"/>
          <w:color w:val="000000"/>
        </w:rPr>
        <w:t xml:space="preserve">. </w:t>
      </w:r>
      <w:r w:rsidR="00E75955" w:rsidRPr="00614418">
        <w:rPr>
          <w:rFonts w:ascii="Garamond" w:eastAsia="Times New Roman" w:hAnsi="Garamond" w:cs="Times New Roman"/>
          <w:color w:val="000000"/>
        </w:rPr>
        <w:t>Thus</w:t>
      </w:r>
      <w:r w:rsidR="00E5668B" w:rsidRPr="00614418">
        <w:rPr>
          <w:rFonts w:ascii="Garamond" w:eastAsia="Times New Roman" w:hAnsi="Garamond" w:cs="Times New Roman"/>
          <w:color w:val="000000"/>
        </w:rPr>
        <w:t>, it</w:t>
      </w:r>
      <w:r w:rsidR="00E75955" w:rsidRPr="00614418">
        <w:rPr>
          <w:rFonts w:ascii="Garamond" w:eastAsia="Times New Roman" w:hAnsi="Garamond" w:cs="Times New Roman"/>
          <w:color w:val="000000"/>
        </w:rPr>
        <w:t xml:space="preserve"> is not clear whether </w:t>
      </w:r>
      <w:r w:rsidR="007F0EF2" w:rsidRPr="00614418">
        <w:rPr>
          <w:rFonts w:ascii="Garamond" w:eastAsia="Times New Roman" w:hAnsi="Garamond" w:cs="Times New Roman"/>
          <w:color w:val="000000"/>
        </w:rPr>
        <w:t>exchange rate regimes</w:t>
      </w:r>
      <w:r w:rsidR="00204B7E" w:rsidRPr="00614418">
        <w:rPr>
          <w:rFonts w:ascii="Garamond" w:eastAsia="Times New Roman" w:hAnsi="Garamond" w:cs="Times New Roman"/>
          <w:color w:val="000000"/>
        </w:rPr>
        <w:t xml:space="preserve"> have a systematic</w:t>
      </w:r>
      <w:r w:rsidR="007F0EF2" w:rsidRPr="00614418">
        <w:rPr>
          <w:rFonts w:ascii="Garamond" w:eastAsia="Times New Roman" w:hAnsi="Garamond" w:cs="Times New Roman"/>
          <w:color w:val="000000"/>
        </w:rPr>
        <w:t xml:space="preserve"> impact on the conditions under which governments can access funding, </w:t>
      </w:r>
      <w:r w:rsidR="001233BB" w:rsidRPr="00614418">
        <w:rPr>
          <w:rFonts w:ascii="Garamond" w:eastAsia="Times New Roman" w:hAnsi="Garamond" w:cs="Times New Roman"/>
          <w:color w:val="000000"/>
        </w:rPr>
        <w:t>and whether this impact is consistent over time</w:t>
      </w:r>
      <w:r w:rsidR="000F29C7" w:rsidRPr="00614418">
        <w:rPr>
          <w:rFonts w:ascii="Garamond" w:eastAsia="Times New Roman" w:hAnsi="Garamond" w:cs="Times New Roman"/>
          <w:color w:val="000000"/>
        </w:rPr>
        <w:t>.</w:t>
      </w:r>
    </w:p>
    <w:p w14:paraId="5A88EC26" w14:textId="1B65992A" w:rsidR="00C57FCB" w:rsidRPr="00614418" w:rsidRDefault="00E5668B" w:rsidP="00C57FCB">
      <w:pPr>
        <w:spacing w:line="360" w:lineRule="auto"/>
        <w:ind w:firstLine="720"/>
        <w:jc w:val="both"/>
        <w:rPr>
          <w:rFonts w:ascii="Garamond" w:eastAsia="Times New Roman" w:hAnsi="Garamond" w:cs="Times New Roman"/>
          <w:color w:val="000000"/>
        </w:rPr>
      </w:pPr>
      <w:r w:rsidRPr="00614418">
        <w:rPr>
          <w:rFonts w:ascii="Garamond" w:eastAsia="Times New Roman" w:hAnsi="Garamond" w:cs="Times New Roman"/>
          <w:color w:val="000000"/>
        </w:rPr>
        <w:t xml:space="preserve">In this paper, </w:t>
      </w:r>
      <w:r w:rsidR="00DE3090" w:rsidRPr="00614418">
        <w:rPr>
          <w:rFonts w:ascii="Garamond" w:eastAsia="Times New Roman" w:hAnsi="Garamond" w:cs="Times New Roman"/>
          <w:color w:val="000000"/>
        </w:rPr>
        <w:t xml:space="preserve">we </w:t>
      </w:r>
      <w:r w:rsidRPr="00614418">
        <w:rPr>
          <w:rFonts w:ascii="Garamond" w:eastAsia="Times New Roman" w:hAnsi="Garamond" w:cs="Times New Roman"/>
          <w:color w:val="000000"/>
        </w:rPr>
        <w:t>argue that exchange rat</w:t>
      </w:r>
      <w:r w:rsidR="00B470FF" w:rsidRPr="00614418">
        <w:rPr>
          <w:rFonts w:ascii="Garamond" w:eastAsia="Times New Roman" w:hAnsi="Garamond" w:cs="Times New Roman"/>
          <w:color w:val="000000"/>
        </w:rPr>
        <w:t>e regime</w:t>
      </w:r>
      <w:r w:rsidR="000866E5" w:rsidRPr="00614418">
        <w:rPr>
          <w:rFonts w:ascii="Garamond" w:eastAsia="Times New Roman" w:hAnsi="Garamond" w:cs="Times New Roman"/>
          <w:color w:val="000000"/>
        </w:rPr>
        <w:t>s</w:t>
      </w:r>
      <w:r w:rsidRPr="00614418">
        <w:rPr>
          <w:rFonts w:ascii="Garamond" w:eastAsia="Times New Roman" w:hAnsi="Garamond" w:cs="Times New Roman"/>
          <w:color w:val="000000"/>
        </w:rPr>
        <w:t xml:space="preserve"> </w:t>
      </w:r>
      <w:r w:rsidR="001233BB" w:rsidRPr="00614418">
        <w:rPr>
          <w:rFonts w:ascii="Garamond" w:eastAsia="Times New Roman" w:hAnsi="Garamond" w:cs="Times New Roman"/>
          <w:color w:val="000000"/>
        </w:rPr>
        <w:t xml:space="preserve">matter for bond yields, but </w:t>
      </w:r>
      <w:r w:rsidR="00B470FF" w:rsidRPr="00614418">
        <w:rPr>
          <w:rFonts w:ascii="Garamond" w:eastAsia="Times New Roman" w:hAnsi="Garamond" w:cs="Times New Roman"/>
          <w:color w:val="000000"/>
        </w:rPr>
        <w:t>the</w:t>
      </w:r>
      <w:r w:rsidR="000866E5" w:rsidRPr="00614418">
        <w:rPr>
          <w:rFonts w:ascii="Garamond" w:eastAsia="Times New Roman" w:hAnsi="Garamond" w:cs="Times New Roman"/>
          <w:color w:val="000000"/>
        </w:rPr>
        <w:t>ir</w:t>
      </w:r>
      <w:r w:rsidR="001233BB" w:rsidRPr="00614418">
        <w:rPr>
          <w:rFonts w:ascii="Garamond" w:eastAsia="Times New Roman" w:hAnsi="Garamond" w:cs="Times New Roman"/>
          <w:color w:val="000000"/>
        </w:rPr>
        <w:t xml:space="preserve"> impact depends on the prevailing context in which credit markets evaluate fiscal and monetary performance</w:t>
      </w:r>
      <w:r w:rsidR="000903A9">
        <w:rPr>
          <w:rStyle w:val="FootnoteReference"/>
          <w:rFonts w:ascii="Garamond" w:eastAsia="Times New Roman" w:hAnsi="Garamond" w:cs="Times New Roman"/>
          <w:color w:val="000000"/>
        </w:rPr>
        <w:footnoteReference w:id="2"/>
      </w:r>
      <w:r w:rsidR="001233BB" w:rsidRPr="00614418">
        <w:rPr>
          <w:rFonts w:ascii="Garamond" w:eastAsia="Times New Roman" w:hAnsi="Garamond" w:cs="Times New Roman"/>
          <w:color w:val="000000"/>
        </w:rPr>
        <w:t xml:space="preserve">. In an </w:t>
      </w:r>
      <w:r w:rsidR="001233BB" w:rsidRPr="00614418">
        <w:rPr>
          <w:rFonts w:ascii="Garamond" w:eastAsia="Times New Roman" w:hAnsi="Garamond" w:cs="Times New Roman"/>
          <w:i/>
          <w:color w:val="000000"/>
        </w:rPr>
        <w:t xml:space="preserve">inflationary macroeconomic </w:t>
      </w:r>
      <w:r w:rsidR="008C1BB3" w:rsidRPr="00614418">
        <w:rPr>
          <w:rFonts w:ascii="Garamond" w:eastAsia="Times New Roman" w:hAnsi="Garamond" w:cs="Times New Roman"/>
          <w:i/>
          <w:color w:val="000000"/>
        </w:rPr>
        <w:t>environment</w:t>
      </w:r>
      <w:r w:rsidR="001233BB" w:rsidRPr="00614418">
        <w:rPr>
          <w:rFonts w:ascii="Garamond" w:eastAsia="Times New Roman" w:hAnsi="Garamond" w:cs="Times New Roman"/>
          <w:color w:val="000000"/>
        </w:rPr>
        <w:t xml:space="preserve">, financial markets regard inflation </w:t>
      </w:r>
      <w:r w:rsidR="00AD47D7" w:rsidRPr="00614418">
        <w:rPr>
          <w:rFonts w:ascii="Garamond" w:eastAsia="Times New Roman" w:hAnsi="Garamond" w:cs="Times New Roman"/>
          <w:color w:val="000000"/>
        </w:rPr>
        <w:t>– and the attendant depreciation of the currency in which the debt is denominated –</w:t>
      </w:r>
      <w:r w:rsidRPr="00614418">
        <w:rPr>
          <w:rFonts w:ascii="Garamond" w:eastAsia="Times New Roman" w:hAnsi="Garamond" w:cs="Times New Roman"/>
          <w:color w:val="000000"/>
        </w:rPr>
        <w:t xml:space="preserve"> </w:t>
      </w:r>
      <w:r w:rsidR="001233BB" w:rsidRPr="00614418">
        <w:rPr>
          <w:rFonts w:ascii="Garamond" w:eastAsia="Times New Roman" w:hAnsi="Garamond" w:cs="Times New Roman"/>
          <w:color w:val="000000"/>
        </w:rPr>
        <w:t xml:space="preserve">as </w:t>
      </w:r>
      <w:r w:rsidRPr="00614418">
        <w:rPr>
          <w:rFonts w:ascii="Garamond" w:eastAsia="Times New Roman" w:hAnsi="Garamond" w:cs="Times New Roman"/>
          <w:color w:val="000000"/>
        </w:rPr>
        <w:t>the most relevant risk to creditors’ investment in a country’s debt</w:t>
      </w:r>
      <w:r w:rsidR="001233BB" w:rsidRPr="00614418">
        <w:rPr>
          <w:rFonts w:ascii="Garamond" w:eastAsia="Times New Roman" w:hAnsi="Garamond" w:cs="Times New Roman"/>
          <w:color w:val="000000"/>
        </w:rPr>
        <w:t xml:space="preserve">. </w:t>
      </w:r>
      <w:r w:rsidR="00DE3090" w:rsidRPr="00614418">
        <w:rPr>
          <w:rFonts w:ascii="Garamond" w:eastAsia="Times New Roman" w:hAnsi="Garamond" w:cs="Times New Roman"/>
          <w:color w:val="000000"/>
        </w:rPr>
        <w:t xml:space="preserve">In this context, giving up exchange rate flexibility </w:t>
      </w:r>
      <w:r w:rsidR="003711C2" w:rsidRPr="00614418">
        <w:rPr>
          <w:rFonts w:ascii="Garamond" w:eastAsia="Times New Roman" w:hAnsi="Garamond" w:cs="Times New Roman"/>
          <w:color w:val="000000"/>
        </w:rPr>
        <w:t>has a distinct advantage over floating exchange rates</w:t>
      </w:r>
      <w:r w:rsidR="00CF15F1" w:rsidRPr="00614418">
        <w:rPr>
          <w:rFonts w:ascii="Garamond" w:eastAsia="Times New Roman" w:hAnsi="Garamond" w:cs="Times New Roman"/>
          <w:color w:val="000000"/>
        </w:rPr>
        <w:t>, because</w:t>
      </w:r>
      <w:r w:rsidR="003711C2" w:rsidRPr="00614418">
        <w:rPr>
          <w:rFonts w:ascii="Garamond" w:hAnsi="Garamond"/>
        </w:rPr>
        <w:t xml:space="preserve"> </w:t>
      </w:r>
      <w:r w:rsidR="00086AE8" w:rsidRPr="00614418">
        <w:rPr>
          <w:rFonts w:ascii="Garamond" w:hAnsi="Garamond"/>
        </w:rPr>
        <w:t xml:space="preserve">a </w:t>
      </w:r>
      <w:r w:rsidR="003711C2" w:rsidRPr="00614418">
        <w:rPr>
          <w:rFonts w:ascii="Garamond" w:hAnsi="Garamond"/>
        </w:rPr>
        <w:t xml:space="preserve">rigid exchange rate regime has in-built mechanisms </w:t>
      </w:r>
      <w:r w:rsidR="00525956" w:rsidRPr="00614418">
        <w:rPr>
          <w:rFonts w:ascii="Garamond" w:hAnsi="Garamond"/>
        </w:rPr>
        <w:t>to</w:t>
      </w:r>
      <w:r w:rsidR="00CF15F1" w:rsidRPr="00614418">
        <w:rPr>
          <w:rFonts w:ascii="Garamond" w:hAnsi="Garamond"/>
        </w:rPr>
        <w:t xml:space="preserve"> control </w:t>
      </w:r>
      <w:r w:rsidR="003711C2" w:rsidRPr="00614418">
        <w:rPr>
          <w:rFonts w:ascii="Garamond" w:hAnsi="Garamond"/>
        </w:rPr>
        <w:t>inflation</w:t>
      </w:r>
      <w:r w:rsidR="00CF15F1" w:rsidRPr="00614418">
        <w:rPr>
          <w:rFonts w:ascii="Garamond" w:hAnsi="Garamond"/>
        </w:rPr>
        <w:t xml:space="preserve">, and </w:t>
      </w:r>
      <w:r w:rsidR="00086AE8" w:rsidRPr="00614418">
        <w:rPr>
          <w:rFonts w:ascii="Garamond" w:hAnsi="Garamond"/>
        </w:rPr>
        <w:t xml:space="preserve">thus </w:t>
      </w:r>
      <w:r w:rsidR="000866E5" w:rsidRPr="00614418">
        <w:rPr>
          <w:rFonts w:ascii="Garamond" w:hAnsi="Garamond"/>
        </w:rPr>
        <w:t xml:space="preserve">to </w:t>
      </w:r>
      <w:r w:rsidR="00CF15F1" w:rsidRPr="00614418">
        <w:rPr>
          <w:rFonts w:ascii="Garamond" w:hAnsi="Garamond"/>
        </w:rPr>
        <w:t>reassure investors</w:t>
      </w:r>
      <w:r w:rsidR="000866E5" w:rsidRPr="00614418">
        <w:rPr>
          <w:rFonts w:ascii="Garamond" w:hAnsi="Garamond"/>
        </w:rPr>
        <w:t xml:space="preserve"> </w:t>
      </w:r>
      <w:r w:rsidR="000866E5" w:rsidRPr="00614418">
        <w:rPr>
          <w:rFonts w:ascii="Garamond" w:eastAsia="Times New Roman" w:hAnsi="Garamond" w:cs="Times New Roman"/>
          <w:color w:val="000000"/>
        </w:rPr>
        <w:fldChar w:fldCharType="begin"/>
      </w:r>
      <w:r w:rsidR="000866E5" w:rsidRPr="00614418">
        <w:rPr>
          <w:rFonts w:ascii="Garamond" w:eastAsia="Times New Roman" w:hAnsi="Garamond" w:cs="Times New Roman"/>
          <w:color w:val="000000"/>
        </w:rPr>
        <w:instrText xml:space="preserve"> ADDIN EN.CITE &lt;EndNote&gt;&lt;Cite&gt;&lt;Author&gt;Giavazzi&lt;/Author&gt;&lt;Year&gt;1988&lt;/Year&gt;&lt;RecNum&gt;10862&lt;/RecNum&gt;&lt;DisplayText&gt;(Giavazzi and Pagano 1988)&lt;/DisplayText&gt;&lt;record&gt;&lt;rec-number&gt;10862&lt;/rec-number&gt;&lt;foreign-keys&gt;&lt;key app="EN" db-id="92rvefpz8s0008ezfp8v5a2tz9xt2dv5x925" timestamp="1608720154"&gt;10862&lt;/key&gt;&lt;/foreign-keys&gt;&lt;ref-type name="Journal Article"&gt;17&lt;/ref-type&gt;&lt;contributors&gt;&lt;authors&gt;&lt;author&gt;Giavazzi, Francesco&lt;/author&gt;&lt;author&gt;Pagano, Marco&lt;/author&gt;&lt;/authors&gt;&lt;/contributors&gt;&lt;titles&gt;&lt;title&gt;The advantage of tying one&amp;apos;s hands: EMS discipline and Central Bank credibility&lt;/title&gt;&lt;secondary-title&gt;European Economic Review&lt;/secondary-title&gt;&lt;/titles&gt;&lt;periodical&gt;&lt;full-title&gt;European Economic Review&lt;/full-title&gt;&lt;/periodical&gt;&lt;pages&gt;1055-1075&lt;/pages&gt;&lt;volume&gt;32&lt;/volume&gt;&lt;number&gt;5&lt;/number&gt;&lt;dates&gt;&lt;year&gt;1988&lt;/year&gt;&lt;pub-dates&gt;&lt;date&gt;1988/06/01/&lt;/date&gt;&lt;/pub-dates&gt;&lt;/dates&gt;&lt;isbn&gt;0014-2921&lt;/isbn&gt;&lt;urls&gt;&lt;related-urls&gt;&lt;url&gt;http://www.sciencedirect.com/science/article/pii/0014292188900657&lt;/url&gt;&lt;/related-urls&gt;&lt;/urls&gt;&lt;electronic-resource-num&gt;https://doi.org/10.1016/0014-2921(88)90065-7&lt;/electronic-resource-num&gt;&lt;/record&gt;&lt;/Cite&gt;&lt;/EndNote&gt;</w:instrText>
      </w:r>
      <w:r w:rsidR="000866E5" w:rsidRPr="00614418">
        <w:rPr>
          <w:rFonts w:ascii="Garamond" w:eastAsia="Times New Roman" w:hAnsi="Garamond" w:cs="Times New Roman"/>
          <w:color w:val="000000"/>
        </w:rPr>
        <w:fldChar w:fldCharType="separate"/>
      </w:r>
      <w:r w:rsidR="000866E5" w:rsidRPr="00614418">
        <w:rPr>
          <w:rFonts w:ascii="Garamond" w:eastAsia="Times New Roman" w:hAnsi="Garamond" w:cs="Times New Roman"/>
          <w:noProof/>
          <w:color w:val="000000"/>
        </w:rPr>
        <w:t>(</w:t>
      </w:r>
      <w:hyperlink w:anchor="_ENREF_7" w:tooltip="Giavazzi, 1988 #10862" w:history="1">
        <w:r w:rsidR="008A16E9" w:rsidRPr="00614418">
          <w:rPr>
            <w:rFonts w:ascii="Garamond" w:eastAsia="Times New Roman" w:hAnsi="Garamond" w:cs="Times New Roman"/>
            <w:noProof/>
            <w:color w:val="000000"/>
          </w:rPr>
          <w:t>Giavazzi and Pagano 1988</w:t>
        </w:r>
      </w:hyperlink>
      <w:r w:rsidR="000866E5" w:rsidRPr="00614418">
        <w:rPr>
          <w:rFonts w:ascii="Garamond" w:eastAsia="Times New Roman" w:hAnsi="Garamond" w:cs="Times New Roman"/>
          <w:noProof/>
          <w:color w:val="000000"/>
        </w:rPr>
        <w:t>)</w:t>
      </w:r>
      <w:r w:rsidR="000866E5" w:rsidRPr="00614418">
        <w:rPr>
          <w:rFonts w:ascii="Garamond" w:eastAsia="Times New Roman" w:hAnsi="Garamond" w:cs="Times New Roman"/>
          <w:color w:val="000000"/>
        </w:rPr>
        <w:fldChar w:fldCharType="end"/>
      </w:r>
      <w:r w:rsidR="00DE3090" w:rsidRPr="00614418">
        <w:rPr>
          <w:rFonts w:ascii="Garamond" w:hAnsi="Garamond"/>
        </w:rPr>
        <w:t>. I</w:t>
      </w:r>
      <w:r w:rsidR="00525956" w:rsidRPr="00614418">
        <w:rPr>
          <w:rFonts w:ascii="Garamond" w:hAnsi="Garamond"/>
        </w:rPr>
        <w:t xml:space="preserve">f </w:t>
      </w:r>
      <w:r w:rsidR="00086AE8" w:rsidRPr="00614418">
        <w:rPr>
          <w:rFonts w:ascii="Garamond" w:hAnsi="Garamond"/>
        </w:rPr>
        <w:t xml:space="preserve">a country’s </w:t>
      </w:r>
      <w:r w:rsidR="00525956" w:rsidRPr="00614418">
        <w:rPr>
          <w:rFonts w:ascii="Garamond" w:hAnsi="Garamond"/>
        </w:rPr>
        <w:t>inflation</w:t>
      </w:r>
      <w:r w:rsidR="00086AE8" w:rsidRPr="00614418">
        <w:rPr>
          <w:rFonts w:ascii="Garamond" w:hAnsi="Garamond"/>
        </w:rPr>
        <w:t xml:space="preserve"> rate</w:t>
      </w:r>
      <w:r w:rsidR="00525956" w:rsidRPr="00614418">
        <w:rPr>
          <w:rFonts w:ascii="Garamond" w:hAnsi="Garamond"/>
        </w:rPr>
        <w:t xml:space="preserve"> is higher than </w:t>
      </w:r>
      <w:r w:rsidR="00086AE8" w:rsidRPr="00614418">
        <w:rPr>
          <w:rFonts w:ascii="Garamond" w:hAnsi="Garamond"/>
        </w:rPr>
        <w:t>that of its</w:t>
      </w:r>
      <w:r w:rsidR="00525956" w:rsidRPr="00614418">
        <w:rPr>
          <w:rFonts w:ascii="Garamond" w:hAnsi="Garamond"/>
        </w:rPr>
        <w:t xml:space="preserve"> main trad</w:t>
      </w:r>
      <w:r w:rsidR="00321203" w:rsidRPr="00614418">
        <w:rPr>
          <w:rFonts w:ascii="Garamond" w:hAnsi="Garamond"/>
        </w:rPr>
        <w:t>ing</w:t>
      </w:r>
      <w:r w:rsidR="00525956" w:rsidRPr="00614418">
        <w:rPr>
          <w:rFonts w:ascii="Garamond" w:hAnsi="Garamond"/>
        </w:rPr>
        <w:t xml:space="preserve"> partners, the result is a </w:t>
      </w:r>
      <w:r w:rsidR="003711C2" w:rsidRPr="00614418">
        <w:rPr>
          <w:rFonts w:ascii="Garamond" w:hAnsi="Garamond"/>
        </w:rPr>
        <w:t xml:space="preserve">loss of cost competitiveness, </w:t>
      </w:r>
      <w:r w:rsidR="00525956" w:rsidRPr="00614418">
        <w:rPr>
          <w:rFonts w:ascii="Garamond" w:hAnsi="Garamond"/>
        </w:rPr>
        <w:t xml:space="preserve">real exchange rate appreciation, accelerated deindustrialization, </w:t>
      </w:r>
      <w:r w:rsidR="003711C2" w:rsidRPr="00614418">
        <w:rPr>
          <w:rFonts w:ascii="Garamond" w:hAnsi="Garamond"/>
        </w:rPr>
        <w:t xml:space="preserve">current account deficits, </w:t>
      </w:r>
      <w:r w:rsidR="00525956" w:rsidRPr="00614418">
        <w:rPr>
          <w:rFonts w:ascii="Garamond" w:hAnsi="Garamond"/>
        </w:rPr>
        <w:t xml:space="preserve">and </w:t>
      </w:r>
      <w:r w:rsidR="00DE3090" w:rsidRPr="00614418">
        <w:rPr>
          <w:rFonts w:ascii="Garamond" w:hAnsi="Garamond"/>
        </w:rPr>
        <w:t xml:space="preserve">capital flight with </w:t>
      </w:r>
      <w:r w:rsidR="00525956" w:rsidRPr="00614418">
        <w:rPr>
          <w:rFonts w:ascii="Garamond" w:hAnsi="Garamond"/>
        </w:rPr>
        <w:t>associated loss of foreign reserves</w:t>
      </w:r>
      <w:r w:rsidR="003711C2" w:rsidRPr="00614418">
        <w:rPr>
          <w:rFonts w:ascii="Garamond" w:hAnsi="Garamond"/>
        </w:rPr>
        <w:t xml:space="preserve">. </w:t>
      </w:r>
      <w:r w:rsidR="00525956" w:rsidRPr="00614418">
        <w:rPr>
          <w:rFonts w:ascii="Garamond" w:hAnsi="Garamond"/>
        </w:rPr>
        <w:t>Given the</w:t>
      </w:r>
      <w:r w:rsidR="00086AE8" w:rsidRPr="00614418">
        <w:rPr>
          <w:rFonts w:ascii="Garamond" w:hAnsi="Garamond"/>
        </w:rPr>
        <w:t>se</w:t>
      </w:r>
      <w:r w:rsidR="00525956" w:rsidRPr="00614418">
        <w:rPr>
          <w:rFonts w:ascii="Garamond" w:hAnsi="Garamond"/>
        </w:rPr>
        <w:t xml:space="preserve"> </w:t>
      </w:r>
      <w:r w:rsidR="00204B7E" w:rsidRPr="00614418">
        <w:rPr>
          <w:rFonts w:ascii="Garamond" w:hAnsi="Garamond"/>
        </w:rPr>
        <w:t>high</w:t>
      </w:r>
      <w:r w:rsidR="00086AE8" w:rsidRPr="00614418">
        <w:rPr>
          <w:rFonts w:ascii="Garamond" w:hAnsi="Garamond"/>
        </w:rPr>
        <w:t>er</w:t>
      </w:r>
      <w:r w:rsidR="00204B7E" w:rsidRPr="00614418">
        <w:rPr>
          <w:rFonts w:ascii="Garamond" w:hAnsi="Garamond"/>
        </w:rPr>
        <w:t xml:space="preserve"> </w:t>
      </w:r>
      <w:r w:rsidR="00525956" w:rsidRPr="00614418">
        <w:rPr>
          <w:rFonts w:ascii="Garamond" w:hAnsi="Garamond"/>
        </w:rPr>
        <w:t xml:space="preserve">costs of inflation, national </w:t>
      </w:r>
      <w:r w:rsidR="00161F38">
        <w:rPr>
          <w:rFonts w:ascii="Garamond" w:hAnsi="Garamond"/>
        </w:rPr>
        <w:t>actors</w:t>
      </w:r>
      <w:r w:rsidR="004533ED">
        <w:rPr>
          <w:rFonts w:ascii="Garamond" w:hAnsi="Garamond"/>
        </w:rPr>
        <w:t xml:space="preserve"> – </w:t>
      </w:r>
      <w:r w:rsidR="004533ED">
        <w:rPr>
          <w:rFonts w:ascii="Garamond" w:hAnsi="Garamond"/>
        </w:rPr>
        <w:lastRenderedPageBreak/>
        <w:t>includin</w:t>
      </w:r>
      <w:r w:rsidR="00D0619B">
        <w:rPr>
          <w:rFonts w:ascii="Garamond" w:hAnsi="Garamond"/>
        </w:rPr>
        <w:t>g</w:t>
      </w:r>
      <w:r w:rsidR="004533ED">
        <w:rPr>
          <w:rFonts w:ascii="Garamond" w:hAnsi="Garamond"/>
        </w:rPr>
        <w:t xml:space="preserve"> central bankers – </w:t>
      </w:r>
      <w:r w:rsidR="003711C2" w:rsidRPr="00614418">
        <w:rPr>
          <w:rFonts w:ascii="Garamond" w:hAnsi="Garamond"/>
        </w:rPr>
        <w:t xml:space="preserve">have incentives to </w:t>
      </w:r>
      <w:r w:rsidR="00525956" w:rsidRPr="00614418">
        <w:rPr>
          <w:rFonts w:ascii="Garamond" w:eastAsia="Times New Roman" w:hAnsi="Garamond" w:cs="Times New Roman"/>
          <w:color w:val="000000"/>
        </w:rPr>
        <w:t>adjust their price</w:t>
      </w:r>
      <w:r w:rsidR="002943FA">
        <w:rPr>
          <w:rFonts w:ascii="Garamond" w:eastAsia="Times New Roman" w:hAnsi="Garamond" w:cs="Times New Roman"/>
          <w:color w:val="000000"/>
        </w:rPr>
        <w:t>-</w:t>
      </w:r>
      <w:r w:rsidR="00525956" w:rsidRPr="00614418">
        <w:rPr>
          <w:rFonts w:ascii="Garamond" w:eastAsia="Times New Roman" w:hAnsi="Garamond" w:cs="Times New Roman"/>
          <w:color w:val="000000"/>
        </w:rPr>
        <w:t xml:space="preserve"> and </w:t>
      </w:r>
      <w:r w:rsidR="002943FA" w:rsidRPr="00614418">
        <w:rPr>
          <w:rFonts w:ascii="Garamond" w:eastAsia="Times New Roman" w:hAnsi="Garamond" w:cs="Times New Roman"/>
          <w:color w:val="000000"/>
        </w:rPr>
        <w:t>wage</w:t>
      </w:r>
      <w:r w:rsidR="002943FA">
        <w:rPr>
          <w:rFonts w:ascii="Garamond" w:eastAsia="Times New Roman" w:hAnsi="Garamond" w:cs="Times New Roman"/>
          <w:color w:val="000000"/>
        </w:rPr>
        <w:t>-</w:t>
      </w:r>
      <w:r w:rsidR="00525956" w:rsidRPr="00614418">
        <w:rPr>
          <w:rFonts w:ascii="Garamond" w:eastAsia="Times New Roman" w:hAnsi="Garamond" w:cs="Times New Roman"/>
          <w:color w:val="000000"/>
        </w:rPr>
        <w:t>setting behavior</w:t>
      </w:r>
      <w:r w:rsidR="00C57FCB" w:rsidRPr="00614418">
        <w:rPr>
          <w:rFonts w:ascii="Garamond" w:eastAsia="Times New Roman" w:hAnsi="Garamond" w:cs="Times New Roman"/>
          <w:color w:val="000000"/>
        </w:rPr>
        <w:t xml:space="preserve"> in order to bring inflation down</w:t>
      </w:r>
      <w:r w:rsidR="00321203" w:rsidRPr="00614418">
        <w:rPr>
          <w:rFonts w:ascii="Garamond" w:eastAsia="Times New Roman" w:hAnsi="Garamond" w:cs="Times New Roman"/>
          <w:color w:val="000000"/>
        </w:rPr>
        <w:t xml:space="preserve"> (</w:t>
      </w:r>
      <w:r w:rsidR="000D082B">
        <w:rPr>
          <w:rFonts w:ascii="Garamond" w:eastAsia="Times New Roman" w:hAnsi="Garamond" w:cs="Times New Roman"/>
          <w:color w:val="000000"/>
        </w:rPr>
        <w:t>Hall and Franzese 1998;</w:t>
      </w:r>
      <w:r w:rsidR="000D082B" w:rsidRPr="00614418">
        <w:rPr>
          <w:rFonts w:ascii="Garamond" w:eastAsia="Times New Roman" w:hAnsi="Garamond" w:cs="Times New Roman"/>
          <w:color w:val="000000"/>
        </w:rPr>
        <w:t xml:space="preserve"> </w:t>
      </w:r>
      <w:r w:rsidR="00321203" w:rsidRPr="00614418">
        <w:rPr>
          <w:rFonts w:ascii="Garamond" w:eastAsia="Times New Roman" w:hAnsi="Garamond" w:cs="Times New Roman"/>
          <w:color w:val="000000"/>
        </w:rPr>
        <w:t xml:space="preserve">Johnston 2012 </w:t>
      </w:r>
      <w:r w:rsidR="000866E5" w:rsidRPr="00614418">
        <w:rPr>
          <w:rFonts w:ascii="Garamond" w:eastAsia="Times New Roman" w:hAnsi="Garamond" w:cs="Times New Roman"/>
          <w:color w:val="000000"/>
        </w:rPr>
        <w:t xml:space="preserve">and </w:t>
      </w:r>
      <w:r w:rsidR="00321203" w:rsidRPr="00614418">
        <w:rPr>
          <w:rFonts w:ascii="Garamond" w:eastAsia="Times New Roman" w:hAnsi="Garamond" w:cs="Times New Roman"/>
          <w:color w:val="000000"/>
        </w:rPr>
        <w:t>2016)</w:t>
      </w:r>
      <w:r w:rsidR="003711C2" w:rsidRPr="00614418">
        <w:rPr>
          <w:rFonts w:ascii="Garamond" w:hAnsi="Garamond"/>
        </w:rPr>
        <w:t xml:space="preserve">. </w:t>
      </w:r>
      <w:r w:rsidR="00093B17" w:rsidRPr="00614418">
        <w:rPr>
          <w:rFonts w:ascii="Garamond" w:hAnsi="Garamond"/>
        </w:rPr>
        <w:t>I</w:t>
      </w:r>
      <w:r w:rsidR="00204B7E" w:rsidRPr="00614418">
        <w:rPr>
          <w:rFonts w:ascii="Garamond" w:hAnsi="Garamond"/>
        </w:rPr>
        <w:t xml:space="preserve">f the fixed peg is </w:t>
      </w:r>
      <w:r w:rsidR="00A24BE1">
        <w:rPr>
          <w:rFonts w:ascii="Garamond" w:hAnsi="Garamond"/>
        </w:rPr>
        <w:t xml:space="preserve">regarded as </w:t>
      </w:r>
      <w:r w:rsidR="00204B7E" w:rsidRPr="00614418">
        <w:rPr>
          <w:rFonts w:ascii="Garamond" w:hAnsi="Garamond"/>
        </w:rPr>
        <w:t>credible</w:t>
      </w:r>
      <w:r w:rsidR="00A24BE1">
        <w:rPr>
          <w:rFonts w:ascii="Garamond" w:hAnsi="Garamond"/>
        </w:rPr>
        <w:t xml:space="preserve"> by investors</w:t>
      </w:r>
      <w:r w:rsidR="00204B7E" w:rsidRPr="00614418">
        <w:rPr>
          <w:rFonts w:ascii="Garamond" w:hAnsi="Garamond"/>
        </w:rPr>
        <w:t xml:space="preserve">, it </w:t>
      </w:r>
      <w:r w:rsidR="000866E5" w:rsidRPr="00614418">
        <w:rPr>
          <w:rFonts w:ascii="Garamond" w:hAnsi="Garamond"/>
        </w:rPr>
        <w:t xml:space="preserve">significantly mitigates </w:t>
      </w:r>
      <w:r w:rsidR="00204B7E" w:rsidRPr="00614418">
        <w:rPr>
          <w:rFonts w:ascii="Garamond" w:hAnsi="Garamond"/>
        </w:rPr>
        <w:t xml:space="preserve">devaluation risk. </w:t>
      </w:r>
      <w:r w:rsidR="00093B17" w:rsidRPr="00614418">
        <w:rPr>
          <w:rFonts w:ascii="Garamond" w:hAnsi="Garamond"/>
        </w:rPr>
        <w:t>Therefore</w:t>
      </w:r>
      <w:r w:rsidR="003711C2" w:rsidRPr="00614418">
        <w:rPr>
          <w:rFonts w:ascii="Garamond" w:hAnsi="Garamond"/>
        </w:rPr>
        <w:t xml:space="preserve">, financial markets are less likely to respond to short-term inflation movements </w:t>
      </w:r>
      <w:r w:rsidR="00525956" w:rsidRPr="00614418">
        <w:rPr>
          <w:rFonts w:ascii="Garamond" w:hAnsi="Garamond"/>
        </w:rPr>
        <w:t xml:space="preserve">by increasing risk premia </w:t>
      </w:r>
      <w:r w:rsidR="00C57FCB" w:rsidRPr="00614418">
        <w:rPr>
          <w:rFonts w:ascii="Garamond" w:hAnsi="Garamond"/>
        </w:rPr>
        <w:t>tha</w:t>
      </w:r>
      <w:r w:rsidR="003711C2" w:rsidRPr="00614418">
        <w:rPr>
          <w:rFonts w:ascii="Garamond" w:hAnsi="Garamond"/>
        </w:rPr>
        <w:t>n they are</w:t>
      </w:r>
      <w:r w:rsidR="00D629FA">
        <w:rPr>
          <w:rFonts w:ascii="Garamond" w:hAnsi="Garamond"/>
        </w:rPr>
        <w:t xml:space="preserve"> for countries experiencing inflation</w:t>
      </w:r>
      <w:r w:rsidR="003711C2" w:rsidRPr="00614418">
        <w:rPr>
          <w:rFonts w:ascii="Garamond" w:hAnsi="Garamond"/>
        </w:rPr>
        <w:t xml:space="preserve"> in a floating exchange rate regime</w:t>
      </w:r>
      <w:r w:rsidR="000866E5" w:rsidRPr="00614418">
        <w:rPr>
          <w:rFonts w:ascii="Garamond" w:hAnsi="Garamond"/>
        </w:rPr>
        <w:t xml:space="preserve">. </w:t>
      </w:r>
      <w:r w:rsidR="008805E6">
        <w:rPr>
          <w:rFonts w:ascii="Garamond" w:eastAsia="Times New Roman" w:hAnsi="Garamond" w:cs="Times New Roman"/>
          <w:color w:val="000000"/>
        </w:rPr>
        <w:t>This argument a</w:t>
      </w:r>
      <w:r w:rsidR="00316CD7">
        <w:rPr>
          <w:rFonts w:ascii="Garamond" w:eastAsia="Times New Roman" w:hAnsi="Garamond" w:cs="Times New Roman"/>
          <w:color w:val="000000"/>
        </w:rPr>
        <w:t xml:space="preserve">pplies </w:t>
      </w:r>
      <w:r w:rsidR="00316CD7" w:rsidRPr="008A16E9">
        <w:rPr>
          <w:rFonts w:ascii="Garamond" w:eastAsia="Times New Roman" w:hAnsi="Garamond" w:cs="Times New Roman"/>
          <w:i/>
          <w:color w:val="000000"/>
        </w:rPr>
        <w:t>a fortiori</w:t>
      </w:r>
      <w:r w:rsidR="00316CD7">
        <w:rPr>
          <w:rFonts w:ascii="Garamond" w:eastAsia="Times New Roman" w:hAnsi="Garamond" w:cs="Times New Roman"/>
          <w:color w:val="000000"/>
        </w:rPr>
        <w:t xml:space="preserve"> to a monetary union. </w:t>
      </w:r>
      <w:r w:rsidR="001C0970" w:rsidRPr="00614418">
        <w:rPr>
          <w:rFonts w:ascii="Garamond" w:eastAsia="Times New Roman" w:hAnsi="Garamond" w:cs="Times New Roman"/>
          <w:color w:val="000000"/>
        </w:rPr>
        <w:t xml:space="preserve">Joining a monetary union </w:t>
      </w:r>
      <w:r w:rsidR="002E3232">
        <w:rPr>
          <w:rFonts w:ascii="Garamond" w:eastAsia="Times New Roman" w:hAnsi="Garamond" w:cs="Times New Roman"/>
          <w:color w:val="000000"/>
        </w:rPr>
        <w:t>substantially reduces</w:t>
      </w:r>
      <w:r w:rsidR="000C368D" w:rsidRPr="00614418">
        <w:rPr>
          <w:rFonts w:ascii="Garamond" w:eastAsia="Times New Roman" w:hAnsi="Garamond" w:cs="Times New Roman"/>
          <w:color w:val="000000"/>
        </w:rPr>
        <w:t xml:space="preserve"> the fears of creditors that a government might inflate the value of the</w:t>
      </w:r>
      <w:r w:rsidR="00525956" w:rsidRPr="00614418">
        <w:rPr>
          <w:rFonts w:ascii="Garamond" w:eastAsia="Times New Roman" w:hAnsi="Garamond" w:cs="Times New Roman"/>
          <w:color w:val="000000"/>
        </w:rPr>
        <w:t xml:space="preserve">ir bonds away, because the link </w:t>
      </w:r>
      <w:r w:rsidR="001C0970" w:rsidRPr="00614418">
        <w:rPr>
          <w:rFonts w:ascii="Garamond" w:eastAsia="Times New Roman" w:hAnsi="Garamond" w:cs="Times New Roman"/>
          <w:color w:val="000000"/>
        </w:rPr>
        <w:t xml:space="preserve">between </w:t>
      </w:r>
      <w:r w:rsidR="000C368D" w:rsidRPr="00614418">
        <w:rPr>
          <w:rFonts w:ascii="Garamond" w:eastAsia="Times New Roman" w:hAnsi="Garamond" w:cs="Times New Roman"/>
          <w:color w:val="000000"/>
        </w:rPr>
        <w:t xml:space="preserve">the value of the currency in which the debt is denominated and </w:t>
      </w:r>
      <w:r w:rsidR="00B16FD4" w:rsidRPr="00614418">
        <w:rPr>
          <w:rFonts w:ascii="Garamond" w:eastAsia="Times New Roman" w:hAnsi="Garamond" w:cs="Times New Roman"/>
          <w:color w:val="000000"/>
        </w:rPr>
        <w:t xml:space="preserve">domestic </w:t>
      </w:r>
      <w:r w:rsidR="000866E5" w:rsidRPr="00614418">
        <w:rPr>
          <w:rFonts w:ascii="Garamond" w:eastAsia="Times New Roman" w:hAnsi="Garamond" w:cs="Times New Roman"/>
          <w:color w:val="000000"/>
        </w:rPr>
        <w:t xml:space="preserve">inflation and </w:t>
      </w:r>
      <w:r w:rsidR="001C0970" w:rsidRPr="00614418">
        <w:rPr>
          <w:rFonts w:ascii="Garamond" w:eastAsia="Times New Roman" w:hAnsi="Garamond" w:cs="Times New Roman"/>
          <w:color w:val="000000"/>
        </w:rPr>
        <w:t>fiscal performance</w:t>
      </w:r>
      <w:r w:rsidR="000C368D" w:rsidRPr="00614418">
        <w:rPr>
          <w:rFonts w:ascii="Garamond" w:eastAsia="Times New Roman" w:hAnsi="Garamond" w:cs="Times New Roman"/>
          <w:color w:val="000000"/>
        </w:rPr>
        <w:t xml:space="preserve"> is</w:t>
      </w:r>
      <w:r w:rsidR="000D082B">
        <w:rPr>
          <w:rFonts w:ascii="Garamond" w:eastAsia="Times New Roman" w:hAnsi="Garamond" w:cs="Times New Roman"/>
          <w:color w:val="000000"/>
        </w:rPr>
        <w:t xml:space="preserve"> completely</w:t>
      </w:r>
      <w:r w:rsidR="000C368D" w:rsidRPr="00614418">
        <w:rPr>
          <w:rFonts w:ascii="Garamond" w:eastAsia="Times New Roman" w:hAnsi="Garamond" w:cs="Times New Roman"/>
          <w:color w:val="000000"/>
        </w:rPr>
        <w:t xml:space="preserve"> </w:t>
      </w:r>
      <w:r w:rsidR="00B16FD4" w:rsidRPr="00614418">
        <w:rPr>
          <w:rFonts w:ascii="Garamond" w:eastAsia="Times New Roman" w:hAnsi="Garamond" w:cs="Times New Roman"/>
          <w:color w:val="000000"/>
        </w:rPr>
        <w:t>severed</w:t>
      </w:r>
      <w:r w:rsidR="00316CD7">
        <w:rPr>
          <w:rFonts w:ascii="Garamond" w:eastAsia="Times New Roman" w:hAnsi="Garamond" w:cs="Times New Roman"/>
          <w:color w:val="000000"/>
        </w:rPr>
        <w:t xml:space="preserve">, and although exit from the currency union remains a possibility, its costs </w:t>
      </w:r>
      <w:r w:rsidR="0030757C">
        <w:rPr>
          <w:rFonts w:ascii="Garamond" w:eastAsia="Times New Roman" w:hAnsi="Garamond" w:cs="Times New Roman"/>
          <w:color w:val="000000"/>
        </w:rPr>
        <w:t>are</w:t>
      </w:r>
      <w:r w:rsidR="00316CD7">
        <w:rPr>
          <w:rFonts w:ascii="Garamond" w:eastAsia="Times New Roman" w:hAnsi="Garamond" w:cs="Times New Roman"/>
          <w:color w:val="000000"/>
        </w:rPr>
        <w:t xml:space="preserve"> </w:t>
      </w:r>
      <w:r w:rsidR="0030757C">
        <w:rPr>
          <w:rFonts w:ascii="Garamond" w:eastAsia="Times New Roman" w:hAnsi="Garamond" w:cs="Times New Roman"/>
          <w:color w:val="000000"/>
        </w:rPr>
        <w:t xml:space="preserve">considerably </w:t>
      </w:r>
      <w:r w:rsidR="00316CD7">
        <w:rPr>
          <w:rFonts w:ascii="Garamond" w:eastAsia="Times New Roman" w:hAnsi="Garamond" w:cs="Times New Roman"/>
          <w:color w:val="000000"/>
        </w:rPr>
        <w:t>higher than changing the nominal parity in a fixed exchange regime</w:t>
      </w:r>
      <w:r w:rsidR="000C368D" w:rsidRPr="00614418">
        <w:rPr>
          <w:rFonts w:ascii="Garamond" w:eastAsia="Times New Roman" w:hAnsi="Garamond" w:cs="Times New Roman"/>
          <w:color w:val="000000"/>
        </w:rPr>
        <w:t xml:space="preserve">. </w:t>
      </w:r>
    </w:p>
    <w:p w14:paraId="04E17278" w14:textId="1B9F7AAC" w:rsidR="00E5668B" w:rsidRPr="00614418" w:rsidRDefault="000C368D" w:rsidP="00EA6C29">
      <w:pPr>
        <w:spacing w:line="360" w:lineRule="auto"/>
        <w:ind w:firstLine="720"/>
        <w:jc w:val="both"/>
        <w:rPr>
          <w:rFonts w:ascii="Garamond" w:eastAsia="Times New Roman" w:hAnsi="Garamond" w:cs="Times New Roman"/>
          <w:color w:val="000000"/>
        </w:rPr>
      </w:pPr>
      <w:r w:rsidRPr="00614418">
        <w:rPr>
          <w:rFonts w:ascii="Garamond" w:eastAsia="Times New Roman" w:hAnsi="Garamond" w:cs="Times New Roman"/>
          <w:color w:val="000000"/>
        </w:rPr>
        <w:t>In contrast</w:t>
      </w:r>
      <w:r w:rsidR="00222CF6" w:rsidRPr="00614418">
        <w:rPr>
          <w:rFonts w:ascii="Garamond" w:eastAsia="Times New Roman" w:hAnsi="Garamond" w:cs="Times New Roman"/>
          <w:color w:val="000000"/>
        </w:rPr>
        <w:t>,</w:t>
      </w:r>
      <w:r w:rsidR="00E5668B" w:rsidRPr="00614418">
        <w:rPr>
          <w:rFonts w:ascii="Garamond" w:eastAsia="Times New Roman" w:hAnsi="Garamond" w:cs="Times New Roman"/>
          <w:color w:val="000000"/>
        </w:rPr>
        <w:t xml:space="preserve"> </w:t>
      </w:r>
      <w:r w:rsidR="00C57FCB" w:rsidRPr="00614418">
        <w:rPr>
          <w:rFonts w:ascii="Garamond" w:eastAsia="Times New Roman" w:hAnsi="Garamond" w:cs="Times New Roman"/>
          <w:color w:val="000000"/>
        </w:rPr>
        <w:t xml:space="preserve">in a </w:t>
      </w:r>
      <w:r w:rsidR="00C57FCB" w:rsidRPr="00614418">
        <w:rPr>
          <w:rFonts w:ascii="Garamond" w:eastAsia="Times New Roman" w:hAnsi="Garamond" w:cs="Times New Roman"/>
          <w:i/>
          <w:color w:val="000000"/>
        </w:rPr>
        <w:t xml:space="preserve">deflationary </w:t>
      </w:r>
      <w:r w:rsidR="008C1BB3" w:rsidRPr="00614418">
        <w:rPr>
          <w:rFonts w:ascii="Garamond" w:eastAsia="Times New Roman" w:hAnsi="Garamond" w:cs="Times New Roman"/>
          <w:i/>
          <w:color w:val="000000"/>
        </w:rPr>
        <w:t>environment</w:t>
      </w:r>
      <w:r w:rsidR="00A9525C" w:rsidRPr="00614418">
        <w:rPr>
          <w:rFonts w:ascii="Garamond" w:eastAsia="Times New Roman" w:hAnsi="Garamond" w:cs="Times New Roman"/>
          <w:color w:val="000000"/>
        </w:rPr>
        <w:t>,</w:t>
      </w:r>
      <w:r w:rsidR="00C57FCB" w:rsidRPr="00614418">
        <w:rPr>
          <w:rFonts w:ascii="Garamond" w:eastAsia="Times New Roman" w:hAnsi="Garamond" w:cs="Times New Roman"/>
          <w:color w:val="000000"/>
        </w:rPr>
        <w:t xml:space="preserve"> the main problem</w:t>
      </w:r>
      <w:r w:rsidR="001A1449" w:rsidRPr="00614418">
        <w:rPr>
          <w:rFonts w:ascii="Garamond" w:eastAsia="Times New Roman" w:hAnsi="Garamond" w:cs="Times New Roman"/>
          <w:color w:val="000000"/>
        </w:rPr>
        <w:t xml:space="preserve"> </w:t>
      </w:r>
      <w:r w:rsidR="006B625B" w:rsidRPr="00614418">
        <w:rPr>
          <w:rFonts w:ascii="Garamond" w:eastAsia="Times New Roman" w:hAnsi="Garamond" w:cs="Times New Roman"/>
          <w:color w:val="000000"/>
        </w:rPr>
        <w:t xml:space="preserve">for bondholders </w:t>
      </w:r>
      <w:r w:rsidR="001A1449" w:rsidRPr="00614418">
        <w:rPr>
          <w:rFonts w:ascii="Garamond" w:eastAsia="Times New Roman" w:hAnsi="Garamond" w:cs="Times New Roman"/>
          <w:color w:val="000000"/>
        </w:rPr>
        <w:t>is the sustainability of public debt.</w:t>
      </w:r>
      <w:r w:rsidR="00093B17" w:rsidRPr="00614418">
        <w:rPr>
          <w:rFonts w:ascii="Garamond" w:eastAsia="Times New Roman" w:hAnsi="Garamond" w:cs="Times New Roman"/>
          <w:color w:val="000000"/>
        </w:rPr>
        <w:t xml:space="preserve"> </w:t>
      </w:r>
      <w:r w:rsidR="00316CD7">
        <w:rPr>
          <w:rFonts w:ascii="Garamond" w:eastAsia="Times New Roman" w:hAnsi="Garamond" w:cs="Times New Roman"/>
          <w:color w:val="000000"/>
        </w:rPr>
        <w:t>When the real burden of debt increases,</w:t>
      </w:r>
      <w:r w:rsidR="00093B17" w:rsidRPr="00614418">
        <w:rPr>
          <w:rFonts w:ascii="Garamond" w:eastAsia="Times New Roman" w:hAnsi="Garamond" w:cs="Times New Roman"/>
          <w:color w:val="000000"/>
        </w:rPr>
        <w:t xml:space="preserve"> investors are</w:t>
      </w:r>
      <w:r w:rsidR="00321203" w:rsidRPr="00614418">
        <w:rPr>
          <w:rFonts w:ascii="Garamond" w:eastAsia="Times New Roman" w:hAnsi="Garamond" w:cs="Times New Roman"/>
          <w:color w:val="000000"/>
        </w:rPr>
        <w:t xml:space="preserve"> likely to </w:t>
      </w:r>
      <w:r w:rsidR="00A32D91" w:rsidRPr="00614418">
        <w:rPr>
          <w:rFonts w:ascii="Garamond" w:eastAsia="Times New Roman" w:hAnsi="Garamond" w:cs="Times New Roman"/>
          <w:color w:val="000000"/>
        </w:rPr>
        <w:t xml:space="preserve">worry about governments not being able to </w:t>
      </w:r>
      <w:r w:rsidR="00093B17" w:rsidRPr="00614418">
        <w:rPr>
          <w:rFonts w:ascii="Garamond" w:eastAsia="Times New Roman" w:hAnsi="Garamond" w:cs="Times New Roman"/>
          <w:color w:val="000000"/>
        </w:rPr>
        <w:t xml:space="preserve">service </w:t>
      </w:r>
      <w:r w:rsidR="00A32D91" w:rsidRPr="00614418">
        <w:rPr>
          <w:rFonts w:ascii="Garamond" w:eastAsia="Times New Roman" w:hAnsi="Garamond" w:cs="Times New Roman"/>
          <w:color w:val="000000"/>
        </w:rPr>
        <w:t xml:space="preserve">their debts and having to default or restructure them. </w:t>
      </w:r>
      <w:r w:rsidR="00204B7E" w:rsidRPr="00614418">
        <w:rPr>
          <w:rFonts w:ascii="Garamond" w:eastAsia="Times New Roman" w:hAnsi="Garamond" w:cs="Times New Roman"/>
          <w:color w:val="000000"/>
        </w:rPr>
        <w:t xml:space="preserve">In this context, exchange rate rigidity turns into a liability because it overly constrains the ability of governments to </w:t>
      </w:r>
      <w:r w:rsidR="007F750D" w:rsidRPr="00614418">
        <w:rPr>
          <w:rFonts w:ascii="Garamond" w:eastAsia="Times New Roman" w:hAnsi="Garamond" w:cs="Times New Roman"/>
          <w:color w:val="000000"/>
        </w:rPr>
        <w:t>manage</w:t>
      </w:r>
      <w:r w:rsidR="00093B17" w:rsidRPr="00614418">
        <w:rPr>
          <w:rFonts w:ascii="Garamond" w:eastAsia="Times New Roman" w:hAnsi="Garamond" w:cs="Times New Roman"/>
          <w:color w:val="000000"/>
        </w:rPr>
        <w:t xml:space="preserve"> the economy</w:t>
      </w:r>
      <w:r w:rsidR="00204B7E" w:rsidRPr="00614418">
        <w:rPr>
          <w:rFonts w:ascii="Garamond" w:eastAsia="Times New Roman" w:hAnsi="Garamond" w:cs="Times New Roman"/>
          <w:color w:val="000000"/>
        </w:rPr>
        <w:t xml:space="preserve">. </w:t>
      </w:r>
      <w:r w:rsidR="00A32D91" w:rsidRPr="00614418">
        <w:rPr>
          <w:rFonts w:ascii="Garamond" w:eastAsia="Times New Roman" w:hAnsi="Garamond" w:cs="Times New Roman"/>
          <w:color w:val="000000"/>
        </w:rPr>
        <w:t xml:space="preserve">In a flexible exchange rate regime, governments can </w:t>
      </w:r>
      <w:r w:rsidR="00321203" w:rsidRPr="00614418">
        <w:rPr>
          <w:rFonts w:ascii="Garamond" w:eastAsia="Times New Roman" w:hAnsi="Garamond" w:cs="Times New Roman"/>
          <w:color w:val="000000"/>
        </w:rPr>
        <w:t>allow</w:t>
      </w:r>
      <w:r w:rsidR="00A32D91" w:rsidRPr="00614418">
        <w:rPr>
          <w:rFonts w:ascii="Garamond" w:eastAsia="Times New Roman" w:hAnsi="Garamond" w:cs="Times New Roman"/>
          <w:color w:val="000000"/>
        </w:rPr>
        <w:t xml:space="preserve"> the nominal exchange rate </w:t>
      </w:r>
      <w:r w:rsidR="00321203" w:rsidRPr="00614418">
        <w:rPr>
          <w:rFonts w:ascii="Garamond" w:eastAsia="Times New Roman" w:hAnsi="Garamond" w:cs="Times New Roman"/>
          <w:color w:val="000000"/>
        </w:rPr>
        <w:t xml:space="preserve">to </w:t>
      </w:r>
      <w:r w:rsidR="00DE3090" w:rsidRPr="00614418">
        <w:rPr>
          <w:rFonts w:ascii="Garamond" w:eastAsia="Times New Roman" w:hAnsi="Garamond" w:cs="Times New Roman"/>
          <w:color w:val="000000"/>
        </w:rPr>
        <w:t>fluctuate</w:t>
      </w:r>
      <w:r w:rsidR="00A32D91" w:rsidRPr="00614418">
        <w:rPr>
          <w:rFonts w:ascii="Garamond" w:eastAsia="Times New Roman" w:hAnsi="Garamond" w:cs="Times New Roman"/>
          <w:color w:val="000000"/>
        </w:rPr>
        <w:t xml:space="preserve"> </w:t>
      </w:r>
      <w:r w:rsidR="00093B17" w:rsidRPr="00614418">
        <w:rPr>
          <w:rFonts w:ascii="Garamond" w:eastAsia="Times New Roman" w:hAnsi="Garamond" w:cs="Times New Roman"/>
          <w:color w:val="000000"/>
        </w:rPr>
        <w:t>to</w:t>
      </w:r>
      <w:r w:rsidR="00A32D91" w:rsidRPr="00614418">
        <w:rPr>
          <w:rFonts w:ascii="Garamond" w:eastAsia="Times New Roman" w:hAnsi="Garamond" w:cs="Times New Roman"/>
          <w:color w:val="000000"/>
        </w:rPr>
        <w:t xml:space="preserve"> </w:t>
      </w:r>
      <w:r w:rsidR="001A1449" w:rsidRPr="00614418">
        <w:rPr>
          <w:rFonts w:ascii="Garamond" w:eastAsia="Times New Roman" w:hAnsi="Garamond" w:cs="Times New Roman"/>
          <w:color w:val="000000"/>
        </w:rPr>
        <w:t xml:space="preserve">stimulate net </w:t>
      </w:r>
      <w:r w:rsidR="00316CD7">
        <w:rPr>
          <w:rFonts w:ascii="Garamond" w:eastAsia="Times New Roman" w:hAnsi="Garamond" w:cs="Times New Roman"/>
          <w:color w:val="000000"/>
        </w:rPr>
        <w:t>exports</w:t>
      </w:r>
      <w:r w:rsidR="001A1449" w:rsidRPr="00614418">
        <w:rPr>
          <w:rFonts w:ascii="Garamond" w:eastAsia="Times New Roman" w:hAnsi="Garamond" w:cs="Times New Roman"/>
          <w:color w:val="000000"/>
        </w:rPr>
        <w:t xml:space="preserve">. In a fixed exchange rate regime, </w:t>
      </w:r>
      <w:r w:rsidR="00093B17" w:rsidRPr="00614418">
        <w:rPr>
          <w:rFonts w:ascii="Garamond" w:eastAsia="Times New Roman" w:hAnsi="Garamond" w:cs="Times New Roman"/>
          <w:color w:val="000000"/>
        </w:rPr>
        <w:t xml:space="preserve">they </w:t>
      </w:r>
      <w:r w:rsidR="001A1449" w:rsidRPr="00614418">
        <w:rPr>
          <w:rFonts w:ascii="Garamond" w:eastAsia="Times New Roman" w:hAnsi="Garamond" w:cs="Times New Roman"/>
          <w:color w:val="000000"/>
        </w:rPr>
        <w:t xml:space="preserve">have the option of modifying the nominal parity, </w:t>
      </w:r>
      <w:r w:rsidR="00093B17" w:rsidRPr="00614418">
        <w:rPr>
          <w:rFonts w:ascii="Garamond" w:eastAsia="Times New Roman" w:hAnsi="Garamond" w:cs="Times New Roman"/>
          <w:color w:val="000000"/>
        </w:rPr>
        <w:t xml:space="preserve">even if </w:t>
      </w:r>
      <w:r w:rsidR="001A1449" w:rsidRPr="00614418">
        <w:rPr>
          <w:rFonts w:ascii="Garamond" w:eastAsia="Times New Roman" w:hAnsi="Garamond" w:cs="Times New Roman"/>
          <w:color w:val="000000"/>
        </w:rPr>
        <w:t>this may cause tensions with trade partners</w:t>
      </w:r>
      <w:r w:rsidR="005831A1" w:rsidRPr="00614418">
        <w:rPr>
          <w:rFonts w:ascii="Garamond" w:eastAsia="Times New Roman" w:hAnsi="Garamond" w:cs="Times New Roman"/>
          <w:color w:val="000000"/>
        </w:rPr>
        <w:t xml:space="preserve"> and may be preceded by </w:t>
      </w:r>
      <w:r w:rsidR="00093B17" w:rsidRPr="00614418">
        <w:rPr>
          <w:rFonts w:ascii="Garamond" w:eastAsia="Times New Roman" w:hAnsi="Garamond" w:cs="Times New Roman"/>
          <w:color w:val="000000"/>
        </w:rPr>
        <w:t xml:space="preserve">a </w:t>
      </w:r>
      <w:r w:rsidR="005831A1" w:rsidRPr="00614418">
        <w:rPr>
          <w:rFonts w:ascii="Garamond" w:eastAsia="Times New Roman" w:hAnsi="Garamond" w:cs="Times New Roman"/>
          <w:color w:val="000000"/>
        </w:rPr>
        <w:t>depletion of foreign reserves</w:t>
      </w:r>
      <w:r w:rsidR="001A1449" w:rsidRPr="00614418">
        <w:rPr>
          <w:rFonts w:ascii="Garamond" w:eastAsia="Times New Roman" w:hAnsi="Garamond" w:cs="Times New Roman"/>
          <w:color w:val="000000"/>
        </w:rPr>
        <w:t xml:space="preserve">. But in a currency union, governments </w:t>
      </w:r>
      <w:r w:rsidR="006B625B" w:rsidRPr="00614418">
        <w:rPr>
          <w:rFonts w:ascii="Garamond" w:eastAsia="Times New Roman" w:hAnsi="Garamond" w:cs="Times New Roman"/>
          <w:color w:val="000000"/>
        </w:rPr>
        <w:t xml:space="preserve">that have 'tied their hands' </w:t>
      </w:r>
      <w:r w:rsidR="001A1449" w:rsidRPr="00614418">
        <w:rPr>
          <w:rFonts w:ascii="Garamond" w:eastAsia="Times New Roman" w:hAnsi="Garamond" w:cs="Times New Roman"/>
          <w:color w:val="000000"/>
        </w:rPr>
        <w:t xml:space="preserve">can only </w:t>
      </w:r>
      <w:r w:rsidR="00CF15F1" w:rsidRPr="00614418">
        <w:rPr>
          <w:rFonts w:ascii="Garamond" w:eastAsia="Times New Roman" w:hAnsi="Garamond" w:cs="Times New Roman"/>
          <w:color w:val="000000"/>
        </w:rPr>
        <w:t>hope</w:t>
      </w:r>
      <w:r w:rsidR="001A1449" w:rsidRPr="00614418">
        <w:rPr>
          <w:rFonts w:ascii="Garamond" w:eastAsia="Times New Roman" w:hAnsi="Garamond" w:cs="Times New Roman"/>
          <w:color w:val="000000"/>
        </w:rPr>
        <w:t xml:space="preserve"> to reassure </w:t>
      </w:r>
      <w:r w:rsidR="005831A1" w:rsidRPr="00614418">
        <w:rPr>
          <w:rFonts w:ascii="Garamond" w:eastAsia="Times New Roman" w:hAnsi="Garamond" w:cs="Times New Roman"/>
          <w:color w:val="000000"/>
        </w:rPr>
        <w:t>financial markets that they are still solvent by slashing expenditures and cutting taxes as well as engaging in other ‘internal devaluation’</w:t>
      </w:r>
      <w:r w:rsidR="00875682" w:rsidRPr="00614418">
        <w:rPr>
          <w:rFonts w:ascii="Garamond" w:eastAsia="Times New Roman" w:hAnsi="Garamond" w:cs="Times New Roman"/>
          <w:color w:val="000000"/>
        </w:rPr>
        <w:t xml:space="preserve"> policies</w:t>
      </w:r>
      <w:r w:rsidR="00093B17" w:rsidRPr="00614418">
        <w:rPr>
          <w:rFonts w:ascii="Garamond" w:eastAsia="Times New Roman" w:hAnsi="Garamond" w:cs="Times New Roman"/>
          <w:color w:val="000000"/>
        </w:rPr>
        <w:t xml:space="preserve">, which </w:t>
      </w:r>
      <w:r w:rsidR="005831A1" w:rsidRPr="00614418">
        <w:rPr>
          <w:rFonts w:ascii="Garamond" w:eastAsia="Times New Roman" w:hAnsi="Garamond" w:cs="Times New Roman"/>
          <w:color w:val="000000"/>
        </w:rPr>
        <w:t>further exacerbate deflationary tendencies and increase the real burden of debt</w:t>
      </w:r>
      <w:r w:rsidR="00B24251">
        <w:rPr>
          <w:rFonts w:ascii="Garamond" w:eastAsia="Times New Roman" w:hAnsi="Garamond" w:cs="Times New Roman"/>
          <w:color w:val="000000"/>
        </w:rPr>
        <w:t xml:space="preserve"> </w:t>
      </w:r>
      <w:r w:rsidR="00B24251">
        <w:rPr>
          <w:rFonts w:ascii="Garamond" w:eastAsia="Times New Roman" w:hAnsi="Garamond" w:cs="Times New Roman"/>
          <w:color w:val="000000"/>
        </w:rPr>
        <w:fldChar w:fldCharType="begin"/>
      </w:r>
      <w:r w:rsidR="00B24251">
        <w:rPr>
          <w:rFonts w:ascii="Garamond" w:eastAsia="Times New Roman" w:hAnsi="Garamond" w:cs="Times New Roman"/>
          <w:color w:val="000000"/>
        </w:rPr>
        <w:instrText xml:space="preserve"> ADDIN EN.CITE &lt;EndNote&gt;&lt;Cite&gt;&lt;Author&gt;Blyth&lt;/Author&gt;&lt;Year&gt;2013&lt;/Year&gt;&lt;RecNum&gt;8177&lt;/RecNum&gt;&lt;DisplayText&gt;(Blyth 2013, Guajardo, Leigh and Pescatori 2011, Mody 2018)&lt;/DisplayText&gt;&lt;record&gt;&lt;rec-number&gt;8177&lt;/rec-number&gt;&lt;foreign-keys&gt;&lt;key app="EN" db-id="92rvefpz8s0008ezfp8v5a2tz9xt2dv5x925" timestamp="0"&gt;8177&lt;/key&gt;&lt;/foreign-keys&gt;&lt;ref-type name="Book"&gt;6&lt;/ref-type&gt;&lt;contributors&gt;&lt;authors&gt;&lt;author&gt;Mark Blyth&lt;/author&gt;&lt;/authors&gt;&lt;/contributors&gt;&lt;titles&gt;&lt;title&gt;Austerity: The History of a Dangerous Idea&lt;/title&gt;&lt;/titles&gt;&lt;dates&gt;&lt;year&gt;2013&lt;/year&gt;&lt;/dates&gt;&lt;pub-location&gt;Oxford&lt;/pub-location&gt;&lt;publisher&gt;Oxford University Press&lt;/publisher&gt;&lt;urls&gt;&lt;/urls&gt;&lt;/record&gt;&lt;/Cite&gt;&lt;Cite&gt;&lt;Author&gt;Guajardo&lt;/Author&gt;&lt;Year&gt;2011&lt;/Year&gt;&lt;RecNum&gt;8374&lt;/RecNum&gt;&lt;record&gt;&lt;rec-number&gt;8374&lt;/rec-number&gt;&lt;foreign-keys&gt;&lt;key app="EN" db-id="92rvefpz8s0008ezfp8v5a2tz9xt2dv5x925" timestamp="1422023651"&gt;8374&lt;/key&gt;&lt;/foreign-keys&gt;&lt;ref-type name="Journal Article"&gt;17&lt;/ref-type&gt;&lt;contributors&gt;&lt;authors&gt;&lt;author&gt;Jaime Guajardo&lt;/author&gt;&lt;author&gt;Daniel Leigh&lt;/author&gt;&lt;author&gt;Andrea Pescatori&lt;/author&gt;&lt;/authors&gt;&lt;/contributors&gt;&lt;titles&gt;&lt;title&gt;Expansionary Austerity: New International Evidence&lt;/title&gt;&lt;secondary-title&gt;IMF Working Paper WP/11/158&lt;/secondary-title&gt;&lt;/titles&gt;&lt;periodical&gt;&lt;full-title&gt;IMF Working Paper WP/11/158&lt;/full-title&gt;&lt;/periodical&gt;&lt;dates&gt;&lt;year&gt;2011&lt;/year&gt;&lt;/dates&gt;&lt;urls&gt;&lt;/urls&gt;&lt;/record&gt;&lt;/Cite&gt;&lt;Cite&gt;&lt;Author&gt;Mody&lt;/Author&gt;&lt;Year&gt;2018&lt;/Year&gt;&lt;RecNum&gt;10634&lt;/RecNum&gt;&lt;record&gt;&lt;rec-number&gt;10634&lt;/rec-number&gt;&lt;foreign-keys&gt;&lt;key app="EN" db-id="92rvefpz8s0008ezfp8v5a2tz9xt2dv5x925" timestamp="1550246320"&gt;10634&lt;/key&gt;&lt;/foreign-keys&gt;&lt;ref-type name="Book"&gt;6&lt;/ref-type&gt;&lt;contributors&gt;&lt;authors&gt;&lt;author&gt;Ashoka Mody&lt;/author&gt;&lt;/authors&gt;&lt;/contributors&gt;&lt;titles&gt;&lt;title&gt;EuroTragedy: A Drama in Nine Acts&lt;/title&gt;&lt;/titles&gt;&lt;dates&gt;&lt;year&gt;2018&lt;/year&gt;&lt;/dates&gt;&lt;pub-location&gt;New York&lt;/pub-location&gt;&lt;publisher&gt;Oxford University Press&lt;/publisher&gt;&lt;urls&gt;&lt;/urls&gt;&lt;/record&gt;&lt;/Cite&gt;&lt;/EndNote&gt;</w:instrText>
      </w:r>
      <w:r w:rsidR="00B24251">
        <w:rPr>
          <w:rFonts w:ascii="Garamond" w:eastAsia="Times New Roman" w:hAnsi="Garamond" w:cs="Times New Roman"/>
          <w:color w:val="000000"/>
        </w:rPr>
        <w:fldChar w:fldCharType="separate"/>
      </w:r>
      <w:r w:rsidR="00B24251">
        <w:rPr>
          <w:rFonts w:ascii="Garamond" w:eastAsia="Times New Roman" w:hAnsi="Garamond" w:cs="Times New Roman"/>
          <w:noProof/>
          <w:color w:val="000000"/>
        </w:rPr>
        <w:t>(</w:t>
      </w:r>
      <w:hyperlink w:anchor="_ENREF_1" w:tooltip="Blyth, 2013 #8177" w:history="1">
        <w:r w:rsidR="008A16E9">
          <w:rPr>
            <w:rFonts w:ascii="Garamond" w:eastAsia="Times New Roman" w:hAnsi="Garamond" w:cs="Times New Roman"/>
            <w:noProof/>
            <w:color w:val="000000"/>
          </w:rPr>
          <w:t>Blyth 2013</w:t>
        </w:r>
      </w:hyperlink>
      <w:r w:rsidR="00B24251">
        <w:rPr>
          <w:rFonts w:ascii="Garamond" w:eastAsia="Times New Roman" w:hAnsi="Garamond" w:cs="Times New Roman"/>
          <w:noProof/>
          <w:color w:val="000000"/>
        </w:rPr>
        <w:t xml:space="preserve">, </w:t>
      </w:r>
      <w:hyperlink w:anchor="_ENREF_8" w:tooltip="Guajardo, 2011 #8374" w:history="1">
        <w:r w:rsidR="008A16E9">
          <w:rPr>
            <w:rFonts w:ascii="Garamond" w:eastAsia="Times New Roman" w:hAnsi="Garamond" w:cs="Times New Roman"/>
            <w:noProof/>
            <w:color w:val="000000"/>
          </w:rPr>
          <w:t>Guajardo, Leigh and Pescatori 2011</w:t>
        </w:r>
      </w:hyperlink>
      <w:r w:rsidR="00B24251">
        <w:rPr>
          <w:rFonts w:ascii="Garamond" w:eastAsia="Times New Roman" w:hAnsi="Garamond" w:cs="Times New Roman"/>
          <w:noProof/>
          <w:color w:val="000000"/>
        </w:rPr>
        <w:t xml:space="preserve">, </w:t>
      </w:r>
      <w:hyperlink w:anchor="_ENREF_10" w:tooltip="Mody, 2018 #10634" w:history="1">
        <w:r w:rsidR="008A16E9">
          <w:rPr>
            <w:rFonts w:ascii="Garamond" w:eastAsia="Times New Roman" w:hAnsi="Garamond" w:cs="Times New Roman"/>
            <w:noProof/>
            <w:color w:val="000000"/>
          </w:rPr>
          <w:t>Mody 2018</w:t>
        </w:r>
      </w:hyperlink>
      <w:r w:rsidR="00B24251">
        <w:rPr>
          <w:rFonts w:ascii="Garamond" w:eastAsia="Times New Roman" w:hAnsi="Garamond" w:cs="Times New Roman"/>
          <w:noProof/>
          <w:color w:val="000000"/>
        </w:rPr>
        <w:t>)</w:t>
      </w:r>
      <w:r w:rsidR="00B24251">
        <w:rPr>
          <w:rFonts w:ascii="Garamond" w:eastAsia="Times New Roman" w:hAnsi="Garamond" w:cs="Times New Roman"/>
          <w:color w:val="000000"/>
        </w:rPr>
        <w:fldChar w:fldCharType="end"/>
      </w:r>
      <w:r w:rsidR="00A9525C" w:rsidRPr="00614418">
        <w:rPr>
          <w:rFonts w:ascii="Garamond" w:hAnsi="Garamond" w:cs="Times New Roman"/>
        </w:rPr>
        <w:t>.</w:t>
      </w:r>
      <w:r w:rsidR="00204B7E" w:rsidRPr="00614418">
        <w:rPr>
          <w:rFonts w:ascii="Garamond" w:eastAsia="Times New Roman" w:hAnsi="Garamond" w:cs="Times New Roman"/>
          <w:color w:val="000000"/>
        </w:rPr>
        <w:t xml:space="preserve"> As a result</w:t>
      </w:r>
      <w:r w:rsidR="00722D18" w:rsidRPr="00614418">
        <w:rPr>
          <w:rFonts w:ascii="Garamond" w:eastAsia="Times New Roman" w:hAnsi="Garamond" w:cs="Times New Roman"/>
          <w:color w:val="000000"/>
        </w:rPr>
        <w:t xml:space="preserve">, members of a monetary union are more </w:t>
      </w:r>
      <w:r w:rsidR="007170F0" w:rsidRPr="00614418">
        <w:rPr>
          <w:rFonts w:ascii="Garamond" w:eastAsia="Times New Roman" w:hAnsi="Garamond" w:cs="Times New Roman"/>
          <w:color w:val="000000"/>
        </w:rPr>
        <w:t>severely penalized</w:t>
      </w:r>
      <w:r w:rsidR="00722D18" w:rsidRPr="00614418">
        <w:rPr>
          <w:rFonts w:ascii="Garamond" w:eastAsia="Times New Roman" w:hAnsi="Garamond" w:cs="Times New Roman"/>
          <w:color w:val="000000"/>
        </w:rPr>
        <w:t xml:space="preserve"> by f</w:t>
      </w:r>
      <w:r w:rsidR="0055363C" w:rsidRPr="00614418">
        <w:rPr>
          <w:rFonts w:ascii="Garamond" w:eastAsia="Times New Roman" w:hAnsi="Garamond" w:cs="Times New Roman"/>
          <w:color w:val="000000"/>
        </w:rPr>
        <w:t>inancial markets</w:t>
      </w:r>
      <w:r w:rsidR="00722D18" w:rsidRPr="00614418">
        <w:rPr>
          <w:rFonts w:ascii="Garamond" w:eastAsia="Times New Roman" w:hAnsi="Garamond" w:cs="Times New Roman"/>
          <w:color w:val="000000"/>
        </w:rPr>
        <w:t xml:space="preserve"> under a deflationary macroeconomic regime</w:t>
      </w:r>
      <w:r w:rsidR="007170F0" w:rsidRPr="00614418">
        <w:rPr>
          <w:rFonts w:ascii="Garamond" w:eastAsia="Times New Roman" w:hAnsi="Garamond" w:cs="Times New Roman"/>
          <w:color w:val="000000"/>
        </w:rPr>
        <w:t xml:space="preserve"> for policies perceived to undermine debt sustainability</w:t>
      </w:r>
      <w:r w:rsidR="0055363C" w:rsidRPr="00614418">
        <w:rPr>
          <w:rFonts w:ascii="Garamond" w:eastAsia="Times New Roman" w:hAnsi="Garamond" w:cs="Times New Roman"/>
          <w:color w:val="000000"/>
        </w:rPr>
        <w:t xml:space="preserve"> than in a floating regime. </w:t>
      </w:r>
      <w:r w:rsidR="006F5208" w:rsidRPr="00614418">
        <w:rPr>
          <w:rFonts w:ascii="Garamond" w:eastAsia="Times New Roman" w:hAnsi="Garamond" w:cs="Times New Roman"/>
          <w:color w:val="000000"/>
        </w:rPr>
        <w:t xml:space="preserve">Far from </w:t>
      </w:r>
      <w:r w:rsidR="00DE3090" w:rsidRPr="00614418">
        <w:rPr>
          <w:rFonts w:ascii="Garamond" w:eastAsia="Times New Roman" w:hAnsi="Garamond" w:cs="Times New Roman"/>
          <w:color w:val="000000"/>
        </w:rPr>
        <w:t>being granted</w:t>
      </w:r>
      <w:r w:rsidR="00D97227" w:rsidRPr="00614418">
        <w:rPr>
          <w:rFonts w:ascii="Garamond" w:eastAsia="Times New Roman" w:hAnsi="Garamond" w:cs="Times New Roman"/>
          <w:color w:val="000000"/>
        </w:rPr>
        <w:t xml:space="preserve"> </w:t>
      </w:r>
      <w:r w:rsidR="006F5208" w:rsidRPr="00614418">
        <w:rPr>
          <w:rFonts w:ascii="Garamond" w:eastAsia="Times New Roman" w:hAnsi="Garamond" w:cs="Times New Roman"/>
          <w:color w:val="000000"/>
        </w:rPr>
        <w:t xml:space="preserve">greater leeway in formulating their policies, members of a monetary union are </w:t>
      </w:r>
      <w:r w:rsidR="006B625B" w:rsidRPr="00614418">
        <w:rPr>
          <w:rFonts w:ascii="Garamond" w:eastAsia="Times New Roman" w:hAnsi="Garamond" w:cs="Times New Roman"/>
          <w:color w:val="000000"/>
        </w:rPr>
        <w:t>held</w:t>
      </w:r>
      <w:r w:rsidR="00424680" w:rsidRPr="00614418">
        <w:rPr>
          <w:rFonts w:ascii="Garamond" w:eastAsia="Times New Roman" w:hAnsi="Garamond" w:cs="Times New Roman"/>
          <w:color w:val="000000"/>
        </w:rPr>
        <w:t xml:space="preserve"> </w:t>
      </w:r>
      <w:r w:rsidR="006F5208" w:rsidRPr="00614418">
        <w:rPr>
          <w:rFonts w:ascii="Garamond" w:eastAsia="Times New Roman" w:hAnsi="Garamond" w:cs="Times New Roman"/>
          <w:color w:val="000000"/>
        </w:rPr>
        <w:t>on a shorter leash</w:t>
      </w:r>
      <w:r w:rsidR="00D97227" w:rsidRPr="00614418">
        <w:rPr>
          <w:rFonts w:ascii="Garamond" w:eastAsia="Times New Roman" w:hAnsi="Garamond" w:cs="Times New Roman"/>
          <w:color w:val="000000"/>
        </w:rPr>
        <w:t xml:space="preserve"> than countries </w:t>
      </w:r>
      <w:r w:rsidR="00424680" w:rsidRPr="00614418">
        <w:rPr>
          <w:rFonts w:ascii="Garamond" w:eastAsia="Times New Roman" w:hAnsi="Garamond" w:cs="Times New Roman"/>
          <w:color w:val="000000"/>
        </w:rPr>
        <w:t>retaining</w:t>
      </w:r>
      <w:r w:rsidR="00D97227" w:rsidRPr="00614418">
        <w:rPr>
          <w:rFonts w:ascii="Garamond" w:eastAsia="Times New Roman" w:hAnsi="Garamond" w:cs="Times New Roman"/>
          <w:color w:val="000000"/>
        </w:rPr>
        <w:t xml:space="preserve"> exchange rate flexibility</w:t>
      </w:r>
      <w:r w:rsidR="006F5208" w:rsidRPr="00614418">
        <w:rPr>
          <w:rFonts w:ascii="Garamond" w:eastAsia="Times New Roman" w:hAnsi="Garamond" w:cs="Times New Roman"/>
          <w:color w:val="000000"/>
        </w:rPr>
        <w:t>.</w:t>
      </w:r>
    </w:p>
    <w:p w14:paraId="2E473379" w14:textId="3E5A3ADD" w:rsidR="005F5270" w:rsidRPr="00614418" w:rsidRDefault="00E5668B" w:rsidP="002E3DF0">
      <w:pPr>
        <w:spacing w:line="360" w:lineRule="auto"/>
        <w:jc w:val="both"/>
        <w:rPr>
          <w:rFonts w:ascii="Garamond" w:hAnsi="Garamond" w:cs="Times New Roman"/>
        </w:rPr>
      </w:pPr>
      <w:r w:rsidRPr="00614418">
        <w:rPr>
          <w:rFonts w:ascii="Garamond" w:eastAsia="Times New Roman" w:hAnsi="Garamond" w:cs="Times New Roman"/>
          <w:color w:val="000000"/>
        </w:rPr>
        <w:tab/>
      </w:r>
      <w:r w:rsidR="00722D18" w:rsidRPr="00614418">
        <w:rPr>
          <w:rFonts w:ascii="Garamond" w:eastAsia="Times New Roman" w:hAnsi="Garamond" w:cs="Times New Roman"/>
          <w:color w:val="000000"/>
        </w:rPr>
        <w:t>We illustrate</w:t>
      </w:r>
      <w:r w:rsidR="000B31B2" w:rsidRPr="00614418">
        <w:rPr>
          <w:rFonts w:ascii="Garamond" w:eastAsia="Times New Roman" w:hAnsi="Garamond" w:cs="Times New Roman"/>
          <w:color w:val="000000"/>
        </w:rPr>
        <w:t xml:space="preserve"> the above arg</w:t>
      </w:r>
      <w:r w:rsidR="00722D18" w:rsidRPr="00614418">
        <w:rPr>
          <w:rFonts w:ascii="Garamond" w:eastAsia="Times New Roman" w:hAnsi="Garamond" w:cs="Times New Roman"/>
          <w:color w:val="000000"/>
        </w:rPr>
        <w:t>ument with</w:t>
      </w:r>
      <w:r w:rsidR="000B31B2" w:rsidRPr="00614418">
        <w:rPr>
          <w:rFonts w:ascii="Garamond" w:eastAsia="Times New Roman" w:hAnsi="Garamond" w:cs="Times New Roman"/>
          <w:color w:val="000000"/>
        </w:rPr>
        <w:t xml:space="preserve"> </w:t>
      </w:r>
      <w:r w:rsidRPr="00614418">
        <w:rPr>
          <w:rFonts w:ascii="Garamond" w:hAnsi="Garamond" w:cs="Times New Roman"/>
        </w:rPr>
        <w:t xml:space="preserve">a </w:t>
      </w:r>
      <w:r w:rsidR="00CD7AA5" w:rsidRPr="00614418">
        <w:rPr>
          <w:rFonts w:ascii="Garamond" w:hAnsi="Garamond" w:cs="Times New Roman"/>
        </w:rPr>
        <w:t>moving</w:t>
      </w:r>
      <w:r w:rsidR="00093B17" w:rsidRPr="00614418">
        <w:rPr>
          <w:rFonts w:ascii="Garamond" w:hAnsi="Garamond" w:cs="Times New Roman"/>
        </w:rPr>
        <w:t>-</w:t>
      </w:r>
      <w:r w:rsidR="00CD7AA5" w:rsidRPr="00614418">
        <w:rPr>
          <w:rFonts w:ascii="Garamond" w:hAnsi="Garamond" w:cs="Times New Roman"/>
        </w:rPr>
        <w:t xml:space="preserve">window </w:t>
      </w:r>
      <w:r w:rsidR="000B31B2" w:rsidRPr="00614418">
        <w:rPr>
          <w:rFonts w:ascii="Garamond" w:hAnsi="Garamond" w:cs="Times New Roman"/>
        </w:rPr>
        <w:t>panel</w:t>
      </w:r>
      <w:r w:rsidR="00093B17" w:rsidRPr="00614418">
        <w:rPr>
          <w:rFonts w:ascii="Garamond" w:hAnsi="Garamond" w:cs="Times New Roman"/>
        </w:rPr>
        <w:t>-</w:t>
      </w:r>
      <w:r w:rsidR="000B31B2" w:rsidRPr="00614418">
        <w:rPr>
          <w:rFonts w:ascii="Garamond" w:hAnsi="Garamond" w:cs="Times New Roman"/>
        </w:rPr>
        <w:t>analysis of</w:t>
      </w:r>
      <w:r w:rsidRPr="00614418">
        <w:rPr>
          <w:rFonts w:ascii="Garamond" w:hAnsi="Garamond" w:cs="Times New Roman"/>
        </w:rPr>
        <w:t xml:space="preserve"> 23 OECD</w:t>
      </w:r>
      <w:r w:rsidR="007170F0" w:rsidRPr="00614418">
        <w:rPr>
          <w:rFonts w:ascii="Garamond" w:hAnsi="Garamond" w:cs="Times New Roman"/>
        </w:rPr>
        <w:t>-</w:t>
      </w:r>
      <w:r w:rsidRPr="00614418">
        <w:rPr>
          <w:rFonts w:ascii="Garamond" w:hAnsi="Garamond" w:cs="Times New Roman"/>
        </w:rPr>
        <w:t>countries from 1980</w:t>
      </w:r>
      <w:r w:rsidR="00722D18" w:rsidRPr="00614418">
        <w:rPr>
          <w:rFonts w:ascii="Garamond" w:hAnsi="Garamond" w:cs="Times New Roman"/>
        </w:rPr>
        <w:t xml:space="preserve"> to </w:t>
      </w:r>
      <w:r w:rsidRPr="00614418">
        <w:rPr>
          <w:rFonts w:ascii="Garamond" w:hAnsi="Garamond" w:cs="Times New Roman"/>
        </w:rPr>
        <w:t>201</w:t>
      </w:r>
      <w:r w:rsidR="00CD7AA5" w:rsidRPr="00614418">
        <w:rPr>
          <w:rFonts w:ascii="Garamond" w:hAnsi="Garamond" w:cs="Times New Roman"/>
        </w:rPr>
        <w:t>7</w:t>
      </w:r>
      <w:r w:rsidR="000B31B2" w:rsidRPr="00614418">
        <w:rPr>
          <w:rFonts w:ascii="Garamond" w:hAnsi="Garamond" w:cs="Times New Roman"/>
        </w:rPr>
        <w:t xml:space="preserve">. We focus on the way exchange rate regimes mediate the relationship between </w:t>
      </w:r>
      <w:r w:rsidR="003D5A63" w:rsidRPr="00614418">
        <w:rPr>
          <w:rFonts w:ascii="Garamond" w:hAnsi="Garamond" w:cs="Times New Roman"/>
        </w:rPr>
        <w:t>government bond yields</w:t>
      </w:r>
      <w:r w:rsidR="003D5A63">
        <w:rPr>
          <w:rFonts w:ascii="Garamond" w:hAnsi="Garamond" w:cs="Times New Roman"/>
        </w:rPr>
        <w:t>, on the one hand, and</w:t>
      </w:r>
      <w:r w:rsidR="003D5A63" w:rsidRPr="00614418">
        <w:rPr>
          <w:rFonts w:ascii="Garamond" w:hAnsi="Garamond" w:cs="Times New Roman"/>
        </w:rPr>
        <w:t xml:space="preserve"> </w:t>
      </w:r>
      <w:r w:rsidR="000B31B2" w:rsidRPr="00614418">
        <w:rPr>
          <w:rFonts w:ascii="Garamond" w:hAnsi="Garamond" w:cs="Times New Roman"/>
        </w:rPr>
        <w:t xml:space="preserve">monetary and fiscal </w:t>
      </w:r>
      <w:r w:rsidR="001B37EC" w:rsidRPr="00614418">
        <w:rPr>
          <w:rFonts w:ascii="Garamond" w:hAnsi="Garamond" w:cs="Times New Roman"/>
        </w:rPr>
        <w:t xml:space="preserve">variables – inflation, debt, </w:t>
      </w:r>
      <w:r w:rsidR="00D0619B">
        <w:rPr>
          <w:rFonts w:ascii="Garamond" w:hAnsi="Garamond" w:cs="Times New Roman"/>
        </w:rPr>
        <w:t xml:space="preserve">the fiscal </w:t>
      </w:r>
      <w:r w:rsidR="001B37EC" w:rsidRPr="00614418">
        <w:rPr>
          <w:rFonts w:ascii="Garamond" w:hAnsi="Garamond" w:cs="Times New Roman"/>
        </w:rPr>
        <w:t xml:space="preserve">deficit, total </w:t>
      </w:r>
      <w:r w:rsidR="00D6723A">
        <w:rPr>
          <w:rFonts w:ascii="Garamond" w:hAnsi="Garamond" w:cs="Times New Roman"/>
        </w:rPr>
        <w:t>social</w:t>
      </w:r>
      <w:r w:rsidR="00D6723A" w:rsidRPr="00614418">
        <w:rPr>
          <w:rFonts w:ascii="Garamond" w:hAnsi="Garamond" w:cs="Times New Roman"/>
        </w:rPr>
        <w:t xml:space="preserve"> </w:t>
      </w:r>
      <w:r w:rsidR="001B37EC" w:rsidRPr="00614418">
        <w:rPr>
          <w:rFonts w:ascii="Garamond" w:hAnsi="Garamond" w:cs="Times New Roman"/>
        </w:rPr>
        <w:t>spending and entitlement</w:t>
      </w:r>
      <w:r w:rsidR="00D0619B">
        <w:rPr>
          <w:rStyle w:val="FootnoteReference"/>
          <w:rFonts w:ascii="Garamond" w:hAnsi="Garamond" w:cs="Times New Roman"/>
        </w:rPr>
        <w:footnoteReference w:id="3"/>
      </w:r>
      <w:r w:rsidR="001B37EC" w:rsidRPr="00614418">
        <w:rPr>
          <w:rFonts w:ascii="Garamond" w:hAnsi="Garamond" w:cs="Times New Roman"/>
        </w:rPr>
        <w:t xml:space="preserve"> spending – </w:t>
      </w:r>
      <w:r w:rsidR="003D5A63">
        <w:rPr>
          <w:rFonts w:ascii="Garamond" w:hAnsi="Garamond" w:cs="Times New Roman"/>
        </w:rPr>
        <w:t>on the other</w:t>
      </w:r>
      <w:r w:rsidR="00001B48" w:rsidRPr="00614418">
        <w:rPr>
          <w:rFonts w:ascii="Garamond" w:hAnsi="Garamond" w:cs="Times New Roman"/>
        </w:rPr>
        <w:t xml:space="preserve">. </w:t>
      </w:r>
      <w:r w:rsidR="007170F0" w:rsidRPr="00614418">
        <w:rPr>
          <w:rFonts w:ascii="Garamond" w:hAnsi="Garamond" w:cs="Times New Roman"/>
        </w:rPr>
        <w:t>W</w:t>
      </w:r>
      <w:r w:rsidR="0015482A" w:rsidRPr="00614418">
        <w:rPr>
          <w:rFonts w:ascii="Garamond" w:hAnsi="Garamond" w:cs="Times New Roman"/>
        </w:rPr>
        <w:t xml:space="preserve">e find a significant </w:t>
      </w:r>
      <w:r w:rsidR="0015482A" w:rsidRPr="00614418">
        <w:rPr>
          <w:rFonts w:ascii="Garamond" w:hAnsi="Garamond" w:cs="Times New Roman"/>
        </w:rPr>
        <w:lastRenderedPageBreak/>
        <w:t xml:space="preserve">penalty for inflation </w:t>
      </w:r>
      <w:r w:rsidR="00F95E0E" w:rsidRPr="00614418">
        <w:rPr>
          <w:rFonts w:ascii="Garamond" w:hAnsi="Garamond" w:cs="Times New Roman"/>
        </w:rPr>
        <w:t>in</w:t>
      </w:r>
      <w:r w:rsidR="0015482A" w:rsidRPr="00614418">
        <w:rPr>
          <w:rFonts w:ascii="Garamond" w:hAnsi="Garamond" w:cs="Times New Roman"/>
        </w:rPr>
        <w:t xml:space="preserve"> </w:t>
      </w:r>
      <w:r w:rsidR="00EF0637">
        <w:rPr>
          <w:rFonts w:ascii="Garamond" w:hAnsi="Garamond" w:cs="Times New Roman"/>
        </w:rPr>
        <w:t xml:space="preserve">the bond yields of </w:t>
      </w:r>
      <w:r w:rsidR="0015482A" w:rsidRPr="00614418">
        <w:rPr>
          <w:rFonts w:ascii="Garamond" w:hAnsi="Garamond" w:cs="Times New Roman"/>
        </w:rPr>
        <w:t xml:space="preserve">countries in floating and fixed exchange rate regimes from the 1980s to the </w:t>
      </w:r>
      <w:r w:rsidR="003112F2">
        <w:rPr>
          <w:rFonts w:ascii="Garamond" w:hAnsi="Garamond" w:cs="Times New Roman"/>
        </w:rPr>
        <w:t xml:space="preserve">late </w:t>
      </w:r>
      <w:r w:rsidR="0015482A" w:rsidRPr="00614418">
        <w:rPr>
          <w:rFonts w:ascii="Garamond" w:hAnsi="Garamond" w:cs="Times New Roman"/>
        </w:rPr>
        <w:t xml:space="preserve">2000s, whereas members of the monetary union were </w:t>
      </w:r>
      <w:r w:rsidR="00C06041" w:rsidRPr="00614418">
        <w:rPr>
          <w:rFonts w:ascii="Garamond" w:hAnsi="Garamond" w:cs="Times New Roman"/>
        </w:rPr>
        <w:t>immune to</w:t>
      </w:r>
      <w:r w:rsidR="0015482A" w:rsidRPr="00614418">
        <w:rPr>
          <w:rFonts w:ascii="Garamond" w:hAnsi="Garamond" w:cs="Times New Roman"/>
        </w:rPr>
        <w:t xml:space="preserve"> inflation penalties</w:t>
      </w:r>
      <w:r w:rsidR="000331A8">
        <w:rPr>
          <w:rFonts w:ascii="Garamond" w:hAnsi="Garamond" w:cs="Times New Roman"/>
        </w:rPr>
        <w:t xml:space="preserve"> since the launch of the Euro</w:t>
      </w:r>
      <w:r w:rsidR="00FC1D95" w:rsidRPr="00614418">
        <w:rPr>
          <w:rFonts w:ascii="Garamond" w:hAnsi="Garamond"/>
        </w:rPr>
        <w:t>.</w:t>
      </w:r>
      <w:r w:rsidR="007C573B" w:rsidRPr="00614418">
        <w:rPr>
          <w:rFonts w:ascii="Garamond" w:hAnsi="Garamond"/>
        </w:rPr>
        <w:t xml:space="preserve"> </w:t>
      </w:r>
      <w:r w:rsidR="007C573B" w:rsidRPr="00614418">
        <w:rPr>
          <w:rFonts w:ascii="Garamond" w:hAnsi="Garamond" w:cs="Times New Roman"/>
        </w:rPr>
        <w:t>Since 2010,</w:t>
      </w:r>
      <w:r w:rsidR="00B24251">
        <w:rPr>
          <w:rFonts w:ascii="Garamond" w:hAnsi="Garamond" w:cs="Times New Roman"/>
        </w:rPr>
        <w:t xml:space="preserve"> however,</w:t>
      </w:r>
      <w:r w:rsidR="007C573B" w:rsidRPr="00614418">
        <w:rPr>
          <w:rFonts w:ascii="Garamond" w:hAnsi="Garamond" w:cs="Times New Roman"/>
        </w:rPr>
        <w:t xml:space="preserve"> inflation carries no penalty under any exchange rate regime, demonstrating the irrelevance of inflationary concerns in a deflationary environment. </w:t>
      </w:r>
      <w:r w:rsidR="002E3DF0" w:rsidRPr="00614418">
        <w:rPr>
          <w:rFonts w:ascii="Garamond" w:hAnsi="Garamond" w:cs="Times New Roman"/>
        </w:rPr>
        <w:t>I</w:t>
      </w:r>
      <w:r w:rsidR="007C573B" w:rsidRPr="00614418">
        <w:rPr>
          <w:rFonts w:ascii="Garamond" w:hAnsi="Garamond" w:cs="Times New Roman"/>
        </w:rPr>
        <w:t>n contrast</w:t>
      </w:r>
      <w:r w:rsidR="00F95E0E" w:rsidRPr="00614418">
        <w:rPr>
          <w:rFonts w:ascii="Garamond" w:hAnsi="Garamond" w:cs="Times New Roman"/>
        </w:rPr>
        <w:t xml:space="preserve">, </w:t>
      </w:r>
      <w:r w:rsidR="002E3DF0" w:rsidRPr="00614418">
        <w:rPr>
          <w:rFonts w:ascii="Garamond" w:hAnsi="Garamond" w:cs="Times New Roman"/>
        </w:rPr>
        <w:t>yields were largely unmoved by increases in public debt</w:t>
      </w:r>
      <w:r w:rsidR="003112F2">
        <w:rPr>
          <w:rFonts w:ascii="Garamond" w:hAnsi="Garamond" w:cs="Times New Roman"/>
        </w:rPr>
        <w:t>, fiscal deficits, social spending</w:t>
      </w:r>
      <w:r w:rsidR="002E3DF0" w:rsidRPr="00614418">
        <w:rPr>
          <w:rFonts w:ascii="Garamond" w:hAnsi="Garamond" w:cs="Times New Roman"/>
        </w:rPr>
        <w:t xml:space="preserve"> or entitlements</w:t>
      </w:r>
      <w:r w:rsidR="00F95E0E" w:rsidRPr="00614418">
        <w:rPr>
          <w:rFonts w:ascii="Garamond" w:hAnsi="Garamond" w:cs="Times New Roman"/>
        </w:rPr>
        <w:t xml:space="preserve"> under any exchange rate arrangements before the mid-2000s. Since the mid-2000s, </w:t>
      </w:r>
      <w:r w:rsidR="00A24BE1">
        <w:rPr>
          <w:rFonts w:ascii="Garamond" w:hAnsi="Garamond" w:cs="Times New Roman"/>
        </w:rPr>
        <w:t xml:space="preserve">however, </w:t>
      </w:r>
      <w:r w:rsidR="00F95E0E" w:rsidRPr="00614418">
        <w:rPr>
          <w:rFonts w:ascii="Garamond" w:hAnsi="Garamond" w:cs="Times New Roman"/>
        </w:rPr>
        <w:t xml:space="preserve">countries in monetary union </w:t>
      </w:r>
      <w:r w:rsidR="007949E3">
        <w:rPr>
          <w:rFonts w:ascii="Garamond" w:hAnsi="Garamond" w:cs="Times New Roman"/>
        </w:rPr>
        <w:t>have been</w:t>
      </w:r>
      <w:r w:rsidR="007949E3" w:rsidRPr="00614418">
        <w:rPr>
          <w:rFonts w:ascii="Garamond" w:hAnsi="Garamond" w:cs="Times New Roman"/>
        </w:rPr>
        <w:t xml:space="preserve"> </w:t>
      </w:r>
      <w:r w:rsidR="00F95E0E" w:rsidRPr="00614418">
        <w:rPr>
          <w:rFonts w:ascii="Garamond" w:hAnsi="Garamond" w:cs="Times New Roman"/>
        </w:rPr>
        <w:t>significantly</w:t>
      </w:r>
      <w:r w:rsidR="00D6723A">
        <w:rPr>
          <w:rFonts w:ascii="Garamond" w:hAnsi="Garamond" w:cs="Times New Roman"/>
        </w:rPr>
        <w:t>, and prolongedly,</w:t>
      </w:r>
      <w:r w:rsidR="00F95E0E" w:rsidRPr="00614418">
        <w:rPr>
          <w:rFonts w:ascii="Garamond" w:hAnsi="Garamond" w:cs="Times New Roman"/>
        </w:rPr>
        <w:t xml:space="preserve"> penalized for </w:t>
      </w:r>
      <w:r w:rsidR="00EF0637">
        <w:rPr>
          <w:rFonts w:ascii="Garamond" w:hAnsi="Garamond" w:cs="Times New Roman"/>
        </w:rPr>
        <w:t xml:space="preserve">higher levels of </w:t>
      </w:r>
      <w:r w:rsidR="00F95E0E" w:rsidRPr="00614418">
        <w:rPr>
          <w:rFonts w:ascii="Garamond" w:hAnsi="Garamond" w:cs="Times New Roman"/>
        </w:rPr>
        <w:t xml:space="preserve">public debt and </w:t>
      </w:r>
      <w:r w:rsidR="002E3DF0" w:rsidRPr="00614418">
        <w:rPr>
          <w:rFonts w:ascii="Garamond" w:hAnsi="Garamond" w:cs="Times New Roman"/>
        </w:rPr>
        <w:t>entitlement</w:t>
      </w:r>
      <w:r w:rsidR="00F95E0E" w:rsidRPr="00614418">
        <w:rPr>
          <w:rFonts w:ascii="Garamond" w:hAnsi="Garamond" w:cs="Times New Roman"/>
        </w:rPr>
        <w:t xml:space="preserve"> spending</w:t>
      </w:r>
      <w:r w:rsidR="003112F2">
        <w:rPr>
          <w:rFonts w:ascii="Garamond" w:hAnsi="Garamond" w:cs="Times New Roman"/>
        </w:rPr>
        <w:t xml:space="preserve">, </w:t>
      </w:r>
      <w:r w:rsidR="007949E3">
        <w:rPr>
          <w:rFonts w:ascii="Garamond" w:hAnsi="Garamond" w:cs="Times New Roman"/>
        </w:rPr>
        <w:t xml:space="preserve">and </w:t>
      </w:r>
      <w:r w:rsidR="003112F2">
        <w:rPr>
          <w:rFonts w:ascii="Garamond" w:hAnsi="Garamond" w:cs="Times New Roman"/>
        </w:rPr>
        <w:t xml:space="preserve">temporarily penalized for higher fiscal deficits and social spending </w:t>
      </w:r>
      <w:r w:rsidR="007949E3">
        <w:rPr>
          <w:rFonts w:ascii="Garamond" w:hAnsi="Garamond" w:cs="Times New Roman"/>
        </w:rPr>
        <w:t>during</w:t>
      </w:r>
      <w:r w:rsidR="003112F2">
        <w:rPr>
          <w:rFonts w:ascii="Garamond" w:hAnsi="Garamond" w:cs="Times New Roman"/>
        </w:rPr>
        <w:t xml:space="preserve"> the crisis (th</w:t>
      </w:r>
      <w:r w:rsidR="00EF0637">
        <w:rPr>
          <w:rFonts w:ascii="Garamond" w:hAnsi="Garamond" w:cs="Times New Roman"/>
        </w:rPr>
        <w:t>ese</w:t>
      </w:r>
      <w:r w:rsidR="003112F2">
        <w:rPr>
          <w:rFonts w:ascii="Garamond" w:hAnsi="Garamond" w:cs="Times New Roman"/>
        </w:rPr>
        <w:t xml:space="preserve"> penalt</w:t>
      </w:r>
      <w:r w:rsidR="00EF0637">
        <w:rPr>
          <w:rFonts w:ascii="Garamond" w:hAnsi="Garamond" w:cs="Times New Roman"/>
        </w:rPr>
        <w:t>ies</w:t>
      </w:r>
      <w:r w:rsidR="003112F2">
        <w:rPr>
          <w:rFonts w:ascii="Garamond" w:hAnsi="Garamond" w:cs="Times New Roman"/>
        </w:rPr>
        <w:t xml:space="preserve"> disappeared by the mid-2010s)</w:t>
      </w:r>
      <w:r w:rsidR="00D6723A">
        <w:rPr>
          <w:rFonts w:ascii="Garamond" w:hAnsi="Garamond" w:cs="Times New Roman"/>
        </w:rPr>
        <w:t xml:space="preserve">.  Countries </w:t>
      </w:r>
      <w:r w:rsidR="00751852">
        <w:rPr>
          <w:rFonts w:ascii="Garamond" w:hAnsi="Garamond" w:cs="Times New Roman"/>
        </w:rPr>
        <w:t xml:space="preserve">in </w:t>
      </w:r>
      <w:r w:rsidR="00D6723A">
        <w:rPr>
          <w:rFonts w:ascii="Garamond" w:hAnsi="Garamond" w:cs="Times New Roman"/>
        </w:rPr>
        <w:t xml:space="preserve">floating regimes </w:t>
      </w:r>
      <w:r w:rsidR="007949E3">
        <w:rPr>
          <w:rFonts w:ascii="Garamond" w:hAnsi="Garamond" w:cs="Times New Roman"/>
        </w:rPr>
        <w:t xml:space="preserve">were subject to </w:t>
      </w:r>
      <w:r w:rsidR="00D6723A">
        <w:rPr>
          <w:rFonts w:ascii="Garamond" w:hAnsi="Garamond" w:cs="Times New Roman"/>
        </w:rPr>
        <w:t xml:space="preserve">temporary penalties for </w:t>
      </w:r>
      <w:r w:rsidR="003112F2">
        <w:rPr>
          <w:rFonts w:ascii="Garamond" w:hAnsi="Garamond" w:cs="Times New Roman"/>
        </w:rPr>
        <w:t>higher debt</w:t>
      </w:r>
      <w:r w:rsidR="00EF0637">
        <w:rPr>
          <w:rFonts w:ascii="Garamond" w:hAnsi="Garamond" w:cs="Times New Roman"/>
        </w:rPr>
        <w:t>,</w:t>
      </w:r>
      <w:r w:rsidR="003112F2">
        <w:rPr>
          <w:rFonts w:ascii="Garamond" w:hAnsi="Garamond" w:cs="Times New Roman"/>
        </w:rPr>
        <w:t xml:space="preserve"> entitlement spending</w:t>
      </w:r>
      <w:r w:rsidR="00EF0637">
        <w:rPr>
          <w:rFonts w:ascii="Garamond" w:hAnsi="Garamond" w:cs="Times New Roman"/>
        </w:rPr>
        <w:t xml:space="preserve"> and fiscal deficits</w:t>
      </w:r>
      <w:r w:rsidR="00D6723A">
        <w:rPr>
          <w:rFonts w:ascii="Garamond" w:hAnsi="Garamond" w:cs="Times New Roman"/>
        </w:rPr>
        <w:t xml:space="preserve"> </w:t>
      </w:r>
      <w:r w:rsidR="00F13B0A">
        <w:rPr>
          <w:rFonts w:ascii="Garamond" w:hAnsi="Garamond" w:cs="Times New Roman"/>
        </w:rPr>
        <w:t>i</w:t>
      </w:r>
      <w:r w:rsidR="00D6723A">
        <w:rPr>
          <w:rFonts w:ascii="Garamond" w:hAnsi="Garamond" w:cs="Times New Roman"/>
        </w:rPr>
        <w:t>n bond yields</w:t>
      </w:r>
      <w:r w:rsidR="00D35003">
        <w:rPr>
          <w:rFonts w:ascii="Garamond" w:hAnsi="Garamond" w:cs="Times New Roman"/>
        </w:rPr>
        <w:t xml:space="preserve"> at the onset of the crisis</w:t>
      </w:r>
      <w:r w:rsidR="00D6723A">
        <w:rPr>
          <w:rFonts w:ascii="Garamond" w:hAnsi="Garamond" w:cs="Times New Roman"/>
        </w:rPr>
        <w:t xml:space="preserve">, but in contrast to countries in monetary union, these penalties </w:t>
      </w:r>
      <w:r w:rsidR="00751852">
        <w:rPr>
          <w:rFonts w:ascii="Garamond" w:hAnsi="Garamond" w:cs="Times New Roman"/>
        </w:rPr>
        <w:t>abated</w:t>
      </w:r>
      <w:r w:rsidR="0030757C">
        <w:rPr>
          <w:rFonts w:ascii="Garamond" w:hAnsi="Garamond" w:cs="Times New Roman"/>
        </w:rPr>
        <w:t xml:space="preserve"> </w:t>
      </w:r>
      <w:r w:rsidR="00D6723A">
        <w:rPr>
          <w:rFonts w:ascii="Garamond" w:hAnsi="Garamond" w:cs="Times New Roman"/>
        </w:rPr>
        <w:t xml:space="preserve">in the </w:t>
      </w:r>
      <w:r w:rsidR="00D35003">
        <w:rPr>
          <w:rFonts w:ascii="Garamond" w:hAnsi="Garamond" w:cs="Times New Roman"/>
        </w:rPr>
        <w:t>mid-</w:t>
      </w:r>
      <w:r w:rsidR="00D6723A">
        <w:rPr>
          <w:rFonts w:ascii="Garamond" w:hAnsi="Garamond" w:cs="Times New Roman"/>
        </w:rPr>
        <w:t>2010s</w:t>
      </w:r>
      <w:r w:rsidR="00B24251">
        <w:rPr>
          <w:rFonts w:ascii="Garamond" w:hAnsi="Garamond" w:cs="Times New Roman"/>
        </w:rPr>
        <w:t>.</w:t>
      </w:r>
      <w:r w:rsidR="00FC1D95" w:rsidRPr="00614418">
        <w:rPr>
          <w:rFonts w:ascii="Garamond" w:hAnsi="Garamond"/>
        </w:rPr>
        <w:t xml:space="preserve"> </w:t>
      </w:r>
      <w:r w:rsidR="003112F2">
        <w:rPr>
          <w:rFonts w:ascii="Garamond" w:hAnsi="Garamond"/>
        </w:rPr>
        <w:t xml:space="preserve">Moreover, </w:t>
      </w:r>
      <w:r w:rsidR="007949E3">
        <w:rPr>
          <w:rFonts w:ascii="Garamond" w:hAnsi="Garamond"/>
        </w:rPr>
        <w:t xml:space="preserve">countries with floating exchange rates </w:t>
      </w:r>
      <w:r w:rsidR="00F13B0A">
        <w:rPr>
          <w:rFonts w:ascii="Garamond" w:hAnsi="Garamond"/>
        </w:rPr>
        <w:t xml:space="preserve">encountered </w:t>
      </w:r>
      <w:r w:rsidR="003112F2" w:rsidRPr="00EF0637">
        <w:rPr>
          <w:rFonts w:ascii="Garamond" w:hAnsi="Garamond"/>
          <w:i/>
          <w:iCs/>
        </w:rPr>
        <w:t>no</w:t>
      </w:r>
      <w:r w:rsidR="003112F2">
        <w:rPr>
          <w:rFonts w:ascii="Garamond" w:hAnsi="Garamond"/>
        </w:rPr>
        <w:t xml:space="preserve"> penalt</w:t>
      </w:r>
      <w:r w:rsidR="007949E3">
        <w:rPr>
          <w:rFonts w:ascii="Garamond" w:hAnsi="Garamond"/>
        </w:rPr>
        <w:t>y</w:t>
      </w:r>
      <w:r w:rsidR="003112F2">
        <w:rPr>
          <w:rFonts w:ascii="Garamond" w:hAnsi="Garamond"/>
        </w:rPr>
        <w:t xml:space="preserve"> </w:t>
      </w:r>
      <w:r w:rsidR="007949E3">
        <w:rPr>
          <w:rFonts w:ascii="Garamond" w:hAnsi="Garamond"/>
        </w:rPr>
        <w:t xml:space="preserve">on </w:t>
      </w:r>
      <w:r w:rsidR="003112F2">
        <w:rPr>
          <w:rFonts w:ascii="Garamond" w:hAnsi="Garamond"/>
        </w:rPr>
        <w:t xml:space="preserve">social spending, even during the crisis. </w:t>
      </w:r>
      <w:r w:rsidR="00FC1D95" w:rsidRPr="00614418">
        <w:rPr>
          <w:rFonts w:ascii="Garamond" w:hAnsi="Garamond"/>
        </w:rPr>
        <w:t xml:space="preserve">Once </w:t>
      </w:r>
      <w:r w:rsidR="00C06041" w:rsidRPr="00614418">
        <w:rPr>
          <w:rFonts w:ascii="Garamond" w:hAnsi="Garamond"/>
        </w:rPr>
        <w:t>offering protection</w:t>
      </w:r>
      <w:r w:rsidR="00FC1D95" w:rsidRPr="00614418">
        <w:rPr>
          <w:rFonts w:ascii="Garamond" w:hAnsi="Garamond"/>
        </w:rPr>
        <w:t xml:space="preserve"> against </w:t>
      </w:r>
      <w:r w:rsidR="00FC1D95" w:rsidRPr="00614418">
        <w:rPr>
          <w:rFonts w:ascii="Garamond" w:hAnsi="Garamond"/>
          <w:i/>
          <w:iCs/>
        </w:rPr>
        <w:t>inflation risk</w:t>
      </w:r>
      <w:r w:rsidR="00FC1D95" w:rsidRPr="00614418">
        <w:rPr>
          <w:rFonts w:ascii="Garamond" w:hAnsi="Garamond"/>
        </w:rPr>
        <w:t xml:space="preserve">, monetary union </w:t>
      </w:r>
      <w:r w:rsidR="00820DEE" w:rsidRPr="00614418">
        <w:rPr>
          <w:rFonts w:ascii="Garamond" w:hAnsi="Garamond"/>
        </w:rPr>
        <w:t>is no</w:t>
      </w:r>
      <w:r w:rsidR="007C5D3A" w:rsidRPr="00614418">
        <w:rPr>
          <w:rFonts w:ascii="Garamond" w:hAnsi="Garamond"/>
        </w:rPr>
        <w:t>w</w:t>
      </w:r>
      <w:r w:rsidR="00820DEE" w:rsidRPr="00614418">
        <w:rPr>
          <w:rFonts w:ascii="Garamond" w:hAnsi="Garamond"/>
        </w:rPr>
        <w:t xml:space="preserve"> seen to </w:t>
      </w:r>
      <w:r w:rsidR="00C06041" w:rsidRPr="00614418">
        <w:rPr>
          <w:rFonts w:ascii="Garamond" w:hAnsi="Garamond"/>
        </w:rPr>
        <w:t>amplif</w:t>
      </w:r>
      <w:r w:rsidR="00820DEE" w:rsidRPr="00614418">
        <w:rPr>
          <w:rFonts w:ascii="Garamond" w:hAnsi="Garamond"/>
        </w:rPr>
        <w:t>y</w:t>
      </w:r>
      <w:r w:rsidR="00FC1D95" w:rsidRPr="00614418">
        <w:rPr>
          <w:rFonts w:ascii="Garamond" w:hAnsi="Garamond"/>
        </w:rPr>
        <w:t xml:space="preserve"> </w:t>
      </w:r>
      <w:r w:rsidR="00FC1D95" w:rsidRPr="00614418">
        <w:rPr>
          <w:rFonts w:ascii="Garamond" w:hAnsi="Garamond"/>
          <w:i/>
          <w:iCs/>
        </w:rPr>
        <w:t>default risk</w:t>
      </w:r>
      <w:r w:rsidR="00FC1D95" w:rsidRPr="00614418">
        <w:rPr>
          <w:rFonts w:ascii="Garamond" w:hAnsi="Garamond"/>
        </w:rPr>
        <w:t xml:space="preserve">.  </w:t>
      </w:r>
    </w:p>
    <w:p w14:paraId="1D0D0BEC" w14:textId="4EE99F1C" w:rsidR="00C15189" w:rsidRDefault="00B16FD4" w:rsidP="005F5270">
      <w:pPr>
        <w:spacing w:line="360" w:lineRule="auto"/>
        <w:ind w:firstLine="720"/>
        <w:jc w:val="both"/>
        <w:rPr>
          <w:rFonts w:ascii="Garamond" w:hAnsi="Garamond" w:cs="Times New Roman"/>
        </w:rPr>
      </w:pPr>
      <w:r w:rsidRPr="00614418">
        <w:rPr>
          <w:rFonts w:ascii="Garamond" w:hAnsi="Garamond" w:cs="Times New Roman"/>
        </w:rPr>
        <w:t xml:space="preserve">Our </w:t>
      </w:r>
      <w:r w:rsidR="003C74D4" w:rsidRPr="00614418">
        <w:rPr>
          <w:rFonts w:ascii="Garamond" w:hAnsi="Garamond" w:cs="Times New Roman"/>
        </w:rPr>
        <w:t>results</w:t>
      </w:r>
      <w:r w:rsidRPr="00614418">
        <w:rPr>
          <w:rFonts w:ascii="Garamond" w:hAnsi="Garamond" w:cs="Times New Roman"/>
        </w:rPr>
        <w:t xml:space="preserve"> speak to </w:t>
      </w:r>
      <w:r w:rsidR="00907372">
        <w:rPr>
          <w:rFonts w:ascii="Garamond" w:hAnsi="Garamond" w:cs="Times New Roman"/>
        </w:rPr>
        <w:t>two</w:t>
      </w:r>
      <w:r w:rsidRPr="00614418">
        <w:rPr>
          <w:rFonts w:ascii="Garamond" w:hAnsi="Garamond" w:cs="Times New Roman"/>
        </w:rPr>
        <w:t xml:space="preserve"> important debate</w:t>
      </w:r>
      <w:r w:rsidR="00907372">
        <w:rPr>
          <w:rFonts w:ascii="Garamond" w:hAnsi="Garamond" w:cs="Times New Roman"/>
        </w:rPr>
        <w:t>s</w:t>
      </w:r>
      <w:r w:rsidRPr="00614418">
        <w:rPr>
          <w:rFonts w:ascii="Garamond" w:hAnsi="Garamond" w:cs="Times New Roman"/>
        </w:rPr>
        <w:t xml:space="preserve"> in international political economy</w:t>
      </w:r>
      <w:r w:rsidR="000331A8">
        <w:rPr>
          <w:rFonts w:ascii="Garamond" w:hAnsi="Garamond" w:cs="Times New Roman"/>
        </w:rPr>
        <w:t xml:space="preserve"> (IPE)</w:t>
      </w:r>
      <w:r w:rsidRPr="00614418">
        <w:rPr>
          <w:rFonts w:ascii="Garamond" w:hAnsi="Garamond" w:cs="Times New Roman"/>
        </w:rPr>
        <w:t xml:space="preserve"> about</w:t>
      </w:r>
      <w:r w:rsidR="00907372">
        <w:rPr>
          <w:rFonts w:ascii="Garamond" w:hAnsi="Garamond" w:cs="Times New Roman"/>
        </w:rPr>
        <w:t>: 1.)</w:t>
      </w:r>
      <w:r w:rsidRPr="00614418">
        <w:rPr>
          <w:rFonts w:ascii="Garamond" w:hAnsi="Garamond" w:cs="Times New Roman"/>
        </w:rPr>
        <w:t xml:space="preserve"> the strength and nature of constraints that globalized credit markets place on </w:t>
      </w:r>
      <w:r w:rsidR="00067C90" w:rsidRPr="00614418">
        <w:rPr>
          <w:rFonts w:ascii="Garamond" w:hAnsi="Garamond" w:cs="Times New Roman"/>
        </w:rPr>
        <w:t xml:space="preserve">the </w:t>
      </w:r>
      <w:r w:rsidRPr="00614418">
        <w:rPr>
          <w:rFonts w:ascii="Garamond" w:hAnsi="Garamond" w:cs="Times New Roman"/>
        </w:rPr>
        <w:t xml:space="preserve">policy choices </w:t>
      </w:r>
      <w:r w:rsidR="00067C90" w:rsidRPr="00614418">
        <w:rPr>
          <w:rFonts w:ascii="Garamond" w:hAnsi="Garamond" w:cs="Times New Roman"/>
        </w:rPr>
        <w:t>of</w:t>
      </w:r>
      <w:r w:rsidRPr="00614418">
        <w:rPr>
          <w:rFonts w:ascii="Garamond" w:hAnsi="Garamond" w:cs="Times New Roman"/>
        </w:rPr>
        <w:t xml:space="preserve"> developed democracies</w:t>
      </w:r>
      <w:r w:rsidR="007949E3">
        <w:rPr>
          <w:rFonts w:ascii="Garamond" w:hAnsi="Garamond" w:cs="Times New Roman"/>
        </w:rPr>
        <w:t>;</w:t>
      </w:r>
      <w:r w:rsidR="00907372">
        <w:rPr>
          <w:rFonts w:ascii="Garamond" w:hAnsi="Garamond" w:cs="Times New Roman"/>
        </w:rPr>
        <w:t xml:space="preserve"> and 2.) the value of commitment devices</w:t>
      </w:r>
      <w:r w:rsidR="000331A8">
        <w:rPr>
          <w:rFonts w:ascii="Garamond" w:hAnsi="Garamond" w:cs="Times New Roman"/>
        </w:rPr>
        <w:t xml:space="preserve"> for policy-makers</w:t>
      </w:r>
      <w:r w:rsidR="003C74D4" w:rsidRPr="00614418">
        <w:rPr>
          <w:rFonts w:ascii="Garamond" w:hAnsi="Garamond" w:cs="Times New Roman"/>
        </w:rPr>
        <w:t>.</w:t>
      </w:r>
      <w:r w:rsidRPr="00614418">
        <w:rPr>
          <w:rFonts w:ascii="Garamond" w:hAnsi="Garamond" w:cs="Times New Roman"/>
        </w:rPr>
        <w:t xml:space="preserve"> </w:t>
      </w:r>
      <w:r w:rsidR="003C74D4" w:rsidRPr="00614418">
        <w:rPr>
          <w:rFonts w:ascii="Garamond" w:hAnsi="Garamond" w:cs="Times New Roman"/>
        </w:rPr>
        <w:t>While several scholars expressed</w:t>
      </w:r>
      <w:r w:rsidR="00DD55C9" w:rsidRPr="00614418">
        <w:rPr>
          <w:rFonts w:ascii="Garamond" w:hAnsi="Garamond" w:cs="Times New Roman"/>
        </w:rPr>
        <w:t xml:space="preserve"> </w:t>
      </w:r>
      <w:r w:rsidR="00067C90" w:rsidRPr="00614418">
        <w:rPr>
          <w:rFonts w:ascii="Garamond" w:hAnsi="Garamond" w:cs="Times New Roman"/>
        </w:rPr>
        <w:t xml:space="preserve">concern that </w:t>
      </w:r>
      <w:r w:rsidR="003C74D4" w:rsidRPr="00614418">
        <w:rPr>
          <w:rFonts w:ascii="Garamond" w:hAnsi="Garamond" w:cs="Times New Roman"/>
        </w:rPr>
        <w:t>governments have to toe a neoliberal line to access funding in global sovereign credit markets, placing governments in a ‘golden straightjacket’</w:t>
      </w:r>
      <w:r w:rsidR="00067C90" w:rsidRPr="00614418">
        <w:rPr>
          <w:rFonts w:ascii="Garamond" w:hAnsi="Garamond" w:cs="Times New Roman"/>
        </w:rPr>
        <w:t xml:space="preserve"> (Strange 1996, Rodrik 200</w:t>
      </w:r>
      <w:r w:rsidR="00032923">
        <w:rPr>
          <w:rFonts w:ascii="Garamond" w:hAnsi="Garamond" w:cs="Times New Roman"/>
        </w:rPr>
        <w:t>0</w:t>
      </w:r>
      <w:r w:rsidR="00067C90" w:rsidRPr="00614418">
        <w:rPr>
          <w:rFonts w:ascii="Garamond" w:hAnsi="Garamond" w:cs="Times New Roman"/>
        </w:rPr>
        <w:t xml:space="preserve"> and 2011, Streeck 2014), </w:t>
      </w:r>
      <w:r w:rsidR="005368B0" w:rsidRPr="00614418">
        <w:rPr>
          <w:rFonts w:ascii="Garamond" w:hAnsi="Garamond" w:cs="Times New Roman"/>
        </w:rPr>
        <w:t>others</w:t>
      </w:r>
      <w:r w:rsidR="00067C90" w:rsidRPr="00614418">
        <w:rPr>
          <w:rFonts w:ascii="Garamond" w:hAnsi="Garamond" w:cs="Times New Roman"/>
        </w:rPr>
        <w:t xml:space="preserve"> </w:t>
      </w:r>
      <w:r w:rsidR="006D2330" w:rsidRPr="00614418">
        <w:rPr>
          <w:rFonts w:ascii="Garamond" w:hAnsi="Garamond" w:cs="Times New Roman"/>
        </w:rPr>
        <w:t xml:space="preserve">argued that developed country governments have considerable ‘room to move’ </w:t>
      </w:r>
      <w:r w:rsidR="003034FE" w:rsidRPr="00614418">
        <w:rPr>
          <w:rFonts w:ascii="Garamond" w:hAnsi="Garamond" w:cs="Times New Roman"/>
        </w:rPr>
        <w:t xml:space="preserve">with regard to </w:t>
      </w:r>
      <w:r w:rsidR="006D2330" w:rsidRPr="00614418">
        <w:rPr>
          <w:rFonts w:ascii="Garamond" w:hAnsi="Garamond" w:cs="Times New Roman"/>
        </w:rPr>
        <w:t>their</w:t>
      </w:r>
      <w:r w:rsidR="000F2722" w:rsidRPr="00614418">
        <w:rPr>
          <w:rFonts w:ascii="Garamond" w:hAnsi="Garamond" w:cs="Times New Roman"/>
        </w:rPr>
        <w:t xml:space="preserve"> </w:t>
      </w:r>
      <w:r w:rsidR="005F5270" w:rsidRPr="00614418">
        <w:rPr>
          <w:rFonts w:ascii="Garamond" w:hAnsi="Garamond" w:cs="Times New Roman"/>
        </w:rPr>
        <w:t>domestic</w:t>
      </w:r>
      <w:r w:rsidR="003034FE" w:rsidRPr="00614418">
        <w:rPr>
          <w:rFonts w:ascii="Garamond" w:hAnsi="Garamond" w:cs="Times New Roman"/>
        </w:rPr>
        <w:t xml:space="preserve"> polici</w:t>
      </w:r>
      <w:r w:rsidR="006D2330" w:rsidRPr="00614418">
        <w:rPr>
          <w:rFonts w:ascii="Garamond" w:hAnsi="Garamond" w:cs="Times New Roman"/>
        </w:rPr>
        <w:t>es</w:t>
      </w:r>
      <w:r w:rsidR="000F2722" w:rsidRPr="00614418">
        <w:rPr>
          <w:rFonts w:ascii="Garamond" w:hAnsi="Garamond" w:cs="Times New Roman"/>
        </w:rPr>
        <w:t xml:space="preserve"> (such as government spending and taxation)</w:t>
      </w:r>
      <w:r w:rsidR="009F31A0" w:rsidRPr="00614418">
        <w:rPr>
          <w:rFonts w:ascii="Garamond" w:hAnsi="Garamond" w:cs="Times New Roman"/>
        </w:rPr>
        <w:t xml:space="preserve">, </w:t>
      </w:r>
      <w:r w:rsidR="006D2330" w:rsidRPr="00614418">
        <w:rPr>
          <w:rFonts w:ascii="Garamond" w:hAnsi="Garamond" w:cs="Times New Roman"/>
        </w:rPr>
        <w:t>without having to fear increases in the cost of their debt</w:t>
      </w:r>
      <w:r w:rsidR="005368B0" w:rsidRPr="00614418">
        <w:rPr>
          <w:rFonts w:ascii="Garamond" w:hAnsi="Garamond" w:cs="Times New Roman"/>
        </w:rPr>
        <w:t xml:space="preserve"> (Mosley 2003, pp50-102)</w:t>
      </w:r>
      <w:r w:rsidR="006D2330" w:rsidRPr="00614418">
        <w:rPr>
          <w:rFonts w:ascii="Garamond" w:hAnsi="Garamond" w:cs="Times New Roman"/>
        </w:rPr>
        <w:t xml:space="preserve">. </w:t>
      </w:r>
    </w:p>
    <w:p w14:paraId="0F0E5056" w14:textId="3C270C23" w:rsidR="002F2AB9" w:rsidRPr="00614418" w:rsidRDefault="005368B0" w:rsidP="005F5270">
      <w:pPr>
        <w:spacing w:line="360" w:lineRule="auto"/>
        <w:ind w:firstLine="720"/>
        <w:jc w:val="both"/>
        <w:rPr>
          <w:rFonts w:ascii="Garamond" w:hAnsi="Garamond"/>
        </w:rPr>
      </w:pPr>
      <w:r w:rsidRPr="00614418">
        <w:rPr>
          <w:rFonts w:ascii="Garamond" w:hAnsi="Garamond" w:cs="Times New Roman"/>
        </w:rPr>
        <w:t>According to this argument, a</w:t>
      </w:r>
      <w:r w:rsidR="006D2330" w:rsidRPr="00614418">
        <w:rPr>
          <w:rFonts w:ascii="Garamond" w:hAnsi="Garamond" w:cs="Times New Roman"/>
        </w:rPr>
        <w:t>s long as inflation is the only threat to the value of bonds</w:t>
      </w:r>
      <w:r w:rsidR="003C74D4" w:rsidRPr="00614418">
        <w:rPr>
          <w:rFonts w:ascii="Garamond" w:hAnsi="Garamond" w:cs="Times New Roman"/>
        </w:rPr>
        <w:t>,</w:t>
      </w:r>
      <w:r w:rsidR="008A361D" w:rsidRPr="00614418">
        <w:rPr>
          <w:rFonts w:ascii="Garamond" w:hAnsi="Garamond" w:cs="Times New Roman"/>
        </w:rPr>
        <w:t xml:space="preserve"> </w:t>
      </w:r>
      <w:r w:rsidR="002F2AB9" w:rsidRPr="00614418">
        <w:rPr>
          <w:rFonts w:ascii="Garamond" w:hAnsi="Garamond" w:cs="Times New Roman"/>
        </w:rPr>
        <w:t xml:space="preserve">the only policy variable investors have </w:t>
      </w:r>
      <w:r w:rsidR="003C74D4" w:rsidRPr="00614418">
        <w:rPr>
          <w:rFonts w:ascii="Garamond" w:hAnsi="Garamond" w:cs="Times New Roman"/>
        </w:rPr>
        <w:t>incentive</w:t>
      </w:r>
      <w:r w:rsidR="002F2AB9" w:rsidRPr="00614418">
        <w:rPr>
          <w:rFonts w:ascii="Garamond" w:hAnsi="Garamond" w:cs="Times New Roman"/>
        </w:rPr>
        <w:t>s</w:t>
      </w:r>
      <w:r w:rsidR="006D2330" w:rsidRPr="00614418">
        <w:rPr>
          <w:rFonts w:ascii="Garamond" w:hAnsi="Garamond" w:cs="Times New Roman"/>
        </w:rPr>
        <w:t xml:space="preserve"> to monitor </w:t>
      </w:r>
      <w:r w:rsidR="002F2AB9" w:rsidRPr="00614418">
        <w:rPr>
          <w:rFonts w:ascii="Garamond" w:hAnsi="Garamond" w:cs="Times New Roman"/>
        </w:rPr>
        <w:t>and</w:t>
      </w:r>
      <w:r w:rsidR="006D2330" w:rsidRPr="00614418">
        <w:rPr>
          <w:rFonts w:ascii="Garamond" w:hAnsi="Garamond" w:cs="Times New Roman"/>
        </w:rPr>
        <w:t xml:space="preserve"> penalize </w:t>
      </w:r>
      <w:r w:rsidR="002F2AB9" w:rsidRPr="00614418">
        <w:rPr>
          <w:rFonts w:ascii="Garamond" w:hAnsi="Garamond" w:cs="Times New Roman"/>
        </w:rPr>
        <w:t>is</w:t>
      </w:r>
      <w:r w:rsidR="006D2330" w:rsidRPr="00614418">
        <w:rPr>
          <w:rFonts w:ascii="Garamond" w:hAnsi="Garamond" w:cs="Times New Roman"/>
        </w:rPr>
        <w:t xml:space="preserve"> inflation</w:t>
      </w:r>
      <w:r w:rsidR="005F5270" w:rsidRPr="00614418">
        <w:rPr>
          <w:rFonts w:ascii="Garamond" w:hAnsi="Garamond" w:cs="Times New Roman"/>
        </w:rPr>
        <w:t>, leaving governments relatively unconstrained in other areas</w:t>
      </w:r>
      <w:r w:rsidR="006D2330" w:rsidRPr="00614418">
        <w:rPr>
          <w:rFonts w:ascii="Garamond" w:hAnsi="Garamond" w:cs="Times New Roman"/>
        </w:rPr>
        <w:t xml:space="preserve">. </w:t>
      </w:r>
      <w:r w:rsidR="002F2AB9" w:rsidRPr="00614418">
        <w:rPr>
          <w:rFonts w:ascii="Garamond" w:hAnsi="Garamond" w:cs="Times New Roman"/>
        </w:rPr>
        <w:t xml:space="preserve">We </w:t>
      </w:r>
      <w:r w:rsidRPr="00614418">
        <w:rPr>
          <w:rFonts w:ascii="Garamond" w:hAnsi="Garamond" w:cs="Times New Roman"/>
        </w:rPr>
        <w:t>probe deeper into</w:t>
      </w:r>
      <w:r w:rsidR="002F2AB9" w:rsidRPr="00614418">
        <w:rPr>
          <w:rFonts w:ascii="Garamond" w:hAnsi="Garamond" w:cs="Times New Roman"/>
        </w:rPr>
        <w:t xml:space="preserve"> this </w:t>
      </w:r>
      <w:r w:rsidRPr="00614418">
        <w:rPr>
          <w:rFonts w:ascii="Garamond" w:hAnsi="Garamond" w:cs="Times New Roman"/>
        </w:rPr>
        <w:t>argument</w:t>
      </w:r>
      <w:r w:rsidR="002F2AB9" w:rsidRPr="00614418">
        <w:rPr>
          <w:rFonts w:ascii="Garamond" w:hAnsi="Garamond" w:cs="Times New Roman"/>
        </w:rPr>
        <w:t xml:space="preserve"> by focusing on the role policy-commitment devices </w:t>
      </w:r>
      <w:r w:rsidR="00473A45" w:rsidRPr="00614418">
        <w:rPr>
          <w:rFonts w:ascii="Garamond" w:hAnsi="Garamond" w:cs="Times New Roman"/>
        </w:rPr>
        <w:t xml:space="preserve">play </w:t>
      </w:r>
      <w:r w:rsidR="002F2AB9" w:rsidRPr="00614418">
        <w:rPr>
          <w:rFonts w:ascii="Garamond" w:hAnsi="Garamond" w:cs="Times New Roman"/>
        </w:rPr>
        <w:t xml:space="preserve">– specifically </w:t>
      </w:r>
      <w:r w:rsidR="003034FE" w:rsidRPr="00614418">
        <w:rPr>
          <w:rFonts w:ascii="Garamond" w:hAnsi="Garamond" w:cs="Times New Roman"/>
        </w:rPr>
        <w:t>inflexible exchange</w:t>
      </w:r>
      <w:r w:rsidR="002F2AB9" w:rsidRPr="00614418">
        <w:rPr>
          <w:rFonts w:ascii="Garamond" w:hAnsi="Garamond" w:cs="Times New Roman"/>
        </w:rPr>
        <w:t xml:space="preserve"> rate regimes – in influencing the degree of policy autonomy from market scrutiny and penalties</w:t>
      </w:r>
      <w:r w:rsidR="00C15189">
        <w:rPr>
          <w:rFonts w:ascii="Garamond" w:hAnsi="Garamond" w:cs="Times New Roman"/>
        </w:rPr>
        <w:t xml:space="preserve"> and by examining whether the argument is gen</w:t>
      </w:r>
      <w:r w:rsidR="000B48E5">
        <w:rPr>
          <w:rFonts w:ascii="Garamond" w:hAnsi="Garamond" w:cs="Times New Roman"/>
        </w:rPr>
        <w:t xml:space="preserve">eralizable across international </w:t>
      </w:r>
      <w:r w:rsidR="00EA5ACD">
        <w:rPr>
          <w:rFonts w:ascii="Garamond" w:hAnsi="Garamond" w:cs="Times New Roman"/>
        </w:rPr>
        <w:t>macro</w:t>
      </w:r>
      <w:r w:rsidR="00C15189">
        <w:rPr>
          <w:rFonts w:ascii="Garamond" w:hAnsi="Garamond" w:cs="Times New Roman"/>
        </w:rPr>
        <w:t>economic regimes</w:t>
      </w:r>
      <w:r w:rsidR="000B48E5">
        <w:rPr>
          <w:rFonts w:ascii="Garamond" w:hAnsi="Garamond" w:cs="Times New Roman"/>
        </w:rPr>
        <w:t xml:space="preserve"> </w:t>
      </w:r>
      <w:r w:rsidR="000B48E5" w:rsidRPr="008A16E9">
        <w:rPr>
          <w:rFonts w:ascii="Garamond" w:hAnsi="Garamond"/>
          <w:noProof/>
        </w:rPr>
        <w:t>(</w:t>
      </w:r>
      <w:hyperlink w:anchor="_ENREF_1" w:tooltip="Blyth, 2017 #10522" w:history="1">
        <w:r w:rsidR="000B48E5" w:rsidRPr="008A16E9">
          <w:rPr>
            <w:rFonts w:ascii="Garamond" w:hAnsi="Garamond"/>
            <w:noProof/>
          </w:rPr>
          <w:t>Blyth and Matthijs 2017</w:t>
        </w:r>
      </w:hyperlink>
      <w:r w:rsidR="000B48E5" w:rsidRPr="008A16E9">
        <w:rPr>
          <w:rFonts w:ascii="Garamond" w:hAnsi="Garamond"/>
          <w:noProof/>
        </w:rPr>
        <w:t>)</w:t>
      </w:r>
      <w:r w:rsidR="002F2AB9" w:rsidRPr="00614418">
        <w:rPr>
          <w:rFonts w:ascii="Garamond" w:hAnsi="Garamond" w:cs="Times New Roman"/>
        </w:rPr>
        <w:t xml:space="preserve">. </w:t>
      </w:r>
      <w:r w:rsidR="00C53E5E">
        <w:rPr>
          <w:rFonts w:ascii="Garamond" w:hAnsi="Garamond" w:cs="Times New Roman"/>
        </w:rPr>
        <w:t>Our results suggest</w:t>
      </w:r>
      <w:r w:rsidR="00050B80" w:rsidRPr="00614418">
        <w:rPr>
          <w:rFonts w:ascii="Garamond" w:hAnsi="Garamond" w:cs="Times New Roman"/>
        </w:rPr>
        <w:t xml:space="preserve"> that</w:t>
      </w:r>
      <w:r w:rsidR="00751852">
        <w:rPr>
          <w:rFonts w:ascii="Garamond" w:hAnsi="Garamond" w:cs="Times New Roman"/>
        </w:rPr>
        <w:t xml:space="preserve">, in line with </w:t>
      </w:r>
      <w:r w:rsidR="00373B9D">
        <w:rPr>
          <w:rFonts w:ascii="Garamond" w:hAnsi="Garamond" w:cs="Times New Roman"/>
        </w:rPr>
        <w:t>‘</w:t>
      </w:r>
      <w:r w:rsidR="00751852">
        <w:rPr>
          <w:rFonts w:ascii="Garamond" w:hAnsi="Garamond" w:cs="Times New Roman"/>
        </w:rPr>
        <w:t>the room to move</w:t>
      </w:r>
      <w:r w:rsidR="00373B9D">
        <w:rPr>
          <w:rFonts w:ascii="Garamond" w:hAnsi="Garamond" w:cs="Times New Roman"/>
        </w:rPr>
        <w:t>’</w:t>
      </w:r>
      <w:r w:rsidR="00751852">
        <w:rPr>
          <w:rFonts w:ascii="Garamond" w:hAnsi="Garamond" w:cs="Times New Roman"/>
        </w:rPr>
        <w:t xml:space="preserve"> thesis, </w:t>
      </w:r>
      <w:r w:rsidR="00050B80" w:rsidRPr="00614418">
        <w:rPr>
          <w:rFonts w:ascii="Garamond" w:hAnsi="Garamond" w:cs="Times New Roman"/>
        </w:rPr>
        <w:t>governments</w:t>
      </w:r>
      <w:r w:rsidR="00751852">
        <w:rPr>
          <w:rFonts w:ascii="Garamond" w:hAnsi="Garamond" w:cs="Times New Roman"/>
        </w:rPr>
        <w:t xml:space="preserve"> with floating exchange rates were not penalized for </w:t>
      </w:r>
      <w:r w:rsidR="0078322A">
        <w:rPr>
          <w:rFonts w:ascii="Garamond" w:hAnsi="Garamond" w:cs="Times New Roman"/>
        </w:rPr>
        <w:t xml:space="preserve">deficits, debt, and social expenditures </w:t>
      </w:r>
      <w:r w:rsidR="00EA5ACD">
        <w:rPr>
          <w:rFonts w:ascii="Garamond" w:hAnsi="Garamond" w:cs="Times New Roman"/>
        </w:rPr>
        <w:t xml:space="preserve">in an inflationary regime, </w:t>
      </w:r>
      <w:r w:rsidR="00751852">
        <w:rPr>
          <w:rFonts w:ascii="Garamond" w:hAnsi="Garamond" w:cs="Times New Roman"/>
        </w:rPr>
        <w:t>provided they kept inflation in check</w:t>
      </w:r>
      <w:r w:rsidR="002C08F3">
        <w:rPr>
          <w:rFonts w:ascii="Garamond" w:hAnsi="Garamond" w:cs="Times New Roman"/>
        </w:rPr>
        <w:t>. For governments in a monetary union</w:t>
      </w:r>
      <w:r w:rsidR="0078322A">
        <w:rPr>
          <w:rFonts w:ascii="Garamond" w:hAnsi="Garamond" w:cs="Times New Roman"/>
        </w:rPr>
        <w:t>, markets disregarded the inflation risk</w:t>
      </w:r>
      <w:r w:rsidR="00EA5ACD">
        <w:rPr>
          <w:rFonts w:ascii="Garamond" w:hAnsi="Garamond" w:cs="Times New Roman"/>
        </w:rPr>
        <w:t>, too</w:t>
      </w:r>
      <w:r w:rsidR="0078322A">
        <w:rPr>
          <w:rFonts w:ascii="Garamond" w:hAnsi="Garamond" w:cs="Times New Roman"/>
        </w:rPr>
        <w:t xml:space="preserve">. However, this outcome </w:t>
      </w:r>
      <w:r w:rsidR="002F2AB9" w:rsidRPr="00614418">
        <w:rPr>
          <w:rFonts w:ascii="Garamond" w:hAnsi="Garamond" w:cs="Times New Roman"/>
        </w:rPr>
        <w:t>was</w:t>
      </w:r>
      <w:r w:rsidR="00050B80" w:rsidRPr="00614418">
        <w:rPr>
          <w:rFonts w:ascii="Garamond" w:hAnsi="Garamond" w:cs="Times New Roman"/>
        </w:rPr>
        <w:t xml:space="preserve"> contingent</w:t>
      </w:r>
      <w:r w:rsidR="0088324B" w:rsidRPr="00614418">
        <w:rPr>
          <w:rFonts w:ascii="Garamond" w:hAnsi="Garamond" w:cs="Times New Roman"/>
        </w:rPr>
        <w:t xml:space="preserve"> on</w:t>
      </w:r>
      <w:r w:rsidR="002F2AB9" w:rsidRPr="00614418">
        <w:rPr>
          <w:rFonts w:ascii="Garamond" w:hAnsi="Garamond" w:cs="Times New Roman"/>
        </w:rPr>
        <w:t xml:space="preserve"> the prior decision</w:t>
      </w:r>
      <w:r w:rsidR="007949E3">
        <w:rPr>
          <w:rFonts w:ascii="Garamond" w:hAnsi="Garamond" w:cs="Times New Roman"/>
        </w:rPr>
        <w:t xml:space="preserve"> of those governments</w:t>
      </w:r>
      <w:r w:rsidR="002F2AB9" w:rsidRPr="00614418">
        <w:rPr>
          <w:rFonts w:ascii="Garamond" w:hAnsi="Garamond" w:cs="Times New Roman"/>
        </w:rPr>
        <w:t xml:space="preserve"> to </w:t>
      </w:r>
      <w:r w:rsidR="00050B80" w:rsidRPr="00614418">
        <w:rPr>
          <w:rFonts w:ascii="Garamond" w:hAnsi="Garamond" w:cs="Times New Roman"/>
        </w:rPr>
        <w:t xml:space="preserve">deliberately </w:t>
      </w:r>
      <w:r w:rsidR="00050B80" w:rsidRPr="00614418">
        <w:rPr>
          <w:rFonts w:ascii="Garamond" w:hAnsi="Garamond" w:cs="Times New Roman"/>
        </w:rPr>
        <w:lastRenderedPageBreak/>
        <w:t xml:space="preserve">restrict their room to move in macroeconomic policy </w:t>
      </w:r>
      <w:r w:rsidR="002F2AB9" w:rsidRPr="00614418">
        <w:rPr>
          <w:rFonts w:ascii="Garamond" w:hAnsi="Garamond" w:cs="Times New Roman"/>
        </w:rPr>
        <w:t>by committing to</w:t>
      </w:r>
      <w:r w:rsidR="0078322A">
        <w:rPr>
          <w:rFonts w:ascii="Garamond" w:hAnsi="Garamond" w:cs="Times New Roman"/>
        </w:rPr>
        <w:t xml:space="preserve"> full exchange rate inflexibility. T</w:t>
      </w:r>
      <w:r w:rsidR="002F2AB9" w:rsidRPr="00614418">
        <w:rPr>
          <w:rFonts w:ascii="Garamond" w:hAnsi="Garamond" w:cs="Times New Roman"/>
        </w:rPr>
        <w:t>he ‘tying of hands’ strategy became a liability</w:t>
      </w:r>
      <w:r w:rsidR="0078322A">
        <w:rPr>
          <w:rFonts w:ascii="Garamond" w:hAnsi="Garamond" w:cs="Times New Roman"/>
        </w:rPr>
        <w:t>, however,</w:t>
      </w:r>
      <w:r w:rsidR="002F2AB9" w:rsidRPr="00614418">
        <w:rPr>
          <w:rFonts w:ascii="Garamond" w:hAnsi="Garamond" w:cs="Times New Roman"/>
        </w:rPr>
        <w:t xml:space="preserve"> once concerns over default became more pronounced.</w:t>
      </w:r>
      <w:r w:rsidR="00907372">
        <w:rPr>
          <w:rFonts w:ascii="Garamond" w:hAnsi="Garamond" w:cs="Times New Roman"/>
        </w:rPr>
        <w:t xml:space="preserve"> </w:t>
      </w:r>
      <w:r w:rsidR="00F13B0A">
        <w:rPr>
          <w:rFonts w:ascii="Garamond" w:hAnsi="Garamond" w:cs="Times New Roman"/>
        </w:rPr>
        <w:t>In this context</w:t>
      </w:r>
      <w:r w:rsidR="00907372">
        <w:rPr>
          <w:rFonts w:ascii="Garamond" w:hAnsi="Garamond" w:cs="Times New Roman"/>
        </w:rPr>
        <w:t xml:space="preserve">, our </w:t>
      </w:r>
      <w:r w:rsidR="00C53E5E">
        <w:rPr>
          <w:rFonts w:ascii="Garamond" w:hAnsi="Garamond" w:cs="Times New Roman"/>
        </w:rPr>
        <w:t>findings</w:t>
      </w:r>
      <w:r w:rsidR="00907372">
        <w:rPr>
          <w:rFonts w:ascii="Garamond" w:hAnsi="Garamond" w:cs="Times New Roman"/>
        </w:rPr>
        <w:t xml:space="preserve"> suggest that the literature exto</w:t>
      </w:r>
      <w:r w:rsidR="00EA6C29">
        <w:rPr>
          <w:rFonts w:ascii="Garamond" w:hAnsi="Garamond" w:cs="Times New Roman"/>
        </w:rPr>
        <w:t>l</w:t>
      </w:r>
      <w:r w:rsidR="00907372">
        <w:rPr>
          <w:rFonts w:ascii="Garamond" w:hAnsi="Garamond" w:cs="Times New Roman"/>
        </w:rPr>
        <w:t>ling the virtue of commitment devices and tying one’s hands</w:t>
      </w:r>
      <w:r w:rsidR="00295841">
        <w:rPr>
          <w:rFonts w:ascii="Garamond" w:hAnsi="Garamond" w:cs="Times New Roman"/>
        </w:rPr>
        <w:t xml:space="preserve"> through the imposition of institutional constraints</w:t>
      </w:r>
      <w:r w:rsidR="00907372">
        <w:rPr>
          <w:rFonts w:ascii="Garamond" w:hAnsi="Garamond" w:cs="Times New Roman"/>
        </w:rPr>
        <w:t xml:space="preserve"> (see </w:t>
      </w:r>
      <w:r w:rsidR="00F05125">
        <w:rPr>
          <w:rFonts w:ascii="Garamond" w:hAnsi="Garamond" w:cs="Times New Roman"/>
        </w:rPr>
        <w:t>Barro and Gordon 1983</w:t>
      </w:r>
      <w:r w:rsidR="00FD6CB9">
        <w:rPr>
          <w:rFonts w:ascii="Garamond" w:hAnsi="Garamond" w:cs="Times New Roman"/>
        </w:rPr>
        <w:t>,</w:t>
      </w:r>
      <w:r w:rsidR="00F05125">
        <w:rPr>
          <w:rFonts w:ascii="Garamond" w:hAnsi="Garamond" w:cs="Times New Roman"/>
        </w:rPr>
        <w:t xml:space="preserve"> </w:t>
      </w:r>
      <w:r w:rsidR="00ED1D4D">
        <w:rPr>
          <w:rFonts w:ascii="Garamond" w:hAnsi="Garamond" w:cs="Times New Roman"/>
        </w:rPr>
        <w:t>Rogoff 1985</w:t>
      </w:r>
      <w:r w:rsidR="00FD6CB9">
        <w:rPr>
          <w:rFonts w:ascii="Garamond" w:hAnsi="Garamond" w:cs="Times New Roman"/>
        </w:rPr>
        <w:t>,</w:t>
      </w:r>
      <w:r w:rsidR="00ED1D4D">
        <w:rPr>
          <w:rFonts w:ascii="Garamond" w:hAnsi="Garamond" w:cs="Times New Roman"/>
        </w:rPr>
        <w:t xml:space="preserve"> </w:t>
      </w:r>
      <w:proofErr w:type="spellStart"/>
      <w:r w:rsidR="00ED1D4D">
        <w:rPr>
          <w:rFonts w:ascii="Garamond" w:hAnsi="Garamond" w:cs="Times New Roman"/>
        </w:rPr>
        <w:t>Grilli</w:t>
      </w:r>
      <w:proofErr w:type="spellEnd"/>
      <w:r w:rsidR="00ED1D4D">
        <w:rPr>
          <w:rFonts w:ascii="Garamond" w:hAnsi="Garamond" w:cs="Times New Roman"/>
        </w:rPr>
        <w:t xml:space="preserve">, </w:t>
      </w:r>
      <w:proofErr w:type="spellStart"/>
      <w:r w:rsidR="00ED1D4D">
        <w:rPr>
          <w:rFonts w:ascii="Garamond" w:hAnsi="Garamond" w:cs="Times New Roman"/>
        </w:rPr>
        <w:t>Masciandaro</w:t>
      </w:r>
      <w:proofErr w:type="spellEnd"/>
      <w:r w:rsidR="00ED1D4D">
        <w:rPr>
          <w:rFonts w:ascii="Garamond" w:hAnsi="Garamond" w:cs="Times New Roman"/>
        </w:rPr>
        <w:t xml:space="preserve">, and </w:t>
      </w:r>
      <w:proofErr w:type="spellStart"/>
      <w:r w:rsidR="00ED1D4D">
        <w:rPr>
          <w:rFonts w:ascii="Garamond" w:hAnsi="Garamond" w:cs="Times New Roman"/>
        </w:rPr>
        <w:t>Tabellini</w:t>
      </w:r>
      <w:proofErr w:type="spellEnd"/>
      <w:r w:rsidR="00ED1D4D">
        <w:rPr>
          <w:rFonts w:ascii="Garamond" w:hAnsi="Garamond" w:cs="Times New Roman"/>
        </w:rPr>
        <w:t xml:space="preserve"> 1991</w:t>
      </w:r>
      <w:r w:rsidR="00FD6CB9">
        <w:rPr>
          <w:rFonts w:ascii="Garamond" w:hAnsi="Garamond" w:cs="Times New Roman"/>
        </w:rPr>
        <w:t>,</w:t>
      </w:r>
      <w:r w:rsidR="00ED1D4D">
        <w:rPr>
          <w:rFonts w:ascii="Garamond" w:hAnsi="Garamond" w:cs="Times New Roman"/>
        </w:rPr>
        <w:t xml:space="preserve"> Romer 1993</w:t>
      </w:r>
      <w:r w:rsidR="00FD6CB9">
        <w:rPr>
          <w:rFonts w:ascii="Garamond" w:hAnsi="Garamond" w:cs="Times New Roman"/>
        </w:rPr>
        <w:t>,</w:t>
      </w:r>
      <w:r w:rsidR="00ED1D4D">
        <w:rPr>
          <w:rFonts w:ascii="Garamond" w:hAnsi="Garamond" w:cs="Times New Roman"/>
        </w:rPr>
        <w:t xml:space="preserve"> </w:t>
      </w:r>
      <w:r w:rsidR="00295841">
        <w:rPr>
          <w:rFonts w:ascii="Garamond" w:hAnsi="Garamond" w:cs="Times New Roman"/>
        </w:rPr>
        <w:t xml:space="preserve">Klein and </w:t>
      </w:r>
      <w:proofErr w:type="spellStart"/>
      <w:r w:rsidR="00295841">
        <w:rPr>
          <w:rFonts w:ascii="Garamond" w:hAnsi="Garamond" w:cs="Times New Roman"/>
        </w:rPr>
        <w:t>Shambaugh</w:t>
      </w:r>
      <w:proofErr w:type="spellEnd"/>
      <w:r w:rsidR="00295841">
        <w:rPr>
          <w:rFonts w:ascii="Garamond" w:hAnsi="Garamond" w:cs="Times New Roman"/>
        </w:rPr>
        <w:t xml:space="preserve"> 2012</w:t>
      </w:r>
      <w:r w:rsidR="00907372">
        <w:rPr>
          <w:rFonts w:ascii="Garamond" w:hAnsi="Garamond" w:cs="Times New Roman"/>
        </w:rPr>
        <w:t>) is becom</w:t>
      </w:r>
      <w:r w:rsidR="00EF0637">
        <w:rPr>
          <w:rFonts w:ascii="Garamond" w:hAnsi="Garamond" w:cs="Times New Roman"/>
        </w:rPr>
        <w:t>ing</w:t>
      </w:r>
      <w:r w:rsidR="00907372">
        <w:rPr>
          <w:rFonts w:ascii="Garamond" w:hAnsi="Garamond" w:cs="Times New Roman"/>
        </w:rPr>
        <w:t xml:space="preserve"> obsolete as developed countries move from an inflationary to deflationary environment</w:t>
      </w:r>
      <w:r w:rsidR="00EF0637">
        <w:rPr>
          <w:rFonts w:ascii="Garamond" w:hAnsi="Garamond" w:cs="Times New Roman"/>
        </w:rPr>
        <w:t>.</w:t>
      </w:r>
      <w:r w:rsidR="00907372">
        <w:rPr>
          <w:rFonts w:ascii="Garamond" w:hAnsi="Garamond" w:cs="Times New Roman"/>
        </w:rPr>
        <w:t xml:space="preserve"> </w:t>
      </w:r>
      <w:r w:rsidR="00EF0637">
        <w:rPr>
          <w:rFonts w:ascii="Garamond" w:hAnsi="Garamond" w:cs="Times New Roman"/>
        </w:rPr>
        <w:t>G</w:t>
      </w:r>
      <w:r w:rsidR="00907372">
        <w:rPr>
          <w:rFonts w:ascii="Garamond" w:hAnsi="Garamond" w:cs="Times New Roman"/>
        </w:rPr>
        <w:t>reater flexibility</w:t>
      </w:r>
      <w:r w:rsidR="000331A8">
        <w:rPr>
          <w:rFonts w:ascii="Garamond" w:hAnsi="Garamond" w:cs="Times New Roman"/>
        </w:rPr>
        <w:t xml:space="preserve"> </w:t>
      </w:r>
      <w:r w:rsidR="00C53E5E">
        <w:rPr>
          <w:rFonts w:ascii="Garamond" w:hAnsi="Garamond" w:cs="Times New Roman"/>
        </w:rPr>
        <w:t xml:space="preserve">is </w:t>
      </w:r>
      <w:r w:rsidR="00907372">
        <w:rPr>
          <w:rFonts w:ascii="Garamond" w:hAnsi="Garamond" w:cs="Times New Roman"/>
        </w:rPr>
        <w:t xml:space="preserve">now becoming </w:t>
      </w:r>
      <w:r w:rsidR="00C53E5E">
        <w:rPr>
          <w:rFonts w:ascii="Garamond" w:hAnsi="Garamond" w:cs="Times New Roman"/>
        </w:rPr>
        <w:t xml:space="preserve">an </w:t>
      </w:r>
      <w:r w:rsidR="00907372">
        <w:rPr>
          <w:rFonts w:ascii="Garamond" w:hAnsi="Garamond" w:cs="Times New Roman"/>
        </w:rPr>
        <w:t xml:space="preserve">asset in helping countries </w:t>
      </w:r>
      <w:r w:rsidR="009E0919">
        <w:rPr>
          <w:rFonts w:ascii="Garamond" w:hAnsi="Garamond" w:cs="Times New Roman"/>
        </w:rPr>
        <w:t>reduce the real burden of debt and lower the risk of debt default</w:t>
      </w:r>
      <w:r w:rsidR="00EF0637">
        <w:rPr>
          <w:rFonts w:ascii="Garamond" w:hAnsi="Garamond" w:cs="Times New Roman"/>
        </w:rPr>
        <w:t>.</w:t>
      </w:r>
    </w:p>
    <w:p w14:paraId="70605F0B" w14:textId="207ED7A4" w:rsidR="003C74D4" w:rsidRPr="00614418" w:rsidRDefault="003C74D4" w:rsidP="000F2722">
      <w:pPr>
        <w:spacing w:line="360" w:lineRule="auto"/>
        <w:ind w:firstLine="720"/>
        <w:jc w:val="both"/>
        <w:rPr>
          <w:rFonts w:ascii="Garamond" w:hAnsi="Garamond" w:cs="Times New Roman"/>
        </w:rPr>
      </w:pPr>
      <w:r w:rsidRPr="00614418">
        <w:rPr>
          <w:rFonts w:ascii="Garamond" w:hAnsi="Garamond" w:cs="Times New Roman"/>
        </w:rPr>
        <w:t>In other words, our paper nuances our understanding of the market-government nexus in developed countries by shedding light on the ways</w:t>
      </w:r>
      <w:r w:rsidR="007949E3">
        <w:rPr>
          <w:rFonts w:ascii="Garamond" w:hAnsi="Garamond" w:cs="Times New Roman"/>
        </w:rPr>
        <w:t xml:space="preserve"> in which</w:t>
      </w:r>
      <w:r w:rsidRPr="00614418">
        <w:rPr>
          <w:rFonts w:ascii="Garamond" w:hAnsi="Garamond" w:cs="Times New Roman"/>
        </w:rPr>
        <w:t xml:space="preserve"> governments might lo</w:t>
      </w:r>
      <w:r w:rsidR="00050B80" w:rsidRPr="00614418">
        <w:rPr>
          <w:rFonts w:ascii="Garamond" w:hAnsi="Garamond" w:cs="Times New Roman"/>
        </w:rPr>
        <w:t>osen market constraints on some</w:t>
      </w:r>
      <w:r w:rsidRPr="00614418">
        <w:rPr>
          <w:rFonts w:ascii="Garamond" w:hAnsi="Garamond" w:cs="Times New Roman"/>
        </w:rPr>
        <w:t xml:space="preserve"> policy choices by committing to long-term policy regimes, and on the implications of such commitments under changing economic and market conditions. In this regard, the paper bridges the gap between the ‘golden straightjacket’ debate, which focuses on the reactions of bond yields to </w:t>
      </w:r>
      <w:r w:rsidRPr="00614418">
        <w:rPr>
          <w:rFonts w:ascii="Garamond" w:hAnsi="Garamond" w:cs="Times New Roman"/>
          <w:i/>
        </w:rPr>
        <w:t>policy choices</w:t>
      </w:r>
      <w:r w:rsidRPr="00614418">
        <w:rPr>
          <w:rFonts w:ascii="Garamond" w:hAnsi="Garamond" w:cs="Times New Roman"/>
        </w:rPr>
        <w:t xml:space="preserve"> and a related but disparate literature which explores the response of bond yields to </w:t>
      </w:r>
      <w:r w:rsidRPr="00614418">
        <w:rPr>
          <w:rFonts w:ascii="Garamond" w:hAnsi="Garamond" w:cs="Times New Roman"/>
          <w:i/>
        </w:rPr>
        <w:t>institutional factors</w:t>
      </w:r>
      <w:r w:rsidRPr="00614418">
        <w:rPr>
          <w:rFonts w:ascii="Garamond" w:hAnsi="Garamond" w:cs="Times New Roman"/>
        </w:rPr>
        <w:t xml:space="preserve"> (</w:t>
      </w:r>
      <w:r w:rsidR="000F2722" w:rsidRPr="00614418">
        <w:rPr>
          <w:rFonts w:ascii="Garamond" w:hAnsi="Garamond" w:cs="Times New Roman"/>
        </w:rPr>
        <w:t xml:space="preserve">such as </w:t>
      </w:r>
      <w:r w:rsidR="000F29C7" w:rsidRPr="00614418">
        <w:rPr>
          <w:rFonts w:ascii="Garamond" w:hAnsi="Garamond" w:cs="Times New Roman"/>
        </w:rPr>
        <w:t>political</w:t>
      </w:r>
      <w:r w:rsidR="000F2722" w:rsidRPr="00614418">
        <w:rPr>
          <w:rFonts w:ascii="Garamond" w:hAnsi="Garamond" w:cs="Times New Roman"/>
        </w:rPr>
        <w:t xml:space="preserve"> institutions</w:t>
      </w:r>
      <w:r w:rsidR="000F29C7" w:rsidRPr="00614418">
        <w:rPr>
          <w:rFonts w:ascii="Garamond" w:hAnsi="Garamond" w:cs="Times New Roman"/>
        </w:rPr>
        <w:t>,</w:t>
      </w:r>
      <w:r w:rsidR="000F2722" w:rsidRPr="00614418">
        <w:rPr>
          <w:rFonts w:ascii="Garamond" w:hAnsi="Garamond" w:cs="Times New Roman"/>
        </w:rPr>
        <w:t xml:space="preserve"> </w:t>
      </w:r>
      <w:r w:rsidR="000F29C7" w:rsidRPr="00614418">
        <w:rPr>
          <w:rFonts w:ascii="Garamond" w:hAnsi="Garamond" w:cs="Times New Roman"/>
        </w:rPr>
        <w:t xml:space="preserve">independent </w:t>
      </w:r>
      <w:r w:rsidR="000F2722" w:rsidRPr="00614418">
        <w:rPr>
          <w:rFonts w:ascii="Garamond" w:hAnsi="Garamond" w:cs="Times New Roman"/>
        </w:rPr>
        <w:t>central banks,</w:t>
      </w:r>
      <w:r w:rsidR="000F29C7" w:rsidRPr="00614418">
        <w:rPr>
          <w:rFonts w:ascii="Garamond" w:hAnsi="Garamond" w:cs="Times New Roman"/>
        </w:rPr>
        <w:t xml:space="preserve"> fiscal institutions </w:t>
      </w:r>
      <w:proofErr w:type="spellStart"/>
      <w:r w:rsidR="000F29C7" w:rsidRPr="00614418">
        <w:rPr>
          <w:rFonts w:ascii="Garamond" w:hAnsi="Garamond" w:cs="Times New Roman"/>
        </w:rPr>
        <w:t>etc</w:t>
      </w:r>
      <w:proofErr w:type="spellEnd"/>
      <w:r w:rsidR="000F29C7" w:rsidRPr="00614418">
        <w:rPr>
          <w:rStyle w:val="FootnoteReference"/>
          <w:rFonts w:ascii="Garamond" w:hAnsi="Garamond" w:cs="Times New Roman"/>
        </w:rPr>
        <w:footnoteReference w:id="4"/>
      </w:r>
      <w:r w:rsidRPr="00614418">
        <w:rPr>
          <w:rFonts w:ascii="Garamond" w:hAnsi="Garamond" w:cs="Times New Roman"/>
        </w:rPr>
        <w:t xml:space="preserve">). </w:t>
      </w:r>
      <w:proofErr w:type="gramStart"/>
      <w:r w:rsidRPr="00614418">
        <w:rPr>
          <w:rFonts w:ascii="Garamond" w:hAnsi="Garamond" w:cs="Times New Roman"/>
        </w:rPr>
        <w:t>Similarly</w:t>
      </w:r>
      <w:proofErr w:type="gramEnd"/>
      <w:r w:rsidRPr="00614418">
        <w:rPr>
          <w:rFonts w:ascii="Garamond" w:hAnsi="Garamond" w:cs="Times New Roman"/>
        </w:rPr>
        <w:t xml:space="preserve"> to </w:t>
      </w:r>
      <w:r w:rsidR="008A361D" w:rsidRPr="00614418">
        <w:rPr>
          <w:rFonts w:ascii="Garamond" w:hAnsi="Garamond" w:cs="Times New Roman"/>
        </w:rPr>
        <w:t xml:space="preserve">the latter </w:t>
      </w:r>
      <w:r w:rsidRPr="00614418">
        <w:rPr>
          <w:rFonts w:ascii="Garamond" w:hAnsi="Garamond" w:cs="Times New Roman"/>
        </w:rPr>
        <w:t xml:space="preserve">studies, the paper </w:t>
      </w:r>
      <w:r w:rsidR="007949E3">
        <w:rPr>
          <w:rFonts w:ascii="Garamond" w:hAnsi="Garamond" w:cs="Times New Roman"/>
        </w:rPr>
        <w:t>explores</w:t>
      </w:r>
      <w:r w:rsidR="007949E3" w:rsidRPr="00614418">
        <w:rPr>
          <w:rFonts w:ascii="Garamond" w:hAnsi="Garamond" w:cs="Times New Roman"/>
        </w:rPr>
        <w:t xml:space="preserve"> </w:t>
      </w:r>
      <w:r w:rsidRPr="00614418">
        <w:rPr>
          <w:rFonts w:ascii="Garamond" w:hAnsi="Garamond" w:cs="Times New Roman"/>
        </w:rPr>
        <w:t>the impact of</w:t>
      </w:r>
      <w:r w:rsidR="000F2722" w:rsidRPr="00614418">
        <w:rPr>
          <w:rFonts w:ascii="Garamond" w:hAnsi="Garamond" w:cs="Times New Roman"/>
        </w:rPr>
        <w:t xml:space="preserve"> </w:t>
      </w:r>
      <w:r w:rsidRPr="00614418">
        <w:rPr>
          <w:rFonts w:ascii="Garamond" w:hAnsi="Garamond" w:cs="Times New Roman"/>
        </w:rPr>
        <w:t>commitment device</w:t>
      </w:r>
      <w:r w:rsidR="007949E3">
        <w:rPr>
          <w:rFonts w:ascii="Garamond" w:hAnsi="Garamond" w:cs="Times New Roman"/>
        </w:rPr>
        <w:t>s</w:t>
      </w:r>
      <w:r w:rsidR="008A361D" w:rsidRPr="00614418">
        <w:rPr>
          <w:rFonts w:ascii="Garamond" w:hAnsi="Garamond" w:cs="Times New Roman"/>
        </w:rPr>
        <w:t xml:space="preserve"> on </w:t>
      </w:r>
      <w:r w:rsidR="00E70941" w:rsidRPr="00614418">
        <w:rPr>
          <w:rFonts w:ascii="Garamond" w:hAnsi="Garamond" w:cs="Times New Roman"/>
        </w:rPr>
        <w:t>sovereigns’</w:t>
      </w:r>
      <w:r w:rsidR="008A361D" w:rsidRPr="00614418">
        <w:rPr>
          <w:rFonts w:ascii="Garamond" w:hAnsi="Garamond" w:cs="Times New Roman"/>
        </w:rPr>
        <w:t xml:space="preserve"> credit conditions</w:t>
      </w:r>
      <w:r w:rsidRPr="00614418">
        <w:rPr>
          <w:rFonts w:ascii="Garamond" w:hAnsi="Garamond" w:cs="Times New Roman"/>
        </w:rPr>
        <w:t xml:space="preserve">, but </w:t>
      </w:r>
      <w:r w:rsidR="000F2722" w:rsidRPr="00614418">
        <w:rPr>
          <w:rFonts w:ascii="Garamond" w:hAnsi="Garamond" w:cs="Times New Roman"/>
        </w:rPr>
        <w:t>it expands</w:t>
      </w:r>
      <w:r w:rsidRPr="00614418">
        <w:rPr>
          <w:rFonts w:ascii="Garamond" w:hAnsi="Garamond" w:cs="Times New Roman"/>
        </w:rPr>
        <w:t xml:space="preserve"> the focus from their direct effect on yields to their </w:t>
      </w:r>
      <w:r w:rsidR="00867DBF" w:rsidRPr="00614418">
        <w:rPr>
          <w:rFonts w:ascii="Garamond" w:hAnsi="Garamond" w:cs="Times New Roman"/>
        </w:rPr>
        <w:t xml:space="preserve">implications for </w:t>
      </w:r>
      <w:r w:rsidR="000F2722" w:rsidRPr="00614418">
        <w:rPr>
          <w:rFonts w:ascii="Garamond" w:hAnsi="Garamond" w:cs="Times New Roman"/>
        </w:rPr>
        <w:t xml:space="preserve">governments’ ‘room to move’ </w:t>
      </w:r>
      <w:r w:rsidRPr="00614418">
        <w:rPr>
          <w:rFonts w:ascii="Garamond" w:hAnsi="Garamond" w:cs="Times New Roman"/>
        </w:rPr>
        <w:t>in a broader set of policy areas</w:t>
      </w:r>
      <w:r w:rsidR="007A71B8" w:rsidRPr="00614418">
        <w:rPr>
          <w:rFonts w:ascii="Garamond" w:hAnsi="Garamond" w:cs="Times New Roman"/>
        </w:rPr>
        <w:t xml:space="preserve"> (</w:t>
      </w:r>
      <w:r w:rsidR="00ED0103" w:rsidRPr="00614418">
        <w:rPr>
          <w:rFonts w:ascii="Garamond" w:hAnsi="Garamond" w:cs="Times New Roman"/>
        </w:rPr>
        <w:t>not only inflation, debt and fiscal deficits, but also</w:t>
      </w:r>
      <w:r w:rsidR="007A71B8" w:rsidRPr="00614418">
        <w:rPr>
          <w:rFonts w:ascii="Garamond" w:hAnsi="Garamond" w:cs="Times New Roman"/>
        </w:rPr>
        <w:t xml:space="preserve"> social spending and </w:t>
      </w:r>
      <w:r w:rsidR="007C5D3A" w:rsidRPr="00614418">
        <w:rPr>
          <w:rFonts w:ascii="Garamond" w:hAnsi="Garamond" w:cs="Times New Roman"/>
        </w:rPr>
        <w:t>entitlements</w:t>
      </w:r>
      <w:r w:rsidR="007A71B8" w:rsidRPr="00614418">
        <w:rPr>
          <w:rFonts w:ascii="Garamond" w:hAnsi="Garamond" w:cs="Times New Roman"/>
        </w:rPr>
        <w:t>)</w:t>
      </w:r>
      <w:r w:rsidR="007A013B" w:rsidRPr="00614418">
        <w:rPr>
          <w:rFonts w:ascii="Garamond" w:hAnsi="Garamond" w:cs="Times New Roman"/>
        </w:rPr>
        <w:t>.</w:t>
      </w:r>
    </w:p>
    <w:p w14:paraId="4B04E1E7" w14:textId="52B3E88F" w:rsidR="008D62A6" w:rsidRPr="00614418" w:rsidRDefault="002F2AB9" w:rsidP="002F2AB9">
      <w:pPr>
        <w:spacing w:line="360" w:lineRule="auto"/>
        <w:ind w:firstLine="720"/>
        <w:jc w:val="both"/>
        <w:rPr>
          <w:rFonts w:ascii="Garamond" w:hAnsi="Garamond" w:cs="Times New Roman"/>
        </w:rPr>
      </w:pPr>
      <w:r w:rsidRPr="00614418">
        <w:rPr>
          <w:rFonts w:ascii="Garamond" w:hAnsi="Garamond" w:cs="Times New Roman"/>
        </w:rPr>
        <w:t xml:space="preserve">The paper proceeds as follows. The next section explores how credible commitment to monetary policy goals might affect the way investors monitor and penalize policy choices in fiscal policy areas, especially politically sensitive supply-side decisions. </w:t>
      </w:r>
      <w:r w:rsidR="00CE04C2" w:rsidRPr="00614418">
        <w:rPr>
          <w:rFonts w:ascii="Garamond" w:hAnsi="Garamond" w:cs="Times New Roman"/>
        </w:rPr>
        <w:t>We then</w:t>
      </w:r>
      <w:r w:rsidRPr="00614418">
        <w:rPr>
          <w:rFonts w:ascii="Garamond" w:hAnsi="Garamond" w:cs="Times New Roman"/>
        </w:rPr>
        <w:t xml:space="preserve"> present our empirical strategy </w:t>
      </w:r>
      <w:r w:rsidR="00087B28" w:rsidRPr="00614418">
        <w:rPr>
          <w:rFonts w:ascii="Garamond" w:hAnsi="Garamond" w:cs="Times New Roman"/>
        </w:rPr>
        <w:t>before testing</w:t>
      </w:r>
      <w:r w:rsidRPr="00614418">
        <w:rPr>
          <w:rFonts w:ascii="Garamond" w:hAnsi="Garamond" w:cs="Times New Roman"/>
        </w:rPr>
        <w:t xml:space="preserve"> our hypotheses</w:t>
      </w:r>
      <w:r w:rsidR="00B702CE" w:rsidRPr="00614418">
        <w:rPr>
          <w:rFonts w:ascii="Garamond" w:hAnsi="Garamond" w:cs="Times New Roman"/>
        </w:rPr>
        <w:t xml:space="preserve">. The </w:t>
      </w:r>
      <w:r w:rsidR="00B24251">
        <w:rPr>
          <w:rFonts w:ascii="Garamond" w:hAnsi="Garamond" w:cs="Times New Roman"/>
        </w:rPr>
        <w:t xml:space="preserve">final section provides a compact discussion of results and lays out </w:t>
      </w:r>
      <w:r w:rsidR="000331A8">
        <w:rPr>
          <w:rFonts w:ascii="Garamond" w:hAnsi="Garamond" w:cs="Times New Roman"/>
        </w:rPr>
        <w:t xml:space="preserve">the implications of our findings for </w:t>
      </w:r>
      <w:r w:rsidR="00872C1A">
        <w:rPr>
          <w:rFonts w:ascii="Garamond" w:hAnsi="Garamond" w:cs="Times New Roman"/>
        </w:rPr>
        <w:t xml:space="preserve">several </w:t>
      </w:r>
      <w:r w:rsidR="000331A8">
        <w:rPr>
          <w:rFonts w:ascii="Garamond" w:hAnsi="Garamond" w:cs="Times New Roman"/>
        </w:rPr>
        <w:t>IPE literatures.</w:t>
      </w:r>
    </w:p>
    <w:p w14:paraId="4EECDCC2" w14:textId="77777777" w:rsidR="002F2AB9" w:rsidRPr="00614418" w:rsidRDefault="002F2AB9" w:rsidP="008D62A6">
      <w:pPr>
        <w:spacing w:line="360" w:lineRule="auto"/>
        <w:jc w:val="both"/>
        <w:rPr>
          <w:rFonts w:ascii="Garamond" w:hAnsi="Garamond" w:cs="Times New Roman"/>
        </w:rPr>
      </w:pPr>
    </w:p>
    <w:p w14:paraId="6A39E329" w14:textId="06A8A125" w:rsidR="008D62A6" w:rsidRPr="00614418" w:rsidRDefault="008D62A6" w:rsidP="00BD59FD">
      <w:pPr>
        <w:keepNext/>
        <w:spacing w:line="360" w:lineRule="auto"/>
        <w:jc w:val="both"/>
        <w:rPr>
          <w:rFonts w:ascii="Garamond" w:hAnsi="Garamond" w:cs="Times New Roman"/>
          <w:b/>
          <w:bCs/>
          <w:iCs/>
        </w:rPr>
      </w:pPr>
      <w:r w:rsidRPr="000331A8">
        <w:rPr>
          <w:rFonts w:ascii="Garamond" w:hAnsi="Garamond" w:cs="Times New Roman"/>
          <w:b/>
          <w:bCs/>
          <w:iCs/>
        </w:rPr>
        <w:t>Commitment devices and policy autonomy from a theoretical perspective</w:t>
      </w:r>
    </w:p>
    <w:p w14:paraId="37EE70B2" w14:textId="4120DFF7" w:rsidR="000F29C7" w:rsidRPr="00614418" w:rsidRDefault="00BF6E04" w:rsidP="00BA031A">
      <w:pPr>
        <w:spacing w:line="360" w:lineRule="auto"/>
        <w:ind w:firstLine="720"/>
        <w:jc w:val="both"/>
        <w:rPr>
          <w:rFonts w:ascii="Garamond" w:hAnsi="Garamond" w:cs="Times New Roman"/>
        </w:rPr>
      </w:pPr>
      <w:r w:rsidRPr="00614418">
        <w:rPr>
          <w:rFonts w:ascii="Garamond" w:hAnsi="Garamond" w:cs="Times New Roman"/>
        </w:rPr>
        <w:t xml:space="preserve">Political economists have long recognized the choice of exchange rate regimes as one of the most fundamental long-term policy decisions a country can take, at least since Polányi called attention to the historical significance of the gold standard in cementing a liberal economic order (Polányi 1944). Strict adherence to fixed exchange rates requires policies that privilege disinflation over other policy </w:t>
      </w:r>
      <w:r w:rsidRPr="00614418">
        <w:rPr>
          <w:rFonts w:ascii="Garamond" w:hAnsi="Garamond" w:cs="Times New Roman"/>
        </w:rPr>
        <w:lastRenderedPageBreak/>
        <w:t>goals</w:t>
      </w:r>
      <w:r w:rsidR="006F628F" w:rsidRPr="00614418">
        <w:rPr>
          <w:rFonts w:ascii="Garamond" w:hAnsi="Garamond" w:cs="Times New Roman"/>
        </w:rPr>
        <w:t>,</w:t>
      </w:r>
      <w:r w:rsidRPr="00614418">
        <w:rPr>
          <w:rFonts w:ascii="Garamond" w:hAnsi="Garamond" w:cs="Times New Roman"/>
        </w:rPr>
        <w:t xml:space="preserve"> and invariably </w:t>
      </w:r>
      <w:r w:rsidR="006F628F" w:rsidRPr="00614418">
        <w:rPr>
          <w:rFonts w:ascii="Garamond" w:hAnsi="Garamond" w:cs="Times New Roman"/>
        </w:rPr>
        <w:t>force</w:t>
      </w:r>
      <w:r w:rsidR="00FD6DFC" w:rsidRPr="00614418">
        <w:rPr>
          <w:rFonts w:ascii="Garamond" w:hAnsi="Garamond" w:cs="Times New Roman"/>
        </w:rPr>
        <w:t>s</w:t>
      </w:r>
      <w:r w:rsidR="006F628F" w:rsidRPr="00614418">
        <w:rPr>
          <w:rFonts w:ascii="Garamond" w:hAnsi="Garamond" w:cs="Times New Roman"/>
        </w:rPr>
        <w:t xml:space="preserve"> </w:t>
      </w:r>
      <w:r w:rsidR="00FD6DFC" w:rsidRPr="00614418">
        <w:rPr>
          <w:rFonts w:ascii="Garamond" w:hAnsi="Garamond" w:cs="Times New Roman"/>
        </w:rPr>
        <w:t xml:space="preserve">even </w:t>
      </w:r>
      <w:r w:rsidR="006F628F" w:rsidRPr="00614418">
        <w:rPr>
          <w:rFonts w:ascii="Garamond" w:hAnsi="Garamond" w:cs="Times New Roman"/>
        </w:rPr>
        <w:t xml:space="preserve">countries that </w:t>
      </w:r>
      <w:r w:rsidR="00891A3D" w:rsidRPr="00614418">
        <w:rPr>
          <w:rFonts w:ascii="Garamond" w:hAnsi="Garamond" w:cs="Times New Roman"/>
        </w:rPr>
        <w:t>might</w:t>
      </w:r>
      <w:r w:rsidR="00FD6DFC" w:rsidRPr="00614418">
        <w:rPr>
          <w:rFonts w:ascii="Garamond" w:hAnsi="Garamond" w:cs="Times New Roman"/>
        </w:rPr>
        <w:t xml:space="preserve"> otherwise</w:t>
      </w:r>
      <w:r w:rsidR="006F628F" w:rsidRPr="00614418">
        <w:rPr>
          <w:rFonts w:ascii="Garamond" w:hAnsi="Garamond" w:cs="Times New Roman"/>
        </w:rPr>
        <w:t xml:space="preserve"> prioritize employment and/or </w:t>
      </w:r>
      <w:r w:rsidR="00D97227" w:rsidRPr="00614418">
        <w:rPr>
          <w:rFonts w:ascii="Garamond" w:hAnsi="Garamond" w:cs="Times New Roman"/>
        </w:rPr>
        <w:t>redistribution</w:t>
      </w:r>
      <w:r w:rsidR="006F628F" w:rsidRPr="00614418">
        <w:rPr>
          <w:rFonts w:ascii="Garamond" w:hAnsi="Garamond" w:cs="Times New Roman"/>
        </w:rPr>
        <w:t xml:space="preserve"> over low inflation to </w:t>
      </w:r>
      <w:r w:rsidRPr="00614418">
        <w:rPr>
          <w:rFonts w:ascii="Garamond" w:hAnsi="Garamond" w:cs="Times New Roman"/>
        </w:rPr>
        <w:t xml:space="preserve">adjust to cross-national disequilibria </w:t>
      </w:r>
      <w:r w:rsidR="006F628F" w:rsidRPr="00614418">
        <w:rPr>
          <w:rFonts w:ascii="Garamond" w:hAnsi="Garamond" w:cs="Times New Roman"/>
        </w:rPr>
        <w:t>by pursuing deflationary macroeconomic policies</w:t>
      </w:r>
      <w:r w:rsidR="00B24251">
        <w:rPr>
          <w:rFonts w:ascii="Garamond" w:hAnsi="Garamond" w:cs="Times New Roman"/>
        </w:rPr>
        <w:t xml:space="preserve"> (see Hall 1994 and Iversen</w:t>
      </w:r>
      <w:r w:rsidR="00A1551B" w:rsidRPr="00614418">
        <w:rPr>
          <w:rFonts w:ascii="Garamond" w:hAnsi="Garamond" w:cs="Times New Roman"/>
        </w:rPr>
        <w:t xml:space="preserve"> 1998)</w:t>
      </w:r>
      <w:r w:rsidRPr="00614418">
        <w:rPr>
          <w:rFonts w:ascii="Garamond" w:hAnsi="Garamond" w:cs="Times New Roman"/>
        </w:rPr>
        <w:t>.</w:t>
      </w:r>
      <w:r w:rsidR="00FD6DFC" w:rsidRPr="00614418">
        <w:rPr>
          <w:rFonts w:ascii="Garamond" w:hAnsi="Garamond" w:cs="Times New Roman"/>
        </w:rPr>
        <w:t xml:space="preserve"> </w:t>
      </w:r>
      <w:r w:rsidRPr="00614418">
        <w:rPr>
          <w:rFonts w:ascii="Garamond" w:hAnsi="Garamond" w:cs="Times New Roman"/>
        </w:rPr>
        <w:t xml:space="preserve">Accordingly, the widespread adoption of </w:t>
      </w:r>
      <w:r w:rsidR="00FD6DFC" w:rsidRPr="00614418">
        <w:rPr>
          <w:rFonts w:ascii="Garamond" w:hAnsi="Garamond" w:cs="Times New Roman"/>
        </w:rPr>
        <w:t>fixed exchange rates among developed countries –</w:t>
      </w:r>
      <w:r w:rsidR="006F628F" w:rsidRPr="00614418">
        <w:rPr>
          <w:rFonts w:ascii="Garamond" w:hAnsi="Garamond" w:cs="Times New Roman"/>
        </w:rPr>
        <w:t xml:space="preserve"> first within the framework of the European Monetary System, later in the Economic and Monetary Union</w:t>
      </w:r>
      <w:r w:rsidR="00FD6DFC" w:rsidRPr="00614418">
        <w:rPr>
          <w:rFonts w:ascii="Garamond" w:hAnsi="Garamond" w:cs="Times New Roman"/>
        </w:rPr>
        <w:t xml:space="preserve"> – has sometimes been interpreted as the triumph of neoliberalism across developed countries</w:t>
      </w:r>
      <w:r w:rsidRPr="00614418">
        <w:rPr>
          <w:rFonts w:ascii="Garamond" w:hAnsi="Garamond" w:cs="Times New Roman"/>
        </w:rPr>
        <w:t xml:space="preserve">, </w:t>
      </w:r>
      <w:r w:rsidR="00FD6DFC" w:rsidRPr="00614418">
        <w:rPr>
          <w:rFonts w:ascii="Garamond" w:hAnsi="Garamond" w:cs="Times New Roman"/>
        </w:rPr>
        <w:t>along with the implementation of other</w:t>
      </w:r>
      <w:r w:rsidRPr="00614418">
        <w:rPr>
          <w:rFonts w:ascii="Garamond" w:hAnsi="Garamond" w:cs="Times New Roman"/>
        </w:rPr>
        <w:t xml:space="preserve"> </w:t>
      </w:r>
      <w:r w:rsidR="00FD6DFC" w:rsidRPr="00614418">
        <w:rPr>
          <w:rFonts w:ascii="Garamond" w:hAnsi="Garamond" w:cs="Times New Roman"/>
        </w:rPr>
        <w:t xml:space="preserve">monetary commitment devices that enshrine the primacy of low inflation over other policy goals, such </w:t>
      </w:r>
      <w:r w:rsidR="000F29C7" w:rsidRPr="00614418">
        <w:rPr>
          <w:rFonts w:ascii="Garamond" w:hAnsi="Garamond" w:cs="Times New Roman"/>
        </w:rPr>
        <w:t xml:space="preserve">as </w:t>
      </w:r>
      <w:r w:rsidRPr="00614418">
        <w:rPr>
          <w:rFonts w:ascii="Garamond" w:hAnsi="Garamond" w:cs="Times New Roman"/>
        </w:rPr>
        <w:t>the delegation of monetary policy to independent central banks (McNamara 199</w:t>
      </w:r>
      <w:r w:rsidR="00032923">
        <w:rPr>
          <w:rFonts w:ascii="Garamond" w:hAnsi="Garamond" w:cs="Times New Roman"/>
        </w:rPr>
        <w:t>9</w:t>
      </w:r>
      <w:r w:rsidRPr="00614418">
        <w:rPr>
          <w:rFonts w:ascii="Garamond" w:hAnsi="Garamond" w:cs="Times New Roman"/>
        </w:rPr>
        <w:t>, Johns</w:t>
      </w:r>
      <w:r w:rsidR="00A1551B" w:rsidRPr="00614418">
        <w:rPr>
          <w:rFonts w:ascii="Garamond" w:hAnsi="Garamond" w:cs="Times New Roman"/>
        </w:rPr>
        <w:t>t</w:t>
      </w:r>
      <w:r w:rsidRPr="00614418">
        <w:rPr>
          <w:rFonts w:ascii="Garamond" w:hAnsi="Garamond" w:cs="Times New Roman"/>
        </w:rPr>
        <w:t>on 2016,</w:t>
      </w:r>
      <w:r w:rsidR="00EA5ACD">
        <w:rPr>
          <w:rFonts w:ascii="Garamond" w:hAnsi="Garamond" w:cs="Times New Roman"/>
        </w:rPr>
        <w:t xml:space="preserve"> Blyth and </w:t>
      </w:r>
      <w:r w:rsidR="00EA5ACD" w:rsidRPr="00EA5ACD">
        <w:rPr>
          <w:rFonts w:ascii="Garamond" w:hAnsi="Garamond" w:cs="Times New Roman"/>
        </w:rPr>
        <w:t>Matthijs 2017</w:t>
      </w:r>
      <w:r w:rsidR="00EA5ACD">
        <w:rPr>
          <w:rFonts w:ascii="Garamond" w:hAnsi="Garamond" w:cs="Times New Roman"/>
        </w:rPr>
        <w:t>).</w:t>
      </w:r>
      <w:r w:rsidRPr="00614418">
        <w:rPr>
          <w:rFonts w:ascii="Garamond" w:hAnsi="Garamond" w:cs="Times New Roman"/>
        </w:rPr>
        <w:t xml:space="preserve"> </w:t>
      </w:r>
    </w:p>
    <w:p w14:paraId="0F6F3AC9" w14:textId="7C14E0B7" w:rsidR="00FD6DFC" w:rsidRPr="00614418" w:rsidRDefault="006F628F" w:rsidP="00BA031A">
      <w:pPr>
        <w:spacing w:line="360" w:lineRule="auto"/>
        <w:ind w:firstLine="720"/>
        <w:jc w:val="both"/>
        <w:rPr>
          <w:rFonts w:ascii="Garamond" w:hAnsi="Garamond" w:cs="Times New Roman"/>
        </w:rPr>
      </w:pPr>
      <w:r w:rsidRPr="00614418">
        <w:rPr>
          <w:rFonts w:ascii="Garamond" w:hAnsi="Garamond" w:cs="Times New Roman"/>
        </w:rPr>
        <w:t xml:space="preserve">Indeed, in parallel with the adoption of these institutions, </w:t>
      </w:r>
      <w:r w:rsidR="00CA2063" w:rsidRPr="00614418">
        <w:rPr>
          <w:rFonts w:ascii="Garamond" w:hAnsi="Garamond" w:cs="Times New Roman"/>
        </w:rPr>
        <w:t xml:space="preserve">policy </w:t>
      </w:r>
      <w:r w:rsidR="00ED0103" w:rsidRPr="00614418">
        <w:rPr>
          <w:rFonts w:ascii="Garamond" w:hAnsi="Garamond" w:cs="Times New Roman"/>
        </w:rPr>
        <w:t>converged</w:t>
      </w:r>
      <w:r w:rsidR="00CA2063" w:rsidRPr="00614418">
        <w:rPr>
          <w:rFonts w:ascii="Garamond" w:hAnsi="Garamond" w:cs="Times New Roman"/>
        </w:rPr>
        <w:t xml:space="preserve"> on a focus on lowering inflation and deficits</w:t>
      </w:r>
      <w:r w:rsidRPr="00614418">
        <w:rPr>
          <w:rFonts w:ascii="Garamond" w:hAnsi="Garamond" w:cs="Times New Roman"/>
        </w:rPr>
        <w:t xml:space="preserve"> across </w:t>
      </w:r>
      <w:r w:rsidR="00ED0103" w:rsidRPr="00614418">
        <w:rPr>
          <w:rFonts w:ascii="Garamond" w:hAnsi="Garamond" w:cs="Times New Roman"/>
        </w:rPr>
        <w:t>the developed world</w:t>
      </w:r>
      <w:r w:rsidRPr="00614418">
        <w:rPr>
          <w:rFonts w:ascii="Garamond" w:hAnsi="Garamond" w:cs="Times New Roman"/>
        </w:rPr>
        <w:t xml:space="preserve"> from the 1980s</w:t>
      </w:r>
      <w:r w:rsidR="00FD6DFC" w:rsidRPr="00614418">
        <w:rPr>
          <w:rFonts w:ascii="Garamond" w:hAnsi="Garamond" w:cs="Times New Roman"/>
        </w:rPr>
        <w:t xml:space="preserve"> </w:t>
      </w:r>
      <w:r w:rsidR="00962868" w:rsidRPr="00614418">
        <w:rPr>
          <w:rFonts w:ascii="Garamond" w:hAnsi="Garamond" w:cs="Times New Roman"/>
        </w:rPr>
        <w:t>despite high levels of</w:t>
      </w:r>
      <w:r w:rsidR="00FD6DFC" w:rsidRPr="00614418">
        <w:rPr>
          <w:rFonts w:ascii="Garamond" w:hAnsi="Garamond" w:cs="Times New Roman"/>
        </w:rPr>
        <w:t xml:space="preserve"> unemployment </w:t>
      </w:r>
      <w:r w:rsidR="00962868" w:rsidRPr="00614418">
        <w:rPr>
          <w:rFonts w:ascii="Garamond" w:hAnsi="Garamond" w:cs="Times New Roman"/>
        </w:rPr>
        <w:t>in many countries</w:t>
      </w:r>
      <w:r w:rsidRPr="00614418">
        <w:rPr>
          <w:rFonts w:ascii="Garamond" w:hAnsi="Garamond" w:cs="Times New Roman"/>
        </w:rPr>
        <w:t xml:space="preserve"> (</w:t>
      </w:r>
      <w:bookmarkStart w:id="1" w:name="_Hlk79668714"/>
      <w:r w:rsidRPr="00614418">
        <w:rPr>
          <w:rFonts w:ascii="Garamond" w:hAnsi="Garamond" w:cs="Times New Roman"/>
        </w:rPr>
        <w:t>Boix 2000</w:t>
      </w:r>
      <w:bookmarkEnd w:id="1"/>
      <w:r w:rsidR="008F4877">
        <w:rPr>
          <w:rFonts w:ascii="Garamond" w:hAnsi="Garamond" w:cs="Times New Roman"/>
        </w:rPr>
        <w:t>,</w:t>
      </w:r>
      <w:r w:rsidRPr="00614418">
        <w:rPr>
          <w:rFonts w:ascii="Garamond" w:hAnsi="Garamond" w:cs="Times New Roman"/>
        </w:rPr>
        <w:t xml:space="preserve"> </w:t>
      </w:r>
      <w:bookmarkStart w:id="2" w:name="_Hlk79668723"/>
      <w:r w:rsidRPr="00614418">
        <w:rPr>
          <w:rFonts w:ascii="Garamond" w:hAnsi="Garamond" w:cs="Times New Roman"/>
        </w:rPr>
        <w:t>Garrett 1998</w:t>
      </w:r>
      <w:bookmarkEnd w:id="2"/>
      <w:r w:rsidRPr="00614418">
        <w:rPr>
          <w:rFonts w:ascii="Garamond" w:hAnsi="Garamond" w:cs="Times New Roman"/>
        </w:rPr>
        <w:t>)</w:t>
      </w:r>
      <w:r w:rsidR="00FD6DFC" w:rsidRPr="00614418">
        <w:rPr>
          <w:rFonts w:ascii="Garamond" w:hAnsi="Garamond" w:cs="Times New Roman"/>
        </w:rPr>
        <w:t>. This universal policy pattern appear</w:t>
      </w:r>
      <w:r w:rsidR="00D3636C" w:rsidRPr="00614418">
        <w:rPr>
          <w:rFonts w:ascii="Garamond" w:hAnsi="Garamond" w:cs="Times New Roman"/>
        </w:rPr>
        <w:t>ed</w:t>
      </w:r>
      <w:r w:rsidR="00FD6DFC" w:rsidRPr="00614418">
        <w:rPr>
          <w:rFonts w:ascii="Garamond" w:hAnsi="Garamond" w:cs="Times New Roman"/>
        </w:rPr>
        <w:t xml:space="preserve"> to confirm early </w:t>
      </w:r>
      <w:r w:rsidR="00D3636C" w:rsidRPr="00614418">
        <w:rPr>
          <w:rFonts w:ascii="Garamond" w:hAnsi="Garamond" w:cs="Times New Roman"/>
        </w:rPr>
        <w:t>warnings</w:t>
      </w:r>
      <w:r w:rsidR="00FD6DFC" w:rsidRPr="00614418">
        <w:rPr>
          <w:rFonts w:ascii="Garamond" w:hAnsi="Garamond" w:cs="Times New Roman"/>
        </w:rPr>
        <w:t xml:space="preserve"> that – once financial repression ended and capital was able to move freely across borders from the 1980s – ‘bond </w:t>
      </w:r>
      <w:proofErr w:type="gramStart"/>
      <w:r w:rsidR="00FD6DFC" w:rsidRPr="00614418">
        <w:rPr>
          <w:rFonts w:ascii="Garamond" w:hAnsi="Garamond" w:cs="Times New Roman"/>
        </w:rPr>
        <w:t>vigilantes’</w:t>
      </w:r>
      <w:proofErr w:type="gramEnd"/>
      <w:r w:rsidR="00FD6DFC" w:rsidRPr="00614418">
        <w:rPr>
          <w:rFonts w:ascii="Garamond" w:hAnsi="Garamond" w:cs="Times New Roman"/>
        </w:rPr>
        <w:t xml:space="preserve"> would </w:t>
      </w:r>
      <w:r w:rsidR="00962868" w:rsidRPr="00614418">
        <w:rPr>
          <w:rFonts w:ascii="Garamond" w:hAnsi="Garamond" w:cs="Times New Roman"/>
        </w:rPr>
        <w:t>coerce</w:t>
      </w:r>
      <w:r w:rsidR="00FD6DFC" w:rsidRPr="00614418">
        <w:rPr>
          <w:rFonts w:ascii="Garamond" w:hAnsi="Garamond" w:cs="Times New Roman"/>
        </w:rPr>
        <w:t xml:space="preserve"> governments to </w:t>
      </w:r>
      <w:r w:rsidR="00D3636C" w:rsidRPr="00614418">
        <w:rPr>
          <w:rFonts w:ascii="Garamond" w:hAnsi="Garamond" w:cs="Times New Roman"/>
        </w:rPr>
        <w:t>prioritize low</w:t>
      </w:r>
      <w:r w:rsidR="00FD6DFC" w:rsidRPr="00614418">
        <w:rPr>
          <w:rFonts w:ascii="Garamond" w:hAnsi="Garamond" w:cs="Times New Roman"/>
        </w:rPr>
        <w:t xml:space="preserve"> inflation</w:t>
      </w:r>
      <w:r w:rsidR="004A1E17" w:rsidRPr="00614418">
        <w:rPr>
          <w:rFonts w:ascii="Garamond" w:hAnsi="Garamond" w:cs="Times New Roman"/>
        </w:rPr>
        <w:t xml:space="preserve"> </w:t>
      </w:r>
      <w:r w:rsidR="00FD6DFC" w:rsidRPr="00614418">
        <w:rPr>
          <w:rFonts w:ascii="Garamond" w:hAnsi="Garamond" w:cs="Times New Roman"/>
        </w:rPr>
        <w:t>by demanding much higher interest rates on bonds in high-inflation environments</w:t>
      </w:r>
      <w:r w:rsidR="00B35F79" w:rsidRPr="00614418">
        <w:rPr>
          <w:rStyle w:val="FootnoteReference"/>
          <w:rFonts w:ascii="Garamond" w:hAnsi="Garamond" w:cs="Times New Roman"/>
        </w:rPr>
        <w:footnoteReference w:id="5"/>
      </w:r>
      <w:r w:rsidR="00FD6DFC" w:rsidRPr="00614418">
        <w:rPr>
          <w:rFonts w:ascii="Garamond" w:hAnsi="Garamond" w:cs="Times New Roman"/>
        </w:rPr>
        <w:t xml:space="preserve"> (</w:t>
      </w:r>
      <w:bookmarkStart w:id="3" w:name="_Hlk79668743"/>
      <w:proofErr w:type="spellStart"/>
      <w:r w:rsidR="00FD6DFC" w:rsidRPr="00614418">
        <w:rPr>
          <w:rFonts w:ascii="Garamond" w:hAnsi="Garamond" w:cs="Times New Roman"/>
        </w:rPr>
        <w:t>Yardeni</w:t>
      </w:r>
      <w:proofErr w:type="spellEnd"/>
      <w:r w:rsidR="00FD6DFC" w:rsidRPr="00614418">
        <w:rPr>
          <w:rFonts w:ascii="Garamond" w:hAnsi="Garamond" w:cs="Times New Roman"/>
        </w:rPr>
        <w:t xml:space="preserve"> 1983</w:t>
      </w:r>
      <w:bookmarkEnd w:id="3"/>
      <w:r w:rsidR="00FD6DFC" w:rsidRPr="00614418">
        <w:rPr>
          <w:rFonts w:ascii="Garamond" w:hAnsi="Garamond" w:cs="Times New Roman"/>
        </w:rPr>
        <w:t>).</w:t>
      </w:r>
      <w:r w:rsidR="00D3636C" w:rsidRPr="00614418">
        <w:rPr>
          <w:rFonts w:ascii="Garamond" w:hAnsi="Garamond" w:cs="Times New Roman"/>
        </w:rPr>
        <w:t xml:space="preserve"> </w:t>
      </w:r>
      <w:r w:rsidR="00EA5ACD">
        <w:rPr>
          <w:rFonts w:ascii="Garamond" w:hAnsi="Garamond" w:cs="Times New Roman"/>
        </w:rPr>
        <w:t xml:space="preserve">Consistent with these premises, </w:t>
      </w:r>
      <w:r w:rsidR="00ED0103" w:rsidRPr="00614418">
        <w:rPr>
          <w:rFonts w:ascii="Garamond" w:hAnsi="Garamond" w:cs="Times New Roman"/>
        </w:rPr>
        <w:t xml:space="preserve">some scholars have found that </w:t>
      </w:r>
      <w:r w:rsidR="00D3636C" w:rsidRPr="00614418">
        <w:rPr>
          <w:rFonts w:ascii="Garamond" w:hAnsi="Garamond" w:cs="Times New Roman"/>
        </w:rPr>
        <w:t xml:space="preserve">inflation </w:t>
      </w:r>
      <w:r w:rsidR="004A4295" w:rsidRPr="00614418">
        <w:rPr>
          <w:rFonts w:ascii="Garamond" w:hAnsi="Garamond" w:cs="Times New Roman"/>
        </w:rPr>
        <w:t>was</w:t>
      </w:r>
      <w:r w:rsidR="00D3636C" w:rsidRPr="00614418">
        <w:rPr>
          <w:rFonts w:ascii="Garamond" w:hAnsi="Garamond" w:cs="Times New Roman"/>
        </w:rPr>
        <w:t xml:space="preserve"> </w:t>
      </w:r>
      <w:r w:rsidR="00ED0103" w:rsidRPr="00614418">
        <w:rPr>
          <w:rFonts w:ascii="Garamond" w:hAnsi="Garamond" w:cs="Times New Roman"/>
        </w:rPr>
        <w:t xml:space="preserve">one of </w:t>
      </w:r>
      <w:r w:rsidR="00D3636C" w:rsidRPr="00614418">
        <w:rPr>
          <w:rFonts w:ascii="Garamond" w:hAnsi="Garamond" w:cs="Times New Roman"/>
        </w:rPr>
        <w:t>the strongest determinant</w:t>
      </w:r>
      <w:r w:rsidR="00ED0103" w:rsidRPr="00614418">
        <w:rPr>
          <w:rFonts w:ascii="Garamond" w:hAnsi="Garamond" w:cs="Times New Roman"/>
        </w:rPr>
        <w:t>s</w:t>
      </w:r>
      <w:r w:rsidR="00D3636C" w:rsidRPr="00614418">
        <w:rPr>
          <w:rFonts w:ascii="Garamond" w:hAnsi="Garamond" w:cs="Times New Roman"/>
        </w:rPr>
        <w:t xml:space="preserve"> of the spreads on bonds of developed country governments </w:t>
      </w:r>
      <w:r w:rsidR="004A4295" w:rsidRPr="00614418">
        <w:rPr>
          <w:rFonts w:ascii="Garamond" w:hAnsi="Garamond" w:cs="Times New Roman"/>
        </w:rPr>
        <w:t>in</w:t>
      </w:r>
      <w:r w:rsidR="00D3636C" w:rsidRPr="00614418">
        <w:rPr>
          <w:rFonts w:ascii="Garamond" w:hAnsi="Garamond" w:cs="Times New Roman"/>
        </w:rPr>
        <w:t xml:space="preserve"> the 1980s</w:t>
      </w:r>
      <w:r w:rsidR="004A4295" w:rsidRPr="00614418">
        <w:rPr>
          <w:rFonts w:ascii="Garamond" w:hAnsi="Garamond" w:cs="Times New Roman"/>
        </w:rPr>
        <w:t xml:space="preserve"> and 1990s</w:t>
      </w:r>
      <w:r w:rsidR="00DA02A0" w:rsidRPr="00614418">
        <w:rPr>
          <w:rFonts w:ascii="Garamond" w:hAnsi="Garamond" w:cs="Times New Roman"/>
        </w:rPr>
        <w:t xml:space="preserve"> until th</w:t>
      </w:r>
      <w:r w:rsidR="008B159F" w:rsidRPr="00614418">
        <w:rPr>
          <w:rFonts w:ascii="Garamond" w:hAnsi="Garamond" w:cs="Times New Roman"/>
        </w:rPr>
        <w:t>e mid-201</w:t>
      </w:r>
      <w:r w:rsidR="00DA02A0" w:rsidRPr="00614418">
        <w:rPr>
          <w:rFonts w:ascii="Garamond" w:hAnsi="Garamond" w:cs="Times New Roman"/>
        </w:rPr>
        <w:t>0s</w:t>
      </w:r>
      <w:r w:rsidR="00D3636C" w:rsidRPr="00614418">
        <w:rPr>
          <w:rFonts w:ascii="Garamond" w:hAnsi="Garamond" w:cs="Times New Roman"/>
        </w:rPr>
        <w:t xml:space="preserve"> (Mosley 2003, p</w:t>
      </w:r>
      <w:r w:rsidR="00B35F79" w:rsidRPr="00614418">
        <w:rPr>
          <w:rFonts w:ascii="Garamond" w:hAnsi="Garamond" w:cs="Times New Roman"/>
        </w:rPr>
        <w:t>80</w:t>
      </w:r>
      <w:r w:rsidR="00D3636C" w:rsidRPr="00614418">
        <w:rPr>
          <w:rFonts w:ascii="Garamond" w:hAnsi="Garamond" w:cs="Times New Roman"/>
        </w:rPr>
        <w:t xml:space="preserve">, </w:t>
      </w:r>
      <w:bookmarkStart w:id="4" w:name="_Hlk79668792"/>
      <w:r w:rsidR="00D3636C" w:rsidRPr="00614418">
        <w:rPr>
          <w:rFonts w:ascii="Garamond" w:hAnsi="Garamond" w:cs="Times New Roman"/>
        </w:rPr>
        <w:t xml:space="preserve">Barta and Johnston 2018 </w:t>
      </w:r>
      <w:bookmarkEnd w:id="4"/>
      <w:r w:rsidR="00D3636C" w:rsidRPr="00614418">
        <w:rPr>
          <w:rFonts w:ascii="Garamond" w:hAnsi="Garamond" w:cs="Times New Roman"/>
        </w:rPr>
        <w:t xml:space="preserve">and </w:t>
      </w:r>
      <w:r w:rsidR="00FF432B" w:rsidRPr="00614418">
        <w:rPr>
          <w:rFonts w:ascii="Garamond" w:hAnsi="Garamond" w:cs="Times New Roman"/>
        </w:rPr>
        <w:t>202</w:t>
      </w:r>
      <w:r w:rsidR="00FF432B">
        <w:rPr>
          <w:rFonts w:ascii="Garamond" w:hAnsi="Garamond" w:cs="Times New Roman"/>
        </w:rPr>
        <w:t>1</w:t>
      </w:r>
      <w:r w:rsidR="00D3636C" w:rsidRPr="00614418">
        <w:rPr>
          <w:rFonts w:ascii="Garamond" w:hAnsi="Garamond" w:cs="Times New Roman"/>
        </w:rPr>
        <w:t>)</w:t>
      </w:r>
      <w:r w:rsidR="00F27799" w:rsidRPr="00614418">
        <w:rPr>
          <w:rFonts w:ascii="Garamond" w:hAnsi="Garamond" w:cs="Times New Roman"/>
        </w:rPr>
        <w:t>.</w:t>
      </w:r>
    </w:p>
    <w:p w14:paraId="646DD906" w14:textId="6AA5EE73" w:rsidR="00D3636C" w:rsidRPr="00614418" w:rsidRDefault="000F29C7" w:rsidP="008313B9">
      <w:pPr>
        <w:spacing w:line="360" w:lineRule="auto"/>
        <w:ind w:firstLine="720"/>
        <w:jc w:val="both"/>
        <w:rPr>
          <w:rFonts w:ascii="Garamond" w:hAnsi="Garamond" w:cs="Times New Roman"/>
        </w:rPr>
      </w:pPr>
      <w:r w:rsidRPr="00614418">
        <w:rPr>
          <w:rFonts w:ascii="Garamond" w:hAnsi="Garamond" w:cs="Times New Roman"/>
        </w:rPr>
        <w:t xml:space="preserve">That said, </w:t>
      </w:r>
      <w:r w:rsidR="0038230A">
        <w:rPr>
          <w:rFonts w:ascii="Garamond" w:hAnsi="Garamond" w:cs="Times New Roman"/>
        </w:rPr>
        <w:t xml:space="preserve">it is unclear whether </w:t>
      </w:r>
      <w:r w:rsidR="005368B0" w:rsidRPr="00614418">
        <w:rPr>
          <w:rFonts w:ascii="Garamond" w:hAnsi="Garamond" w:cs="Times New Roman"/>
        </w:rPr>
        <w:t xml:space="preserve">the </w:t>
      </w:r>
      <w:r w:rsidRPr="00614418">
        <w:rPr>
          <w:rFonts w:ascii="Garamond" w:hAnsi="Garamond" w:cs="Times New Roman"/>
        </w:rPr>
        <w:t xml:space="preserve">widespread </w:t>
      </w:r>
      <w:r w:rsidR="005368B0" w:rsidRPr="00614418">
        <w:rPr>
          <w:rFonts w:ascii="Garamond" w:hAnsi="Garamond" w:cs="Times New Roman"/>
        </w:rPr>
        <w:t xml:space="preserve">surrender to market preferences in </w:t>
      </w:r>
      <w:r w:rsidR="005368B0" w:rsidRPr="008A16E9">
        <w:rPr>
          <w:rFonts w:ascii="Garamond" w:hAnsi="Garamond" w:cs="Times New Roman"/>
          <w:i/>
        </w:rPr>
        <w:t>macroeconomic</w:t>
      </w:r>
      <w:r w:rsidR="005368B0" w:rsidRPr="00614418">
        <w:rPr>
          <w:rFonts w:ascii="Garamond" w:hAnsi="Garamond" w:cs="Times New Roman"/>
        </w:rPr>
        <w:t xml:space="preserve"> policy </w:t>
      </w:r>
      <w:r w:rsidR="004A1E17" w:rsidRPr="00614418">
        <w:rPr>
          <w:rFonts w:ascii="Garamond" w:hAnsi="Garamond" w:cs="Times New Roman"/>
        </w:rPr>
        <w:t xml:space="preserve">led to convergence in </w:t>
      </w:r>
      <w:r w:rsidR="004A1E17" w:rsidRPr="008A16E9">
        <w:rPr>
          <w:rFonts w:ascii="Garamond" w:hAnsi="Garamond" w:cs="Times New Roman"/>
          <w:i/>
        </w:rPr>
        <w:t>all</w:t>
      </w:r>
      <w:r w:rsidR="004A1E17" w:rsidRPr="00614418">
        <w:rPr>
          <w:rFonts w:ascii="Garamond" w:hAnsi="Garamond" w:cs="Times New Roman"/>
        </w:rPr>
        <w:t xml:space="preserve"> </w:t>
      </w:r>
      <w:r w:rsidRPr="00614418">
        <w:rPr>
          <w:rFonts w:ascii="Garamond" w:hAnsi="Garamond" w:cs="Times New Roman"/>
        </w:rPr>
        <w:t>policy areas.</w:t>
      </w:r>
      <w:r w:rsidR="005368B0" w:rsidRPr="00614418">
        <w:rPr>
          <w:rFonts w:ascii="Garamond" w:hAnsi="Garamond" w:cs="Times New Roman"/>
        </w:rPr>
        <w:t xml:space="preserve"> </w:t>
      </w:r>
      <w:r w:rsidR="0038230A">
        <w:rPr>
          <w:rFonts w:ascii="Garamond" w:hAnsi="Garamond" w:cs="Times New Roman"/>
        </w:rPr>
        <w:t>Rather than</w:t>
      </w:r>
      <w:r w:rsidR="00D3636C" w:rsidRPr="00614418">
        <w:rPr>
          <w:rFonts w:ascii="Garamond" w:hAnsi="Garamond" w:cs="Times New Roman"/>
        </w:rPr>
        <w:t xml:space="preserve"> being completely </w:t>
      </w:r>
      <w:r w:rsidR="00137FE8" w:rsidRPr="00614418">
        <w:rPr>
          <w:rFonts w:ascii="Garamond" w:hAnsi="Garamond" w:cs="Times New Roman"/>
        </w:rPr>
        <w:t>constrained</w:t>
      </w:r>
      <w:r w:rsidR="00D3636C" w:rsidRPr="00614418">
        <w:rPr>
          <w:rFonts w:ascii="Garamond" w:hAnsi="Garamond" w:cs="Times New Roman"/>
        </w:rPr>
        <w:t xml:space="preserve"> in their policy choices by a ‘golden straightjacket’ that makes funding conditional on </w:t>
      </w:r>
      <w:r w:rsidR="004A1E17" w:rsidRPr="00614418">
        <w:rPr>
          <w:rFonts w:ascii="Garamond" w:hAnsi="Garamond" w:cs="Times New Roman"/>
        </w:rPr>
        <w:t xml:space="preserve">generalized retrenchment and slashing of public expenditures </w:t>
      </w:r>
      <w:r w:rsidR="004A1E17" w:rsidRPr="00614418">
        <w:rPr>
          <w:rFonts w:ascii="Garamond" w:hAnsi="Garamond" w:cs="Times New Roman"/>
        </w:rPr>
        <w:fldChar w:fldCharType="begin">
          <w:fldData xml:space="preserve">PEVuZE5vdGU+PENpdGU+PEF1dGhvcj5Qb250dXNzb248L0F1dGhvcj48WWVhcj4yMDA1PC9ZZWFy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</w:fldData>
        </w:fldChar>
      </w:r>
      <w:r w:rsidR="004A1E17" w:rsidRPr="00614418">
        <w:rPr>
          <w:rFonts w:ascii="Garamond" w:hAnsi="Garamond" w:cs="Times New Roman"/>
        </w:rPr>
        <w:instrText xml:space="preserve"> ADDIN EN.CITE </w:instrText>
      </w:r>
      <w:r w:rsidR="004A1E17" w:rsidRPr="00614418">
        <w:rPr>
          <w:rFonts w:ascii="Garamond" w:hAnsi="Garamond" w:cs="Times New Roman"/>
        </w:rPr>
        <w:fldChar w:fldCharType="begin">
          <w:fldData xml:space="preserve">PEVuZE5vdGU+PENpdGU+PEF1dGhvcj5Qb250dXNzb248L0F1dGhvcj48WWVhcj4yMDA1PC9ZZWFy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</w:fldData>
        </w:fldChar>
      </w:r>
      <w:r w:rsidR="004A1E17" w:rsidRPr="00614418">
        <w:rPr>
          <w:rFonts w:ascii="Garamond" w:hAnsi="Garamond" w:cs="Times New Roman"/>
        </w:rPr>
        <w:instrText xml:space="preserve"> ADDIN EN.CITE.DATA </w:instrText>
      </w:r>
      <w:r w:rsidR="004A1E17" w:rsidRPr="00614418">
        <w:rPr>
          <w:rFonts w:ascii="Garamond" w:hAnsi="Garamond" w:cs="Times New Roman"/>
        </w:rPr>
      </w:r>
      <w:r w:rsidR="004A1E17" w:rsidRPr="00614418">
        <w:rPr>
          <w:rFonts w:ascii="Garamond" w:hAnsi="Garamond" w:cs="Times New Roman"/>
        </w:rPr>
        <w:fldChar w:fldCharType="end"/>
      </w:r>
      <w:r w:rsidR="004A1E17" w:rsidRPr="00614418">
        <w:rPr>
          <w:rFonts w:ascii="Garamond" w:hAnsi="Garamond" w:cs="Times New Roman"/>
        </w:rPr>
      </w:r>
      <w:r w:rsidR="004A1E17" w:rsidRPr="00614418">
        <w:rPr>
          <w:rFonts w:ascii="Garamond" w:hAnsi="Garamond" w:cs="Times New Roman"/>
        </w:rPr>
        <w:fldChar w:fldCharType="separate"/>
      </w:r>
      <w:bookmarkStart w:id="5" w:name="_Hlk79668834"/>
      <w:r w:rsidR="004A1E17" w:rsidRPr="00614418">
        <w:rPr>
          <w:rFonts w:ascii="Garamond" w:hAnsi="Garamond" w:cs="Times New Roman"/>
          <w:noProof/>
        </w:rPr>
        <w:t>(</w:t>
      </w:r>
      <w:bookmarkStart w:id="6" w:name="_Hlk79668827"/>
      <w:r w:rsidR="008A16E9">
        <w:rPr>
          <w:rFonts w:ascii="Garamond" w:hAnsi="Garamond" w:cs="Times New Roman"/>
          <w:noProof/>
        </w:rPr>
        <w:fldChar w:fldCharType="begin"/>
      </w:r>
      <w:r w:rsidR="008A16E9">
        <w:rPr>
          <w:rFonts w:ascii="Garamond" w:hAnsi="Garamond" w:cs="Times New Roman"/>
          <w:noProof/>
        </w:rPr>
        <w:instrText xml:space="preserve"> HYPERLINK \l "_ENREF_9" \o "Korpi, 2003 #2951" </w:instrText>
      </w:r>
      <w:r w:rsidR="008A16E9">
        <w:rPr>
          <w:rFonts w:ascii="Garamond" w:hAnsi="Garamond" w:cs="Times New Roman"/>
          <w:noProof/>
        </w:rPr>
        <w:fldChar w:fldCharType="separate"/>
      </w:r>
      <w:r w:rsidR="008A16E9" w:rsidRPr="00614418">
        <w:rPr>
          <w:rFonts w:ascii="Garamond" w:hAnsi="Garamond" w:cs="Times New Roman"/>
          <w:noProof/>
        </w:rPr>
        <w:t>Korpi and Palme 2003</w:t>
      </w:r>
      <w:r w:rsidR="008A16E9">
        <w:rPr>
          <w:rFonts w:ascii="Garamond" w:hAnsi="Garamond" w:cs="Times New Roman"/>
          <w:noProof/>
        </w:rPr>
        <w:fldChar w:fldCharType="end"/>
      </w:r>
      <w:r w:rsidR="004A1E17" w:rsidRPr="00614418">
        <w:rPr>
          <w:rFonts w:ascii="Garamond" w:hAnsi="Garamond" w:cs="Times New Roman"/>
          <w:noProof/>
        </w:rPr>
        <w:t>,</w:t>
      </w:r>
      <w:bookmarkEnd w:id="6"/>
      <w:r w:rsidR="004A1E17" w:rsidRPr="00614418">
        <w:rPr>
          <w:rFonts w:ascii="Garamond" w:hAnsi="Garamond" w:cs="Times New Roman"/>
          <w:noProof/>
        </w:rPr>
        <w:t xml:space="preserve"> </w:t>
      </w:r>
      <w:hyperlink w:anchor="_ENREF_12" w:tooltip="Pierson, 1996 #643" w:history="1">
        <w:r w:rsidR="008A16E9" w:rsidRPr="00614418">
          <w:rPr>
            <w:rFonts w:ascii="Garamond" w:hAnsi="Garamond" w:cs="Times New Roman"/>
            <w:noProof/>
          </w:rPr>
          <w:t>Pierson 1996</w:t>
        </w:r>
      </w:hyperlink>
      <w:r w:rsidR="004A1E17" w:rsidRPr="00614418">
        <w:rPr>
          <w:rFonts w:ascii="Garamond" w:hAnsi="Garamond" w:cs="Times New Roman"/>
          <w:noProof/>
        </w:rPr>
        <w:t xml:space="preserve">, </w:t>
      </w:r>
      <w:bookmarkEnd w:id="5"/>
      <w:r w:rsidR="008A16E9">
        <w:rPr>
          <w:rFonts w:ascii="Garamond" w:hAnsi="Garamond" w:cs="Times New Roman"/>
          <w:noProof/>
        </w:rPr>
        <w:fldChar w:fldCharType="begin"/>
      </w:r>
      <w:r w:rsidR="008A16E9">
        <w:rPr>
          <w:rFonts w:ascii="Garamond" w:hAnsi="Garamond" w:cs="Times New Roman"/>
          <w:noProof/>
        </w:rPr>
        <w:instrText xml:space="preserve"> HYPERLINK \l "_ENREF_13" \o "Pontusson, 2005 #10325" </w:instrText>
      </w:r>
      <w:r w:rsidR="008A16E9">
        <w:rPr>
          <w:rFonts w:ascii="Garamond" w:hAnsi="Garamond" w:cs="Times New Roman"/>
          <w:noProof/>
        </w:rPr>
        <w:fldChar w:fldCharType="separate"/>
      </w:r>
      <w:r w:rsidR="008A16E9" w:rsidRPr="00614418">
        <w:rPr>
          <w:rFonts w:ascii="Garamond" w:hAnsi="Garamond" w:cs="Times New Roman"/>
          <w:noProof/>
        </w:rPr>
        <w:t>Pontusson 2005</w:t>
      </w:r>
      <w:r w:rsidR="008A16E9">
        <w:rPr>
          <w:rFonts w:ascii="Garamond" w:hAnsi="Garamond" w:cs="Times New Roman"/>
          <w:noProof/>
        </w:rPr>
        <w:fldChar w:fldCharType="end"/>
      </w:r>
      <w:r w:rsidR="004A1E17" w:rsidRPr="00614418">
        <w:rPr>
          <w:rFonts w:ascii="Garamond" w:hAnsi="Garamond" w:cs="Times New Roman"/>
          <w:noProof/>
        </w:rPr>
        <w:t>)</w:t>
      </w:r>
      <w:r w:rsidR="004A1E17" w:rsidRPr="00614418">
        <w:rPr>
          <w:rFonts w:ascii="Garamond" w:hAnsi="Garamond" w:cs="Times New Roman"/>
        </w:rPr>
        <w:fldChar w:fldCharType="end"/>
      </w:r>
      <w:r w:rsidR="00D3636C" w:rsidRPr="00614418">
        <w:rPr>
          <w:rFonts w:ascii="Garamond" w:hAnsi="Garamond" w:cs="Times New Roman"/>
        </w:rPr>
        <w:t xml:space="preserve">, </w:t>
      </w:r>
      <w:r w:rsidR="006F628F" w:rsidRPr="00614418">
        <w:rPr>
          <w:rFonts w:ascii="Garamond" w:hAnsi="Garamond" w:cs="Times New Roman"/>
        </w:rPr>
        <w:t xml:space="preserve">governments </w:t>
      </w:r>
      <w:r w:rsidR="00D3636C" w:rsidRPr="00614418">
        <w:rPr>
          <w:rFonts w:ascii="Garamond" w:hAnsi="Garamond" w:cs="Times New Roman"/>
        </w:rPr>
        <w:t xml:space="preserve">seem to have </w:t>
      </w:r>
      <w:r w:rsidR="006F628F" w:rsidRPr="00614418">
        <w:rPr>
          <w:rFonts w:ascii="Garamond" w:hAnsi="Garamond" w:cs="Times New Roman"/>
        </w:rPr>
        <w:t>retain</w:t>
      </w:r>
      <w:r w:rsidR="00D3636C" w:rsidRPr="00614418">
        <w:rPr>
          <w:rFonts w:ascii="Garamond" w:hAnsi="Garamond" w:cs="Times New Roman"/>
        </w:rPr>
        <w:t>ed</w:t>
      </w:r>
      <w:r w:rsidR="006F628F" w:rsidRPr="00614418">
        <w:rPr>
          <w:rFonts w:ascii="Garamond" w:hAnsi="Garamond" w:cs="Times New Roman"/>
        </w:rPr>
        <w:t xml:space="preserve"> policy autonomy when it </w:t>
      </w:r>
      <w:r w:rsidR="00D3636C" w:rsidRPr="00614418">
        <w:rPr>
          <w:rFonts w:ascii="Garamond" w:hAnsi="Garamond" w:cs="Times New Roman"/>
        </w:rPr>
        <w:t>c</w:t>
      </w:r>
      <w:r w:rsidR="00AB54CB" w:rsidRPr="00614418">
        <w:rPr>
          <w:rFonts w:ascii="Garamond" w:hAnsi="Garamond" w:cs="Times New Roman"/>
        </w:rPr>
        <w:t>ame</w:t>
      </w:r>
      <w:r w:rsidR="006F628F" w:rsidRPr="00614418">
        <w:rPr>
          <w:rFonts w:ascii="Garamond" w:hAnsi="Garamond" w:cs="Times New Roman"/>
        </w:rPr>
        <w:t xml:space="preserve"> to raising and allocating resources within the </w:t>
      </w:r>
      <w:r w:rsidR="00962868" w:rsidRPr="00614418">
        <w:rPr>
          <w:rFonts w:ascii="Garamond" w:hAnsi="Garamond" w:cs="Times New Roman"/>
        </w:rPr>
        <w:t xml:space="preserve">binding </w:t>
      </w:r>
      <w:r w:rsidR="006F628F" w:rsidRPr="00614418">
        <w:rPr>
          <w:rFonts w:ascii="Garamond" w:hAnsi="Garamond" w:cs="Times New Roman"/>
        </w:rPr>
        <w:t>overall fiscal and monetary constraints</w:t>
      </w:r>
      <w:r w:rsidR="00D3636C" w:rsidRPr="00614418">
        <w:rPr>
          <w:rFonts w:ascii="Garamond" w:hAnsi="Garamond" w:cs="Times New Roman"/>
        </w:rPr>
        <w:t>, with considerable leeway in managing the distribution of domestic incomes and the reproduction of labor</w:t>
      </w:r>
      <w:r w:rsidR="004A1E17" w:rsidRPr="00614418">
        <w:rPr>
          <w:rFonts w:ascii="Garamond" w:hAnsi="Garamond" w:cs="Times New Roman"/>
        </w:rPr>
        <w:t xml:space="preserve"> </w:t>
      </w:r>
      <w:r w:rsidR="007E38E6">
        <w:rPr>
          <w:rFonts w:ascii="Garamond" w:hAnsi="Garamond" w:cs="Times New Roman"/>
        </w:rPr>
        <w:t>(Garrett 1998)</w:t>
      </w:r>
      <w:r w:rsidR="006F628F" w:rsidRPr="00614418">
        <w:rPr>
          <w:rFonts w:ascii="Garamond" w:hAnsi="Garamond" w:cs="Times New Roman"/>
        </w:rPr>
        <w:t xml:space="preserve">. </w:t>
      </w:r>
      <w:r w:rsidR="005368B0" w:rsidRPr="00614418">
        <w:rPr>
          <w:rFonts w:ascii="Garamond" w:hAnsi="Garamond" w:cs="Times New Roman"/>
        </w:rPr>
        <w:t xml:space="preserve">With </w:t>
      </w:r>
      <w:r w:rsidR="00D3636C" w:rsidRPr="00614418">
        <w:rPr>
          <w:rFonts w:ascii="Garamond" w:hAnsi="Garamond" w:cs="Times New Roman"/>
        </w:rPr>
        <w:t xml:space="preserve">yields </w:t>
      </w:r>
      <w:r w:rsidR="00E62639" w:rsidRPr="00614418">
        <w:rPr>
          <w:rFonts w:ascii="Garamond" w:hAnsi="Garamond" w:cs="Times New Roman"/>
        </w:rPr>
        <w:t>noticeably</w:t>
      </w:r>
      <w:r w:rsidR="00E62639">
        <w:rPr>
          <w:rFonts w:ascii="Garamond" w:hAnsi="Garamond" w:cs="Times New Roman"/>
        </w:rPr>
        <w:t xml:space="preserve"> </w:t>
      </w:r>
      <w:r w:rsidR="00D3636C" w:rsidRPr="00614418">
        <w:rPr>
          <w:rFonts w:ascii="Garamond" w:hAnsi="Garamond" w:cs="Times New Roman"/>
        </w:rPr>
        <w:t xml:space="preserve">less responsive to </w:t>
      </w:r>
      <w:r w:rsidR="00F27799" w:rsidRPr="00614418">
        <w:rPr>
          <w:rFonts w:ascii="Garamond" w:hAnsi="Garamond" w:cs="Times New Roman"/>
        </w:rPr>
        <w:t>such</w:t>
      </w:r>
      <w:r w:rsidR="00D3636C" w:rsidRPr="00614418">
        <w:rPr>
          <w:rFonts w:ascii="Garamond" w:hAnsi="Garamond" w:cs="Times New Roman"/>
        </w:rPr>
        <w:t xml:space="preserve"> policy choices than to inflation</w:t>
      </w:r>
      <w:r w:rsidR="005368B0" w:rsidRPr="00614418">
        <w:rPr>
          <w:rFonts w:ascii="Garamond" w:hAnsi="Garamond" w:cs="Times New Roman"/>
        </w:rPr>
        <w:t xml:space="preserve">, governments </w:t>
      </w:r>
      <w:r w:rsidR="00CA2063" w:rsidRPr="00614418">
        <w:rPr>
          <w:rFonts w:ascii="Garamond" w:hAnsi="Garamond" w:cs="Times New Roman"/>
        </w:rPr>
        <w:t>seemed</w:t>
      </w:r>
      <w:r w:rsidR="00AB54CB" w:rsidRPr="00614418">
        <w:rPr>
          <w:rFonts w:ascii="Garamond" w:hAnsi="Garamond" w:cs="Times New Roman"/>
        </w:rPr>
        <w:t xml:space="preserve"> to have </w:t>
      </w:r>
      <w:r w:rsidR="005368B0" w:rsidRPr="00614418">
        <w:rPr>
          <w:rFonts w:ascii="Garamond" w:hAnsi="Garamond" w:cs="Times New Roman"/>
        </w:rPr>
        <w:t>great</w:t>
      </w:r>
      <w:r w:rsidR="00E73139" w:rsidRPr="00614418">
        <w:rPr>
          <w:rFonts w:ascii="Garamond" w:hAnsi="Garamond" w:cs="Times New Roman"/>
        </w:rPr>
        <w:t>er ‘room to move’ in distributive and regulatory</w:t>
      </w:r>
      <w:r w:rsidR="005368B0" w:rsidRPr="00614418">
        <w:rPr>
          <w:rFonts w:ascii="Garamond" w:hAnsi="Garamond" w:cs="Times New Roman"/>
        </w:rPr>
        <w:t xml:space="preserve"> policy</w:t>
      </w:r>
      <w:r w:rsidR="00771C11">
        <w:rPr>
          <w:rFonts w:ascii="Garamond" w:hAnsi="Garamond" w:cs="Times New Roman"/>
        </w:rPr>
        <w:t xml:space="preserve"> than the </w:t>
      </w:r>
      <w:r w:rsidR="00771C11" w:rsidRPr="00614418">
        <w:rPr>
          <w:rFonts w:ascii="Garamond" w:hAnsi="Garamond" w:cs="Times New Roman"/>
        </w:rPr>
        <w:t>‘golden straightjacket’</w:t>
      </w:r>
      <w:r w:rsidR="00771C11">
        <w:rPr>
          <w:rFonts w:ascii="Garamond" w:hAnsi="Garamond" w:cs="Times New Roman"/>
        </w:rPr>
        <w:t xml:space="preserve"> assumed</w:t>
      </w:r>
      <w:r w:rsidR="005368B0" w:rsidRPr="00614418">
        <w:rPr>
          <w:rFonts w:ascii="Garamond" w:hAnsi="Garamond" w:cs="Times New Roman"/>
        </w:rPr>
        <w:t xml:space="preserve"> </w:t>
      </w:r>
      <w:r w:rsidR="00D3636C" w:rsidRPr="00614418">
        <w:rPr>
          <w:rFonts w:ascii="Garamond" w:hAnsi="Garamond" w:cs="Times New Roman"/>
        </w:rPr>
        <w:t>(Mosley 2003, p</w:t>
      </w:r>
      <w:r w:rsidR="00B35F79" w:rsidRPr="00614418">
        <w:rPr>
          <w:rFonts w:ascii="Garamond" w:hAnsi="Garamond" w:cs="Times New Roman"/>
        </w:rPr>
        <w:t>p</w:t>
      </w:r>
      <w:r w:rsidR="00E73139" w:rsidRPr="00614418">
        <w:rPr>
          <w:rFonts w:ascii="Garamond" w:hAnsi="Garamond" w:cs="Times New Roman"/>
        </w:rPr>
        <w:t xml:space="preserve">. </w:t>
      </w:r>
      <w:r w:rsidR="00B35F79" w:rsidRPr="00614418">
        <w:rPr>
          <w:rFonts w:ascii="Garamond" w:hAnsi="Garamond" w:cs="Times New Roman"/>
        </w:rPr>
        <w:t>90-10</w:t>
      </w:r>
      <w:r w:rsidR="005368B0" w:rsidRPr="00614418">
        <w:rPr>
          <w:rFonts w:ascii="Garamond" w:hAnsi="Garamond" w:cs="Times New Roman"/>
        </w:rPr>
        <w:t xml:space="preserve">0, but </w:t>
      </w:r>
      <w:proofErr w:type="spellStart"/>
      <w:r w:rsidR="005368B0" w:rsidRPr="00614418">
        <w:rPr>
          <w:rFonts w:ascii="Garamond" w:hAnsi="Garamond" w:cs="Times New Roman"/>
        </w:rPr>
        <w:t>cf</w:t>
      </w:r>
      <w:proofErr w:type="spellEnd"/>
      <w:r w:rsidR="008B02C5" w:rsidRPr="00614418">
        <w:rPr>
          <w:rFonts w:ascii="Garamond" w:hAnsi="Garamond" w:cs="Times New Roman"/>
        </w:rPr>
        <w:t xml:space="preserve"> Barta and Johnston 202</w:t>
      </w:r>
      <w:r w:rsidR="007E38E6">
        <w:rPr>
          <w:rFonts w:ascii="Garamond" w:hAnsi="Garamond" w:cs="Times New Roman"/>
        </w:rPr>
        <w:t>1</w:t>
      </w:r>
      <w:r w:rsidR="00D3636C" w:rsidRPr="00614418">
        <w:rPr>
          <w:rFonts w:ascii="Garamond" w:hAnsi="Garamond" w:cs="Times New Roman"/>
        </w:rPr>
        <w:t>).</w:t>
      </w:r>
      <w:r w:rsidR="005368B0" w:rsidRPr="00614418">
        <w:rPr>
          <w:rFonts w:ascii="Garamond" w:hAnsi="Garamond" w:cs="Times New Roman"/>
        </w:rPr>
        <w:t xml:space="preserve"> </w:t>
      </w:r>
    </w:p>
    <w:p w14:paraId="75D28821" w14:textId="063278EC" w:rsidR="008529F7" w:rsidRPr="00614418" w:rsidRDefault="00F27799" w:rsidP="008529F7">
      <w:pPr>
        <w:spacing w:line="360" w:lineRule="auto"/>
        <w:ind w:firstLine="720"/>
        <w:jc w:val="both"/>
        <w:rPr>
          <w:rFonts w:ascii="Garamond" w:hAnsi="Garamond"/>
        </w:rPr>
      </w:pPr>
      <w:r w:rsidRPr="00614418">
        <w:rPr>
          <w:rFonts w:ascii="Garamond" w:hAnsi="Garamond" w:cs="Times New Roman"/>
        </w:rPr>
        <w:t>Th</w:t>
      </w:r>
      <w:r w:rsidR="004A4295" w:rsidRPr="00614418">
        <w:rPr>
          <w:rFonts w:ascii="Garamond" w:hAnsi="Garamond" w:cs="Times New Roman"/>
        </w:rPr>
        <w:t>is</w:t>
      </w:r>
      <w:r w:rsidRPr="00614418">
        <w:rPr>
          <w:rFonts w:ascii="Garamond" w:hAnsi="Garamond" w:cs="Times New Roman"/>
        </w:rPr>
        <w:t xml:space="preserve"> contrast </w:t>
      </w:r>
      <w:r w:rsidR="00B35F79" w:rsidRPr="00614418">
        <w:rPr>
          <w:rFonts w:ascii="Garamond" w:hAnsi="Garamond" w:cs="Times New Roman"/>
        </w:rPr>
        <w:t>in</w:t>
      </w:r>
      <w:r w:rsidRPr="00614418">
        <w:rPr>
          <w:rFonts w:ascii="Garamond" w:hAnsi="Garamond" w:cs="Times New Roman"/>
        </w:rPr>
        <w:t xml:space="preserve"> the degree of freedom governments enjoyed in different policy fields </w:t>
      </w:r>
      <w:r w:rsidR="00AB54CB" w:rsidRPr="00614418">
        <w:rPr>
          <w:rFonts w:ascii="Garamond" w:hAnsi="Garamond" w:cs="Times New Roman"/>
        </w:rPr>
        <w:t>was</w:t>
      </w:r>
      <w:r w:rsidRPr="00614418">
        <w:rPr>
          <w:rFonts w:ascii="Garamond" w:hAnsi="Garamond" w:cs="Times New Roman"/>
        </w:rPr>
        <w:t xml:space="preserve"> attributed to </w:t>
      </w:r>
      <w:r w:rsidR="000D629A" w:rsidRPr="00614418">
        <w:rPr>
          <w:rFonts w:ascii="Garamond" w:hAnsi="Garamond" w:cs="Times New Roman"/>
        </w:rPr>
        <w:t xml:space="preserve">the manner in which investors weigh the risks to the value of their investment in a </w:t>
      </w:r>
      <w:r w:rsidR="000D629A" w:rsidRPr="00614418">
        <w:rPr>
          <w:rFonts w:ascii="Garamond" w:hAnsi="Garamond" w:cs="Times New Roman"/>
        </w:rPr>
        <w:lastRenderedPageBreak/>
        <w:t>country’s bonds</w:t>
      </w:r>
      <w:r w:rsidR="00891A3D" w:rsidRPr="00614418">
        <w:rPr>
          <w:rFonts w:ascii="Garamond" w:hAnsi="Garamond" w:cs="Times New Roman"/>
        </w:rPr>
        <w:t>,</w:t>
      </w:r>
      <w:r w:rsidR="004A4295" w:rsidRPr="00614418">
        <w:rPr>
          <w:rFonts w:ascii="Garamond" w:hAnsi="Garamond" w:cs="Times New Roman"/>
        </w:rPr>
        <w:t xml:space="preserve"> and optimize their information processing to only concentrate on the indicators </w:t>
      </w:r>
      <w:r w:rsidR="00B35F79" w:rsidRPr="00614418">
        <w:rPr>
          <w:rFonts w:ascii="Garamond" w:hAnsi="Garamond" w:cs="Times New Roman"/>
        </w:rPr>
        <w:t>pertinent to</w:t>
      </w:r>
      <w:r w:rsidR="004A4295" w:rsidRPr="00614418">
        <w:rPr>
          <w:rFonts w:ascii="Garamond" w:hAnsi="Garamond" w:cs="Times New Roman"/>
        </w:rPr>
        <w:t xml:space="preserve"> the types of risks</w:t>
      </w:r>
      <w:r w:rsidR="00B35F79" w:rsidRPr="00614418">
        <w:rPr>
          <w:rFonts w:ascii="Garamond" w:hAnsi="Garamond" w:cs="Times New Roman"/>
        </w:rPr>
        <w:t xml:space="preserve"> deemed most</w:t>
      </w:r>
      <w:r w:rsidR="004A4295" w:rsidRPr="00614418">
        <w:rPr>
          <w:rFonts w:ascii="Garamond" w:hAnsi="Garamond" w:cs="Times New Roman"/>
        </w:rPr>
        <w:t xml:space="preserve"> relevant </w:t>
      </w:r>
      <w:r w:rsidR="00B35F79" w:rsidRPr="00614418">
        <w:rPr>
          <w:rFonts w:ascii="Garamond" w:hAnsi="Garamond" w:cs="Times New Roman"/>
        </w:rPr>
        <w:t>for</w:t>
      </w:r>
      <w:r w:rsidR="004A4295" w:rsidRPr="00614418">
        <w:rPr>
          <w:rFonts w:ascii="Garamond" w:hAnsi="Garamond" w:cs="Times New Roman"/>
        </w:rPr>
        <w:t xml:space="preserve"> the given country</w:t>
      </w:r>
      <w:r w:rsidR="00B35F79" w:rsidRPr="00614418">
        <w:rPr>
          <w:rFonts w:ascii="Garamond" w:hAnsi="Garamond" w:cs="Times New Roman"/>
        </w:rPr>
        <w:t>. Investors who diversify their portfolios across large numbers of issuers around the globe cannot afford to monitor countries’ monetary and fiscal performance in great detail beyond the handful of indicators that they consider most important for assessing the future value of their bonds. To economize on information-processing, investors lump countries into broader categories of risk,</w:t>
      </w:r>
      <w:r w:rsidR="00CE1F21" w:rsidRPr="00614418">
        <w:rPr>
          <w:rFonts w:ascii="Garamond" w:hAnsi="Garamond" w:cs="Times New Roman"/>
        </w:rPr>
        <w:t xml:space="preserve"> based on cues like development, region or membership in international institutions,</w:t>
      </w:r>
      <w:r w:rsidR="00B35F79" w:rsidRPr="00614418">
        <w:rPr>
          <w:rFonts w:ascii="Garamond" w:hAnsi="Garamond" w:cs="Times New Roman"/>
        </w:rPr>
        <w:t xml:space="preserve"> which then determine the appropriate set of indicators to pay attention to (Mosley 2003, p52, </w:t>
      </w:r>
      <w:bookmarkStart w:id="7" w:name="_Hlk79668962"/>
      <w:r w:rsidR="00B35F79" w:rsidRPr="00614418">
        <w:rPr>
          <w:rFonts w:ascii="Garamond" w:hAnsi="Garamond" w:cs="Times New Roman"/>
        </w:rPr>
        <w:t>Gray 2013</w:t>
      </w:r>
      <w:bookmarkEnd w:id="7"/>
      <w:r w:rsidR="00B35F79" w:rsidRPr="00614418">
        <w:rPr>
          <w:rFonts w:ascii="Garamond" w:hAnsi="Garamond" w:cs="Times New Roman"/>
        </w:rPr>
        <w:t xml:space="preserve">, </w:t>
      </w:r>
      <w:bookmarkStart w:id="8" w:name="_Hlk79668969"/>
      <w:r w:rsidR="00B35F79" w:rsidRPr="00614418">
        <w:rPr>
          <w:rFonts w:ascii="Garamond" w:hAnsi="Garamond" w:cs="Times New Roman"/>
        </w:rPr>
        <w:t>Brooks et al 2015</w:t>
      </w:r>
      <w:bookmarkEnd w:id="8"/>
      <w:r w:rsidR="00B35F79" w:rsidRPr="00614418">
        <w:rPr>
          <w:rFonts w:ascii="Garamond" w:hAnsi="Garamond" w:cs="Times New Roman"/>
        </w:rPr>
        <w:t xml:space="preserve">). </w:t>
      </w:r>
      <w:r w:rsidR="005368B0" w:rsidRPr="00614418">
        <w:rPr>
          <w:rFonts w:ascii="Garamond" w:hAnsi="Garamond" w:cs="Times New Roman"/>
        </w:rPr>
        <w:t>As</w:t>
      </w:r>
      <w:r w:rsidR="008529F7" w:rsidRPr="00614418">
        <w:rPr>
          <w:rFonts w:ascii="Garamond" w:hAnsi="Garamond" w:cs="Times New Roman"/>
        </w:rPr>
        <w:t xml:space="preserve"> </w:t>
      </w:r>
      <w:r w:rsidR="00B35F79" w:rsidRPr="00614418">
        <w:rPr>
          <w:rFonts w:ascii="Garamond" w:hAnsi="Garamond" w:cs="Times New Roman"/>
        </w:rPr>
        <w:t>default risk was believed to be negligible</w:t>
      </w:r>
      <w:r w:rsidR="008529F7" w:rsidRPr="00614418">
        <w:rPr>
          <w:rFonts w:ascii="Garamond" w:hAnsi="Garamond" w:cs="Times New Roman"/>
        </w:rPr>
        <w:t xml:space="preserve"> </w:t>
      </w:r>
      <w:r w:rsidR="005368B0" w:rsidRPr="00614418">
        <w:rPr>
          <w:rFonts w:ascii="Garamond" w:hAnsi="Garamond" w:cs="Times New Roman"/>
        </w:rPr>
        <w:t xml:space="preserve">in the developed-country category </w:t>
      </w:r>
      <w:r w:rsidR="00B35F79" w:rsidRPr="00614418">
        <w:rPr>
          <w:rFonts w:ascii="Garamond" w:hAnsi="Garamond" w:cs="Times New Roman"/>
        </w:rPr>
        <w:t>in the 1980s and 1990s</w:t>
      </w:r>
      <w:r w:rsidR="008529F7" w:rsidRPr="00614418">
        <w:rPr>
          <w:rFonts w:ascii="Garamond" w:hAnsi="Garamond" w:cs="Times New Roman"/>
        </w:rPr>
        <w:t xml:space="preserve">, </w:t>
      </w:r>
      <w:r w:rsidR="00B35F79" w:rsidRPr="00614418">
        <w:rPr>
          <w:rFonts w:ascii="Garamond" w:hAnsi="Garamond" w:cs="Times New Roman"/>
        </w:rPr>
        <w:t>investors</w:t>
      </w:r>
      <w:r w:rsidR="005368B0" w:rsidRPr="00614418">
        <w:rPr>
          <w:rFonts w:ascii="Garamond" w:hAnsi="Garamond" w:cs="Times New Roman"/>
        </w:rPr>
        <w:t xml:space="preserve"> had no incentives to </w:t>
      </w:r>
      <w:r w:rsidR="00B35F79" w:rsidRPr="00614418">
        <w:rPr>
          <w:rFonts w:ascii="Garamond" w:hAnsi="Garamond" w:cs="Times New Roman"/>
        </w:rPr>
        <w:t xml:space="preserve">monitor and penalize </w:t>
      </w:r>
      <w:r w:rsidR="005368B0" w:rsidRPr="00614418">
        <w:rPr>
          <w:rFonts w:ascii="Garamond" w:hAnsi="Garamond" w:cs="Times New Roman"/>
        </w:rPr>
        <w:t xml:space="preserve">policy variables beyond </w:t>
      </w:r>
      <w:r w:rsidR="00B35F79" w:rsidRPr="00614418">
        <w:rPr>
          <w:rFonts w:ascii="Garamond" w:hAnsi="Garamond" w:cs="Times New Roman"/>
        </w:rPr>
        <w:t>inflation</w:t>
      </w:r>
      <w:r w:rsidR="008529F7" w:rsidRPr="00614418">
        <w:rPr>
          <w:rFonts w:ascii="Garamond" w:hAnsi="Garamond" w:cs="Times New Roman"/>
        </w:rPr>
        <w:t xml:space="preserve">, the </w:t>
      </w:r>
      <w:r w:rsidR="00AB54CB" w:rsidRPr="00614418">
        <w:rPr>
          <w:rFonts w:ascii="Garamond" w:hAnsi="Garamond" w:cs="Times New Roman"/>
        </w:rPr>
        <w:t>main</w:t>
      </w:r>
      <w:r w:rsidR="008529F7" w:rsidRPr="00614418">
        <w:rPr>
          <w:rFonts w:ascii="Garamond" w:hAnsi="Garamond" w:cs="Times New Roman"/>
        </w:rPr>
        <w:t xml:space="preserve"> risk to the value of bonds</w:t>
      </w:r>
      <w:r w:rsidR="000F29C7" w:rsidRPr="00614418">
        <w:rPr>
          <w:rFonts w:ascii="Garamond" w:hAnsi="Garamond" w:cs="Times New Roman"/>
        </w:rPr>
        <w:t xml:space="preserve">, allowing governments ample ‘room to move’ in </w:t>
      </w:r>
      <w:r w:rsidR="00E73139" w:rsidRPr="00614418">
        <w:rPr>
          <w:rFonts w:ascii="Garamond" w:hAnsi="Garamond" w:cs="Times New Roman"/>
        </w:rPr>
        <w:t>domestic pol</w:t>
      </w:r>
      <w:r w:rsidR="000F29C7" w:rsidRPr="00614418">
        <w:rPr>
          <w:rFonts w:ascii="Garamond" w:hAnsi="Garamond" w:cs="Times New Roman"/>
        </w:rPr>
        <w:t>icy choices</w:t>
      </w:r>
      <w:r w:rsidR="007C5D3A" w:rsidRPr="00614418">
        <w:rPr>
          <w:rFonts w:ascii="Garamond" w:hAnsi="Garamond" w:cs="Times New Roman"/>
        </w:rPr>
        <w:t xml:space="preserve"> such as the size and distribution of spending </w:t>
      </w:r>
      <w:r w:rsidR="00B35F79" w:rsidRPr="00614418">
        <w:rPr>
          <w:rFonts w:ascii="Garamond" w:hAnsi="Garamond" w:cs="Times New Roman"/>
        </w:rPr>
        <w:t>(</w:t>
      </w:r>
      <w:r w:rsidR="008529F7" w:rsidRPr="00614418">
        <w:rPr>
          <w:rFonts w:ascii="Garamond" w:hAnsi="Garamond" w:cs="Times New Roman"/>
        </w:rPr>
        <w:t>Mosley 2003, pp54-61</w:t>
      </w:r>
      <w:r w:rsidR="00B35F79" w:rsidRPr="00614418">
        <w:rPr>
          <w:rFonts w:ascii="Garamond" w:hAnsi="Garamond" w:cs="Times New Roman"/>
        </w:rPr>
        <w:t>)</w:t>
      </w:r>
      <w:r w:rsidR="000F29C7" w:rsidRPr="00614418">
        <w:rPr>
          <w:rStyle w:val="FootnoteReference"/>
          <w:rFonts w:ascii="Garamond" w:hAnsi="Garamond" w:cs="Times New Roman"/>
        </w:rPr>
        <w:footnoteReference w:id="6"/>
      </w:r>
      <w:r w:rsidR="00B35F79" w:rsidRPr="00614418">
        <w:rPr>
          <w:rFonts w:ascii="Garamond" w:hAnsi="Garamond" w:cs="Times New Roman"/>
        </w:rPr>
        <w:t xml:space="preserve">. </w:t>
      </w:r>
    </w:p>
    <w:p w14:paraId="4F4C5A43" w14:textId="64B73D6E" w:rsidR="00D3636C" w:rsidRPr="00614418" w:rsidRDefault="00E73139" w:rsidP="000F29C7">
      <w:pPr>
        <w:spacing w:line="360" w:lineRule="auto"/>
        <w:ind w:firstLine="720"/>
        <w:jc w:val="both"/>
        <w:rPr>
          <w:rFonts w:ascii="Garamond" w:hAnsi="Garamond" w:cs="Times New Roman"/>
        </w:rPr>
      </w:pPr>
      <w:r w:rsidRPr="00614418">
        <w:rPr>
          <w:rFonts w:ascii="Garamond" w:hAnsi="Garamond" w:cs="Times New Roman"/>
        </w:rPr>
        <w:t>T</w:t>
      </w:r>
      <w:r w:rsidR="008529F7" w:rsidRPr="00614418">
        <w:rPr>
          <w:rFonts w:ascii="Garamond" w:hAnsi="Garamond" w:cs="Times New Roman"/>
        </w:rPr>
        <w:t xml:space="preserve">his argument about investors’ information-optimizing strategies raises important questions about </w:t>
      </w:r>
      <w:r w:rsidR="00CE1F21" w:rsidRPr="00614418">
        <w:rPr>
          <w:rFonts w:ascii="Garamond" w:hAnsi="Garamond" w:cs="Times New Roman"/>
        </w:rPr>
        <w:t xml:space="preserve">governments’ ability to modulate – and loosen – the constraints on </w:t>
      </w:r>
      <w:r w:rsidR="00710F4F" w:rsidRPr="00614418">
        <w:rPr>
          <w:rFonts w:ascii="Garamond" w:hAnsi="Garamond" w:cs="Times New Roman"/>
        </w:rPr>
        <w:t xml:space="preserve">some of </w:t>
      </w:r>
      <w:r w:rsidR="00CE1F21" w:rsidRPr="00614418">
        <w:rPr>
          <w:rFonts w:ascii="Garamond" w:hAnsi="Garamond" w:cs="Times New Roman"/>
        </w:rPr>
        <w:t xml:space="preserve">their policy choices by committing to longer-term </w:t>
      </w:r>
      <w:r w:rsidRPr="00614418">
        <w:rPr>
          <w:rFonts w:ascii="Garamond" w:hAnsi="Garamond" w:cs="Times New Roman"/>
        </w:rPr>
        <w:t xml:space="preserve">macroeconomic </w:t>
      </w:r>
      <w:r w:rsidR="008529F7" w:rsidRPr="00614418">
        <w:rPr>
          <w:rFonts w:ascii="Garamond" w:hAnsi="Garamond" w:cs="Times New Roman"/>
        </w:rPr>
        <w:t>policy regimes</w:t>
      </w:r>
      <w:r w:rsidR="006A78DF" w:rsidRPr="00614418">
        <w:rPr>
          <w:rFonts w:ascii="Garamond" w:hAnsi="Garamond" w:cs="Times New Roman"/>
        </w:rPr>
        <w:t xml:space="preserve"> that promise to </w:t>
      </w:r>
      <w:r w:rsidR="006A78DF" w:rsidRPr="00614418">
        <w:rPr>
          <w:rFonts w:ascii="Garamond" w:hAnsi="Garamond" w:cs="Times New Roman"/>
          <w:i/>
        </w:rPr>
        <w:t>quasi</w:t>
      </w:r>
      <w:r w:rsidR="006A78DF" w:rsidRPr="00614418">
        <w:rPr>
          <w:rFonts w:ascii="Garamond" w:hAnsi="Garamond" w:cs="Times New Roman"/>
        </w:rPr>
        <w:t xml:space="preserve"> lock-in </w:t>
      </w:r>
      <w:r w:rsidR="00710F4F" w:rsidRPr="00614418">
        <w:rPr>
          <w:rFonts w:ascii="Garamond" w:hAnsi="Garamond" w:cs="Times New Roman"/>
        </w:rPr>
        <w:t xml:space="preserve">the </w:t>
      </w:r>
      <w:r w:rsidR="006A78DF" w:rsidRPr="00614418">
        <w:rPr>
          <w:rFonts w:ascii="Garamond" w:hAnsi="Garamond" w:cs="Times New Roman"/>
        </w:rPr>
        <w:t xml:space="preserve">outcomes that investors attach </w:t>
      </w:r>
      <w:r w:rsidR="00710F4F" w:rsidRPr="00614418">
        <w:rPr>
          <w:rFonts w:ascii="Garamond" w:hAnsi="Garamond" w:cs="Times New Roman"/>
        </w:rPr>
        <w:t xml:space="preserve">primary </w:t>
      </w:r>
      <w:r w:rsidR="006A78DF" w:rsidRPr="00614418">
        <w:rPr>
          <w:rFonts w:ascii="Garamond" w:hAnsi="Garamond" w:cs="Times New Roman"/>
        </w:rPr>
        <w:t>importance to</w:t>
      </w:r>
      <w:r w:rsidR="00CE1F21" w:rsidRPr="00614418">
        <w:rPr>
          <w:rFonts w:ascii="Garamond" w:hAnsi="Garamond" w:cs="Times New Roman"/>
        </w:rPr>
        <w:t xml:space="preserve">. </w:t>
      </w:r>
      <w:r w:rsidR="008529F7" w:rsidRPr="00614418">
        <w:rPr>
          <w:rFonts w:ascii="Garamond" w:hAnsi="Garamond" w:cs="Times New Roman"/>
        </w:rPr>
        <w:t xml:space="preserve">If </w:t>
      </w:r>
      <w:r w:rsidR="001706F2" w:rsidRPr="00614418">
        <w:rPr>
          <w:rFonts w:ascii="Garamond" w:hAnsi="Garamond" w:cs="Times New Roman"/>
        </w:rPr>
        <w:t xml:space="preserve">investors </w:t>
      </w:r>
      <w:r w:rsidR="00CE1F21" w:rsidRPr="00614418">
        <w:rPr>
          <w:rFonts w:ascii="Garamond" w:hAnsi="Garamond" w:cs="Times New Roman"/>
        </w:rPr>
        <w:t xml:space="preserve">use cues to ‘pre-screen’ risk and minimize the amount of information they have to monitor, </w:t>
      </w:r>
      <w:r w:rsidR="00D777E0" w:rsidRPr="00614418">
        <w:rPr>
          <w:rFonts w:ascii="Garamond" w:hAnsi="Garamond" w:cs="Times New Roman"/>
        </w:rPr>
        <w:t xml:space="preserve">governments </w:t>
      </w:r>
      <w:r w:rsidR="006A78DF" w:rsidRPr="00614418">
        <w:rPr>
          <w:rFonts w:ascii="Garamond" w:hAnsi="Garamond" w:cs="Times New Roman"/>
        </w:rPr>
        <w:t xml:space="preserve">themselves </w:t>
      </w:r>
      <w:r w:rsidR="00D777E0" w:rsidRPr="00614418">
        <w:rPr>
          <w:rFonts w:ascii="Garamond" w:hAnsi="Garamond" w:cs="Times New Roman"/>
        </w:rPr>
        <w:t xml:space="preserve">can </w:t>
      </w:r>
      <w:r w:rsidR="006A78DF" w:rsidRPr="00614418">
        <w:rPr>
          <w:rFonts w:ascii="Garamond" w:hAnsi="Garamond" w:cs="Times New Roman"/>
        </w:rPr>
        <w:t xml:space="preserve">in principle </w:t>
      </w:r>
      <w:r w:rsidR="00D777E0" w:rsidRPr="00614418">
        <w:rPr>
          <w:rFonts w:ascii="Garamond" w:hAnsi="Garamond" w:cs="Times New Roman"/>
        </w:rPr>
        <w:t xml:space="preserve">provide the appropriate cues to </w:t>
      </w:r>
      <w:r w:rsidR="00891A3D" w:rsidRPr="00614418">
        <w:rPr>
          <w:rFonts w:ascii="Garamond" w:hAnsi="Garamond" w:cs="Times New Roman"/>
        </w:rPr>
        <w:t>alter</w:t>
      </w:r>
      <w:r w:rsidR="00D777E0" w:rsidRPr="00614418">
        <w:rPr>
          <w:rFonts w:ascii="Garamond" w:hAnsi="Garamond" w:cs="Times New Roman"/>
        </w:rPr>
        <w:t xml:space="preserve"> investors’ incentives to scrutinize and penalize their policies. </w:t>
      </w:r>
      <w:r w:rsidR="006A78DF" w:rsidRPr="00614418">
        <w:rPr>
          <w:rFonts w:ascii="Garamond" w:hAnsi="Garamond" w:cs="Times New Roman"/>
        </w:rPr>
        <w:t>According to this logic, signaling long-term commitment to investors’ preferred outcomes via the choice of monetary and fiscal institution</w:t>
      </w:r>
      <w:r w:rsidR="00805833" w:rsidRPr="00614418">
        <w:rPr>
          <w:rFonts w:ascii="Garamond" w:hAnsi="Garamond" w:cs="Times New Roman"/>
        </w:rPr>
        <w:t>s</w:t>
      </w:r>
      <w:r w:rsidR="006A78DF" w:rsidRPr="00614418">
        <w:rPr>
          <w:rFonts w:ascii="Garamond" w:hAnsi="Garamond" w:cs="Times New Roman"/>
        </w:rPr>
        <w:t xml:space="preserve"> – like central bank independence, fixing exchange rates to a low-inflation anchor or fiscal institutions meant to guarantee balanced budgets – might reduce the sensitivity of yields to </w:t>
      </w:r>
      <w:r w:rsidR="00BA031A" w:rsidRPr="00614418">
        <w:rPr>
          <w:rFonts w:ascii="Garamond" w:hAnsi="Garamond" w:cs="Times New Roman"/>
        </w:rPr>
        <w:t>specific</w:t>
      </w:r>
      <w:r w:rsidR="006A78DF" w:rsidRPr="00614418">
        <w:rPr>
          <w:rFonts w:ascii="Garamond" w:hAnsi="Garamond" w:cs="Times New Roman"/>
        </w:rPr>
        <w:t xml:space="preserve"> policy </w:t>
      </w:r>
      <w:r w:rsidR="00BA031A" w:rsidRPr="00614418">
        <w:rPr>
          <w:rFonts w:ascii="Garamond" w:hAnsi="Garamond" w:cs="Times New Roman"/>
        </w:rPr>
        <w:t>choices in a wide range of areas</w:t>
      </w:r>
      <w:r w:rsidR="006A78DF" w:rsidRPr="00614418">
        <w:rPr>
          <w:rFonts w:ascii="Garamond" w:hAnsi="Garamond" w:cs="Times New Roman"/>
        </w:rPr>
        <w:t>.</w:t>
      </w:r>
      <w:r w:rsidR="000F29C7" w:rsidRPr="00614418">
        <w:rPr>
          <w:rFonts w:ascii="Garamond" w:hAnsi="Garamond" w:cs="Times New Roman"/>
        </w:rPr>
        <w:t xml:space="preserve"> </w:t>
      </w:r>
      <w:r w:rsidR="00450722" w:rsidRPr="00614418">
        <w:rPr>
          <w:rFonts w:ascii="Garamond" w:hAnsi="Garamond" w:cs="Times New Roman"/>
        </w:rPr>
        <w:t xml:space="preserve"> </w:t>
      </w:r>
    </w:p>
    <w:p w14:paraId="49DB6F0C" w14:textId="608E73ED" w:rsidR="00BA031A" w:rsidRPr="00614418" w:rsidRDefault="000F29C7" w:rsidP="000F29C7">
      <w:pPr>
        <w:spacing w:line="360" w:lineRule="auto"/>
        <w:ind w:firstLine="720"/>
        <w:jc w:val="both"/>
        <w:rPr>
          <w:rFonts w:ascii="Garamond" w:hAnsi="Garamond" w:cs="Times New Roman"/>
        </w:rPr>
      </w:pPr>
      <w:r w:rsidRPr="00614418">
        <w:rPr>
          <w:rFonts w:ascii="Garamond" w:hAnsi="Garamond" w:cs="Times New Roman"/>
        </w:rPr>
        <w:t>Pondering the role of institutional commitment in creating greater elbow</w:t>
      </w:r>
      <w:r w:rsidR="008F19CC">
        <w:rPr>
          <w:rFonts w:ascii="Garamond" w:hAnsi="Garamond" w:cs="Times New Roman"/>
        </w:rPr>
        <w:t>-</w:t>
      </w:r>
      <w:r w:rsidRPr="00614418">
        <w:rPr>
          <w:rFonts w:ascii="Garamond" w:hAnsi="Garamond" w:cs="Times New Roman"/>
        </w:rPr>
        <w:t xml:space="preserve">room for governments in </w:t>
      </w:r>
      <w:r w:rsidR="00AB54CB" w:rsidRPr="00614418">
        <w:rPr>
          <w:rFonts w:ascii="Garamond" w:hAnsi="Garamond" w:cs="Times New Roman"/>
        </w:rPr>
        <w:t>domestic</w:t>
      </w:r>
      <w:r w:rsidRPr="00614418">
        <w:rPr>
          <w:rFonts w:ascii="Garamond" w:hAnsi="Garamond" w:cs="Times New Roman"/>
        </w:rPr>
        <w:t xml:space="preserve"> policies calls attention to </w:t>
      </w:r>
      <w:r w:rsidR="00D0359A" w:rsidRPr="00614418">
        <w:rPr>
          <w:rFonts w:ascii="Garamond" w:hAnsi="Garamond" w:cs="Times New Roman"/>
        </w:rPr>
        <w:t xml:space="preserve">a </w:t>
      </w:r>
      <w:r w:rsidRPr="00614418">
        <w:rPr>
          <w:rFonts w:ascii="Garamond" w:hAnsi="Garamond" w:cs="Times New Roman"/>
        </w:rPr>
        <w:t>potential omitted variable in the ‘room to move’ argument, likely to be significant both for empirical and theoretical reasons. Empirically, it is important to note the widespread adoption of institutional commitment</w:t>
      </w:r>
      <w:r w:rsidR="0021081B" w:rsidRPr="00614418">
        <w:rPr>
          <w:rFonts w:ascii="Garamond" w:hAnsi="Garamond" w:cs="Times New Roman"/>
        </w:rPr>
        <w:t>s</w:t>
      </w:r>
      <w:r w:rsidRPr="00614418">
        <w:rPr>
          <w:rFonts w:ascii="Garamond" w:hAnsi="Garamond" w:cs="Times New Roman"/>
        </w:rPr>
        <w:t xml:space="preserve"> to low inflation and deficits in developed countries in the 1980s and 1990s, such as fixed exchange rates</w:t>
      </w:r>
      <w:r w:rsidR="00E73139" w:rsidRPr="00614418">
        <w:rPr>
          <w:rFonts w:ascii="Garamond" w:hAnsi="Garamond" w:cs="Times New Roman"/>
        </w:rPr>
        <w:t>,</w:t>
      </w:r>
      <w:r w:rsidRPr="00614418">
        <w:rPr>
          <w:rStyle w:val="FootnoteReference"/>
          <w:rFonts w:ascii="Garamond" w:hAnsi="Garamond" w:cs="Times New Roman"/>
        </w:rPr>
        <w:footnoteReference w:id="7"/>
      </w:r>
      <w:r w:rsidRPr="00614418">
        <w:rPr>
          <w:rFonts w:ascii="Garamond" w:hAnsi="Garamond" w:cs="Times New Roman"/>
        </w:rPr>
        <w:t xml:space="preserve"> independent central banks</w:t>
      </w:r>
      <w:r w:rsidRPr="00614418">
        <w:rPr>
          <w:rStyle w:val="FootnoteReference"/>
          <w:rFonts w:ascii="Garamond" w:hAnsi="Garamond" w:cs="Times New Roman"/>
        </w:rPr>
        <w:footnoteReference w:id="8"/>
      </w:r>
      <w:r w:rsidRPr="00614418">
        <w:rPr>
          <w:rFonts w:ascii="Garamond" w:hAnsi="Garamond" w:cs="Times New Roman"/>
        </w:rPr>
        <w:t xml:space="preserve"> </w:t>
      </w:r>
      <w:r w:rsidRPr="00614418">
        <w:rPr>
          <w:rFonts w:ascii="Garamond" w:hAnsi="Garamond" w:cs="Times New Roman"/>
        </w:rPr>
        <w:lastRenderedPageBreak/>
        <w:t>and fiscal rules</w:t>
      </w:r>
      <w:r w:rsidR="00E73139" w:rsidRPr="00614418">
        <w:rPr>
          <w:rFonts w:ascii="Garamond" w:hAnsi="Garamond" w:cs="Times New Roman"/>
        </w:rPr>
        <w:t>.</w:t>
      </w:r>
      <w:r w:rsidRPr="00614418">
        <w:rPr>
          <w:rStyle w:val="FootnoteReference"/>
          <w:rFonts w:ascii="Garamond" w:hAnsi="Garamond" w:cs="Times New Roman"/>
        </w:rPr>
        <w:footnoteReference w:id="9"/>
      </w:r>
      <w:r w:rsidRPr="00614418">
        <w:rPr>
          <w:rFonts w:ascii="Garamond" w:hAnsi="Garamond" w:cs="Times New Roman"/>
        </w:rPr>
        <w:t xml:space="preserve"> </w:t>
      </w:r>
      <w:r w:rsidRPr="00614418">
        <w:rPr>
          <w:rFonts w:ascii="Garamond" w:hAnsi="Garamond"/>
        </w:rPr>
        <w:t>Could the ‘room to move’ that developed countries seemed to enjoy in that period be the result of successful signaling of commitment? Theoretically,</w:t>
      </w:r>
      <w:r w:rsidR="00BA031A" w:rsidRPr="00614418">
        <w:rPr>
          <w:rFonts w:ascii="Garamond" w:hAnsi="Garamond"/>
        </w:rPr>
        <w:t xml:space="preserve"> commitment is </w:t>
      </w:r>
      <w:r w:rsidR="00F5169B" w:rsidRPr="00614418">
        <w:rPr>
          <w:rFonts w:ascii="Garamond" w:hAnsi="Garamond"/>
        </w:rPr>
        <w:t>important</w:t>
      </w:r>
      <w:r w:rsidR="00BA031A" w:rsidRPr="00614418">
        <w:rPr>
          <w:rFonts w:ascii="Garamond" w:hAnsi="Garamond"/>
        </w:rPr>
        <w:t xml:space="preserve"> </w:t>
      </w:r>
      <w:r w:rsidR="00F5169B" w:rsidRPr="00614418">
        <w:rPr>
          <w:rFonts w:ascii="Garamond" w:hAnsi="Garamond"/>
        </w:rPr>
        <w:t>for</w:t>
      </w:r>
      <w:r w:rsidR="00BA031A" w:rsidRPr="00614418">
        <w:rPr>
          <w:rFonts w:ascii="Garamond" w:hAnsi="Garamond"/>
        </w:rPr>
        <w:t xml:space="preserve"> better understanding </w:t>
      </w:r>
      <w:r w:rsidRPr="00614418">
        <w:rPr>
          <w:rFonts w:ascii="Garamond" w:hAnsi="Garamond"/>
        </w:rPr>
        <w:t xml:space="preserve">investors’ singular focus on headline macroeconomic indicators, </w:t>
      </w:r>
      <w:r w:rsidR="00BA031A" w:rsidRPr="00614418">
        <w:rPr>
          <w:rFonts w:ascii="Garamond" w:hAnsi="Garamond"/>
        </w:rPr>
        <w:t>because it is not immediately obvious that</w:t>
      </w:r>
      <w:r w:rsidR="00F5169B" w:rsidRPr="00614418">
        <w:rPr>
          <w:rFonts w:ascii="Garamond" w:hAnsi="Garamond"/>
        </w:rPr>
        <w:t xml:space="preserve"> lack of concern about default risk</w:t>
      </w:r>
      <w:r w:rsidRPr="00614418">
        <w:rPr>
          <w:rFonts w:ascii="Garamond" w:hAnsi="Garamond"/>
        </w:rPr>
        <w:t xml:space="preserve"> could</w:t>
      </w:r>
      <w:r w:rsidR="00F5169B" w:rsidRPr="00614418">
        <w:rPr>
          <w:rFonts w:ascii="Garamond" w:hAnsi="Garamond"/>
        </w:rPr>
        <w:t xml:space="preserve"> in itself make investors oblivious to policy outcomes beyond </w:t>
      </w:r>
      <w:r w:rsidRPr="00614418">
        <w:rPr>
          <w:rFonts w:ascii="Garamond" w:hAnsi="Garamond"/>
        </w:rPr>
        <w:t>price indices</w:t>
      </w:r>
      <w:r w:rsidR="00BA031A" w:rsidRPr="00614418">
        <w:rPr>
          <w:rFonts w:ascii="Garamond" w:hAnsi="Garamond"/>
        </w:rPr>
        <w:t xml:space="preserve"> (and to a smaller extent deficits)</w:t>
      </w:r>
      <w:r w:rsidR="00F5169B" w:rsidRPr="00614418">
        <w:rPr>
          <w:rFonts w:ascii="Garamond" w:hAnsi="Garamond"/>
        </w:rPr>
        <w:t xml:space="preserve"> without reassurance that low inflation is </w:t>
      </w:r>
      <w:r w:rsidR="00710F4F" w:rsidRPr="00614418">
        <w:rPr>
          <w:rFonts w:ascii="Garamond" w:hAnsi="Garamond"/>
        </w:rPr>
        <w:t xml:space="preserve">locked in </w:t>
      </w:r>
      <w:r w:rsidR="00DC7D41" w:rsidRPr="00614418">
        <w:rPr>
          <w:rFonts w:ascii="Garamond" w:hAnsi="Garamond"/>
        </w:rPr>
        <w:t xml:space="preserve">by </w:t>
      </w:r>
      <w:r w:rsidR="00710F4F" w:rsidRPr="00614418">
        <w:rPr>
          <w:rFonts w:ascii="Garamond" w:hAnsi="Garamond"/>
        </w:rPr>
        <w:t xml:space="preserve">the </w:t>
      </w:r>
      <w:r w:rsidR="00DC7D41" w:rsidRPr="00614418">
        <w:rPr>
          <w:rFonts w:ascii="Garamond" w:hAnsi="Garamond"/>
        </w:rPr>
        <w:t xml:space="preserve">institutional </w:t>
      </w:r>
      <w:r w:rsidR="00710F4F" w:rsidRPr="00614418">
        <w:rPr>
          <w:rFonts w:ascii="Garamond" w:hAnsi="Garamond"/>
        </w:rPr>
        <w:t>framework</w:t>
      </w:r>
      <w:r w:rsidR="00F5169B" w:rsidRPr="00614418">
        <w:rPr>
          <w:rFonts w:ascii="Garamond" w:hAnsi="Garamond"/>
        </w:rPr>
        <w:t xml:space="preserve">. In assessing the risk that future inflation might erode the </w:t>
      </w:r>
      <w:r w:rsidR="00BA031A" w:rsidRPr="00614418">
        <w:rPr>
          <w:rFonts w:ascii="Garamond" w:hAnsi="Garamond"/>
        </w:rPr>
        <w:t>value of the currency</w:t>
      </w:r>
      <w:r w:rsidR="00F5169B" w:rsidRPr="00614418">
        <w:rPr>
          <w:rFonts w:ascii="Garamond" w:hAnsi="Garamond"/>
        </w:rPr>
        <w:t xml:space="preserve"> that</w:t>
      </w:r>
      <w:r w:rsidR="00BA031A" w:rsidRPr="00614418">
        <w:rPr>
          <w:rFonts w:ascii="Garamond" w:hAnsi="Garamond"/>
        </w:rPr>
        <w:t xml:space="preserve"> </w:t>
      </w:r>
      <w:r w:rsidR="00F5169B" w:rsidRPr="00614418">
        <w:rPr>
          <w:rFonts w:ascii="Garamond" w:hAnsi="Garamond"/>
        </w:rPr>
        <w:t xml:space="preserve">their </w:t>
      </w:r>
      <w:r w:rsidR="00BA031A" w:rsidRPr="00614418">
        <w:rPr>
          <w:rFonts w:ascii="Garamond" w:hAnsi="Garamond"/>
        </w:rPr>
        <w:t>bond</w:t>
      </w:r>
      <w:r w:rsidR="00F5169B" w:rsidRPr="00614418">
        <w:rPr>
          <w:rFonts w:ascii="Garamond" w:hAnsi="Garamond"/>
        </w:rPr>
        <w:t xml:space="preserve">s </w:t>
      </w:r>
      <w:r w:rsidR="00BA031A" w:rsidRPr="00614418">
        <w:rPr>
          <w:rFonts w:ascii="Garamond" w:hAnsi="Garamond"/>
        </w:rPr>
        <w:t>are denominated</w:t>
      </w:r>
      <w:r w:rsidR="00F5169B" w:rsidRPr="00614418">
        <w:rPr>
          <w:rFonts w:ascii="Garamond" w:hAnsi="Garamond"/>
        </w:rPr>
        <w:t xml:space="preserve"> in, investors can draw on indicators beyond current inflation and deficits. </w:t>
      </w:r>
      <w:r w:rsidR="00F05125">
        <w:rPr>
          <w:rFonts w:ascii="Garamond" w:hAnsi="Garamond"/>
        </w:rPr>
        <w:t xml:space="preserve">Welfare </w:t>
      </w:r>
      <w:r w:rsidR="00DD3431" w:rsidRPr="00614418">
        <w:rPr>
          <w:rFonts w:ascii="Garamond" w:hAnsi="Garamond"/>
        </w:rPr>
        <w:t xml:space="preserve">spending, minimum wages, </w:t>
      </w:r>
      <w:r w:rsidR="00F5169B" w:rsidRPr="00614418">
        <w:rPr>
          <w:rFonts w:ascii="Garamond" w:hAnsi="Garamond"/>
        </w:rPr>
        <w:t>or the generosity of unemployment benefits</w:t>
      </w:r>
      <w:r w:rsidR="003D6438">
        <w:rPr>
          <w:rFonts w:ascii="Garamond" w:hAnsi="Garamond"/>
        </w:rPr>
        <w:t xml:space="preserve"> and pensions</w:t>
      </w:r>
      <w:r w:rsidR="00F5169B" w:rsidRPr="00614418">
        <w:rPr>
          <w:rFonts w:ascii="Garamond" w:hAnsi="Garamond"/>
        </w:rPr>
        <w:t xml:space="preserve"> provide cues about upward pressures on wage levels (along with current inflation, which influences inflationary expectations), while changes in deficits are indicative of prospective demand-pull on inflation. Such policy outcomes are likely to be disregarded only if creditors expect monetary authorities to make determined efforts to counterbalance their impact on inflation. </w:t>
      </w:r>
    </w:p>
    <w:p w14:paraId="4A51C2E3" w14:textId="5402406F" w:rsidR="00AB54CB" w:rsidRPr="00614418" w:rsidRDefault="00EF6AFD" w:rsidP="00387A72">
      <w:pPr>
        <w:spacing w:line="360" w:lineRule="auto"/>
        <w:ind w:firstLine="720"/>
        <w:jc w:val="both"/>
        <w:rPr>
          <w:rFonts w:ascii="Garamond" w:hAnsi="Garamond"/>
        </w:rPr>
      </w:pPr>
      <w:r w:rsidRPr="00614418">
        <w:rPr>
          <w:rFonts w:ascii="Garamond" w:hAnsi="Garamond"/>
        </w:rPr>
        <w:t>F</w:t>
      </w:r>
      <w:r w:rsidR="00BA031A" w:rsidRPr="00614418">
        <w:rPr>
          <w:rFonts w:ascii="Garamond" w:hAnsi="Garamond"/>
        </w:rPr>
        <w:t>ixing</w:t>
      </w:r>
      <w:r w:rsidR="002F2AB9" w:rsidRPr="00614418">
        <w:rPr>
          <w:rFonts w:ascii="Garamond" w:hAnsi="Garamond"/>
        </w:rPr>
        <w:t xml:space="preserve"> exchange rates </w:t>
      </w:r>
      <w:r w:rsidR="00BA031A" w:rsidRPr="00614418">
        <w:rPr>
          <w:rFonts w:ascii="Garamond" w:hAnsi="Garamond"/>
        </w:rPr>
        <w:t xml:space="preserve">within international monetary cooperation – like the European Monetary System and, later, the </w:t>
      </w:r>
      <w:r w:rsidR="00F05125">
        <w:rPr>
          <w:rFonts w:ascii="Garamond" w:hAnsi="Garamond"/>
        </w:rPr>
        <w:t xml:space="preserve">EU’s </w:t>
      </w:r>
      <w:r w:rsidR="00BA031A" w:rsidRPr="00614418">
        <w:rPr>
          <w:rFonts w:ascii="Garamond" w:hAnsi="Garamond"/>
        </w:rPr>
        <w:t xml:space="preserve">Economic and Monetary Union – </w:t>
      </w:r>
      <w:r w:rsidR="00F5169B" w:rsidRPr="00614418">
        <w:rPr>
          <w:rFonts w:ascii="Garamond" w:hAnsi="Garamond"/>
        </w:rPr>
        <w:t xml:space="preserve">represents </w:t>
      </w:r>
      <w:r w:rsidR="000F29C7" w:rsidRPr="00614418">
        <w:rPr>
          <w:rFonts w:ascii="Garamond" w:hAnsi="Garamond"/>
        </w:rPr>
        <w:t>perhaps the purest case</w:t>
      </w:r>
      <w:r w:rsidR="00F5169B" w:rsidRPr="00614418">
        <w:rPr>
          <w:rFonts w:ascii="Garamond" w:hAnsi="Garamond"/>
        </w:rPr>
        <w:t xml:space="preserve"> of </w:t>
      </w:r>
      <w:r w:rsidRPr="00614418">
        <w:rPr>
          <w:rFonts w:ascii="Garamond" w:hAnsi="Garamond"/>
        </w:rPr>
        <w:t>long-term commitment to deflationary macroeconomic policies</w:t>
      </w:r>
      <w:r w:rsidR="00F5169B" w:rsidRPr="00614418">
        <w:rPr>
          <w:rFonts w:ascii="Garamond" w:hAnsi="Garamond"/>
        </w:rPr>
        <w:t xml:space="preserve">, because </w:t>
      </w:r>
      <w:r w:rsidRPr="00614418">
        <w:rPr>
          <w:rFonts w:ascii="Garamond" w:hAnsi="Garamond"/>
        </w:rPr>
        <w:t>of the external constraint on governments’ ability to renege</w:t>
      </w:r>
      <w:r w:rsidR="0097320B">
        <w:rPr>
          <w:rFonts w:ascii="Garamond" w:hAnsi="Garamond"/>
        </w:rPr>
        <w:t xml:space="preserve"> on the exchange rate parity</w:t>
      </w:r>
      <w:r w:rsidR="00FB035D" w:rsidRPr="00614418">
        <w:rPr>
          <w:rFonts w:ascii="Garamond" w:hAnsi="Garamond"/>
        </w:rPr>
        <w:t xml:space="preserve"> (see </w:t>
      </w:r>
      <w:bookmarkStart w:id="15" w:name="_Hlk79669352"/>
      <w:r w:rsidR="00FB035D" w:rsidRPr="00614418">
        <w:rPr>
          <w:rFonts w:ascii="Garamond" w:hAnsi="Garamond"/>
        </w:rPr>
        <w:t xml:space="preserve">Backus and </w:t>
      </w:r>
      <w:proofErr w:type="spellStart"/>
      <w:r w:rsidR="00FB035D" w:rsidRPr="00614418">
        <w:rPr>
          <w:rFonts w:ascii="Garamond" w:hAnsi="Garamond"/>
        </w:rPr>
        <w:t>Driffill</w:t>
      </w:r>
      <w:proofErr w:type="spellEnd"/>
      <w:r w:rsidR="00FB035D" w:rsidRPr="00614418">
        <w:rPr>
          <w:rFonts w:ascii="Garamond" w:hAnsi="Garamond"/>
        </w:rPr>
        <w:t xml:space="preserve"> 1985 </w:t>
      </w:r>
      <w:bookmarkEnd w:id="15"/>
      <w:r w:rsidR="00FB035D" w:rsidRPr="00614418">
        <w:rPr>
          <w:rFonts w:ascii="Garamond" w:hAnsi="Garamond"/>
        </w:rPr>
        <w:t>and Rogoff 1985)</w:t>
      </w:r>
      <w:r w:rsidRPr="00614418">
        <w:rPr>
          <w:rFonts w:ascii="Garamond" w:hAnsi="Garamond"/>
        </w:rPr>
        <w:t xml:space="preserve">. </w:t>
      </w:r>
      <w:r w:rsidR="000F29C7" w:rsidRPr="00614418">
        <w:rPr>
          <w:rFonts w:ascii="Garamond" w:hAnsi="Garamond"/>
        </w:rPr>
        <w:t>Since d</w:t>
      </w:r>
      <w:r w:rsidR="00F5169B" w:rsidRPr="00614418">
        <w:rPr>
          <w:rFonts w:ascii="Garamond" w:hAnsi="Garamond"/>
        </w:rPr>
        <w:t>omestic monetary and fiscal institutions</w:t>
      </w:r>
      <w:r w:rsidR="000F29C7" w:rsidRPr="00614418">
        <w:rPr>
          <w:rFonts w:ascii="Garamond" w:hAnsi="Garamond"/>
        </w:rPr>
        <w:t xml:space="preserve"> –</w:t>
      </w:r>
      <w:r w:rsidR="00F5169B" w:rsidRPr="00614418">
        <w:rPr>
          <w:rFonts w:ascii="Garamond" w:hAnsi="Garamond"/>
        </w:rPr>
        <w:t xml:space="preserve"> </w:t>
      </w:r>
      <w:r w:rsidRPr="00614418">
        <w:rPr>
          <w:rFonts w:ascii="Garamond" w:hAnsi="Garamond"/>
        </w:rPr>
        <w:t xml:space="preserve">such as </w:t>
      </w:r>
      <w:r w:rsidR="00F5169B" w:rsidRPr="00614418">
        <w:rPr>
          <w:rFonts w:ascii="Garamond" w:hAnsi="Garamond"/>
        </w:rPr>
        <w:t>independent central banks and fiscal rule</w:t>
      </w:r>
      <w:r w:rsidR="000F29C7" w:rsidRPr="00614418">
        <w:rPr>
          <w:rFonts w:ascii="Garamond" w:hAnsi="Garamond"/>
        </w:rPr>
        <w:t xml:space="preserve">s – have shown mixed success in cementing low inflation and balanced budgets </w:t>
      </w:r>
      <w:r w:rsidR="000350F4">
        <w:rPr>
          <w:rFonts w:ascii="Garamond" w:hAnsi="Garamond"/>
        </w:rPr>
        <w:t xml:space="preserve">and their outcomes have been found to differ </w:t>
      </w:r>
      <w:r w:rsidR="000F29C7" w:rsidRPr="00614418">
        <w:rPr>
          <w:rFonts w:ascii="Garamond" w:hAnsi="Garamond"/>
        </w:rPr>
        <w:t>depending on</w:t>
      </w:r>
      <w:r w:rsidR="00F5169B" w:rsidRPr="00614418">
        <w:rPr>
          <w:rFonts w:ascii="Garamond" w:hAnsi="Garamond"/>
        </w:rPr>
        <w:t xml:space="preserve"> domestic politics</w:t>
      </w:r>
      <w:r w:rsidR="00F5169B" w:rsidRPr="00614418">
        <w:rPr>
          <w:rStyle w:val="FootnoteReference"/>
          <w:rFonts w:ascii="Garamond" w:hAnsi="Garamond"/>
        </w:rPr>
        <w:footnoteReference w:id="10"/>
      </w:r>
      <w:r w:rsidRPr="00614418">
        <w:rPr>
          <w:rFonts w:ascii="Garamond" w:hAnsi="Garamond"/>
        </w:rPr>
        <w:t xml:space="preserve">, the impact of such </w:t>
      </w:r>
      <w:r w:rsidR="0053143B" w:rsidRPr="00614418">
        <w:rPr>
          <w:rFonts w:ascii="Garamond" w:hAnsi="Garamond"/>
        </w:rPr>
        <w:t xml:space="preserve">domestic </w:t>
      </w:r>
      <w:r w:rsidRPr="00614418">
        <w:rPr>
          <w:rFonts w:ascii="Garamond" w:hAnsi="Garamond"/>
        </w:rPr>
        <w:t xml:space="preserve">institutional commitment devices on yields </w:t>
      </w:r>
      <w:r w:rsidR="000350F4">
        <w:rPr>
          <w:rFonts w:ascii="Garamond" w:hAnsi="Garamond"/>
        </w:rPr>
        <w:t>is</w:t>
      </w:r>
      <w:r w:rsidRPr="00614418">
        <w:rPr>
          <w:rFonts w:ascii="Garamond" w:hAnsi="Garamond"/>
        </w:rPr>
        <w:t xml:space="preserve"> complicated by variation in credibility</w:t>
      </w:r>
      <w:r w:rsidRPr="00614418">
        <w:rPr>
          <w:rStyle w:val="FootnoteReference"/>
          <w:rFonts w:ascii="Garamond" w:hAnsi="Garamond"/>
        </w:rPr>
        <w:footnoteReference w:id="11"/>
      </w:r>
      <w:r w:rsidR="00F5169B" w:rsidRPr="00614418">
        <w:rPr>
          <w:rFonts w:ascii="Garamond" w:hAnsi="Garamond" w:cs="Times New Roman"/>
        </w:rPr>
        <w:t xml:space="preserve">. </w:t>
      </w:r>
      <w:r w:rsidR="000F29C7" w:rsidRPr="00614418">
        <w:rPr>
          <w:rFonts w:ascii="Garamond" w:hAnsi="Garamond" w:cs="Times New Roman"/>
        </w:rPr>
        <w:t xml:space="preserve">Within </w:t>
      </w:r>
      <w:r w:rsidR="0053143B">
        <w:rPr>
          <w:rFonts w:ascii="Garamond" w:hAnsi="Garamond" w:cs="Times New Roman"/>
        </w:rPr>
        <w:t xml:space="preserve">international commitment arrangements, on the other hand, like </w:t>
      </w:r>
      <w:r w:rsidR="000F29C7" w:rsidRPr="00614418">
        <w:rPr>
          <w:rFonts w:ascii="Garamond" w:hAnsi="Garamond" w:cs="Times New Roman"/>
        </w:rPr>
        <w:t xml:space="preserve">the </w:t>
      </w:r>
      <w:r w:rsidR="000F29C7" w:rsidRPr="00614418">
        <w:rPr>
          <w:rFonts w:ascii="Garamond" w:hAnsi="Garamond"/>
        </w:rPr>
        <w:t xml:space="preserve">European Monetary System, governments that fail to keep inflation in sync with the anchor either have to </w:t>
      </w:r>
      <w:r w:rsidR="000F29C7" w:rsidRPr="00614418">
        <w:rPr>
          <w:rFonts w:ascii="Garamond" w:hAnsi="Garamond" w:cs="Times New Roman"/>
        </w:rPr>
        <w:t>negotiate exchange-rate re</w:t>
      </w:r>
      <w:r w:rsidR="000F29C7" w:rsidRPr="00614418">
        <w:rPr>
          <w:rFonts w:ascii="Garamond" w:hAnsi="Garamond"/>
        </w:rPr>
        <w:t>adjustments with a number of important – but likely unaccommodating</w:t>
      </w:r>
      <w:r w:rsidR="00FB035D" w:rsidRPr="00614418">
        <w:rPr>
          <w:rStyle w:val="FootnoteReference"/>
          <w:rFonts w:ascii="Garamond" w:hAnsi="Garamond"/>
        </w:rPr>
        <w:footnoteReference w:id="12"/>
      </w:r>
      <w:r w:rsidR="000F29C7" w:rsidRPr="00614418">
        <w:rPr>
          <w:rFonts w:ascii="Garamond" w:hAnsi="Garamond"/>
        </w:rPr>
        <w:t xml:space="preserve"> – trading partners or pay the price of mismatched parities with the rest of the countries within the system in terms of eroding competitiveness, current account imbalances, balance of payment problems and, potentially, speculative attacks on the currency. The prospect of such penalties creates strong incentives for </w:t>
      </w:r>
      <w:r w:rsidR="000F29C7" w:rsidRPr="00614418">
        <w:rPr>
          <w:rFonts w:ascii="Garamond" w:hAnsi="Garamond"/>
        </w:rPr>
        <w:lastRenderedPageBreak/>
        <w:t xml:space="preserve">governments to prioritize low inflation. </w:t>
      </w:r>
      <w:r w:rsidR="007B0D40" w:rsidRPr="00614418">
        <w:rPr>
          <w:rFonts w:ascii="Garamond" w:hAnsi="Garamond"/>
        </w:rPr>
        <w:t>(</w:t>
      </w:r>
      <w:r w:rsidR="007B0D40" w:rsidRPr="00614418">
        <w:rPr>
          <w:rStyle w:val="FootnoteReference"/>
          <w:rFonts w:ascii="Garamond" w:hAnsi="Garamond" w:cs="Times New Roman (Body CS)"/>
          <w:vertAlign w:val="baseline"/>
        </w:rPr>
        <w:t xml:space="preserve">Such prioritization might lead to the adoption of disciplining domestic institutions like fiscal rules and independent central banks to help ensure compliance, but the incentives to </w:t>
      </w:r>
      <w:r w:rsidR="007B0D40" w:rsidRPr="00614418">
        <w:rPr>
          <w:rFonts w:ascii="Garamond" w:hAnsi="Garamond" w:cs="Times New Roman (Body CS)"/>
        </w:rPr>
        <w:t>allow such institutions to dictate policy</w:t>
      </w:r>
      <w:r w:rsidR="00067CA5" w:rsidRPr="00614418">
        <w:rPr>
          <w:rFonts w:ascii="Garamond" w:hAnsi="Garamond" w:cs="Times New Roman (Body CS)"/>
        </w:rPr>
        <w:t xml:space="preserve"> still</w:t>
      </w:r>
      <w:r w:rsidR="007B0D40" w:rsidRPr="00614418">
        <w:rPr>
          <w:rFonts w:ascii="Garamond" w:hAnsi="Garamond" w:cs="Times New Roman (Body CS)"/>
        </w:rPr>
        <w:t xml:space="preserve"> arise from the external commitment to fixed exchange rates.) </w:t>
      </w:r>
      <w:r w:rsidRPr="00614418">
        <w:rPr>
          <w:rFonts w:ascii="Garamond" w:hAnsi="Garamond"/>
        </w:rPr>
        <w:t>Obviously, irrevocable delegation of monetary policy</w:t>
      </w:r>
      <w:r w:rsidR="008413AA" w:rsidRPr="00614418">
        <w:rPr>
          <w:rFonts w:ascii="Garamond" w:hAnsi="Garamond"/>
        </w:rPr>
        <w:t xml:space="preserve"> from the domestic political sphere</w:t>
      </w:r>
      <w:r w:rsidRPr="00614418">
        <w:rPr>
          <w:rFonts w:ascii="Garamond" w:hAnsi="Garamond"/>
        </w:rPr>
        <w:t xml:space="preserve"> to the supranational level </w:t>
      </w:r>
      <w:r w:rsidR="000F29C7" w:rsidRPr="00614418">
        <w:rPr>
          <w:rFonts w:ascii="Garamond" w:hAnsi="Garamond"/>
        </w:rPr>
        <w:t xml:space="preserve">in the Economic and Monetary Union </w:t>
      </w:r>
      <w:r w:rsidRPr="00614418">
        <w:rPr>
          <w:rFonts w:ascii="Garamond" w:hAnsi="Garamond"/>
        </w:rPr>
        <w:t>cements the credibility of commitment to low-inflation policies even further</w:t>
      </w:r>
      <w:r w:rsidR="007B0D40" w:rsidRPr="00614418">
        <w:rPr>
          <w:rFonts w:ascii="Garamond" w:hAnsi="Garamond"/>
        </w:rPr>
        <w:t>, by breaking the link between domestic policy and the value of the currency in which bonds are denominated in, and by entrusting the currency to an institution most insulated from political pressures to sacrifice inflation targets for other policy goals</w:t>
      </w:r>
      <w:r w:rsidRPr="00614418">
        <w:rPr>
          <w:rFonts w:ascii="Garamond" w:hAnsi="Garamond"/>
        </w:rPr>
        <w:t>.</w:t>
      </w:r>
      <w:r w:rsidR="0024018E" w:rsidRPr="00614418">
        <w:rPr>
          <w:rFonts w:ascii="Garamond" w:hAnsi="Garamond"/>
        </w:rPr>
        <w:t xml:space="preserve"> </w:t>
      </w:r>
    </w:p>
    <w:p w14:paraId="796C92D4" w14:textId="134A6EB5" w:rsidR="005611AC" w:rsidRPr="00614418" w:rsidRDefault="00AB54CB" w:rsidP="00AB3FD1">
      <w:pPr>
        <w:spacing w:line="360" w:lineRule="auto"/>
        <w:ind w:firstLine="720"/>
        <w:jc w:val="both"/>
        <w:rPr>
          <w:rFonts w:ascii="Garamond" w:hAnsi="Garamond"/>
        </w:rPr>
      </w:pPr>
      <w:r w:rsidRPr="00614418">
        <w:rPr>
          <w:rFonts w:ascii="Garamond" w:hAnsi="Garamond"/>
        </w:rPr>
        <w:t>Th</w:t>
      </w:r>
      <w:r w:rsidR="007B2CF1" w:rsidRPr="00614418">
        <w:rPr>
          <w:rFonts w:ascii="Garamond" w:hAnsi="Garamond"/>
        </w:rPr>
        <w:t xml:space="preserve">e above discussion suggests a </w:t>
      </w:r>
      <w:r w:rsidR="003B0DD6" w:rsidRPr="00614418">
        <w:rPr>
          <w:rFonts w:ascii="Garamond" w:hAnsi="Garamond"/>
        </w:rPr>
        <w:t>d</w:t>
      </w:r>
      <w:r w:rsidR="007B2CF1" w:rsidRPr="00614418">
        <w:rPr>
          <w:rFonts w:ascii="Garamond" w:hAnsi="Garamond"/>
        </w:rPr>
        <w:t xml:space="preserve">ifference in </w:t>
      </w:r>
      <w:r w:rsidR="003B0DD6" w:rsidRPr="00614418">
        <w:rPr>
          <w:rFonts w:ascii="Garamond" w:hAnsi="Garamond"/>
        </w:rPr>
        <w:t xml:space="preserve">the degree to which </w:t>
      </w:r>
      <w:r w:rsidR="007B2CF1" w:rsidRPr="00614418">
        <w:rPr>
          <w:rFonts w:ascii="Garamond" w:hAnsi="Garamond"/>
        </w:rPr>
        <w:t>bo</w:t>
      </w:r>
      <w:r w:rsidR="00B161BB">
        <w:rPr>
          <w:rFonts w:ascii="Garamond" w:hAnsi="Garamond"/>
        </w:rPr>
        <w:t>n</w:t>
      </w:r>
      <w:r w:rsidR="007B2CF1" w:rsidRPr="00614418">
        <w:rPr>
          <w:rFonts w:ascii="Garamond" w:hAnsi="Garamond"/>
        </w:rPr>
        <w:t xml:space="preserve">d yields </w:t>
      </w:r>
      <w:r w:rsidR="003B0DD6" w:rsidRPr="00614418">
        <w:rPr>
          <w:rFonts w:ascii="Garamond" w:hAnsi="Garamond"/>
        </w:rPr>
        <w:t xml:space="preserve">are responsive to the threat of inflation across </w:t>
      </w:r>
      <w:r w:rsidR="007B2CF1" w:rsidRPr="00614418">
        <w:rPr>
          <w:rFonts w:ascii="Garamond" w:hAnsi="Garamond"/>
        </w:rPr>
        <w:t xml:space="preserve">exchange rate regimes. In </w:t>
      </w:r>
      <w:r w:rsidR="000E301C" w:rsidRPr="00614418">
        <w:rPr>
          <w:rFonts w:ascii="Garamond" w:hAnsi="Garamond"/>
        </w:rPr>
        <w:t xml:space="preserve">a flexible exchange rate regime, an increase in inflation generates an expectation of exchange rate </w:t>
      </w:r>
      <w:r w:rsidR="0097320B">
        <w:rPr>
          <w:rFonts w:ascii="Garamond" w:hAnsi="Garamond"/>
        </w:rPr>
        <w:t>depreciation</w:t>
      </w:r>
      <w:r w:rsidR="000E301C" w:rsidRPr="00614418">
        <w:rPr>
          <w:rFonts w:ascii="Garamond" w:hAnsi="Garamond"/>
        </w:rPr>
        <w:t xml:space="preserve">. Conversely, in </w:t>
      </w:r>
      <w:r w:rsidR="007B2CF1" w:rsidRPr="00614418">
        <w:rPr>
          <w:rFonts w:ascii="Garamond" w:hAnsi="Garamond"/>
        </w:rPr>
        <w:t xml:space="preserve">a </w:t>
      </w:r>
      <w:r w:rsidR="007B2CF1" w:rsidRPr="008A16E9">
        <w:rPr>
          <w:rFonts w:ascii="Garamond" w:hAnsi="Garamond"/>
          <w:i/>
        </w:rPr>
        <w:t>credible</w:t>
      </w:r>
      <w:r w:rsidR="007B2CF1" w:rsidRPr="00614418">
        <w:rPr>
          <w:rFonts w:ascii="Garamond" w:hAnsi="Garamond"/>
        </w:rPr>
        <w:t xml:space="preserve"> peg and a fortiori in a monetary union</w:t>
      </w:r>
      <w:r w:rsidR="003B0DD6" w:rsidRPr="00614418">
        <w:rPr>
          <w:rFonts w:ascii="Garamond" w:hAnsi="Garamond"/>
        </w:rPr>
        <w:t>,</w:t>
      </w:r>
      <w:r w:rsidR="007B2CF1" w:rsidRPr="00614418">
        <w:rPr>
          <w:rFonts w:ascii="Garamond" w:hAnsi="Garamond"/>
        </w:rPr>
        <w:t xml:space="preserve"> inflation is unlikely to be perceived </w:t>
      </w:r>
      <w:r w:rsidR="005C0A96" w:rsidRPr="00614418">
        <w:rPr>
          <w:rFonts w:ascii="Garamond" w:hAnsi="Garamond"/>
        </w:rPr>
        <w:t xml:space="preserve">as </w:t>
      </w:r>
      <w:r w:rsidR="000E301C" w:rsidRPr="00614418">
        <w:rPr>
          <w:rFonts w:ascii="Garamond" w:hAnsi="Garamond"/>
        </w:rPr>
        <w:t xml:space="preserve">equally </w:t>
      </w:r>
      <w:r w:rsidR="005C0A96" w:rsidRPr="00614418">
        <w:rPr>
          <w:rFonts w:ascii="Garamond" w:hAnsi="Garamond"/>
        </w:rPr>
        <w:t>worrisome for two reasons</w:t>
      </w:r>
      <w:r w:rsidR="00D60DE2">
        <w:rPr>
          <w:rFonts w:ascii="Garamond" w:hAnsi="Garamond"/>
        </w:rPr>
        <w:t>.</w:t>
      </w:r>
      <w:r w:rsidR="00D60DE2" w:rsidRPr="00614418">
        <w:rPr>
          <w:rFonts w:ascii="Garamond" w:hAnsi="Garamond"/>
        </w:rPr>
        <w:t xml:space="preserve"> </w:t>
      </w:r>
      <w:r w:rsidR="00D60DE2">
        <w:rPr>
          <w:rFonts w:ascii="Garamond" w:hAnsi="Garamond"/>
        </w:rPr>
        <w:t>T</w:t>
      </w:r>
      <w:r w:rsidR="003B0DD6" w:rsidRPr="00614418">
        <w:rPr>
          <w:rFonts w:ascii="Garamond" w:hAnsi="Garamond"/>
        </w:rPr>
        <w:t>he exchange rate cannot devalue</w:t>
      </w:r>
      <w:r w:rsidR="0090334D" w:rsidRPr="00614418">
        <w:rPr>
          <w:rFonts w:ascii="Garamond" w:hAnsi="Garamond"/>
        </w:rPr>
        <w:t>, and</w:t>
      </w:r>
      <w:r w:rsidR="007B2CF1" w:rsidRPr="00614418">
        <w:rPr>
          <w:rFonts w:ascii="Garamond" w:hAnsi="Garamond"/>
        </w:rPr>
        <w:t xml:space="preserve"> </w:t>
      </w:r>
      <w:r w:rsidR="003B0DD6" w:rsidRPr="00614418">
        <w:rPr>
          <w:rFonts w:ascii="Garamond" w:hAnsi="Garamond"/>
        </w:rPr>
        <w:t>there are</w:t>
      </w:r>
      <w:r w:rsidR="007B2CF1" w:rsidRPr="00614418">
        <w:rPr>
          <w:rFonts w:ascii="Garamond" w:hAnsi="Garamond"/>
        </w:rPr>
        <w:t xml:space="preserve"> in-built mechanisms </w:t>
      </w:r>
      <w:r w:rsidR="005611AC" w:rsidRPr="00614418">
        <w:rPr>
          <w:rFonts w:ascii="Garamond" w:hAnsi="Garamond"/>
        </w:rPr>
        <w:t>that</w:t>
      </w:r>
      <w:r w:rsidR="003B0DD6" w:rsidRPr="00614418">
        <w:rPr>
          <w:rFonts w:ascii="Garamond" w:hAnsi="Garamond"/>
        </w:rPr>
        <w:t xml:space="preserve"> ensure th</w:t>
      </w:r>
      <w:r w:rsidR="002F2B27" w:rsidRPr="00614418">
        <w:rPr>
          <w:rFonts w:ascii="Garamond" w:hAnsi="Garamond"/>
        </w:rPr>
        <w:t>at any</w:t>
      </w:r>
      <w:r w:rsidR="003B0DD6" w:rsidRPr="00614418">
        <w:rPr>
          <w:rFonts w:ascii="Garamond" w:hAnsi="Garamond"/>
        </w:rPr>
        <w:t xml:space="preserve"> inflation spurt</w:t>
      </w:r>
      <w:r w:rsidR="005C0A96" w:rsidRPr="00614418">
        <w:rPr>
          <w:rFonts w:ascii="Garamond" w:hAnsi="Garamond"/>
        </w:rPr>
        <w:t xml:space="preserve"> remain</w:t>
      </w:r>
      <w:r w:rsidR="007B2CF1" w:rsidRPr="00614418">
        <w:rPr>
          <w:rFonts w:ascii="Garamond" w:hAnsi="Garamond"/>
        </w:rPr>
        <w:t xml:space="preserve">s a short-lived phenomenon. </w:t>
      </w:r>
      <w:r w:rsidR="00AB3FD1" w:rsidRPr="00614418">
        <w:rPr>
          <w:rFonts w:ascii="Garamond" w:hAnsi="Garamond"/>
        </w:rPr>
        <w:t>In other words, i</w:t>
      </w:r>
      <w:r w:rsidR="0024018E" w:rsidRPr="00614418">
        <w:rPr>
          <w:rFonts w:ascii="Garamond" w:hAnsi="Garamond"/>
        </w:rPr>
        <w:t xml:space="preserve">n an inflationary </w:t>
      </w:r>
      <w:r w:rsidR="000E301C" w:rsidRPr="00614418">
        <w:rPr>
          <w:rFonts w:ascii="Garamond" w:hAnsi="Garamond"/>
        </w:rPr>
        <w:t>environment</w:t>
      </w:r>
      <w:r w:rsidR="00387A72" w:rsidRPr="00614418">
        <w:rPr>
          <w:rFonts w:ascii="Garamond" w:hAnsi="Garamond"/>
        </w:rPr>
        <w:t xml:space="preserve">, </w:t>
      </w:r>
      <w:r w:rsidR="00501705" w:rsidRPr="00614418">
        <w:rPr>
          <w:rFonts w:ascii="Garamond" w:hAnsi="Garamond"/>
        </w:rPr>
        <w:t xml:space="preserve">nominal </w:t>
      </w:r>
      <w:r w:rsidR="00387A72" w:rsidRPr="00614418">
        <w:rPr>
          <w:rFonts w:ascii="Garamond" w:hAnsi="Garamond"/>
        </w:rPr>
        <w:t xml:space="preserve">interest rates are likely to be less </w:t>
      </w:r>
      <w:r w:rsidR="00AB3FD1" w:rsidRPr="00614418">
        <w:rPr>
          <w:rFonts w:ascii="Garamond" w:hAnsi="Garamond"/>
        </w:rPr>
        <w:t xml:space="preserve">responsive to inflation </w:t>
      </w:r>
      <w:r w:rsidR="00387A72" w:rsidRPr="00614418">
        <w:rPr>
          <w:rFonts w:ascii="Garamond" w:hAnsi="Garamond"/>
        </w:rPr>
        <w:t>i</w:t>
      </w:r>
      <w:r w:rsidR="002F2B27" w:rsidRPr="00614418">
        <w:rPr>
          <w:rFonts w:ascii="Garamond" w:hAnsi="Garamond"/>
        </w:rPr>
        <w:t xml:space="preserve">f the </w:t>
      </w:r>
      <w:r w:rsidR="00387A72" w:rsidRPr="00614418">
        <w:rPr>
          <w:rFonts w:ascii="Garamond" w:hAnsi="Garamond"/>
        </w:rPr>
        <w:t xml:space="preserve">exchange rate </w:t>
      </w:r>
      <w:r w:rsidR="002F2B27" w:rsidRPr="00614418">
        <w:rPr>
          <w:rFonts w:ascii="Garamond" w:hAnsi="Garamond"/>
        </w:rPr>
        <w:t xml:space="preserve">is rigid than if it is </w:t>
      </w:r>
      <w:r w:rsidR="00387A72" w:rsidRPr="00614418">
        <w:rPr>
          <w:rFonts w:ascii="Garamond" w:hAnsi="Garamond"/>
        </w:rPr>
        <w:t xml:space="preserve">flexible. </w:t>
      </w:r>
    </w:p>
    <w:p w14:paraId="35A62E27" w14:textId="5A7FE22A" w:rsidR="00220AA6" w:rsidRPr="00614418" w:rsidRDefault="000E301C" w:rsidP="00220AA6">
      <w:pPr>
        <w:spacing w:line="360" w:lineRule="auto"/>
        <w:ind w:firstLine="720"/>
        <w:jc w:val="both"/>
        <w:rPr>
          <w:rFonts w:ascii="Garamond" w:hAnsi="Garamond"/>
        </w:rPr>
      </w:pPr>
      <w:r w:rsidRPr="00614418">
        <w:rPr>
          <w:rFonts w:ascii="Garamond" w:hAnsi="Garamond"/>
        </w:rPr>
        <w:t>Associated with this, i</w:t>
      </w:r>
      <w:r w:rsidR="00220AA6" w:rsidRPr="00614418">
        <w:rPr>
          <w:rFonts w:ascii="Garamond" w:hAnsi="Garamond"/>
        </w:rPr>
        <w:t xml:space="preserve">n the presence of </w:t>
      </w:r>
      <w:r w:rsidRPr="00614418">
        <w:rPr>
          <w:rFonts w:ascii="Garamond" w:hAnsi="Garamond"/>
        </w:rPr>
        <w:t xml:space="preserve">such </w:t>
      </w:r>
      <w:r w:rsidR="00220AA6" w:rsidRPr="00614418">
        <w:rPr>
          <w:rFonts w:ascii="Garamond" w:hAnsi="Garamond"/>
        </w:rPr>
        <w:t xml:space="preserve">credible commitment to low inflation in </w:t>
      </w:r>
      <w:r w:rsidR="00D60DE2">
        <w:rPr>
          <w:rFonts w:ascii="Garamond" w:hAnsi="Garamond"/>
        </w:rPr>
        <w:t xml:space="preserve">credible </w:t>
      </w:r>
      <w:r w:rsidR="00220AA6" w:rsidRPr="00614418">
        <w:rPr>
          <w:rFonts w:ascii="Garamond" w:hAnsi="Garamond"/>
        </w:rPr>
        <w:t xml:space="preserve">fixed exchange rate regimes and monetary union, investors’ concerns about the eroding of the value of the currency their bonds are denominated in is likely to be alleviated enough to induce investors to economize on their monitoring costs and ignore policy outcomes that they would scrutinize under floating exchange rate regimes. Therefore, we expect yields to have different sensitivity to policy indicators under different exchange rate arrangements. </w:t>
      </w:r>
      <w:r w:rsidR="00220AA6" w:rsidRPr="00153E12">
        <w:rPr>
          <w:rFonts w:ascii="Garamond" w:hAnsi="Garamond"/>
        </w:rPr>
        <w:t xml:space="preserve">Under floating exchange rates, investors monitor all aspects of policy that can affect future inflation, such as current inflation, deficits, </w:t>
      </w:r>
      <w:r w:rsidR="00AC2287" w:rsidRPr="00153E12">
        <w:rPr>
          <w:rFonts w:ascii="Garamond" w:hAnsi="Garamond"/>
        </w:rPr>
        <w:t>and</w:t>
      </w:r>
      <w:r w:rsidR="00220AA6" w:rsidRPr="00153E12">
        <w:rPr>
          <w:rFonts w:ascii="Garamond" w:hAnsi="Garamond"/>
        </w:rPr>
        <w:t xml:space="preserve"> </w:t>
      </w:r>
      <w:r w:rsidR="0092749F" w:rsidRPr="00153E12">
        <w:rPr>
          <w:rFonts w:ascii="Garamond" w:hAnsi="Garamond"/>
        </w:rPr>
        <w:t>social spending</w:t>
      </w:r>
      <w:r w:rsidR="00A15148" w:rsidRPr="00153E12">
        <w:rPr>
          <w:rFonts w:ascii="Garamond" w:hAnsi="Garamond"/>
        </w:rPr>
        <w:t xml:space="preserve"> with implications for wage pressure</w:t>
      </w:r>
      <w:r w:rsidR="00220AA6" w:rsidRPr="00153E12">
        <w:rPr>
          <w:rFonts w:ascii="Garamond" w:hAnsi="Garamond"/>
        </w:rPr>
        <w:t>.</w:t>
      </w:r>
      <w:r w:rsidR="00A0261B">
        <w:rPr>
          <w:rStyle w:val="FootnoteReference"/>
          <w:rFonts w:ascii="Garamond" w:hAnsi="Garamond"/>
        </w:rPr>
        <w:footnoteReference w:id="13"/>
      </w:r>
      <w:r w:rsidR="00220AA6" w:rsidRPr="00153E12">
        <w:rPr>
          <w:rFonts w:ascii="Garamond" w:hAnsi="Garamond"/>
        </w:rPr>
        <w:t xml:space="preserve"> Under fixed exchange rates, keeping an eye on current inflation gives investors sufficient information to assess governments’ ability to comply with their inflation targets</w:t>
      </w:r>
      <w:r w:rsidR="00A0261B">
        <w:rPr>
          <w:rFonts w:ascii="Garamond" w:hAnsi="Garamond"/>
        </w:rPr>
        <w:t>, if</w:t>
      </w:r>
      <w:r w:rsidR="00AB0B17">
        <w:rPr>
          <w:rFonts w:ascii="Garamond" w:hAnsi="Garamond"/>
        </w:rPr>
        <w:t xml:space="preserve"> the parity is considered credible by investors</w:t>
      </w:r>
      <w:r w:rsidR="00220AA6" w:rsidRPr="00153E12">
        <w:rPr>
          <w:rFonts w:ascii="Garamond" w:hAnsi="Garamond"/>
        </w:rPr>
        <w:t xml:space="preserve">. </w:t>
      </w:r>
      <w:r w:rsidR="00A0261B">
        <w:rPr>
          <w:rFonts w:ascii="Garamond" w:hAnsi="Garamond"/>
        </w:rPr>
        <w:t xml:space="preserve">If it is not considered credible, </w:t>
      </w:r>
      <w:r w:rsidR="00752469">
        <w:rPr>
          <w:rFonts w:ascii="Garamond" w:hAnsi="Garamond"/>
        </w:rPr>
        <w:t>investors broaden their scrutiny beyond inflation to other indicators.</w:t>
      </w:r>
      <w:r w:rsidR="00A0261B">
        <w:rPr>
          <w:rFonts w:ascii="Garamond" w:hAnsi="Garamond"/>
        </w:rPr>
        <w:t xml:space="preserve">  </w:t>
      </w:r>
      <w:r w:rsidR="00220AA6" w:rsidRPr="00153E12">
        <w:rPr>
          <w:rFonts w:ascii="Garamond" w:hAnsi="Garamond"/>
        </w:rPr>
        <w:t>Under monetary union, even current inflation rates lose their relevance, because the value of the union’s currency is insulated from domestic prices</w:t>
      </w:r>
      <w:r w:rsidR="00220AA6" w:rsidRPr="00614418">
        <w:rPr>
          <w:rFonts w:ascii="Garamond" w:hAnsi="Garamond"/>
        </w:rPr>
        <w:t xml:space="preserve">. In other words, credibly fixed exchange rates and, particularly, monetary union can create considerable ‘room to move’ for developed country governments without fear of penalties on </w:t>
      </w:r>
      <w:r w:rsidR="00220AA6" w:rsidRPr="00614418">
        <w:rPr>
          <w:rFonts w:ascii="Garamond" w:hAnsi="Garamond"/>
        </w:rPr>
        <w:lastRenderedPageBreak/>
        <w:t xml:space="preserve">their </w:t>
      </w:r>
      <w:r w:rsidR="00752469">
        <w:rPr>
          <w:rFonts w:ascii="Garamond" w:hAnsi="Garamond"/>
        </w:rPr>
        <w:t xml:space="preserve">fiscal </w:t>
      </w:r>
      <w:r w:rsidR="00220AA6" w:rsidRPr="00614418">
        <w:rPr>
          <w:rFonts w:ascii="Garamond" w:hAnsi="Garamond"/>
        </w:rPr>
        <w:t>polic</w:t>
      </w:r>
      <w:r w:rsidR="00752469">
        <w:rPr>
          <w:rFonts w:ascii="Garamond" w:hAnsi="Garamond"/>
        </w:rPr>
        <w:t>i</w:t>
      </w:r>
      <w:r w:rsidR="00220AA6" w:rsidRPr="00614418">
        <w:rPr>
          <w:rFonts w:ascii="Garamond" w:hAnsi="Garamond"/>
        </w:rPr>
        <w:t xml:space="preserve">es </w:t>
      </w:r>
      <w:r w:rsidR="00220AA6" w:rsidRPr="00614418">
        <w:rPr>
          <w:rFonts w:ascii="Garamond" w:hAnsi="Garamond"/>
          <w:i/>
        </w:rPr>
        <w:t xml:space="preserve">as long as investors see inflation as the single most significant threat to the value of their investments in the countries’ bonds. </w:t>
      </w:r>
      <w:r w:rsidR="00220AA6" w:rsidRPr="00614418">
        <w:rPr>
          <w:rFonts w:ascii="Garamond" w:hAnsi="Garamond"/>
        </w:rPr>
        <w:t>These considerations yield the following hypotheses:</w:t>
      </w:r>
    </w:p>
    <w:p w14:paraId="4F10032C" w14:textId="77777777" w:rsidR="00FA40AD" w:rsidRPr="00614418" w:rsidRDefault="00FA40AD" w:rsidP="00501705">
      <w:pPr>
        <w:spacing w:line="360" w:lineRule="auto"/>
        <w:jc w:val="both"/>
        <w:rPr>
          <w:rFonts w:ascii="Garamond" w:hAnsi="Garamond"/>
          <w:i/>
        </w:rPr>
      </w:pPr>
    </w:p>
    <w:p w14:paraId="4CADAD03" w14:textId="77777777" w:rsidR="00220AA6" w:rsidRPr="00614418" w:rsidRDefault="00220AA6" w:rsidP="00220AA6">
      <w:pPr>
        <w:spacing w:line="360" w:lineRule="auto"/>
        <w:jc w:val="both"/>
        <w:rPr>
          <w:rFonts w:ascii="Garamond" w:hAnsi="Garamond"/>
          <w:i/>
        </w:rPr>
      </w:pPr>
      <w:r w:rsidRPr="00614418">
        <w:rPr>
          <w:rFonts w:ascii="Garamond" w:hAnsi="Garamond"/>
          <w:i/>
        </w:rPr>
        <w:t>H1: As long as investors are worried about inflation but unconcerned about the possibility of default,</w:t>
      </w:r>
    </w:p>
    <w:p w14:paraId="3DD32F85" w14:textId="2985C70F" w:rsidR="00220AA6" w:rsidRPr="00614418" w:rsidRDefault="00220AA6" w:rsidP="00220AA6">
      <w:pPr>
        <w:pStyle w:val="ListParagraph"/>
        <w:numPr>
          <w:ilvl w:val="0"/>
          <w:numId w:val="1"/>
        </w:numPr>
        <w:spacing w:line="360" w:lineRule="auto"/>
        <w:jc w:val="both"/>
        <w:rPr>
          <w:rFonts w:ascii="Garamond" w:hAnsi="Garamond"/>
          <w:i/>
        </w:rPr>
      </w:pPr>
      <w:r w:rsidRPr="00614418">
        <w:rPr>
          <w:rFonts w:ascii="Garamond" w:hAnsi="Garamond"/>
          <w:i/>
        </w:rPr>
        <w:t xml:space="preserve">yields are affected by inflation, deficits, </w:t>
      </w:r>
      <w:r w:rsidR="007E7ADF" w:rsidRPr="00614418">
        <w:rPr>
          <w:rFonts w:ascii="Garamond" w:hAnsi="Garamond"/>
          <w:i/>
        </w:rPr>
        <w:t>social</w:t>
      </w:r>
      <w:r w:rsidRPr="00614418">
        <w:rPr>
          <w:rFonts w:ascii="Garamond" w:hAnsi="Garamond"/>
          <w:i/>
        </w:rPr>
        <w:t xml:space="preserve"> spending </w:t>
      </w:r>
      <w:r w:rsidR="00A15148">
        <w:rPr>
          <w:rFonts w:ascii="Garamond" w:hAnsi="Garamond"/>
          <w:i/>
        </w:rPr>
        <w:t>and</w:t>
      </w:r>
      <w:r w:rsidRPr="00614418">
        <w:rPr>
          <w:rFonts w:ascii="Garamond" w:hAnsi="Garamond"/>
          <w:i/>
        </w:rPr>
        <w:t xml:space="preserve"> entitlements under floating exchange rates</w:t>
      </w:r>
      <w:r w:rsidR="00D60DE2">
        <w:rPr>
          <w:rFonts w:ascii="Garamond" w:hAnsi="Garamond"/>
          <w:i/>
        </w:rPr>
        <w:t>;</w:t>
      </w:r>
    </w:p>
    <w:p w14:paraId="5964FCBF" w14:textId="0C3251DC" w:rsidR="00220AA6" w:rsidRDefault="00220AA6" w:rsidP="00752469">
      <w:pPr>
        <w:pStyle w:val="ListParagraph"/>
        <w:numPr>
          <w:ilvl w:val="0"/>
          <w:numId w:val="1"/>
        </w:numPr>
        <w:spacing w:line="360" w:lineRule="auto"/>
        <w:ind w:right="450"/>
        <w:jc w:val="both"/>
        <w:rPr>
          <w:rFonts w:ascii="Garamond" w:hAnsi="Garamond"/>
          <w:i/>
        </w:rPr>
      </w:pPr>
      <w:r w:rsidRPr="00614418">
        <w:rPr>
          <w:rFonts w:ascii="Garamond" w:hAnsi="Garamond"/>
          <w:i/>
        </w:rPr>
        <w:t>yields are not affected by any policy variables under monetary union</w:t>
      </w:r>
      <w:r w:rsidR="00D60DE2">
        <w:rPr>
          <w:rFonts w:ascii="Garamond" w:hAnsi="Garamond"/>
          <w:i/>
        </w:rPr>
        <w:t>; and</w:t>
      </w:r>
    </w:p>
    <w:p w14:paraId="3B4DA99D" w14:textId="7608DC68" w:rsidR="00AB0B17" w:rsidRPr="00614418" w:rsidRDefault="00077302" w:rsidP="00752469">
      <w:pPr>
        <w:pStyle w:val="ListParagraph"/>
        <w:numPr>
          <w:ilvl w:val="0"/>
          <w:numId w:val="1"/>
        </w:numPr>
        <w:spacing w:line="360" w:lineRule="auto"/>
        <w:ind w:right="450"/>
        <w:jc w:val="both"/>
        <w:rPr>
          <w:rFonts w:ascii="Garamond" w:hAnsi="Garamond"/>
          <w:i/>
        </w:rPr>
      </w:pPr>
      <w:r>
        <w:rPr>
          <w:rFonts w:ascii="Garamond" w:hAnsi="Garamond"/>
          <w:i/>
        </w:rPr>
        <w:t xml:space="preserve">the impact of variables is </w:t>
      </w:r>
      <w:r w:rsidR="00AB0B17">
        <w:rPr>
          <w:rFonts w:ascii="Garamond" w:hAnsi="Garamond"/>
          <w:i/>
        </w:rPr>
        <w:t xml:space="preserve">a priori </w:t>
      </w:r>
      <w:r w:rsidR="00316BBB">
        <w:rPr>
          <w:rFonts w:ascii="Garamond" w:hAnsi="Garamond"/>
          <w:i/>
        </w:rPr>
        <w:t>indeterminate</w:t>
      </w:r>
      <w:r w:rsidR="0026766C">
        <w:rPr>
          <w:rFonts w:ascii="Garamond" w:hAnsi="Garamond"/>
          <w:i/>
        </w:rPr>
        <w:t xml:space="preserve"> </w:t>
      </w:r>
      <w:r>
        <w:rPr>
          <w:rFonts w:ascii="Garamond" w:hAnsi="Garamond"/>
          <w:i/>
        </w:rPr>
        <w:t>under</w:t>
      </w:r>
      <w:r w:rsidR="0026766C">
        <w:rPr>
          <w:rFonts w:ascii="Garamond" w:hAnsi="Garamond"/>
          <w:i/>
        </w:rPr>
        <w:t xml:space="preserve"> fixed exchange rates</w:t>
      </w:r>
      <w:r w:rsidR="00AB0B17">
        <w:rPr>
          <w:rFonts w:ascii="Garamond" w:hAnsi="Garamond"/>
          <w:i/>
        </w:rPr>
        <w:t>: if markets perceive them to be cred</w:t>
      </w:r>
      <w:r>
        <w:rPr>
          <w:rFonts w:ascii="Garamond" w:hAnsi="Garamond"/>
          <w:i/>
        </w:rPr>
        <w:t xml:space="preserve">ible, </w:t>
      </w:r>
      <w:r w:rsidR="00AB0B17">
        <w:rPr>
          <w:rFonts w:ascii="Garamond" w:hAnsi="Garamond"/>
          <w:i/>
        </w:rPr>
        <w:t>o</w:t>
      </w:r>
      <w:r w:rsidR="00B0515D">
        <w:rPr>
          <w:rFonts w:ascii="Garamond" w:hAnsi="Garamond"/>
          <w:i/>
        </w:rPr>
        <w:t>utcome</w:t>
      </w:r>
      <w:r>
        <w:rPr>
          <w:rFonts w:ascii="Garamond" w:hAnsi="Garamond"/>
          <w:i/>
        </w:rPr>
        <w:t>s</w:t>
      </w:r>
      <w:r w:rsidR="00B0515D">
        <w:rPr>
          <w:rFonts w:ascii="Garamond" w:hAnsi="Garamond"/>
          <w:i/>
        </w:rPr>
        <w:t xml:space="preserve"> should be similar to b</w:t>
      </w:r>
      <w:r w:rsidR="00AB0B17">
        <w:rPr>
          <w:rFonts w:ascii="Garamond" w:hAnsi="Garamond"/>
          <w:i/>
        </w:rPr>
        <w:t>.), but similar to a.) if markets perceive them as non-credible.</w:t>
      </w:r>
    </w:p>
    <w:p w14:paraId="21AC1AF2" w14:textId="77777777" w:rsidR="00501705" w:rsidRPr="00614418" w:rsidRDefault="00501705" w:rsidP="00136193">
      <w:pPr>
        <w:spacing w:line="360" w:lineRule="auto"/>
        <w:ind w:firstLine="720"/>
        <w:jc w:val="both"/>
        <w:rPr>
          <w:rFonts w:ascii="Garamond" w:hAnsi="Garamond"/>
        </w:rPr>
      </w:pPr>
    </w:p>
    <w:p w14:paraId="5EAECF42" w14:textId="2740FF74" w:rsidR="00AC2287" w:rsidRPr="00614418" w:rsidRDefault="008B159F" w:rsidP="002F77A3">
      <w:pPr>
        <w:spacing w:line="360" w:lineRule="auto"/>
        <w:ind w:firstLine="720"/>
        <w:jc w:val="both"/>
        <w:rPr>
          <w:rFonts w:ascii="Garamond" w:hAnsi="Garamond" w:cs="Times New Roman"/>
        </w:rPr>
      </w:pPr>
      <w:r w:rsidRPr="00614418">
        <w:rPr>
          <w:rFonts w:ascii="Garamond" w:hAnsi="Garamond"/>
        </w:rPr>
        <w:t>However,</w:t>
      </w:r>
      <w:r w:rsidR="00220AA6" w:rsidRPr="00614418">
        <w:rPr>
          <w:rFonts w:ascii="Garamond" w:hAnsi="Garamond"/>
        </w:rPr>
        <w:t xml:space="preserve"> the assumption that inflation is investors’ paramount concern cannot be taken to hold </w:t>
      </w:r>
      <w:r w:rsidR="00B905E4" w:rsidRPr="00614418">
        <w:rPr>
          <w:rFonts w:ascii="Garamond" w:hAnsi="Garamond"/>
        </w:rPr>
        <w:t xml:space="preserve">universally </w:t>
      </w:r>
      <w:r w:rsidR="00220AA6" w:rsidRPr="00614418">
        <w:rPr>
          <w:rFonts w:ascii="Garamond" w:hAnsi="Garamond"/>
        </w:rPr>
        <w:t xml:space="preserve">independently of historical context. </w:t>
      </w:r>
      <w:r w:rsidR="00670AEA" w:rsidRPr="00614418">
        <w:rPr>
          <w:rFonts w:ascii="Garamond" w:hAnsi="Garamond"/>
        </w:rPr>
        <w:t>T</w:t>
      </w:r>
      <w:r w:rsidRPr="00614418">
        <w:rPr>
          <w:rFonts w:ascii="Garamond" w:hAnsi="Garamond"/>
        </w:rPr>
        <w:t>he current international economic environment is very different from the 1980s and 1990s. F</w:t>
      </w:r>
      <w:r w:rsidR="006D1674" w:rsidRPr="00614418">
        <w:rPr>
          <w:rFonts w:ascii="Garamond" w:hAnsi="Garamond"/>
        </w:rPr>
        <w:t xml:space="preserve">ar from being the most important problem for policy-makers and bondholders, </w:t>
      </w:r>
      <w:r w:rsidR="00B905E4" w:rsidRPr="00614418">
        <w:rPr>
          <w:rFonts w:ascii="Garamond" w:hAnsi="Garamond"/>
        </w:rPr>
        <w:t>inflation</w:t>
      </w:r>
      <w:r w:rsidR="00B905E4" w:rsidRPr="00614418" w:rsidDel="00AB0B17">
        <w:rPr>
          <w:rFonts w:ascii="Garamond" w:hAnsi="Garamond"/>
        </w:rPr>
        <w:t xml:space="preserve"> </w:t>
      </w:r>
      <w:r w:rsidR="00B905E4">
        <w:rPr>
          <w:rFonts w:ascii="Garamond" w:hAnsi="Garamond"/>
        </w:rPr>
        <w:t xml:space="preserve">has declined in </w:t>
      </w:r>
      <w:r w:rsidR="00B905E4" w:rsidRPr="00614418">
        <w:rPr>
          <w:rFonts w:ascii="Garamond" w:hAnsi="Garamond"/>
        </w:rPr>
        <w:t>developed countries</w:t>
      </w:r>
      <w:r w:rsidR="006D1674" w:rsidRPr="00614418">
        <w:rPr>
          <w:rFonts w:ascii="Garamond" w:hAnsi="Garamond"/>
        </w:rPr>
        <w:t xml:space="preserve">. </w:t>
      </w:r>
      <w:r w:rsidR="00AB0B17">
        <w:rPr>
          <w:rFonts w:ascii="Garamond" w:hAnsi="Garamond"/>
        </w:rPr>
        <w:t>Recently, i</w:t>
      </w:r>
      <w:r w:rsidR="006D1674" w:rsidRPr="00614418">
        <w:rPr>
          <w:rFonts w:ascii="Garamond" w:hAnsi="Garamond"/>
        </w:rPr>
        <w:t>n spite of repeated injections of liquidity</w:t>
      </w:r>
      <w:r w:rsidR="00E722A4" w:rsidRPr="00614418">
        <w:rPr>
          <w:rFonts w:ascii="Garamond" w:hAnsi="Garamond"/>
        </w:rPr>
        <w:t xml:space="preserve"> through </w:t>
      </w:r>
      <w:r w:rsidR="006D1674" w:rsidRPr="00614418">
        <w:rPr>
          <w:rFonts w:ascii="Garamond" w:hAnsi="Garamond"/>
        </w:rPr>
        <w:t xml:space="preserve">various quantitative easing programs, central banks throughout the advanced world </w:t>
      </w:r>
      <w:r w:rsidR="005C0A96" w:rsidRPr="00614418">
        <w:rPr>
          <w:rFonts w:ascii="Garamond" w:hAnsi="Garamond"/>
        </w:rPr>
        <w:t xml:space="preserve">have been </w:t>
      </w:r>
      <w:r w:rsidR="002F2B27" w:rsidRPr="00614418">
        <w:rPr>
          <w:rFonts w:ascii="Garamond" w:hAnsi="Garamond"/>
        </w:rPr>
        <w:t>un</w:t>
      </w:r>
      <w:r w:rsidR="00EF2925" w:rsidRPr="00614418">
        <w:rPr>
          <w:rFonts w:ascii="Garamond" w:hAnsi="Garamond"/>
        </w:rPr>
        <w:t xml:space="preserve">able </w:t>
      </w:r>
      <w:r w:rsidR="006D1674" w:rsidRPr="00614418">
        <w:rPr>
          <w:rFonts w:ascii="Garamond" w:hAnsi="Garamond"/>
        </w:rPr>
        <w:t xml:space="preserve">to </w:t>
      </w:r>
      <w:r w:rsidR="002F2B27" w:rsidRPr="00614418">
        <w:rPr>
          <w:rFonts w:ascii="Garamond" w:hAnsi="Garamond"/>
        </w:rPr>
        <w:t xml:space="preserve">hit their low inflation targets, </w:t>
      </w:r>
      <w:r w:rsidR="0090334D" w:rsidRPr="00614418">
        <w:rPr>
          <w:rFonts w:ascii="Garamond" w:hAnsi="Garamond"/>
        </w:rPr>
        <w:t xml:space="preserve">in some cases significantly </w:t>
      </w:r>
      <w:r w:rsidR="00220AA6" w:rsidRPr="00614418">
        <w:rPr>
          <w:rFonts w:ascii="Garamond" w:hAnsi="Garamond"/>
        </w:rPr>
        <w:t xml:space="preserve">undershooting </w:t>
      </w:r>
      <w:r w:rsidR="0090334D" w:rsidRPr="00614418">
        <w:rPr>
          <w:rFonts w:ascii="Garamond" w:hAnsi="Garamond"/>
        </w:rPr>
        <w:t>them</w:t>
      </w:r>
      <w:r w:rsidR="006D1674" w:rsidRPr="00614418">
        <w:rPr>
          <w:rFonts w:ascii="Garamond" w:hAnsi="Garamond"/>
        </w:rPr>
        <w:t xml:space="preserve">. </w:t>
      </w:r>
      <w:r w:rsidR="00E722A4" w:rsidRPr="00614418">
        <w:rPr>
          <w:rFonts w:ascii="Garamond" w:hAnsi="Garamond"/>
        </w:rPr>
        <w:t>We</w:t>
      </w:r>
      <w:r w:rsidR="006D1674" w:rsidRPr="00614418">
        <w:rPr>
          <w:rFonts w:ascii="Garamond" w:hAnsi="Garamond"/>
        </w:rPr>
        <w:t xml:space="preserve"> seem to have entered an era of secular stagnation, in which growth is sluggish, interest rates are </w:t>
      </w:r>
      <w:r w:rsidR="005C0A96" w:rsidRPr="00614418">
        <w:rPr>
          <w:rFonts w:ascii="Garamond" w:hAnsi="Garamond"/>
        </w:rPr>
        <w:t xml:space="preserve">very </w:t>
      </w:r>
      <w:r w:rsidR="006D1674" w:rsidRPr="00614418">
        <w:rPr>
          <w:rFonts w:ascii="Garamond" w:hAnsi="Garamond"/>
        </w:rPr>
        <w:t xml:space="preserve">low, especially on safe assets </w:t>
      </w:r>
      <w:r w:rsidR="008157DB">
        <w:rPr>
          <w:rFonts w:ascii="Garamond" w:hAnsi="Garamond"/>
        </w:rPr>
        <w:fldChar w:fldCharType="begin"/>
      </w:r>
      <w:r w:rsidR="008157DB">
        <w:rPr>
          <w:rFonts w:ascii="Garamond" w:hAnsi="Garamond"/>
        </w:rPr>
        <w:instrText xml:space="preserve"> ADDIN EN.CITE &lt;EndNote&gt;&lt;Cite&gt;&lt;Author&gt;Caballero&lt;/Author&gt;&lt;Year&gt;2017&lt;/Year&gt;&lt;RecNum&gt;10844&lt;/RecNum&gt;&lt;DisplayText&gt;(Caballero, Farhi and Gourinchas 2017)&lt;/DisplayText&gt;&lt;record&gt;&lt;rec-number&gt;10844&lt;/rec-number&gt;&lt;foreign-keys&gt;&lt;key app="EN" db-id="92rvefpz8s0008ezfp8v5a2tz9xt2dv5x925" timestamp="1603366256"&gt;10844&lt;/key&gt;&lt;/foreign-keys&gt;&lt;ref-type name="Journal Article"&gt;17&lt;/ref-type&gt;&lt;contributors&gt;&lt;authors&gt;&lt;author&gt;Caballero, Ricardo J.&lt;/author&gt;&lt;author&gt;Farhi, Emmanuel&lt;/author&gt;&lt;author&gt;Gourinchas, Pierre-Olivier&lt;/author&gt;&lt;/authors&gt;&lt;/contributors&gt;&lt;titles&gt;&lt;title&gt;The Safe Assets Shortage Conundrum&lt;/title&gt;&lt;secondary-title&gt;Journal of Economic Perspectives&lt;/secondary-title&gt;&lt;/titles&gt;&lt;periodical&gt;&lt;full-title&gt;Journal of Economic Perspectives&lt;/full-title&gt;&lt;/periodical&gt;&lt;pages&gt;29-46&lt;/pages&gt;&lt;volume&gt;31&lt;/volume&gt;&lt;number&gt;3&lt;/number&gt;&lt;dates&gt;&lt;year&gt;2017&lt;/year&gt;&lt;/dates&gt;&lt;urls&gt;&lt;related-urls&gt;&lt;url&gt;https://www.aeaweb.org/articles?id=10.1257/jep.31.3.29&lt;/url&gt;&lt;/related-urls&gt;&lt;/urls&gt;&lt;electronic-resource-num&gt;10.1257/jep.31.3.29&lt;/electronic-resource-num&gt;&lt;/record&gt;&lt;/Cite&gt;&lt;/EndNote&gt;</w:instrText>
      </w:r>
      <w:r w:rsidR="008157DB">
        <w:rPr>
          <w:rFonts w:ascii="Garamond" w:hAnsi="Garamond"/>
        </w:rPr>
        <w:fldChar w:fldCharType="separate"/>
      </w:r>
      <w:bookmarkStart w:id="20" w:name="_Hlk79670507"/>
      <w:r w:rsidR="008157DB">
        <w:rPr>
          <w:rFonts w:ascii="Garamond" w:hAnsi="Garamond"/>
          <w:noProof/>
        </w:rPr>
        <w:t>(</w:t>
      </w:r>
      <w:bookmarkEnd w:id="20"/>
      <w:r w:rsidR="008A16E9">
        <w:rPr>
          <w:rFonts w:ascii="Garamond" w:hAnsi="Garamond"/>
          <w:noProof/>
        </w:rPr>
        <w:fldChar w:fldCharType="begin"/>
      </w:r>
      <w:r w:rsidR="008A16E9">
        <w:rPr>
          <w:rFonts w:ascii="Garamond" w:hAnsi="Garamond"/>
          <w:noProof/>
        </w:rPr>
        <w:instrText xml:space="preserve"> HYPERLINK \l "_ENREF_2" \o "Caballero, 2017 #10844" </w:instrText>
      </w:r>
      <w:r w:rsidR="008A16E9">
        <w:rPr>
          <w:rFonts w:ascii="Garamond" w:hAnsi="Garamond"/>
          <w:noProof/>
        </w:rPr>
        <w:fldChar w:fldCharType="separate"/>
      </w:r>
      <w:r w:rsidR="008A16E9">
        <w:rPr>
          <w:rFonts w:ascii="Garamond" w:hAnsi="Garamond"/>
          <w:noProof/>
        </w:rPr>
        <w:t>Caballero, Farhi and Gourinchas 2017</w:t>
      </w:r>
      <w:r w:rsidR="008A16E9">
        <w:rPr>
          <w:rFonts w:ascii="Garamond" w:hAnsi="Garamond"/>
          <w:noProof/>
        </w:rPr>
        <w:fldChar w:fldCharType="end"/>
      </w:r>
      <w:r w:rsidR="008157DB">
        <w:rPr>
          <w:rFonts w:ascii="Garamond" w:hAnsi="Garamond"/>
          <w:noProof/>
        </w:rPr>
        <w:t>)</w:t>
      </w:r>
      <w:r w:rsidR="008157DB">
        <w:rPr>
          <w:rFonts w:ascii="Garamond" w:hAnsi="Garamond"/>
        </w:rPr>
        <w:fldChar w:fldCharType="end"/>
      </w:r>
      <w:r w:rsidR="006D1674" w:rsidRPr="00614418">
        <w:rPr>
          <w:rFonts w:ascii="Garamond" w:hAnsi="Garamond"/>
        </w:rPr>
        <w:t xml:space="preserve">, and monetary policy is unable to </w:t>
      </w:r>
      <w:r w:rsidR="00E722A4" w:rsidRPr="00614418">
        <w:rPr>
          <w:rFonts w:ascii="Garamond" w:hAnsi="Garamond"/>
        </w:rPr>
        <w:t>stimulate</w:t>
      </w:r>
      <w:r w:rsidR="006D1674" w:rsidRPr="00614418">
        <w:rPr>
          <w:rFonts w:ascii="Garamond" w:hAnsi="Garamond"/>
        </w:rPr>
        <w:t xml:space="preserve"> the economy due to the 'zero lower bound' </w:t>
      </w:r>
      <w:r w:rsidR="00E722A4" w:rsidRPr="00614418">
        <w:rPr>
          <w:rFonts w:ascii="Garamond" w:hAnsi="Garamond"/>
        </w:rPr>
        <w:t xml:space="preserve">constraint </w:t>
      </w:r>
      <w:r w:rsidR="008157DB">
        <w:rPr>
          <w:rFonts w:ascii="Garamond" w:hAnsi="Garamond"/>
        </w:rPr>
        <w:fldChar w:fldCharType="begin"/>
      </w:r>
      <w:r w:rsidR="008157DB">
        <w:rPr>
          <w:rFonts w:ascii="Garamond" w:hAnsi="Garamond"/>
        </w:rPr>
        <w:instrText xml:space="preserve"> ADDIN EN.CITE &lt;EndNote&gt;&lt;Cite&gt;&lt;Author&gt;Summers&lt;/Author&gt;&lt;Year&gt;2014&lt;/Year&gt;&lt;RecNum&gt;9852&lt;/RecNum&gt;&lt;DisplayText&gt;(Summers 2014, Teulings and Baldwin 2014)&lt;/DisplayText&gt;&lt;record&gt;&lt;rec-number&gt;9852&lt;/rec-number&gt;&lt;foreign-keys&gt;&lt;key app="EN" db-id="92rvefpz8s0008ezfp8v5a2tz9xt2dv5x925" timestamp="1470215722"&gt;9852&lt;/key&gt;&lt;/foreign-keys&gt;&lt;ref-type name="Journal Article"&gt;17&lt;/ref-type&gt;&lt;contributors&gt;&lt;authors&gt;&lt;author&gt;Summers, H. Lawrence&lt;/author&gt;&lt;/authors&gt;&lt;/contributors&gt;&lt;titles&gt;&lt;title&gt;U.S. Economic Prospects: Secular Stagnation, Hysteresis, and the Zero Lower Bound&lt;/title&gt;&lt;secondary-title&gt;Business Economics&lt;/secondary-title&gt;&lt;/titles&gt;&lt;periodical&gt;&lt;full-title&gt;Business Economics&lt;/full-title&gt;&lt;/periodical&gt;&lt;pages&gt;65-73&lt;/pages&gt;&lt;volume&gt;49&lt;/volume&gt;&lt;number&gt;2&lt;/number&gt;&lt;dates&gt;&lt;year&gt;2014&lt;/year&gt;&lt;/dates&gt;&lt;isbn&gt;1554-432X&lt;/isbn&gt;&lt;label&gt;Summers2014&lt;/label&gt;&lt;work-type&gt;journal article&lt;/work-type&gt;&lt;urls&gt;&lt;related-urls&gt;&lt;url&gt;http://dx.doi.org/10.1057/be.2014.13&lt;/url&gt;&lt;/related-urls&gt;&lt;/urls&gt;&lt;electronic-resource-num&gt;10.1057/be.2014.13&lt;/electronic-resource-num&gt;&lt;/record&gt;&lt;/Cite&gt;&lt;Cite&gt;&lt;Author&gt;Teulings&lt;/Author&gt;&lt;Year&gt;2014&lt;/Year&gt;&lt;RecNum&gt;10821&lt;/RecNum&gt;&lt;record&gt;&lt;rec-number&gt;10821&lt;/rec-number&gt;&lt;foreign-keys&gt;&lt;key app="EN" db-id="92rvefpz8s0008ezfp8v5a2tz9xt2dv5x925" timestamp="1596553065"&gt;10821&lt;/key&gt;&lt;/foreign-keys&gt;&lt;ref-type name="Edited Book"&gt;28&lt;/ref-type&gt;&lt;contributors&gt;&lt;authors&gt;&lt;author&gt;Coen Teulings&lt;/author&gt;&lt;author&gt;Richard Baldwin&lt;/author&gt;&lt;/authors&gt;&lt;/contributors&gt;&lt;titles&gt;&lt;title&gt;Secular Stagnation: Facts, Causes and Cures&lt;/title&gt;&lt;/titles&gt;&lt;dates&gt;&lt;year&gt;2014&lt;/year&gt;&lt;/dates&gt;&lt;pub-location&gt;London&lt;/pub-location&gt;&lt;publisher&gt;CEPR Book&lt;/publisher&gt;&lt;urls&gt;&lt;/urls&gt;&lt;/record&gt;&lt;/Cite&gt;&lt;/EndNote&gt;</w:instrText>
      </w:r>
      <w:r w:rsidR="008157DB">
        <w:rPr>
          <w:rFonts w:ascii="Garamond" w:hAnsi="Garamond"/>
        </w:rPr>
        <w:fldChar w:fldCharType="separate"/>
      </w:r>
      <w:r w:rsidR="008157DB">
        <w:rPr>
          <w:rFonts w:ascii="Garamond" w:hAnsi="Garamond"/>
          <w:noProof/>
        </w:rPr>
        <w:t>(</w:t>
      </w:r>
      <w:hyperlink w:anchor="_ENREF_14" w:tooltip="Summers, 2014 #9852" w:history="1">
        <w:r w:rsidR="008A16E9">
          <w:rPr>
            <w:rFonts w:ascii="Garamond" w:hAnsi="Garamond"/>
            <w:noProof/>
          </w:rPr>
          <w:t>Summers 2014</w:t>
        </w:r>
      </w:hyperlink>
      <w:r w:rsidR="008157DB">
        <w:rPr>
          <w:rFonts w:ascii="Garamond" w:hAnsi="Garamond"/>
          <w:noProof/>
        </w:rPr>
        <w:t xml:space="preserve">, </w:t>
      </w:r>
      <w:hyperlink w:anchor="_ENREF_15" w:tooltip="Teulings, 2014 #10821" w:history="1">
        <w:r w:rsidR="008A16E9">
          <w:rPr>
            <w:rFonts w:ascii="Garamond" w:hAnsi="Garamond"/>
            <w:noProof/>
          </w:rPr>
          <w:t>Teulings and Baldwin 2014</w:t>
        </w:r>
      </w:hyperlink>
      <w:r w:rsidR="008157DB">
        <w:rPr>
          <w:rFonts w:ascii="Garamond" w:hAnsi="Garamond"/>
          <w:noProof/>
        </w:rPr>
        <w:t>)</w:t>
      </w:r>
      <w:r w:rsidR="008157DB">
        <w:rPr>
          <w:rFonts w:ascii="Garamond" w:hAnsi="Garamond"/>
        </w:rPr>
        <w:fldChar w:fldCharType="end"/>
      </w:r>
      <w:r w:rsidR="006D1674" w:rsidRPr="00614418">
        <w:rPr>
          <w:rFonts w:ascii="Garamond" w:hAnsi="Garamond"/>
        </w:rPr>
        <w:t>.</w:t>
      </w:r>
      <w:r w:rsidR="005C0A96" w:rsidRPr="00614418">
        <w:rPr>
          <w:rFonts w:ascii="Garamond" w:hAnsi="Garamond"/>
        </w:rPr>
        <w:t xml:space="preserve"> </w:t>
      </w:r>
      <w:r w:rsidR="007E7ADF" w:rsidRPr="00614418">
        <w:rPr>
          <w:rFonts w:ascii="Garamond" w:hAnsi="Garamond"/>
        </w:rPr>
        <w:t>Nor is it tenable to assume that investors still consider default risk negligible among developed countries. T</w:t>
      </w:r>
      <w:r w:rsidR="00E722A4" w:rsidRPr="00614418">
        <w:rPr>
          <w:rFonts w:ascii="Garamond" w:hAnsi="Garamond"/>
        </w:rPr>
        <w:t>h</w:t>
      </w:r>
      <w:r w:rsidR="006D1674" w:rsidRPr="00614418">
        <w:rPr>
          <w:rFonts w:ascii="Garamond" w:hAnsi="Garamond"/>
        </w:rPr>
        <w:t xml:space="preserve">e new macroeconomic environment is characterized by a </w:t>
      </w:r>
      <w:r w:rsidR="00554602" w:rsidRPr="00614418">
        <w:rPr>
          <w:rFonts w:ascii="Garamond" w:hAnsi="Garamond"/>
        </w:rPr>
        <w:t xml:space="preserve">large </w:t>
      </w:r>
      <w:r w:rsidR="006D1674" w:rsidRPr="00614418">
        <w:rPr>
          <w:rFonts w:ascii="Garamond" w:hAnsi="Garamond"/>
        </w:rPr>
        <w:t xml:space="preserve">increase in </w:t>
      </w:r>
      <w:r w:rsidR="00FC1191" w:rsidRPr="00614418">
        <w:rPr>
          <w:rFonts w:ascii="Garamond" w:hAnsi="Garamond"/>
        </w:rPr>
        <w:t xml:space="preserve">the stock of </w:t>
      </w:r>
      <w:r w:rsidR="006D1674" w:rsidRPr="00614418">
        <w:rPr>
          <w:rFonts w:ascii="Garamond" w:hAnsi="Garamond"/>
        </w:rPr>
        <w:t xml:space="preserve">public debt, as governments had to bail out their domestic banks </w:t>
      </w:r>
      <w:r w:rsidR="00E21BD5" w:rsidRPr="00614418">
        <w:rPr>
          <w:rFonts w:ascii="Garamond" w:hAnsi="Garamond"/>
        </w:rPr>
        <w:t xml:space="preserve">after the financial crisis </w:t>
      </w:r>
      <w:r w:rsidR="00554602" w:rsidRPr="00614418">
        <w:rPr>
          <w:rFonts w:ascii="Garamond" w:hAnsi="Garamond"/>
        </w:rPr>
        <w:t>and then had to intervene massively to keep their domestic economies afloat in respon</w:t>
      </w:r>
      <w:r w:rsidR="002F2B27" w:rsidRPr="00614418">
        <w:rPr>
          <w:rFonts w:ascii="Garamond" w:hAnsi="Garamond"/>
        </w:rPr>
        <w:t>se</w:t>
      </w:r>
      <w:r w:rsidR="00554602" w:rsidRPr="00614418">
        <w:rPr>
          <w:rFonts w:ascii="Garamond" w:hAnsi="Garamond"/>
        </w:rPr>
        <w:t xml:space="preserve"> to the Covid-19 pandemic</w:t>
      </w:r>
      <w:r w:rsidR="00136193" w:rsidRPr="00614418">
        <w:rPr>
          <w:rFonts w:ascii="Garamond" w:hAnsi="Garamond"/>
        </w:rPr>
        <w:t xml:space="preserve">. </w:t>
      </w:r>
      <w:r w:rsidR="00136193" w:rsidRPr="00614418">
        <w:rPr>
          <w:rFonts w:ascii="Garamond" w:hAnsi="Garamond" w:cs="Times New Roman"/>
        </w:rPr>
        <w:t xml:space="preserve">The developments of the past decade – including </w:t>
      </w:r>
      <w:r w:rsidR="00136193" w:rsidRPr="00614418">
        <w:rPr>
          <w:rFonts w:ascii="Garamond" w:hAnsi="Garamond"/>
        </w:rPr>
        <w:t>Greece’s downfall, a series of external bailouts</w:t>
      </w:r>
      <w:r w:rsidR="00145E37" w:rsidRPr="00614418">
        <w:rPr>
          <w:rFonts w:ascii="Garamond" w:hAnsi="Garamond"/>
        </w:rPr>
        <w:t xml:space="preserve"> in Europe</w:t>
      </w:r>
      <w:r w:rsidR="00136193" w:rsidRPr="00614418">
        <w:rPr>
          <w:rFonts w:ascii="Garamond" w:hAnsi="Garamond"/>
        </w:rPr>
        <w:t>, as well as the inability of several developed countries to return to trajectories of growth that would help ease their debt burdens in the wake of the global financial crisis of 2008</w:t>
      </w:r>
      <w:r w:rsidR="00D35173">
        <w:rPr>
          <w:rFonts w:ascii="Garamond" w:hAnsi="Garamond"/>
        </w:rPr>
        <w:t xml:space="preserve"> </w:t>
      </w:r>
      <w:r w:rsidR="00136193" w:rsidRPr="00614418">
        <w:rPr>
          <w:rFonts w:ascii="Garamond" w:hAnsi="Garamond"/>
        </w:rPr>
        <w:t xml:space="preserve">– </w:t>
      </w:r>
      <w:r w:rsidR="00136193" w:rsidRPr="00614418">
        <w:rPr>
          <w:rFonts w:ascii="Garamond" w:hAnsi="Garamond" w:cs="Times New Roman"/>
        </w:rPr>
        <w:t>dispelled any illusion that</w:t>
      </w:r>
      <w:r w:rsidR="00E616BE" w:rsidRPr="00614418">
        <w:rPr>
          <w:rFonts w:ascii="Garamond" w:hAnsi="Garamond" w:cs="Times New Roman"/>
        </w:rPr>
        <w:t xml:space="preserve"> developed countries </w:t>
      </w:r>
      <w:r w:rsidR="002F2B27" w:rsidRPr="00614418">
        <w:rPr>
          <w:rFonts w:ascii="Garamond" w:hAnsi="Garamond" w:cs="Times New Roman"/>
        </w:rPr>
        <w:t>can</w:t>
      </w:r>
      <w:r w:rsidR="00E616BE" w:rsidRPr="00614418">
        <w:rPr>
          <w:rFonts w:ascii="Garamond" w:hAnsi="Garamond" w:cs="Times New Roman"/>
        </w:rPr>
        <w:t>not</w:t>
      </w:r>
      <w:r w:rsidR="00136193" w:rsidRPr="00614418">
        <w:rPr>
          <w:rFonts w:ascii="Garamond" w:hAnsi="Garamond" w:cs="Times New Roman"/>
        </w:rPr>
        <w:t xml:space="preserve"> default</w:t>
      </w:r>
      <w:r w:rsidR="00E21BD5">
        <w:rPr>
          <w:rStyle w:val="FootnoteReference"/>
          <w:rFonts w:ascii="Garamond" w:hAnsi="Garamond" w:cs="Times New Roman"/>
        </w:rPr>
        <w:footnoteReference w:id="14"/>
      </w:r>
      <w:r w:rsidR="00136193" w:rsidRPr="00614418">
        <w:rPr>
          <w:rFonts w:ascii="Garamond" w:hAnsi="Garamond" w:cs="Times New Roman"/>
        </w:rPr>
        <w:t xml:space="preserve">. </w:t>
      </w:r>
    </w:p>
    <w:p w14:paraId="1A267834" w14:textId="413CE5AC" w:rsidR="00136193" w:rsidRPr="00614418" w:rsidRDefault="007E7ADF" w:rsidP="00D34330">
      <w:pPr>
        <w:spacing w:line="360" w:lineRule="auto"/>
        <w:ind w:firstLine="720"/>
        <w:jc w:val="both"/>
        <w:rPr>
          <w:rFonts w:ascii="Garamond" w:hAnsi="Garamond" w:cs="Times New Roman"/>
        </w:rPr>
      </w:pPr>
      <w:r w:rsidRPr="00614418">
        <w:rPr>
          <w:rFonts w:ascii="Garamond" w:hAnsi="Garamond" w:cs="Times New Roman"/>
        </w:rPr>
        <w:t xml:space="preserve">Therefore, </w:t>
      </w:r>
      <w:r w:rsidR="00554602" w:rsidRPr="00614418">
        <w:rPr>
          <w:rFonts w:ascii="Garamond" w:hAnsi="Garamond" w:cs="Times New Roman"/>
        </w:rPr>
        <w:t>bondholders are</w:t>
      </w:r>
      <w:r w:rsidR="00E616BE" w:rsidRPr="00614418">
        <w:rPr>
          <w:rFonts w:ascii="Garamond" w:hAnsi="Garamond" w:cs="Times New Roman"/>
        </w:rPr>
        <w:t xml:space="preserve"> now</w:t>
      </w:r>
      <w:r w:rsidR="00554602" w:rsidRPr="00614418">
        <w:rPr>
          <w:rFonts w:ascii="Garamond" w:hAnsi="Garamond" w:cs="Times New Roman"/>
        </w:rPr>
        <w:t xml:space="preserve"> likely to worry about the solvency of governments, and to watch closely the indicators </w:t>
      </w:r>
      <w:r w:rsidR="00E722A4" w:rsidRPr="00614418">
        <w:rPr>
          <w:rFonts w:ascii="Garamond" w:hAnsi="Garamond" w:cs="Times New Roman"/>
        </w:rPr>
        <w:t>which are associated with the</w:t>
      </w:r>
      <w:r w:rsidR="007E38E6">
        <w:rPr>
          <w:rFonts w:ascii="Garamond" w:hAnsi="Garamond" w:cs="Times New Roman"/>
        </w:rPr>
        <w:t>ir</w:t>
      </w:r>
      <w:r w:rsidR="00E722A4" w:rsidRPr="00614418">
        <w:rPr>
          <w:rFonts w:ascii="Garamond" w:hAnsi="Garamond" w:cs="Times New Roman"/>
        </w:rPr>
        <w:t xml:space="preserve"> fiscal stance, </w:t>
      </w:r>
      <w:r w:rsidR="00554602" w:rsidRPr="00614418">
        <w:rPr>
          <w:rFonts w:ascii="Garamond" w:hAnsi="Garamond" w:cs="Times New Roman"/>
        </w:rPr>
        <w:t xml:space="preserve">such as </w:t>
      </w:r>
      <w:r w:rsidR="00EF2925" w:rsidRPr="00614418">
        <w:rPr>
          <w:rFonts w:ascii="Garamond" w:hAnsi="Garamond" w:cs="Times New Roman"/>
        </w:rPr>
        <w:t xml:space="preserve">the </w:t>
      </w:r>
      <w:r w:rsidR="00F40886" w:rsidRPr="00614418">
        <w:rPr>
          <w:rFonts w:ascii="Garamond" w:hAnsi="Garamond" w:cs="Times New Roman"/>
        </w:rPr>
        <w:t>fiscal</w:t>
      </w:r>
      <w:r w:rsidR="00554602" w:rsidRPr="00614418">
        <w:rPr>
          <w:rFonts w:ascii="Garamond" w:hAnsi="Garamond" w:cs="Times New Roman"/>
        </w:rPr>
        <w:t xml:space="preserve"> deficit and public debt. Unlike </w:t>
      </w:r>
      <w:r w:rsidR="0053143B">
        <w:rPr>
          <w:rFonts w:ascii="Garamond" w:hAnsi="Garamond" w:cs="Times New Roman"/>
        </w:rPr>
        <w:t xml:space="preserve">in </w:t>
      </w:r>
      <w:r w:rsidR="00554602" w:rsidRPr="00614418">
        <w:rPr>
          <w:rFonts w:ascii="Garamond" w:hAnsi="Garamond" w:cs="Times New Roman"/>
        </w:rPr>
        <w:t xml:space="preserve">the past, they are also more likely to scrutinize and penalize the domestic policies </w:t>
      </w:r>
      <w:r w:rsidR="00E722A4" w:rsidRPr="00614418">
        <w:rPr>
          <w:rFonts w:ascii="Garamond" w:hAnsi="Garamond" w:cs="Times New Roman"/>
        </w:rPr>
        <w:lastRenderedPageBreak/>
        <w:t>that</w:t>
      </w:r>
      <w:r w:rsidR="00554602" w:rsidRPr="00614418">
        <w:rPr>
          <w:rFonts w:ascii="Garamond" w:hAnsi="Garamond" w:cs="Times New Roman"/>
        </w:rPr>
        <w:t xml:space="preserve"> </w:t>
      </w:r>
      <w:r w:rsidR="00E722A4" w:rsidRPr="00614418">
        <w:rPr>
          <w:rFonts w:ascii="Garamond" w:hAnsi="Garamond" w:cs="Times New Roman"/>
        </w:rPr>
        <w:t xml:space="preserve">they </w:t>
      </w:r>
      <w:r w:rsidR="00FC1191" w:rsidRPr="00614418">
        <w:rPr>
          <w:rFonts w:ascii="Garamond" w:hAnsi="Garamond" w:cs="Times New Roman"/>
        </w:rPr>
        <w:t>see</w:t>
      </w:r>
      <w:r w:rsidR="00554602" w:rsidRPr="00614418">
        <w:rPr>
          <w:rFonts w:ascii="Garamond" w:hAnsi="Garamond" w:cs="Times New Roman"/>
        </w:rPr>
        <w:t xml:space="preserve"> as </w:t>
      </w:r>
      <w:r w:rsidR="004F3AA1" w:rsidRPr="00614418">
        <w:rPr>
          <w:rFonts w:ascii="Garamond" w:hAnsi="Garamond" w:cs="Times New Roman"/>
        </w:rPr>
        <w:t xml:space="preserve">having the potential to cause </w:t>
      </w:r>
      <w:r w:rsidR="00E722A4" w:rsidRPr="00614418">
        <w:rPr>
          <w:rFonts w:ascii="Garamond" w:hAnsi="Garamond" w:cs="Times New Roman"/>
        </w:rPr>
        <w:t xml:space="preserve">a deterioration of </w:t>
      </w:r>
      <w:r w:rsidR="00A54F85">
        <w:rPr>
          <w:rFonts w:ascii="Garamond" w:hAnsi="Garamond" w:cs="Times New Roman"/>
        </w:rPr>
        <w:t>the sustainability of debt</w:t>
      </w:r>
      <w:r w:rsidR="00E722A4" w:rsidRPr="00614418">
        <w:rPr>
          <w:rFonts w:ascii="Garamond" w:hAnsi="Garamond" w:cs="Times New Roman"/>
        </w:rPr>
        <w:t xml:space="preserve">. </w:t>
      </w:r>
      <w:r w:rsidR="00A54F85">
        <w:rPr>
          <w:rFonts w:ascii="Garamond" w:hAnsi="Garamond" w:cs="Times New Roman"/>
        </w:rPr>
        <w:t>In this context</w:t>
      </w:r>
      <w:r w:rsidR="00E722A4" w:rsidRPr="00614418">
        <w:rPr>
          <w:rFonts w:ascii="Garamond" w:hAnsi="Garamond" w:cs="Times New Roman"/>
        </w:rPr>
        <w:t xml:space="preserve">, keeping </w:t>
      </w:r>
      <w:r w:rsidR="00EF430D" w:rsidRPr="00614418">
        <w:rPr>
          <w:rFonts w:ascii="Garamond" w:hAnsi="Garamond" w:cs="Times New Roman"/>
        </w:rPr>
        <w:t>a country’s fiscal position</w:t>
      </w:r>
      <w:r w:rsidR="00E722A4" w:rsidRPr="00614418">
        <w:rPr>
          <w:rFonts w:ascii="Garamond" w:hAnsi="Garamond" w:cs="Times New Roman"/>
        </w:rPr>
        <w:t xml:space="preserve"> constant, bondholders </w:t>
      </w:r>
      <w:r w:rsidR="00F40886" w:rsidRPr="00614418">
        <w:rPr>
          <w:rFonts w:ascii="Garamond" w:hAnsi="Garamond" w:cs="Times New Roman"/>
        </w:rPr>
        <w:t xml:space="preserve">may </w:t>
      </w:r>
      <w:r w:rsidR="00E21BD5">
        <w:rPr>
          <w:rFonts w:ascii="Garamond" w:hAnsi="Garamond" w:cs="Times New Roman"/>
        </w:rPr>
        <w:t>be averse to</w:t>
      </w:r>
      <w:r w:rsidR="00E722A4" w:rsidRPr="00614418">
        <w:rPr>
          <w:rFonts w:ascii="Garamond" w:hAnsi="Garamond" w:cs="Times New Roman"/>
        </w:rPr>
        <w:t xml:space="preserve"> increase</w:t>
      </w:r>
      <w:r w:rsidR="00E21BD5">
        <w:rPr>
          <w:rFonts w:ascii="Garamond" w:hAnsi="Garamond" w:cs="Times New Roman"/>
        </w:rPr>
        <w:t>s</w:t>
      </w:r>
      <w:r w:rsidR="00E722A4" w:rsidRPr="00614418">
        <w:rPr>
          <w:rFonts w:ascii="Garamond" w:hAnsi="Garamond" w:cs="Times New Roman"/>
        </w:rPr>
        <w:t xml:space="preserve"> </w:t>
      </w:r>
      <w:r w:rsidR="00E21BD5">
        <w:rPr>
          <w:rFonts w:ascii="Garamond" w:hAnsi="Garamond" w:cs="Times New Roman"/>
        </w:rPr>
        <w:t>in</w:t>
      </w:r>
      <w:r w:rsidR="00E21BD5" w:rsidRPr="00614418">
        <w:rPr>
          <w:rFonts w:ascii="Garamond" w:hAnsi="Garamond" w:cs="Times New Roman"/>
        </w:rPr>
        <w:t xml:space="preserve"> </w:t>
      </w:r>
      <w:r w:rsidR="00EF2925" w:rsidRPr="00614418">
        <w:rPr>
          <w:rFonts w:ascii="Garamond" w:hAnsi="Garamond" w:cs="Times New Roman"/>
        </w:rPr>
        <w:t>social spending</w:t>
      </w:r>
      <w:r w:rsidR="0096364C" w:rsidRPr="00614418">
        <w:rPr>
          <w:rFonts w:ascii="Garamond" w:hAnsi="Garamond" w:cs="Times New Roman"/>
        </w:rPr>
        <w:t xml:space="preserve">, </w:t>
      </w:r>
      <w:r w:rsidR="00EF2925" w:rsidRPr="00614418">
        <w:rPr>
          <w:rFonts w:ascii="Garamond" w:hAnsi="Garamond" w:cs="Times New Roman"/>
        </w:rPr>
        <w:t>particularly on entitlements</w:t>
      </w:r>
      <w:r w:rsidR="0079211D">
        <w:rPr>
          <w:rFonts w:ascii="Garamond" w:hAnsi="Garamond" w:cs="Times New Roman"/>
        </w:rPr>
        <w:t xml:space="preserve"> (social insurance programs like pensions and unemployment/disability benefit</w:t>
      </w:r>
      <w:r w:rsidR="00E21BD5">
        <w:rPr>
          <w:rFonts w:ascii="Garamond" w:hAnsi="Garamond" w:cs="Times New Roman"/>
        </w:rPr>
        <w:t>s</w:t>
      </w:r>
      <w:r w:rsidR="0079211D">
        <w:rPr>
          <w:rFonts w:ascii="Garamond" w:hAnsi="Garamond" w:cs="Times New Roman"/>
        </w:rPr>
        <w:t>)</w:t>
      </w:r>
      <w:r w:rsidR="00F40886" w:rsidRPr="00614418">
        <w:rPr>
          <w:rFonts w:ascii="Garamond" w:hAnsi="Garamond" w:cs="Times New Roman"/>
        </w:rPr>
        <w:t>, which</w:t>
      </w:r>
      <w:r w:rsidR="0096364C" w:rsidRPr="00614418">
        <w:rPr>
          <w:rFonts w:ascii="Garamond" w:hAnsi="Garamond" w:cs="Times New Roman"/>
        </w:rPr>
        <w:t xml:space="preserve"> </w:t>
      </w:r>
      <w:r w:rsidR="00D34330">
        <w:rPr>
          <w:rFonts w:ascii="Garamond" w:hAnsi="Garamond" w:cs="Times New Roman"/>
        </w:rPr>
        <w:t>constitute implicit long-term liabilities that tend to</w:t>
      </w:r>
      <w:r w:rsidR="00F40886" w:rsidRPr="00614418">
        <w:rPr>
          <w:rFonts w:ascii="Garamond" w:hAnsi="Garamond" w:cs="Times New Roman"/>
        </w:rPr>
        <w:t xml:space="preserve"> endogenously increase during periods of economic </w:t>
      </w:r>
      <w:r w:rsidR="00D34330">
        <w:rPr>
          <w:rFonts w:ascii="Garamond" w:hAnsi="Garamond" w:cs="Times New Roman"/>
        </w:rPr>
        <w:t xml:space="preserve">distress and can unambiguously </w:t>
      </w:r>
      <w:r w:rsidR="00D841A0">
        <w:rPr>
          <w:rFonts w:ascii="Garamond" w:hAnsi="Garamond" w:cs="Times New Roman"/>
        </w:rPr>
        <w:t xml:space="preserve">be classified as social consumption (rather than investment) expenditures </w:t>
      </w:r>
      <w:r w:rsidR="00F82685">
        <w:rPr>
          <w:rFonts w:ascii="Garamond" w:hAnsi="Garamond" w:cs="Times New Roman"/>
        </w:rPr>
        <w:t>without any promise of improving long-term sustainability via increasing long-term growth</w:t>
      </w:r>
      <w:r w:rsidR="0023787E" w:rsidRPr="00614418">
        <w:rPr>
          <w:rFonts w:ascii="Garamond" w:hAnsi="Garamond" w:cs="Times New Roman"/>
        </w:rPr>
        <w:t>.</w:t>
      </w:r>
      <w:r w:rsidR="00E722A4" w:rsidRPr="00614418">
        <w:rPr>
          <w:rFonts w:ascii="Garamond" w:hAnsi="Garamond" w:cs="Times New Roman"/>
        </w:rPr>
        <w:t xml:space="preserve"> </w:t>
      </w:r>
      <w:r w:rsidR="00554602" w:rsidRPr="00614418">
        <w:rPr>
          <w:rFonts w:ascii="Garamond" w:hAnsi="Garamond" w:cs="Times New Roman"/>
        </w:rPr>
        <w:t xml:space="preserve"> </w:t>
      </w:r>
    </w:p>
    <w:p w14:paraId="199583E7" w14:textId="2AB636F4" w:rsidR="00136193" w:rsidRPr="00614418" w:rsidRDefault="00136193" w:rsidP="00136193">
      <w:pPr>
        <w:spacing w:line="360" w:lineRule="auto"/>
        <w:ind w:firstLine="720"/>
        <w:jc w:val="both"/>
        <w:rPr>
          <w:rFonts w:ascii="Garamond" w:hAnsi="Garamond"/>
        </w:rPr>
      </w:pPr>
      <w:r w:rsidRPr="00614418">
        <w:rPr>
          <w:rFonts w:ascii="Garamond" w:hAnsi="Garamond" w:cs="Times New Roman"/>
        </w:rPr>
        <w:t>Under the new circumstances, the ‘tying of hands’ under rigid exchange rate arrangements is likely to create tighter, rather than looser, constraints on governments’ policy autonomy. Concerns about default magnify the importance of governments’ ability to use their full policy toolkit to address negative shocks to the economy to maintain their debt servicing capacity. Governments seen unable to effectively address economic downturns</w:t>
      </w:r>
      <w:r w:rsidR="007E38E6">
        <w:rPr>
          <w:rFonts w:ascii="Garamond" w:hAnsi="Garamond" w:cs="Times New Roman"/>
        </w:rPr>
        <w:t xml:space="preserve"> – </w:t>
      </w:r>
      <w:r w:rsidR="008157DB">
        <w:rPr>
          <w:rFonts w:ascii="Garamond" w:hAnsi="Garamond" w:cs="Times New Roman"/>
        </w:rPr>
        <w:t>and exploit the safety valve</w:t>
      </w:r>
      <w:r w:rsidR="00B96BC2" w:rsidRPr="00614418">
        <w:rPr>
          <w:rFonts w:ascii="Garamond" w:hAnsi="Garamond" w:cs="Times New Roman"/>
        </w:rPr>
        <w:t xml:space="preserve"> of a (depreciating) nominal exchange rate</w:t>
      </w:r>
      <w:r w:rsidR="007E38E6">
        <w:rPr>
          <w:rFonts w:ascii="Garamond" w:hAnsi="Garamond" w:cs="Times New Roman"/>
        </w:rPr>
        <w:t xml:space="preserve"> –</w:t>
      </w:r>
      <w:r w:rsidRPr="00614418">
        <w:rPr>
          <w:rFonts w:ascii="Garamond" w:hAnsi="Garamond" w:cs="Times New Roman"/>
        </w:rPr>
        <w:t xml:space="preserve"> are going to be more strongly penalized for policies t</w:t>
      </w:r>
      <w:r w:rsidR="00FC1191" w:rsidRPr="00614418">
        <w:rPr>
          <w:rFonts w:ascii="Garamond" w:hAnsi="Garamond" w:cs="Times New Roman"/>
        </w:rPr>
        <w:t xml:space="preserve">hat increase their </w:t>
      </w:r>
      <w:r w:rsidR="00F40886" w:rsidRPr="00614418">
        <w:rPr>
          <w:rFonts w:ascii="Garamond" w:hAnsi="Garamond" w:cs="Times New Roman"/>
        </w:rPr>
        <w:t xml:space="preserve">financial </w:t>
      </w:r>
      <w:r w:rsidR="00FC1191" w:rsidRPr="00614418">
        <w:rPr>
          <w:rFonts w:ascii="Garamond" w:hAnsi="Garamond" w:cs="Times New Roman"/>
        </w:rPr>
        <w:t xml:space="preserve">liabilities. </w:t>
      </w:r>
      <w:r w:rsidR="00A768D3" w:rsidRPr="00614418">
        <w:rPr>
          <w:rFonts w:ascii="Garamond" w:hAnsi="Garamond" w:cs="Times New Roman"/>
        </w:rPr>
        <w:t xml:space="preserve">While this </w:t>
      </w:r>
      <w:r w:rsidR="0026766C">
        <w:rPr>
          <w:rFonts w:ascii="Garamond" w:hAnsi="Garamond" w:cs="Times New Roman"/>
        </w:rPr>
        <w:t>may also apply</w:t>
      </w:r>
      <w:r w:rsidR="00A768D3" w:rsidRPr="00614418">
        <w:rPr>
          <w:rFonts w:ascii="Garamond" w:hAnsi="Garamond" w:cs="Times New Roman"/>
        </w:rPr>
        <w:t xml:space="preserve"> to countries with floating exchange rates, </w:t>
      </w:r>
      <w:r w:rsidR="007E38E6">
        <w:rPr>
          <w:rFonts w:ascii="Garamond" w:hAnsi="Garamond" w:cs="Times New Roman"/>
        </w:rPr>
        <w:t xml:space="preserve">there </w:t>
      </w:r>
      <w:r w:rsidR="00A768D3" w:rsidRPr="00614418">
        <w:rPr>
          <w:rFonts w:ascii="Garamond" w:hAnsi="Garamond" w:cs="Times New Roman"/>
        </w:rPr>
        <w:t xml:space="preserve">the </w:t>
      </w:r>
      <w:r w:rsidR="0026766C">
        <w:rPr>
          <w:rFonts w:ascii="Garamond" w:hAnsi="Garamond" w:cs="Times New Roman"/>
        </w:rPr>
        <w:t>impact is less certain (it depends on whether markets perceive the deterioration of fiscal conditions as a temporary phenomenon or a permanent phenomenon affecting the growth rate and hence the sustainability of debt</w:t>
      </w:r>
      <w:r w:rsidR="007E38E6" w:rsidRPr="007E38E6">
        <w:rPr>
          <w:rFonts w:ascii="Garamond" w:hAnsi="Garamond" w:cs="Times New Roman"/>
        </w:rPr>
        <w:t xml:space="preserve"> </w:t>
      </w:r>
      <w:r w:rsidR="007E38E6">
        <w:rPr>
          <w:rFonts w:ascii="Garamond" w:hAnsi="Garamond" w:cs="Times New Roman"/>
        </w:rPr>
        <w:t>negatively</w:t>
      </w:r>
      <w:r w:rsidR="0026766C">
        <w:rPr>
          <w:rFonts w:ascii="Garamond" w:hAnsi="Garamond" w:cs="Times New Roman"/>
        </w:rPr>
        <w:t xml:space="preserve">). </w:t>
      </w:r>
      <w:r w:rsidR="007E38E6">
        <w:rPr>
          <w:rFonts w:ascii="Garamond" w:hAnsi="Garamond" w:cs="Times New Roman"/>
        </w:rPr>
        <w:t>Furthermore, the</w:t>
      </w:r>
      <w:r w:rsidR="0026766C">
        <w:rPr>
          <w:rFonts w:ascii="Garamond" w:hAnsi="Garamond" w:cs="Times New Roman"/>
        </w:rPr>
        <w:t xml:space="preserve"> </w:t>
      </w:r>
      <w:r w:rsidR="00A768D3" w:rsidRPr="00614418">
        <w:rPr>
          <w:rFonts w:ascii="Garamond" w:hAnsi="Garamond" w:cs="Times New Roman"/>
        </w:rPr>
        <w:t xml:space="preserve">penalty is likely to be </w:t>
      </w:r>
      <w:r w:rsidR="0026766C">
        <w:rPr>
          <w:rFonts w:ascii="Garamond" w:hAnsi="Garamond" w:cs="Times New Roman"/>
        </w:rPr>
        <w:t>lower</w:t>
      </w:r>
      <w:r w:rsidR="004F3AA1" w:rsidRPr="00614418">
        <w:rPr>
          <w:rFonts w:ascii="Garamond" w:hAnsi="Garamond" w:cs="Times New Roman"/>
        </w:rPr>
        <w:t xml:space="preserve"> for </w:t>
      </w:r>
      <w:r w:rsidR="007E38E6">
        <w:rPr>
          <w:rFonts w:ascii="Garamond" w:hAnsi="Garamond" w:cs="Times New Roman"/>
        </w:rPr>
        <w:t xml:space="preserve">such </w:t>
      </w:r>
      <w:r w:rsidR="004F3AA1" w:rsidRPr="00614418">
        <w:rPr>
          <w:rFonts w:ascii="Garamond" w:hAnsi="Garamond" w:cs="Times New Roman"/>
        </w:rPr>
        <w:t>countries</w:t>
      </w:r>
      <w:r w:rsidR="007E38E6">
        <w:rPr>
          <w:rFonts w:ascii="Garamond" w:hAnsi="Garamond" w:cs="Times New Roman"/>
        </w:rPr>
        <w:t xml:space="preserve"> </w:t>
      </w:r>
      <w:r w:rsidR="0026766C">
        <w:rPr>
          <w:rFonts w:ascii="Garamond" w:hAnsi="Garamond" w:cs="Times New Roman"/>
        </w:rPr>
        <w:t xml:space="preserve">since they have more policy tools </w:t>
      </w:r>
      <w:r w:rsidR="00B905E4">
        <w:rPr>
          <w:rFonts w:ascii="Garamond" w:hAnsi="Garamond" w:cs="Times New Roman"/>
        </w:rPr>
        <w:t xml:space="preserve">at their disposal </w:t>
      </w:r>
      <w:r w:rsidR="0026766C">
        <w:rPr>
          <w:rFonts w:ascii="Garamond" w:hAnsi="Garamond" w:cs="Times New Roman"/>
        </w:rPr>
        <w:t>when faced with external shocks</w:t>
      </w:r>
      <w:r w:rsidR="00B905E4">
        <w:rPr>
          <w:rFonts w:ascii="Garamond" w:hAnsi="Garamond" w:cs="Times New Roman"/>
        </w:rPr>
        <w:t xml:space="preserve"> that threaten to increase the real burden of debt</w:t>
      </w:r>
      <w:r w:rsidR="00A768D3" w:rsidRPr="00614418">
        <w:rPr>
          <w:rFonts w:ascii="Garamond" w:hAnsi="Garamond" w:cs="Times New Roman"/>
        </w:rPr>
        <w:t xml:space="preserve">. </w:t>
      </w:r>
      <w:r w:rsidR="00FC1191" w:rsidRPr="00614418">
        <w:rPr>
          <w:rFonts w:ascii="Garamond" w:hAnsi="Garamond" w:cs="Times New Roman"/>
        </w:rPr>
        <w:t xml:space="preserve">Members of the eurozone are especially constrained, as they are unable </w:t>
      </w:r>
      <w:r w:rsidR="00B0515D">
        <w:rPr>
          <w:rFonts w:ascii="Garamond" w:hAnsi="Garamond" w:cs="Times New Roman"/>
        </w:rPr>
        <w:t>let the exchange rate fluctuate to</w:t>
      </w:r>
      <w:r w:rsidR="00FC1191" w:rsidRPr="00614418">
        <w:rPr>
          <w:rFonts w:ascii="Garamond" w:hAnsi="Garamond" w:cs="Times New Roman"/>
        </w:rPr>
        <w:t xml:space="preserve"> respond to </w:t>
      </w:r>
      <w:r w:rsidRPr="00614418">
        <w:rPr>
          <w:rFonts w:ascii="Garamond" w:hAnsi="Garamond" w:cs="Times New Roman"/>
        </w:rPr>
        <w:t xml:space="preserve">economic shocks </w:t>
      </w:r>
      <w:r w:rsidR="00B0515D">
        <w:rPr>
          <w:rFonts w:ascii="Garamond" w:hAnsi="Garamond" w:cs="Times New Roman"/>
        </w:rPr>
        <w:t xml:space="preserve">and simultaneously are unable to adjust the nominal parity as </w:t>
      </w:r>
      <w:r w:rsidR="00526F70">
        <w:rPr>
          <w:rFonts w:ascii="Garamond" w:hAnsi="Garamond" w:cs="Times New Roman"/>
        </w:rPr>
        <w:t>they would be able to do if they had maintained the EMS</w:t>
      </w:r>
      <w:r w:rsidR="00A768D3" w:rsidRPr="00614418">
        <w:rPr>
          <w:rFonts w:ascii="Garamond" w:hAnsi="Garamond" w:cs="Times New Roman"/>
        </w:rPr>
        <w:t>. Furthermore, like developing countries</w:t>
      </w:r>
      <w:r w:rsidR="00FC1191" w:rsidRPr="00614418">
        <w:rPr>
          <w:rFonts w:ascii="Garamond" w:hAnsi="Garamond" w:cs="Times New Roman"/>
        </w:rPr>
        <w:t>,</w:t>
      </w:r>
      <w:r w:rsidR="00A768D3" w:rsidRPr="00614418">
        <w:rPr>
          <w:rFonts w:ascii="Garamond" w:hAnsi="Garamond" w:cs="Times New Roman"/>
        </w:rPr>
        <w:t xml:space="preserve"> they are </w:t>
      </w:r>
      <w:r w:rsidR="00A768D3" w:rsidRPr="00614418">
        <w:rPr>
          <w:rFonts w:ascii="Garamond" w:hAnsi="Garamond" w:cs="Times New Roman"/>
          <w:i/>
        </w:rPr>
        <w:t>de facto</w:t>
      </w:r>
      <w:r w:rsidR="00A768D3" w:rsidRPr="00614418">
        <w:rPr>
          <w:rFonts w:ascii="Garamond" w:hAnsi="Garamond" w:cs="Times New Roman"/>
        </w:rPr>
        <w:t xml:space="preserve"> forced to borrow in a foreign currency, since the European Central Bank is </w:t>
      </w:r>
      <w:r w:rsidR="00892648" w:rsidRPr="00614418">
        <w:rPr>
          <w:rFonts w:ascii="Garamond" w:hAnsi="Garamond" w:cs="Times New Roman"/>
        </w:rPr>
        <w:t xml:space="preserve">institutionally </w:t>
      </w:r>
      <w:r w:rsidR="00A768D3" w:rsidRPr="00614418">
        <w:rPr>
          <w:rFonts w:ascii="Garamond" w:hAnsi="Garamond" w:cs="Times New Roman"/>
        </w:rPr>
        <w:t xml:space="preserve">prevented to </w:t>
      </w:r>
      <w:r w:rsidR="008157DB">
        <w:rPr>
          <w:rFonts w:ascii="Garamond" w:hAnsi="Garamond" w:cs="Times New Roman"/>
        </w:rPr>
        <w:t xml:space="preserve">directly </w:t>
      </w:r>
      <w:r w:rsidR="00A768D3" w:rsidRPr="00614418">
        <w:rPr>
          <w:rFonts w:ascii="Garamond" w:hAnsi="Garamond" w:cs="Times New Roman"/>
        </w:rPr>
        <w:t>lend to them to help</w:t>
      </w:r>
      <w:r w:rsidR="00FC1191" w:rsidRPr="00614418">
        <w:rPr>
          <w:rFonts w:ascii="Garamond" w:hAnsi="Garamond" w:cs="Times New Roman"/>
        </w:rPr>
        <w:t xml:space="preserve"> </w:t>
      </w:r>
      <w:r w:rsidR="00A768D3" w:rsidRPr="00614418">
        <w:rPr>
          <w:rFonts w:ascii="Garamond" w:hAnsi="Garamond" w:cs="Times New Roman"/>
        </w:rPr>
        <w:t xml:space="preserve">them fund </w:t>
      </w:r>
      <w:r w:rsidRPr="00614418">
        <w:rPr>
          <w:rFonts w:ascii="Garamond" w:hAnsi="Garamond" w:cs="Times New Roman"/>
        </w:rPr>
        <w:t>budgetary shortfalls</w:t>
      </w:r>
      <w:r w:rsidR="00892648" w:rsidRPr="00614418">
        <w:rPr>
          <w:rFonts w:ascii="Garamond" w:hAnsi="Garamond" w:cs="Times New Roman"/>
        </w:rPr>
        <w:t xml:space="preserve"> </w:t>
      </w:r>
      <w:r w:rsidR="008157DB">
        <w:rPr>
          <w:rFonts w:ascii="Garamond" w:hAnsi="Garamond" w:cs="Times New Roman"/>
        </w:rPr>
        <w:fldChar w:fldCharType="begin"/>
      </w:r>
      <w:r w:rsidR="008157DB">
        <w:rPr>
          <w:rFonts w:ascii="Garamond" w:hAnsi="Garamond" w:cs="Times New Roman"/>
        </w:rPr>
        <w:instrText xml:space="preserve"> ADDIN EN.CITE &lt;EndNote&gt;&lt;Cite&gt;&lt;Author&gt;De Grauwe&lt;/Author&gt;&lt;Year&gt;2011&lt;/Year&gt;&lt;RecNum&gt;7122&lt;/RecNum&gt;&lt;DisplayText&gt;(De Grauwe 2011, De Grauwe 2013)&lt;/DisplayText&gt;&lt;record&gt;&lt;rec-number&gt;7122&lt;/rec-number&gt;&lt;foreign-keys&gt;&lt;key app="EN" db-id="92rvefpz8s0008ezfp8v5a2tz9xt2dv5x925" timestamp="0"&gt;7122&lt;/key&gt;&lt;/foreign-keys&gt;&lt;ref-type name="Journal Article"&gt;17&lt;/ref-type&gt;&lt;contributors&gt;&lt;authors&gt;&lt;author&gt;De Grauwe, Paul&lt;/author&gt;&lt;/authors&gt;&lt;/contributors&gt;&lt;titles&gt;&lt;title&gt;The Governance of a Fragile Eurozone&lt;/title&gt;&lt;secondary-title&gt;Unpublished Manuscript: University of Leuven&lt;/secondary-title&gt;&lt;/titles&gt;&lt;periodical&gt;&lt;full-title&gt;Unpublished Manuscript: University of Leuven&lt;/full-title&gt;&lt;/periodical&gt;&lt;dates&gt;&lt;year&gt;2011&lt;/year&gt;&lt;/dates&gt;&lt;urls&gt;&lt;/urls&gt;&lt;/record&gt;&lt;/Cite&gt;&lt;Cite&gt;&lt;Author&gt;Grauwe&lt;/Author&gt;&lt;Year&gt;2013&lt;/Year&gt;&lt;RecNum&gt;10859&lt;/RecNum&gt;&lt;record&gt;&lt;rec-number&gt;10859&lt;/rec-number&gt;&lt;foreign-keys&gt;&lt;key app="EN" db-id="92rvefpz8s0008ezfp8v5a2tz9xt2dv5x925" timestamp="1605521961"&gt;10859&lt;/key&gt;&lt;/foreign-keys&gt;&lt;ref-type name="Journal Article"&gt;17&lt;/ref-type&gt;&lt;contributors&gt;&lt;authors&gt;&lt;author&gt;De Grauwe, Paul&lt;/author&gt;&lt;/authors&gt;&lt;/contributors&gt;&lt;titles&gt;&lt;title&gt;The Political Economy of the Euro&lt;/title&gt;&lt;secondary-title&gt;Annual Review of Political Science&lt;/secondary-title&gt;&lt;/titles&gt;&lt;periodical&gt;&lt;full-title&gt;Annual Review of Political Science&lt;/full-title&gt;&lt;/periodical&gt;&lt;pages&gt;153-170&lt;/pages&gt;&lt;volume&gt;16&lt;/volume&gt;&lt;number&gt;1&lt;/number&gt;&lt;keywords&gt;&lt;keyword&gt;monetary union,Eurozone,sovereign debt crisis&lt;/keyword&gt;&lt;/keywords&gt;&lt;dates&gt;&lt;year&gt;2013&lt;/year&gt;&lt;/dates&gt;&lt;urls&gt;&lt;related-urls&gt;&lt;url&gt;https://www.annualreviews.org/doi/abs/10.1146/annurev-polisci-060911-085923&lt;/url&gt;&lt;/related-urls&gt;&lt;/urls&gt;&lt;electronic-resource-num&gt;10.1146/annurev-polisci-060911-085923&lt;/electronic-resource-num&gt;&lt;/record&gt;&lt;/Cite&gt;&lt;/EndNote&gt;</w:instrText>
      </w:r>
      <w:r w:rsidR="008157DB">
        <w:rPr>
          <w:rFonts w:ascii="Garamond" w:hAnsi="Garamond" w:cs="Times New Roman"/>
        </w:rPr>
        <w:fldChar w:fldCharType="separate"/>
      </w:r>
      <w:r w:rsidR="008157DB">
        <w:rPr>
          <w:rFonts w:ascii="Garamond" w:hAnsi="Garamond" w:cs="Times New Roman"/>
          <w:noProof/>
        </w:rPr>
        <w:t>(</w:t>
      </w:r>
      <w:hyperlink w:anchor="_ENREF_3" w:tooltip="De Grauwe, 2011 #7122" w:history="1">
        <w:r w:rsidR="008A16E9">
          <w:rPr>
            <w:rFonts w:ascii="Garamond" w:hAnsi="Garamond" w:cs="Times New Roman"/>
            <w:noProof/>
          </w:rPr>
          <w:t>De Grauwe 2011</w:t>
        </w:r>
      </w:hyperlink>
      <w:r w:rsidR="008157DB">
        <w:rPr>
          <w:rFonts w:ascii="Garamond" w:hAnsi="Garamond" w:cs="Times New Roman"/>
          <w:noProof/>
        </w:rPr>
        <w:t xml:space="preserve">, </w:t>
      </w:r>
      <w:hyperlink w:anchor="_ENREF_4" w:tooltip="De Grauwe, 2013 #10859" w:history="1">
        <w:r w:rsidR="008A16E9">
          <w:rPr>
            <w:rFonts w:ascii="Garamond" w:hAnsi="Garamond" w:cs="Times New Roman"/>
            <w:noProof/>
          </w:rPr>
          <w:t>De Grauwe 2013</w:t>
        </w:r>
      </w:hyperlink>
      <w:r w:rsidR="008157DB">
        <w:rPr>
          <w:rFonts w:ascii="Garamond" w:hAnsi="Garamond" w:cs="Times New Roman"/>
          <w:noProof/>
        </w:rPr>
        <w:t>)</w:t>
      </w:r>
      <w:r w:rsidR="008157DB">
        <w:rPr>
          <w:rFonts w:ascii="Garamond" w:hAnsi="Garamond" w:cs="Times New Roman"/>
        </w:rPr>
        <w:fldChar w:fldCharType="end"/>
      </w:r>
      <w:r w:rsidR="00A768D3" w:rsidRPr="00614418">
        <w:rPr>
          <w:rFonts w:ascii="Garamond" w:hAnsi="Garamond" w:cs="Times New Roman"/>
        </w:rPr>
        <w:t xml:space="preserve">. </w:t>
      </w:r>
      <w:r w:rsidRPr="00614418">
        <w:rPr>
          <w:rFonts w:ascii="Garamond" w:hAnsi="Garamond"/>
        </w:rPr>
        <w:t>These considerations yield the following hypotheses:</w:t>
      </w:r>
    </w:p>
    <w:p w14:paraId="601229ED" w14:textId="77777777" w:rsidR="00A768D3" w:rsidRPr="00614418" w:rsidRDefault="00A768D3" w:rsidP="00136193">
      <w:pPr>
        <w:spacing w:line="360" w:lineRule="auto"/>
        <w:ind w:firstLine="720"/>
        <w:jc w:val="both"/>
        <w:rPr>
          <w:rFonts w:ascii="Garamond" w:hAnsi="Garamond"/>
        </w:rPr>
      </w:pPr>
    </w:p>
    <w:p w14:paraId="7854F334" w14:textId="77777777" w:rsidR="00E616BE" w:rsidRPr="00614418" w:rsidRDefault="00E616BE" w:rsidP="00E616BE">
      <w:pPr>
        <w:spacing w:line="360" w:lineRule="auto"/>
        <w:jc w:val="both"/>
        <w:rPr>
          <w:rFonts w:ascii="Garamond" w:hAnsi="Garamond"/>
          <w:i/>
        </w:rPr>
      </w:pPr>
      <w:r w:rsidRPr="00614418">
        <w:rPr>
          <w:rFonts w:ascii="Garamond" w:hAnsi="Garamond"/>
          <w:i/>
        </w:rPr>
        <w:t>H2: Once the risk of default eclipses concerns about inflation,</w:t>
      </w:r>
    </w:p>
    <w:p w14:paraId="6E02FF0F" w14:textId="61768F17" w:rsidR="00E616BE" w:rsidRPr="00614418" w:rsidRDefault="00E616BE" w:rsidP="00E616BE">
      <w:pPr>
        <w:pStyle w:val="ListParagraph"/>
        <w:numPr>
          <w:ilvl w:val="0"/>
          <w:numId w:val="2"/>
        </w:numPr>
        <w:spacing w:line="360" w:lineRule="auto"/>
        <w:jc w:val="both"/>
        <w:rPr>
          <w:rFonts w:ascii="Garamond" w:hAnsi="Garamond"/>
          <w:i/>
        </w:rPr>
      </w:pPr>
      <w:r w:rsidRPr="00614418">
        <w:rPr>
          <w:rFonts w:ascii="Garamond" w:hAnsi="Garamond"/>
          <w:i/>
        </w:rPr>
        <w:t>yields are sensitive to policy indicators linked to government liabilities, such as deficit, debt and</w:t>
      </w:r>
      <w:r w:rsidR="00172529">
        <w:rPr>
          <w:rFonts w:ascii="Garamond" w:hAnsi="Garamond"/>
          <w:i/>
        </w:rPr>
        <w:t xml:space="preserve"> </w:t>
      </w:r>
      <w:r w:rsidRPr="00614418">
        <w:rPr>
          <w:rFonts w:ascii="Garamond" w:hAnsi="Garamond"/>
          <w:i/>
        </w:rPr>
        <w:t>entitlement spending</w:t>
      </w:r>
      <w:r w:rsidR="00133FD3">
        <w:rPr>
          <w:rFonts w:ascii="Garamond" w:hAnsi="Garamond"/>
          <w:i/>
        </w:rPr>
        <w:t xml:space="preserve"> in a monetary union</w:t>
      </w:r>
      <w:r w:rsidR="00DE6DE1">
        <w:rPr>
          <w:rFonts w:ascii="Garamond" w:hAnsi="Garamond"/>
          <w:i/>
        </w:rPr>
        <w:t>;</w:t>
      </w:r>
      <w:r w:rsidR="00526F70">
        <w:rPr>
          <w:rStyle w:val="FootnoteReference"/>
          <w:rFonts w:ascii="Garamond" w:hAnsi="Garamond"/>
          <w:i/>
        </w:rPr>
        <w:footnoteReference w:id="15"/>
      </w:r>
      <w:r w:rsidRPr="00614418">
        <w:rPr>
          <w:rFonts w:ascii="Garamond" w:hAnsi="Garamond"/>
          <w:i/>
        </w:rPr>
        <w:t xml:space="preserve"> </w:t>
      </w:r>
    </w:p>
    <w:p w14:paraId="7A425B67" w14:textId="1C5C43EB" w:rsidR="00F82EC7" w:rsidRDefault="00926DA7" w:rsidP="00E616BE">
      <w:pPr>
        <w:pStyle w:val="ListParagraph"/>
        <w:numPr>
          <w:ilvl w:val="0"/>
          <w:numId w:val="2"/>
        </w:numPr>
        <w:spacing w:line="360" w:lineRule="auto"/>
        <w:jc w:val="both"/>
        <w:rPr>
          <w:rFonts w:ascii="Garamond" w:hAnsi="Garamond"/>
          <w:i/>
        </w:rPr>
      </w:pPr>
      <w:r w:rsidRPr="00614418">
        <w:rPr>
          <w:rFonts w:ascii="Garamond" w:hAnsi="Garamond"/>
          <w:i/>
        </w:rPr>
        <w:t xml:space="preserve">the </w:t>
      </w:r>
      <w:r>
        <w:rPr>
          <w:rFonts w:ascii="Garamond" w:hAnsi="Garamond"/>
          <w:i/>
        </w:rPr>
        <w:t>response of</w:t>
      </w:r>
      <w:r w:rsidRPr="00614418">
        <w:rPr>
          <w:rFonts w:ascii="Garamond" w:hAnsi="Garamond"/>
          <w:i/>
        </w:rPr>
        <w:t xml:space="preserve"> yields </w:t>
      </w:r>
      <w:r>
        <w:rPr>
          <w:rFonts w:ascii="Garamond" w:hAnsi="Garamond"/>
          <w:i/>
        </w:rPr>
        <w:t>to</w:t>
      </w:r>
      <w:r w:rsidRPr="00614418">
        <w:rPr>
          <w:rFonts w:ascii="Garamond" w:hAnsi="Garamond"/>
          <w:i/>
        </w:rPr>
        <w:t xml:space="preserve"> </w:t>
      </w:r>
      <w:r>
        <w:rPr>
          <w:rFonts w:ascii="Garamond" w:hAnsi="Garamond"/>
          <w:i/>
        </w:rPr>
        <w:t>the same set of fiscal indicators</w:t>
      </w:r>
      <w:r w:rsidRPr="00614418">
        <w:rPr>
          <w:rFonts w:ascii="Garamond" w:hAnsi="Garamond"/>
          <w:i/>
        </w:rPr>
        <w:t xml:space="preserve"> is </w:t>
      </w:r>
      <w:r>
        <w:rPr>
          <w:rFonts w:ascii="Garamond" w:hAnsi="Garamond"/>
          <w:i/>
        </w:rPr>
        <w:t xml:space="preserve">lower </w:t>
      </w:r>
      <w:r w:rsidRPr="00614418">
        <w:rPr>
          <w:rFonts w:ascii="Garamond" w:hAnsi="Garamond"/>
          <w:i/>
        </w:rPr>
        <w:t>under floating exchange rate regimes than in monetary unions</w:t>
      </w:r>
      <w:r w:rsidR="00DE6DE1">
        <w:rPr>
          <w:rFonts w:ascii="Garamond" w:hAnsi="Garamond"/>
          <w:i/>
        </w:rPr>
        <w:t>; and</w:t>
      </w:r>
      <w:r w:rsidR="00E616BE" w:rsidRPr="00614418">
        <w:rPr>
          <w:rFonts w:ascii="Garamond" w:hAnsi="Garamond"/>
          <w:i/>
        </w:rPr>
        <w:t xml:space="preserve"> </w:t>
      </w:r>
    </w:p>
    <w:p w14:paraId="479F581A" w14:textId="6450A5EC" w:rsidR="00B0515D" w:rsidRDefault="008873EF" w:rsidP="00E616BE">
      <w:pPr>
        <w:pStyle w:val="ListParagraph"/>
        <w:numPr>
          <w:ilvl w:val="0"/>
          <w:numId w:val="2"/>
        </w:numPr>
        <w:spacing w:line="360" w:lineRule="auto"/>
        <w:jc w:val="both"/>
        <w:rPr>
          <w:rFonts w:ascii="Garamond" w:hAnsi="Garamond"/>
          <w:i/>
        </w:rPr>
      </w:pPr>
      <w:r>
        <w:rPr>
          <w:rFonts w:ascii="Garamond" w:hAnsi="Garamond"/>
          <w:i/>
        </w:rPr>
        <w:lastRenderedPageBreak/>
        <w:t>t</w:t>
      </w:r>
      <w:r w:rsidR="00B0515D">
        <w:rPr>
          <w:rFonts w:ascii="Garamond" w:hAnsi="Garamond"/>
          <w:i/>
        </w:rPr>
        <w:t xml:space="preserve">he outcomes of fixed exchange rate regimes </w:t>
      </w:r>
      <w:r w:rsidR="00CF78F3">
        <w:rPr>
          <w:rFonts w:ascii="Garamond" w:hAnsi="Garamond"/>
          <w:i/>
        </w:rPr>
        <w:t xml:space="preserve">depend on the perceived credibility of the peg (and are </w:t>
      </w:r>
      <w:r w:rsidR="00B0515D">
        <w:rPr>
          <w:rFonts w:ascii="Garamond" w:hAnsi="Garamond"/>
          <w:i/>
        </w:rPr>
        <w:t>similar to floating exchange rates or monetary union</w:t>
      </w:r>
      <w:r w:rsidR="00CF78F3">
        <w:rPr>
          <w:rFonts w:ascii="Garamond" w:hAnsi="Garamond"/>
          <w:i/>
        </w:rPr>
        <w:t xml:space="preserve"> accordingly)</w:t>
      </w:r>
      <w:r w:rsidR="00B0515D">
        <w:rPr>
          <w:rFonts w:ascii="Garamond" w:hAnsi="Garamond"/>
          <w:i/>
        </w:rPr>
        <w:t>.</w:t>
      </w:r>
    </w:p>
    <w:p w14:paraId="03FFD551" w14:textId="5E747CD5" w:rsidR="00E616BE" w:rsidRPr="008A16E9" w:rsidRDefault="00E616BE" w:rsidP="008A16E9">
      <w:pPr>
        <w:spacing w:line="360" w:lineRule="auto"/>
        <w:jc w:val="both"/>
        <w:rPr>
          <w:rFonts w:ascii="Garamond" w:hAnsi="Garamond"/>
          <w:i/>
        </w:rPr>
      </w:pPr>
    </w:p>
    <w:p w14:paraId="50BE6988" w14:textId="19763BE4" w:rsidR="00CE33AE" w:rsidRPr="00614418" w:rsidRDefault="00145E37" w:rsidP="00145E37">
      <w:pPr>
        <w:spacing w:line="360" w:lineRule="auto"/>
        <w:ind w:firstLine="720"/>
        <w:jc w:val="both"/>
        <w:rPr>
          <w:rFonts w:ascii="Garamond" w:hAnsi="Garamond"/>
        </w:rPr>
      </w:pPr>
      <w:r w:rsidRPr="00614418">
        <w:rPr>
          <w:rFonts w:ascii="Garamond" w:hAnsi="Garamond"/>
        </w:rPr>
        <w:t xml:space="preserve">Admittedly, the scope conditions for both of the above sets of hypotheses are difficult to pin down, because they are based on assumptions about investors’ </w:t>
      </w:r>
      <w:r w:rsidRPr="00614418">
        <w:rPr>
          <w:rFonts w:ascii="Garamond" w:hAnsi="Garamond"/>
          <w:i/>
        </w:rPr>
        <w:t>perceptions</w:t>
      </w:r>
      <w:r w:rsidRPr="00614418">
        <w:rPr>
          <w:rFonts w:ascii="Garamond" w:hAnsi="Garamond"/>
        </w:rPr>
        <w:t xml:space="preserve"> of the relative risk of inflation and default, which are difficult to capture, especially as they change across time</w:t>
      </w:r>
      <w:r w:rsidR="00C546BD">
        <w:rPr>
          <w:rStyle w:val="FootnoteReference"/>
          <w:rFonts w:ascii="Garamond" w:hAnsi="Garamond"/>
        </w:rPr>
        <w:footnoteReference w:id="16"/>
      </w:r>
      <w:r w:rsidRPr="00614418">
        <w:rPr>
          <w:rFonts w:ascii="Garamond" w:hAnsi="Garamond"/>
        </w:rPr>
        <w:t xml:space="preserve">. Interview evidence allows for relative certainty that investors did indeed see inflation as a significantly greater threat to their investment than default in the 1980s and 1990s (Mosley 2003, pp50-102), </w:t>
      </w:r>
      <w:r w:rsidR="00067CA5" w:rsidRPr="00614418">
        <w:rPr>
          <w:rFonts w:ascii="Garamond" w:hAnsi="Garamond"/>
        </w:rPr>
        <w:t>while</w:t>
      </w:r>
      <w:r w:rsidRPr="00614418">
        <w:rPr>
          <w:rFonts w:ascii="Garamond" w:hAnsi="Garamond"/>
        </w:rPr>
        <w:t xml:space="preserve"> obvious changes in circumstances in the past ten years lend credence to the conjecture that the relationship is the polar opposite in the present. Yet, it is impossible to identify a </w:t>
      </w:r>
      <w:r w:rsidR="00821AFC" w:rsidRPr="00614418">
        <w:rPr>
          <w:rFonts w:ascii="Garamond" w:hAnsi="Garamond"/>
        </w:rPr>
        <w:t>clear landmark</w:t>
      </w:r>
      <w:r w:rsidRPr="00614418">
        <w:rPr>
          <w:rFonts w:ascii="Garamond" w:hAnsi="Garamond"/>
        </w:rPr>
        <w:t xml:space="preserve"> in the development of these perceptions, especially because a gradual process (of the waning importance of inflation differentials by the end of the 1990s) is combined with a series of shock-like events (the succession of sovereign debt crises within Europe in the early 2010s). Therefore, we </w:t>
      </w:r>
      <w:r w:rsidR="00821AFC" w:rsidRPr="00614418">
        <w:rPr>
          <w:rFonts w:ascii="Garamond" w:hAnsi="Garamond"/>
        </w:rPr>
        <w:t>simply posit</w:t>
      </w:r>
      <w:r w:rsidRPr="00614418">
        <w:rPr>
          <w:rFonts w:ascii="Garamond" w:hAnsi="Garamond"/>
        </w:rPr>
        <w:t xml:space="preserve"> that the behavior of yields </w:t>
      </w:r>
      <w:r w:rsidR="00821AFC" w:rsidRPr="00614418">
        <w:rPr>
          <w:rFonts w:ascii="Garamond" w:hAnsi="Garamond"/>
        </w:rPr>
        <w:t xml:space="preserve">changes, </w:t>
      </w:r>
      <w:r w:rsidR="00D745AF" w:rsidRPr="00614418">
        <w:rPr>
          <w:rFonts w:ascii="Garamond" w:hAnsi="Garamond"/>
        </w:rPr>
        <w:t>and leave the determ</w:t>
      </w:r>
      <w:r w:rsidR="00494F5B" w:rsidRPr="00614418">
        <w:rPr>
          <w:rFonts w:ascii="Garamond" w:hAnsi="Garamond"/>
        </w:rPr>
        <w:t xml:space="preserve">ination of the </w:t>
      </w:r>
      <w:r w:rsidR="00D745AF" w:rsidRPr="00614418">
        <w:rPr>
          <w:rFonts w:ascii="Garamond" w:hAnsi="Garamond"/>
        </w:rPr>
        <w:t>turning point to the data</w:t>
      </w:r>
      <w:r w:rsidR="007F4E6A">
        <w:rPr>
          <w:rFonts w:ascii="Garamond" w:hAnsi="Garamond"/>
        </w:rPr>
        <w:t xml:space="preserve"> in our empirical analysis below</w:t>
      </w:r>
      <w:r w:rsidR="00E616BE" w:rsidRPr="00614418">
        <w:rPr>
          <w:rFonts w:ascii="Garamond" w:hAnsi="Garamond"/>
        </w:rPr>
        <w:t xml:space="preserve">. </w:t>
      </w:r>
      <w:r w:rsidR="00CF78F3">
        <w:rPr>
          <w:rFonts w:ascii="Garamond" w:hAnsi="Garamond"/>
        </w:rPr>
        <w:t xml:space="preserve">Combining the previous sets of </w:t>
      </w:r>
      <w:r w:rsidR="00566B19">
        <w:rPr>
          <w:rFonts w:ascii="Garamond" w:hAnsi="Garamond"/>
        </w:rPr>
        <w:t>hypothese</w:t>
      </w:r>
      <w:r w:rsidR="00CF78F3">
        <w:rPr>
          <w:rFonts w:ascii="Garamond" w:hAnsi="Garamond"/>
        </w:rPr>
        <w:t>s allows us to generate expectations about the time-path of variables:</w:t>
      </w:r>
    </w:p>
    <w:p w14:paraId="39429901" w14:textId="77777777" w:rsidR="0096364C" w:rsidRPr="00614418" w:rsidRDefault="0096364C" w:rsidP="00145E37">
      <w:pPr>
        <w:spacing w:line="360" w:lineRule="auto"/>
        <w:ind w:firstLine="720"/>
        <w:jc w:val="both"/>
        <w:rPr>
          <w:rFonts w:ascii="Garamond" w:hAnsi="Garamond"/>
        </w:rPr>
      </w:pPr>
    </w:p>
    <w:p w14:paraId="09162263" w14:textId="77777777" w:rsidR="00E616BE" w:rsidRPr="00614418" w:rsidRDefault="00E616BE" w:rsidP="00E616BE">
      <w:pPr>
        <w:spacing w:line="360" w:lineRule="auto"/>
        <w:jc w:val="both"/>
        <w:rPr>
          <w:rFonts w:ascii="Garamond" w:hAnsi="Garamond"/>
          <w:i/>
        </w:rPr>
      </w:pPr>
      <w:r w:rsidRPr="00614418">
        <w:rPr>
          <w:rFonts w:ascii="Garamond" w:hAnsi="Garamond"/>
          <w:i/>
        </w:rPr>
        <w:t>H3: With the passage of time,</w:t>
      </w:r>
    </w:p>
    <w:p w14:paraId="052D6F34" w14:textId="1AA64AB1" w:rsidR="008873EF" w:rsidRDefault="00A11AEA" w:rsidP="00E616BE">
      <w:pPr>
        <w:pStyle w:val="ListParagraph"/>
        <w:numPr>
          <w:ilvl w:val="0"/>
          <w:numId w:val="3"/>
        </w:numPr>
        <w:spacing w:line="360" w:lineRule="auto"/>
        <w:jc w:val="both"/>
        <w:rPr>
          <w:rFonts w:ascii="Garamond" w:hAnsi="Garamond"/>
          <w:i/>
        </w:rPr>
      </w:pPr>
      <w:r>
        <w:rPr>
          <w:rFonts w:ascii="Garamond" w:hAnsi="Garamond"/>
          <w:i/>
        </w:rPr>
        <w:t xml:space="preserve">the sensitivity of </w:t>
      </w:r>
      <w:r w:rsidR="00E616BE" w:rsidRPr="00614418">
        <w:rPr>
          <w:rFonts w:ascii="Garamond" w:hAnsi="Garamond"/>
          <w:i/>
        </w:rPr>
        <w:t xml:space="preserve">yields </w:t>
      </w:r>
      <w:r w:rsidR="008873EF">
        <w:rPr>
          <w:rFonts w:ascii="Garamond" w:hAnsi="Garamond"/>
          <w:i/>
        </w:rPr>
        <w:t xml:space="preserve">to inflation </w:t>
      </w:r>
      <w:r>
        <w:rPr>
          <w:rFonts w:ascii="Garamond" w:hAnsi="Garamond"/>
          <w:i/>
        </w:rPr>
        <w:t xml:space="preserve">declines </w:t>
      </w:r>
      <w:r w:rsidR="00B85913">
        <w:rPr>
          <w:rFonts w:ascii="Garamond" w:hAnsi="Garamond"/>
          <w:i/>
        </w:rPr>
        <w:t>in floating regimes</w:t>
      </w:r>
      <w:r w:rsidR="00DE6DE1">
        <w:rPr>
          <w:rFonts w:ascii="Garamond" w:hAnsi="Garamond"/>
          <w:i/>
        </w:rPr>
        <w:t>;</w:t>
      </w:r>
    </w:p>
    <w:p w14:paraId="73C5D3D3" w14:textId="788C243E" w:rsidR="00917183" w:rsidRDefault="00B85913" w:rsidP="00821AFC">
      <w:pPr>
        <w:pStyle w:val="ListParagraph"/>
        <w:numPr>
          <w:ilvl w:val="0"/>
          <w:numId w:val="3"/>
        </w:numPr>
        <w:spacing w:line="360" w:lineRule="auto"/>
        <w:jc w:val="both"/>
        <w:rPr>
          <w:rFonts w:ascii="Garamond" w:hAnsi="Garamond"/>
          <w:i/>
        </w:rPr>
      </w:pPr>
      <w:r>
        <w:rPr>
          <w:rFonts w:ascii="Garamond" w:hAnsi="Garamond"/>
          <w:i/>
        </w:rPr>
        <w:t xml:space="preserve">the sensitivity of </w:t>
      </w:r>
      <w:r w:rsidR="00A11AEA">
        <w:rPr>
          <w:rFonts w:ascii="Garamond" w:hAnsi="Garamond"/>
          <w:i/>
        </w:rPr>
        <w:t xml:space="preserve">yields </w:t>
      </w:r>
      <w:r w:rsidR="00E616BE" w:rsidRPr="00614418">
        <w:rPr>
          <w:rFonts w:ascii="Garamond" w:hAnsi="Garamond"/>
          <w:i/>
        </w:rPr>
        <w:t xml:space="preserve">to </w:t>
      </w:r>
      <w:r w:rsidR="00A11AEA">
        <w:rPr>
          <w:rFonts w:ascii="Garamond" w:hAnsi="Garamond"/>
          <w:i/>
        </w:rPr>
        <w:t>fiscal indicators (</w:t>
      </w:r>
      <w:r w:rsidR="00E616BE" w:rsidRPr="00614418">
        <w:rPr>
          <w:rFonts w:ascii="Garamond" w:hAnsi="Garamond"/>
          <w:i/>
        </w:rPr>
        <w:t>deficit, debt and</w:t>
      </w:r>
      <w:r w:rsidR="00172529">
        <w:rPr>
          <w:rFonts w:ascii="Garamond" w:hAnsi="Garamond"/>
          <w:i/>
        </w:rPr>
        <w:t xml:space="preserve"> social and</w:t>
      </w:r>
      <w:r w:rsidR="00E616BE" w:rsidRPr="00614418">
        <w:rPr>
          <w:rFonts w:ascii="Garamond" w:hAnsi="Garamond"/>
          <w:i/>
        </w:rPr>
        <w:t xml:space="preserve"> entitlement spending</w:t>
      </w:r>
      <w:r w:rsidR="00A11AEA">
        <w:rPr>
          <w:rFonts w:ascii="Garamond" w:hAnsi="Garamond"/>
          <w:i/>
        </w:rPr>
        <w:t>)</w:t>
      </w:r>
      <w:r>
        <w:rPr>
          <w:rFonts w:ascii="Garamond" w:hAnsi="Garamond"/>
          <w:i/>
        </w:rPr>
        <w:t xml:space="preserve"> increases in monetary unions</w:t>
      </w:r>
      <w:r w:rsidR="00DE6DE1">
        <w:rPr>
          <w:rFonts w:ascii="Garamond" w:hAnsi="Garamond"/>
          <w:i/>
        </w:rPr>
        <w:t>; and</w:t>
      </w:r>
      <w:r w:rsidR="00E616BE" w:rsidRPr="00614418">
        <w:rPr>
          <w:rFonts w:ascii="Garamond" w:hAnsi="Garamond"/>
          <w:i/>
        </w:rPr>
        <w:t xml:space="preserve"> </w:t>
      </w:r>
    </w:p>
    <w:p w14:paraId="31AF169B" w14:textId="63F2C6E9" w:rsidR="004F3AA1" w:rsidRPr="00917183" w:rsidRDefault="00CF78F3" w:rsidP="00821AFC">
      <w:pPr>
        <w:pStyle w:val="ListParagraph"/>
        <w:numPr>
          <w:ilvl w:val="0"/>
          <w:numId w:val="3"/>
        </w:numPr>
        <w:spacing w:line="360" w:lineRule="auto"/>
        <w:jc w:val="both"/>
        <w:rPr>
          <w:rFonts w:ascii="Garamond" w:hAnsi="Garamond"/>
          <w:i/>
        </w:rPr>
      </w:pPr>
      <w:r w:rsidRPr="00917183">
        <w:rPr>
          <w:rFonts w:ascii="Garamond" w:hAnsi="Garamond"/>
          <w:i/>
        </w:rPr>
        <w:t>t</w:t>
      </w:r>
      <w:r w:rsidR="00B85913" w:rsidRPr="00917183">
        <w:rPr>
          <w:rFonts w:ascii="Garamond" w:hAnsi="Garamond"/>
          <w:i/>
        </w:rPr>
        <w:t xml:space="preserve">he time path of fixed exchange rate regimes depends on whether they are perceived </w:t>
      </w:r>
      <w:r w:rsidR="00FA0DC8" w:rsidRPr="00917183">
        <w:rPr>
          <w:rFonts w:ascii="Garamond" w:hAnsi="Garamond"/>
          <w:i/>
        </w:rPr>
        <w:t xml:space="preserve">as credible. </w:t>
      </w:r>
      <w:r w:rsidR="00B85913" w:rsidRPr="00917183">
        <w:rPr>
          <w:rFonts w:ascii="Garamond" w:hAnsi="Garamond"/>
          <w:i/>
        </w:rPr>
        <w:t>in which case the time path will be similar to mo</w:t>
      </w:r>
      <w:r w:rsidR="00FA0DC8" w:rsidRPr="00917183">
        <w:rPr>
          <w:rFonts w:ascii="Garamond" w:hAnsi="Garamond"/>
          <w:i/>
        </w:rPr>
        <w:t>netary unions.</w:t>
      </w:r>
      <w:r w:rsidR="00B85913" w:rsidRPr="00917183">
        <w:rPr>
          <w:rFonts w:ascii="Garamond" w:hAnsi="Garamond"/>
          <w:i/>
        </w:rPr>
        <w:t xml:space="preserve"> or non-cre</w:t>
      </w:r>
      <w:r w:rsidR="00FA0DC8" w:rsidRPr="00917183">
        <w:rPr>
          <w:rFonts w:ascii="Garamond" w:hAnsi="Garamond"/>
          <w:i/>
        </w:rPr>
        <w:t xml:space="preserve">dible, in which case it will be </w:t>
      </w:r>
      <w:r w:rsidR="00B85913" w:rsidRPr="00917183">
        <w:rPr>
          <w:rFonts w:ascii="Garamond" w:hAnsi="Garamond"/>
          <w:i/>
        </w:rPr>
        <w:t xml:space="preserve">similar to floating </w:t>
      </w:r>
      <w:r w:rsidRPr="00917183">
        <w:rPr>
          <w:rFonts w:ascii="Garamond" w:hAnsi="Garamond"/>
          <w:i/>
        </w:rPr>
        <w:t>exchange regimes</w:t>
      </w:r>
      <w:r w:rsidR="00B85913" w:rsidRPr="00917183">
        <w:rPr>
          <w:rFonts w:ascii="Garamond" w:hAnsi="Garamond"/>
          <w:i/>
        </w:rPr>
        <w:t xml:space="preserve">.  </w:t>
      </w:r>
    </w:p>
    <w:p w14:paraId="0FDE0109" w14:textId="77777777" w:rsidR="00917183" w:rsidRDefault="00917183" w:rsidP="005F5310">
      <w:pPr>
        <w:keepNext/>
        <w:rPr>
          <w:rFonts w:ascii="Garamond" w:hAnsi="Garamond" w:cs="Times New Roman"/>
          <w:b/>
          <w:bCs/>
        </w:rPr>
      </w:pPr>
    </w:p>
    <w:p w14:paraId="381A8F67" w14:textId="77777777" w:rsidR="00917183" w:rsidRDefault="00917183" w:rsidP="005F5310">
      <w:pPr>
        <w:keepNext/>
        <w:rPr>
          <w:rFonts w:ascii="Garamond" w:hAnsi="Garamond" w:cs="Times New Roman"/>
          <w:b/>
          <w:bCs/>
        </w:rPr>
      </w:pPr>
    </w:p>
    <w:p w14:paraId="2BA3C65B" w14:textId="3357445A" w:rsidR="008852FB" w:rsidRPr="00614418" w:rsidRDefault="00C144F3" w:rsidP="005F5310">
      <w:pPr>
        <w:keepNext/>
        <w:rPr>
          <w:rFonts w:ascii="Garamond" w:hAnsi="Garamond" w:cs="Times New Roman"/>
          <w:b/>
          <w:bCs/>
        </w:rPr>
      </w:pPr>
      <w:r w:rsidRPr="00614418">
        <w:rPr>
          <w:rFonts w:ascii="Garamond" w:hAnsi="Garamond" w:cs="Times New Roman"/>
          <w:b/>
          <w:bCs/>
        </w:rPr>
        <w:t xml:space="preserve">Inflation risk, default risk </w:t>
      </w:r>
      <w:r w:rsidR="008852FB" w:rsidRPr="00614418">
        <w:rPr>
          <w:rFonts w:ascii="Garamond" w:hAnsi="Garamond" w:cs="Times New Roman"/>
          <w:b/>
          <w:bCs/>
        </w:rPr>
        <w:t>and exchange rate regimes: An analysis of 23 OECD</w:t>
      </w:r>
      <w:r w:rsidR="00297526">
        <w:rPr>
          <w:rFonts w:ascii="Garamond" w:hAnsi="Garamond" w:cs="Times New Roman"/>
          <w:b/>
          <w:bCs/>
        </w:rPr>
        <w:t>-</w:t>
      </w:r>
      <w:r w:rsidR="008852FB" w:rsidRPr="00614418">
        <w:rPr>
          <w:rFonts w:ascii="Garamond" w:hAnsi="Garamond" w:cs="Times New Roman"/>
          <w:b/>
          <w:bCs/>
        </w:rPr>
        <w:t>countries</w:t>
      </w:r>
    </w:p>
    <w:p w14:paraId="44FD491B" w14:textId="77777777" w:rsidR="008852FB" w:rsidRPr="00614418" w:rsidRDefault="008852FB" w:rsidP="005F5310">
      <w:pPr>
        <w:keepNext/>
        <w:jc w:val="both"/>
        <w:rPr>
          <w:rFonts w:ascii="Garamond" w:hAnsi="Garamond" w:cs="Times New Roman"/>
        </w:rPr>
      </w:pPr>
    </w:p>
    <w:p w14:paraId="1246BCC6" w14:textId="3C035BE7" w:rsidR="008852FB" w:rsidRPr="00614418" w:rsidRDefault="008139F7" w:rsidP="005C6340">
      <w:pPr>
        <w:spacing w:line="360" w:lineRule="auto"/>
        <w:ind w:firstLine="720"/>
        <w:jc w:val="both"/>
        <w:rPr>
          <w:rFonts w:ascii="Garamond" w:hAnsi="Garamond" w:cs="Times New Roman"/>
        </w:rPr>
      </w:pPr>
      <w:r w:rsidRPr="00614418">
        <w:rPr>
          <w:rFonts w:ascii="Garamond" w:hAnsi="Garamond" w:cs="Times New Roman"/>
        </w:rPr>
        <w:t>We employ a moving-window panel-analysis on 23 OECD</w:t>
      </w:r>
      <w:r w:rsidR="00297526">
        <w:rPr>
          <w:rFonts w:ascii="Garamond" w:hAnsi="Garamond" w:cs="Times New Roman"/>
        </w:rPr>
        <w:t>-</w:t>
      </w:r>
      <w:r w:rsidRPr="00614418">
        <w:rPr>
          <w:rFonts w:ascii="Garamond" w:hAnsi="Garamond" w:cs="Times New Roman"/>
        </w:rPr>
        <w:t>countries</w:t>
      </w:r>
      <w:r w:rsidRPr="00614418">
        <w:rPr>
          <w:rStyle w:val="FootnoteReference"/>
          <w:rFonts w:ascii="Garamond" w:hAnsi="Garamond" w:cs="Times New Roman"/>
        </w:rPr>
        <w:footnoteReference w:id="17"/>
      </w:r>
      <w:r w:rsidRPr="00614418">
        <w:rPr>
          <w:rFonts w:ascii="Garamond" w:hAnsi="Garamond" w:cs="Times New Roman"/>
        </w:rPr>
        <w:t xml:space="preserve"> from 1980-2017. Specifically, w</w:t>
      </w:r>
      <w:r w:rsidR="00FF443F" w:rsidRPr="00614418">
        <w:rPr>
          <w:rFonts w:ascii="Garamond" w:hAnsi="Garamond" w:cs="Times New Roman"/>
        </w:rPr>
        <w:t xml:space="preserve">e </w:t>
      </w:r>
      <w:r w:rsidR="00494F5B" w:rsidRPr="00614418">
        <w:rPr>
          <w:rFonts w:ascii="Garamond" w:hAnsi="Garamond" w:cs="Times New Roman"/>
        </w:rPr>
        <w:t>analyze</w:t>
      </w:r>
      <w:r w:rsidR="00FF443F" w:rsidRPr="00614418">
        <w:rPr>
          <w:rFonts w:ascii="Garamond" w:hAnsi="Garamond" w:cs="Times New Roman"/>
        </w:rPr>
        <w:t xml:space="preserve"> the interaction of exchange rate regimes and fiscal and monetary variables </w:t>
      </w:r>
      <w:r w:rsidR="007952E7">
        <w:rPr>
          <w:rFonts w:ascii="Garamond" w:hAnsi="Garamond" w:cs="Times New Roman"/>
        </w:rPr>
        <w:t xml:space="preserve">over </w:t>
      </w:r>
      <w:r w:rsidR="007952E7">
        <w:rPr>
          <w:rFonts w:ascii="Garamond" w:hAnsi="Garamond" w:cs="Times New Roman"/>
        </w:rPr>
        <w:lastRenderedPageBreak/>
        <w:t xml:space="preserve">multiple </w:t>
      </w:r>
      <w:r w:rsidR="00FF443F" w:rsidRPr="00614418">
        <w:rPr>
          <w:rFonts w:ascii="Garamond" w:hAnsi="Garamond" w:cs="Times New Roman"/>
        </w:rPr>
        <w:t xml:space="preserve">20-year </w:t>
      </w:r>
      <w:r w:rsidR="007952E7">
        <w:rPr>
          <w:rFonts w:ascii="Garamond" w:hAnsi="Garamond" w:cs="Times New Roman"/>
        </w:rPr>
        <w:t>(</w:t>
      </w:r>
      <w:r w:rsidR="00FF443F" w:rsidRPr="00614418">
        <w:rPr>
          <w:rFonts w:ascii="Garamond" w:hAnsi="Garamond" w:cs="Times New Roman"/>
        </w:rPr>
        <w:t>moving</w:t>
      </w:r>
      <w:r w:rsidR="007952E7">
        <w:rPr>
          <w:rFonts w:ascii="Garamond" w:hAnsi="Garamond" w:cs="Times New Roman"/>
        </w:rPr>
        <w:t>)</w:t>
      </w:r>
      <w:r w:rsidR="00FF443F" w:rsidRPr="00614418">
        <w:rPr>
          <w:rFonts w:ascii="Garamond" w:hAnsi="Garamond" w:cs="Times New Roman"/>
        </w:rPr>
        <w:t xml:space="preserve"> windows. The strategy of repeating our regression on a moving sample of 20-year periods allows us to eschew the problematic decision of identifying </w:t>
      </w:r>
      <w:proofErr w:type="spellStart"/>
      <w:r w:rsidR="00A11AEA">
        <w:rPr>
          <w:rFonts w:ascii="Garamond" w:hAnsi="Garamond" w:cs="Times New Roman"/>
        </w:rPr>
        <w:t>a</w:t>
      </w:r>
      <w:r w:rsidR="007E38E6">
        <w:rPr>
          <w:rFonts w:ascii="Garamond" w:hAnsi="Garamond" w:cs="Times New Roman"/>
        </w:rPr>
        <w:t>n</w:t>
      </w:r>
      <w:proofErr w:type="spellEnd"/>
      <w:r w:rsidR="007E38E6">
        <w:rPr>
          <w:rFonts w:ascii="Garamond" w:hAnsi="Garamond" w:cs="Times New Roman"/>
        </w:rPr>
        <w:t xml:space="preserve"> a</w:t>
      </w:r>
      <w:r w:rsidR="00A11AEA">
        <w:rPr>
          <w:rFonts w:ascii="Garamond" w:hAnsi="Garamond" w:cs="Times New Roman"/>
        </w:rPr>
        <w:t xml:space="preserve"> priori </w:t>
      </w:r>
      <w:r w:rsidR="00FF443F" w:rsidRPr="00614418">
        <w:rPr>
          <w:rFonts w:ascii="Garamond" w:hAnsi="Garamond" w:cs="Times New Roman"/>
        </w:rPr>
        <w:t>break point</w:t>
      </w:r>
      <w:r w:rsidR="007952E7">
        <w:rPr>
          <w:rFonts w:ascii="Garamond" w:hAnsi="Garamond" w:cs="Times New Roman"/>
        </w:rPr>
        <w:t xml:space="preserve"> where investors shift from being most concerned about inflation towards being most concerned about default</w:t>
      </w:r>
      <w:r w:rsidR="00FF443F" w:rsidRPr="00614418">
        <w:rPr>
          <w:rFonts w:ascii="Garamond" w:hAnsi="Garamond" w:cs="Times New Roman"/>
        </w:rPr>
        <w:t xml:space="preserve">, </w:t>
      </w:r>
      <w:r w:rsidR="007952E7">
        <w:rPr>
          <w:rFonts w:ascii="Garamond" w:hAnsi="Garamond" w:cs="Times New Roman"/>
        </w:rPr>
        <w:t>especially since this</w:t>
      </w:r>
      <w:r w:rsidR="00FF443F" w:rsidRPr="00614418">
        <w:rPr>
          <w:rFonts w:ascii="Garamond" w:hAnsi="Garamond" w:cs="Times New Roman"/>
        </w:rPr>
        <w:t xml:space="preserve"> shift is most likely gradual. Our windows are</w:t>
      </w:r>
      <w:r w:rsidR="005C6340">
        <w:rPr>
          <w:rFonts w:ascii="Garamond" w:hAnsi="Garamond" w:cs="Times New Roman"/>
        </w:rPr>
        <w:t xml:space="preserve"> 20 years long, and the sample 'moves'</w:t>
      </w:r>
      <w:r w:rsidR="00FF443F" w:rsidRPr="00614418">
        <w:rPr>
          <w:rFonts w:ascii="Garamond" w:hAnsi="Garamond" w:cs="Times New Roman"/>
        </w:rPr>
        <w:t xml:space="preserve"> by one year each time. Our first estimate window covers the years between 1980 and 1999, the second covers 1981-2000, the third 1982-2001 and so on. The last window covers the period from 1998 to 2017</w:t>
      </w:r>
      <w:r w:rsidR="00C37C36">
        <w:rPr>
          <w:rFonts w:ascii="Garamond" w:hAnsi="Garamond" w:cs="Times New Roman"/>
        </w:rPr>
        <w:t>. Hence</w:t>
      </w:r>
      <w:r w:rsidR="00B01D4B">
        <w:rPr>
          <w:rFonts w:ascii="Garamond" w:hAnsi="Garamond" w:cs="Times New Roman"/>
        </w:rPr>
        <w:t>,</w:t>
      </w:r>
      <w:r w:rsidR="00FF443F" w:rsidRPr="00614418">
        <w:rPr>
          <w:rFonts w:ascii="Garamond" w:hAnsi="Garamond" w:cs="Times New Roman"/>
        </w:rPr>
        <w:t xml:space="preserve"> </w:t>
      </w:r>
      <w:r w:rsidR="00B01D4B">
        <w:rPr>
          <w:rFonts w:ascii="Garamond" w:hAnsi="Garamond" w:cs="Times New Roman"/>
        </w:rPr>
        <w:t>w</w:t>
      </w:r>
      <w:r w:rsidR="00FF443F" w:rsidRPr="00614418">
        <w:rPr>
          <w:rFonts w:ascii="Garamond" w:hAnsi="Garamond" w:cs="Times New Roman"/>
        </w:rPr>
        <w:t>e have nineteen 20-year windows in total.</w:t>
      </w:r>
      <w:r w:rsidR="00402DAA">
        <w:rPr>
          <w:rFonts w:ascii="Garamond" w:hAnsi="Garamond" w:cs="Times New Roman"/>
        </w:rPr>
        <w:t xml:space="preserve">  Crucially, a moving window approach requires our data to be </w:t>
      </w:r>
      <w:r w:rsidR="004C7C1A">
        <w:rPr>
          <w:rFonts w:ascii="Garamond" w:hAnsi="Garamond" w:cs="Times New Roman"/>
        </w:rPr>
        <w:t xml:space="preserve">well </w:t>
      </w:r>
      <w:r w:rsidR="00402DAA">
        <w:rPr>
          <w:rFonts w:ascii="Garamond" w:hAnsi="Garamond" w:cs="Times New Roman"/>
        </w:rPr>
        <w:t>balanced</w:t>
      </w:r>
      <w:r w:rsidR="00C37C36">
        <w:rPr>
          <w:rFonts w:ascii="Garamond" w:hAnsi="Garamond" w:cs="Times New Roman"/>
        </w:rPr>
        <w:t>. E</w:t>
      </w:r>
      <w:r w:rsidR="00402DAA">
        <w:rPr>
          <w:rFonts w:ascii="Garamond" w:hAnsi="Garamond" w:cs="Times New Roman"/>
        </w:rPr>
        <w:t xml:space="preserve">lse </w:t>
      </w:r>
      <w:r w:rsidR="003449B4">
        <w:rPr>
          <w:rFonts w:ascii="Garamond" w:hAnsi="Garamond" w:cs="Times New Roman"/>
        </w:rPr>
        <w:t xml:space="preserve">the presence of </w:t>
      </w:r>
      <w:r w:rsidR="00402DAA">
        <w:rPr>
          <w:rFonts w:ascii="Garamond" w:hAnsi="Garamond" w:cs="Times New Roman"/>
        </w:rPr>
        <w:t xml:space="preserve">missing data might drive </w:t>
      </w:r>
      <w:r w:rsidR="00061BE9">
        <w:rPr>
          <w:rFonts w:ascii="Garamond" w:hAnsi="Garamond" w:cs="Times New Roman"/>
        </w:rPr>
        <w:t>differences in</w:t>
      </w:r>
      <w:r w:rsidR="00402DAA">
        <w:rPr>
          <w:rFonts w:ascii="Garamond" w:hAnsi="Garamond" w:cs="Times New Roman"/>
        </w:rPr>
        <w:t xml:space="preserve"> empirical results</w:t>
      </w:r>
      <w:r w:rsidR="003449B4">
        <w:rPr>
          <w:rFonts w:ascii="Garamond" w:hAnsi="Garamond" w:cs="Times New Roman"/>
        </w:rPr>
        <w:t xml:space="preserve"> for our variables</w:t>
      </w:r>
      <w:r w:rsidR="00402DAA">
        <w:rPr>
          <w:rFonts w:ascii="Garamond" w:hAnsi="Garamond" w:cs="Times New Roman"/>
        </w:rPr>
        <w:t xml:space="preserve"> </w:t>
      </w:r>
      <w:r w:rsidR="00061BE9">
        <w:rPr>
          <w:rFonts w:ascii="Garamond" w:hAnsi="Garamond" w:cs="Times New Roman"/>
        </w:rPr>
        <w:t>across our 19 windows</w:t>
      </w:r>
      <w:r w:rsidR="003449B4">
        <w:rPr>
          <w:rFonts w:ascii="Garamond" w:hAnsi="Garamond" w:cs="Times New Roman"/>
        </w:rPr>
        <w:t xml:space="preserve"> rather than the changing effects of those variables </w:t>
      </w:r>
      <w:r w:rsidR="00887F5E">
        <w:rPr>
          <w:rFonts w:ascii="Garamond" w:hAnsi="Garamond" w:cs="Times New Roman"/>
        </w:rPr>
        <w:t xml:space="preserve">themselves </w:t>
      </w:r>
      <w:r w:rsidR="003449B4">
        <w:rPr>
          <w:rFonts w:ascii="Garamond" w:hAnsi="Garamond" w:cs="Times New Roman"/>
        </w:rPr>
        <w:t>over</w:t>
      </w:r>
      <w:r w:rsidR="00633DE9">
        <w:rPr>
          <w:rFonts w:ascii="Garamond" w:hAnsi="Garamond" w:cs="Times New Roman"/>
        </w:rPr>
        <w:t xml:space="preserve"> </w:t>
      </w:r>
      <w:r w:rsidR="003449B4">
        <w:rPr>
          <w:rFonts w:ascii="Garamond" w:hAnsi="Garamond" w:cs="Times New Roman"/>
        </w:rPr>
        <w:t>time</w:t>
      </w:r>
      <w:r w:rsidR="00061BE9">
        <w:rPr>
          <w:rFonts w:ascii="Garamond" w:hAnsi="Garamond" w:cs="Times New Roman"/>
        </w:rPr>
        <w:t xml:space="preserve"> </w:t>
      </w:r>
      <w:r w:rsidR="00402DAA">
        <w:rPr>
          <w:rFonts w:ascii="Garamond" w:hAnsi="Garamond" w:cs="Times New Roman"/>
        </w:rPr>
        <w:t xml:space="preserve">(see </w:t>
      </w:r>
      <w:proofErr w:type="spellStart"/>
      <w:r w:rsidR="00402DAA">
        <w:rPr>
          <w:rFonts w:ascii="Garamond" w:hAnsi="Garamond" w:cs="Times New Roman"/>
        </w:rPr>
        <w:t>Lall</w:t>
      </w:r>
      <w:proofErr w:type="spellEnd"/>
      <w:r w:rsidR="00402DAA">
        <w:rPr>
          <w:rFonts w:ascii="Garamond" w:hAnsi="Garamond" w:cs="Times New Roman"/>
        </w:rPr>
        <w:t xml:space="preserve"> 2017).</w:t>
      </w:r>
      <w:r w:rsidR="00061BE9">
        <w:rPr>
          <w:rFonts w:ascii="Garamond" w:hAnsi="Garamond" w:cs="Times New Roman"/>
        </w:rPr>
        <w:t xml:space="preserve"> This means</w:t>
      </w:r>
      <w:r w:rsidR="00633DE9">
        <w:rPr>
          <w:rFonts w:ascii="Garamond" w:hAnsi="Garamond" w:cs="Times New Roman"/>
        </w:rPr>
        <w:t xml:space="preserve"> that</w:t>
      </w:r>
      <w:r w:rsidR="00061BE9">
        <w:rPr>
          <w:rFonts w:ascii="Garamond" w:hAnsi="Garamond" w:cs="Times New Roman"/>
        </w:rPr>
        <w:t xml:space="preserve"> we are somewhat constrained in the types of controls we can include in our model</w:t>
      </w:r>
      <w:r w:rsidR="003449B4">
        <w:rPr>
          <w:rFonts w:ascii="Garamond" w:hAnsi="Garamond" w:cs="Times New Roman"/>
        </w:rPr>
        <w:t>s</w:t>
      </w:r>
      <w:r w:rsidR="00061BE9">
        <w:rPr>
          <w:rFonts w:ascii="Garamond" w:hAnsi="Garamond" w:cs="Times New Roman"/>
        </w:rPr>
        <w:t xml:space="preserve"> </w:t>
      </w:r>
      <w:r w:rsidR="00C37C36">
        <w:rPr>
          <w:rFonts w:ascii="Garamond" w:hAnsi="Garamond" w:cs="Times New Roman"/>
        </w:rPr>
        <w:t>–</w:t>
      </w:r>
      <w:r w:rsidR="00061BE9">
        <w:rPr>
          <w:rFonts w:ascii="Garamond" w:hAnsi="Garamond" w:cs="Times New Roman"/>
        </w:rPr>
        <w:t xml:space="preserve"> we elaborate on this in greater depth below when we justify why we </w:t>
      </w:r>
      <w:r w:rsidR="00E62A98">
        <w:rPr>
          <w:rFonts w:ascii="Garamond" w:hAnsi="Garamond" w:cs="Times New Roman"/>
        </w:rPr>
        <w:t>do not</w:t>
      </w:r>
      <w:r w:rsidR="00061BE9">
        <w:rPr>
          <w:rFonts w:ascii="Garamond" w:hAnsi="Garamond" w:cs="Times New Roman"/>
        </w:rPr>
        <w:t xml:space="preserve"> incorporate certain variables </w:t>
      </w:r>
      <w:r w:rsidR="00633DE9">
        <w:rPr>
          <w:rFonts w:ascii="Garamond" w:hAnsi="Garamond" w:cs="Times New Roman"/>
        </w:rPr>
        <w:t xml:space="preserve">into </w:t>
      </w:r>
      <w:r w:rsidR="00061BE9">
        <w:rPr>
          <w:rFonts w:ascii="Garamond" w:hAnsi="Garamond" w:cs="Times New Roman"/>
        </w:rPr>
        <w:t>our models</w:t>
      </w:r>
      <w:r w:rsidR="003449B4">
        <w:rPr>
          <w:rFonts w:ascii="Garamond" w:hAnsi="Garamond" w:cs="Times New Roman"/>
        </w:rPr>
        <w:t>. O</w:t>
      </w:r>
      <w:r w:rsidR="00061BE9">
        <w:rPr>
          <w:rFonts w:ascii="Garamond" w:hAnsi="Garamond" w:cs="Times New Roman"/>
        </w:rPr>
        <w:t xml:space="preserve">ur final model specification includes variables with complete </w:t>
      </w:r>
      <w:r w:rsidR="003449B4">
        <w:rPr>
          <w:rFonts w:ascii="Garamond" w:hAnsi="Garamond" w:cs="Times New Roman"/>
        </w:rPr>
        <w:t>time</w:t>
      </w:r>
      <w:r w:rsidR="00633DE9">
        <w:rPr>
          <w:rFonts w:ascii="Garamond" w:hAnsi="Garamond" w:cs="Times New Roman"/>
        </w:rPr>
        <w:t>-</w:t>
      </w:r>
      <w:r w:rsidR="00061BE9">
        <w:rPr>
          <w:rFonts w:ascii="Garamond" w:hAnsi="Garamond" w:cs="Times New Roman"/>
        </w:rPr>
        <w:t>series</w:t>
      </w:r>
      <w:r w:rsidR="003449B4">
        <w:rPr>
          <w:rFonts w:ascii="Garamond" w:hAnsi="Garamond" w:cs="Times New Roman"/>
        </w:rPr>
        <w:t xml:space="preserve"> data</w:t>
      </w:r>
      <w:r w:rsidR="00061BE9">
        <w:rPr>
          <w:rFonts w:ascii="Garamond" w:hAnsi="Garamond" w:cs="Times New Roman"/>
        </w:rPr>
        <w:t xml:space="preserve"> for all 23 countries.</w:t>
      </w:r>
      <w:r w:rsidR="00FF443F" w:rsidRPr="00614418">
        <w:rPr>
          <w:rFonts w:ascii="Garamond" w:hAnsi="Garamond" w:cs="Times New Roman"/>
        </w:rPr>
        <w:t xml:space="preserve"> </w:t>
      </w:r>
      <w:r w:rsidR="008852FB" w:rsidRPr="00614418">
        <w:rPr>
          <w:rFonts w:ascii="Garamond" w:hAnsi="Garamond" w:cs="Times New Roman"/>
        </w:rPr>
        <w:t xml:space="preserve">Our </w:t>
      </w:r>
      <w:r w:rsidR="008852FB" w:rsidRPr="00C2674B">
        <w:rPr>
          <w:rFonts w:ascii="Garamond" w:hAnsi="Garamond" w:cs="Times New Roman"/>
        </w:rPr>
        <w:t>baseline model can be summarized as follows:</w:t>
      </w:r>
    </w:p>
    <w:p w14:paraId="3F44D727" w14:textId="77777777" w:rsidR="005F5310" w:rsidRPr="00614418" w:rsidRDefault="005F5310" w:rsidP="001D6D7C">
      <w:pPr>
        <w:spacing w:line="360" w:lineRule="auto"/>
        <w:jc w:val="both"/>
        <w:rPr>
          <w:rFonts w:ascii="Garamond" w:hAnsi="Garamond" w:cs="Times New Roman"/>
        </w:rPr>
      </w:pPr>
    </w:p>
    <w:p w14:paraId="3EC4B6A5" w14:textId="7E9C3E81" w:rsidR="008852FB" w:rsidRPr="00614418" w:rsidRDefault="00A76124" w:rsidP="008852FB">
      <w:pPr>
        <w:spacing w:line="360" w:lineRule="auto"/>
        <w:jc w:val="both"/>
        <w:rPr>
          <w:rFonts w:ascii="Garamond" w:eastAsiaTheme="minorEastAsia" w:hAnsi="Garamond" w:cs="Times New Roman"/>
        </w:rPr>
      </w:pPr>
      <m:oMath>
        <m:sSub>
          <m:sSubPr>
            <m:ctrlPr>
              <w:rPr>
                <w:rFonts w:ascii="Cambria Math" w:hAnsi="Cambria Math" w:cs="Times New Roman"/>
                <w:i/>
              </w:rPr>
            </m:ctrlPr>
          </m:sSubPr>
          <m:e>
            <m:r>
              <w:rPr>
                <w:rFonts w:ascii="Cambria Math" w:hAnsi="Cambria Math" w:cs="Times New Roman"/>
              </w:rPr>
              <m:t>n.i.r</m:t>
            </m:r>
          </m:e>
          <m:sub>
            <m:r>
              <w:rPr>
                <w:rFonts w:ascii="Cambria Math" w:hAnsi="Cambria Math" w:cs="Times New Roman"/>
              </w:rPr>
              <m:t>i,t</m:t>
            </m:r>
          </m:sub>
        </m:sSub>
      </m:oMath>
      <w:r w:rsidR="008852FB" w:rsidRPr="00614418">
        <w:rPr>
          <w:rFonts w:ascii="Garamond" w:eastAsiaTheme="minorEastAsia" w:hAnsi="Garamond" w:cs="Times New Roman"/>
        </w:rPr>
        <w:t xml:space="preserve"> = </w:t>
      </w:r>
      <m:oMath>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0</m:t>
            </m:r>
          </m:sub>
        </m:sSub>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1</m:t>
            </m:r>
          </m:sub>
        </m:sSub>
        <m:nary>
          <m:naryPr>
            <m:chr m:val="∑"/>
            <m:limLoc m:val="undOvr"/>
            <m:subHide m:val="1"/>
            <m:supHide m:val="1"/>
            <m:ctrlPr>
              <w:rPr>
                <w:rFonts w:ascii="Cambria Math" w:eastAsiaTheme="minorEastAsia" w:hAnsi="Cambria Math" w:cs="Times New Roman"/>
                <w:i/>
              </w:rPr>
            </m:ctrlPr>
          </m:naryPr>
          <m:sub/>
          <m:sup/>
          <m:e>
            <m:sSub>
              <m:sSubPr>
                <m:ctrlPr>
                  <w:rPr>
                    <w:rFonts w:ascii="Cambria Math" w:eastAsiaTheme="minorEastAsia" w:hAnsi="Cambria Math" w:cs="Times New Roman"/>
                    <w:i/>
                  </w:rPr>
                </m:ctrlPr>
              </m:sSubPr>
              <m:e>
                <m:r>
                  <w:rPr>
                    <w:rFonts w:ascii="Cambria Math" w:eastAsiaTheme="minorEastAsia" w:hAnsi="Cambria Math" w:cs="Times New Roman"/>
                  </w:rPr>
                  <m:t>ER</m:t>
                </m:r>
              </m:e>
              <m:sub>
                <m:r>
                  <w:rPr>
                    <w:rFonts w:ascii="Cambria Math" w:eastAsiaTheme="minorEastAsia" w:hAnsi="Cambria Math" w:cs="Times New Roman"/>
                  </w:rPr>
                  <m:t>i,t</m:t>
                </m:r>
              </m:sub>
            </m:sSub>
            <m:r>
              <m:rPr>
                <m:sty m:val="p"/>
              </m:rPr>
              <w:rPr>
                <w:rFonts w:ascii="Cambria Math" w:hAnsi="Cambria Math" w:cs="Times New Roman"/>
              </w:rPr>
              <m:t xml:space="preserve"> </m:t>
            </m:r>
          </m:e>
        </m:nary>
      </m:oMath>
      <w:r w:rsidR="008852FB" w:rsidRPr="00614418">
        <w:rPr>
          <w:rFonts w:ascii="Garamond" w:eastAsiaTheme="minorEastAsia" w:hAnsi="Garamond" w:cs="Times New Roman"/>
        </w:rPr>
        <w:t xml:space="preserve">+ </w:t>
      </w:r>
      <m:oMath>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 xml:space="preserve">2 </m:t>
            </m:r>
          </m:sub>
        </m:sSub>
        <m:sSub>
          <m:sSubPr>
            <m:ctrlPr>
              <w:rPr>
                <w:rFonts w:ascii="Cambria Math" w:eastAsiaTheme="minorEastAsia" w:hAnsi="Cambria Math" w:cs="Times New Roman"/>
                <w:i/>
              </w:rPr>
            </m:ctrlPr>
          </m:sSubPr>
          <m:e>
            <m:r>
              <w:rPr>
                <w:rFonts w:ascii="Cambria Math" w:eastAsiaTheme="minorEastAsia" w:hAnsi="Cambria Math" w:cs="Times New Roman"/>
              </w:rPr>
              <m:t>MacroInd</m:t>
            </m:r>
          </m:e>
          <m:sub>
            <m:r>
              <w:rPr>
                <w:rFonts w:ascii="Cambria Math" w:eastAsiaTheme="minorEastAsia" w:hAnsi="Cambria Math" w:cs="Times New Roman"/>
              </w:rPr>
              <m:t xml:space="preserve">i,t </m:t>
            </m:r>
          </m:sub>
        </m:sSub>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 β</m:t>
            </m:r>
          </m:e>
          <m:sub>
            <m:r>
              <w:rPr>
                <w:rFonts w:ascii="Cambria Math" w:eastAsiaTheme="minorEastAsia" w:hAnsi="Cambria Math" w:cs="Times New Roman"/>
              </w:rPr>
              <m:t xml:space="preserve">3 </m:t>
            </m:r>
          </m:sub>
        </m:sSub>
        <m:r>
          <w:rPr>
            <w:rFonts w:ascii="Cambria Math" w:eastAsiaTheme="minorEastAsia" w:hAnsi="Cambria Math" w:cs="Times New Roman"/>
          </w:rPr>
          <m:t>(</m:t>
        </m:r>
        <m:nary>
          <m:naryPr>
            <m:chr m:val="∑"/>
            <m:limLoc m:val="undOvr"/>
            <m:subHide m:val="1"/>
            <m:supHide m:val="1"/>
            <m:ctrlPr>
              <w:rPr>
                <w:rFonts w:ascii="Cambria Math" w:eastAsiaTheme="minorEastAsia" w:hAnsi="Cambria Math" w:cs="Times New Roman"/>
                <w:i/>
              </w:rPr>
            </m:ctrlPr>
          </m:naryPr>
          <m:sub/>
          <m:sup/>
          <m:e>
            <m:sSub>
              <m:sSubPr>
                <m:ctrlPr>
                  <w:rPr>
                    <w:rFonts w:ascii="Cambria Math" w:eastAsiaTheme="minorEastAsia" w:hAnsi="Cambria Math" w:cs="Times New Roman"/>
                    <w:i/>
                  </w:rPr>
                </m:ctrlPr>
              </m:sSubPr>
              <m:e>
                <m:r>
                  <w:rPr>
                    <w:rFonts w:ascii="Cambria Math" w:eastAsiaTheme="minorEastAsia" w:hAnsi="Cambria Math" w:cs="Times New Roman"/>
                  </w:rPr>
                  <m:t>ERregime</m:t>
                </m:r>
              </m:e>
              <m:sub>
                <m:r>
                  <w:rPr>
                    <w:rFonts w:ascii="Cambria Math" w:eastAsiaTheme="minorEastAsia" w:hAnsi="Cambria Math" w:cs="Times New Roman"/>
                  </w:rPr>
                  <m:t>i,t</m:t>
                </m:r>
              </m:sub>
            </m:sSub>
          </m:e>
        </m:nary>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MacroInd</m:t>
            </m:r>
          </m:e>
          <m:sub>
            <m:r>
              <w:rPr>
                <w:rFonts w:ascii="Cambria Math" w:eastAsiaTheme="minorEastAsia" w:hAnsi="Cambria Math" w:cs="Times New Roman"/>
              </w:rPr>
              <m:t>i,t</m:t>
            </m:r>
          </m:sub>
        </m:sSub>
        <m:r>
          <w:rPr>
            <w:rFonts w:ascii="Cambria Math" w:eastAsiaTheme="minorEastAsia" w:hAnsi="Cambria Math" w:cs="Times New Roman"/>
          </w:rPr>
          <m:t xml:space="preserve">) </m:t>
        </m:r>
      </m:oMath>
      <w:r w:rsidR="008852FB" w:rsidRPr="00614418">
        <w:rPr>
          <w:rFonts w:ascii="Garamond" w:eastAsiaTheme="minorEastAsia" w:hAnsi="Garamond" w:cs="Times New Roman"/>
        </w:rPr>
        <w:t xml:space="preserve"> + </w:t>
      </w:r>
      <m:oMath>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4</m:t>
            </m:r>
          </m:sub>
        </m:sSub>
        <m:nary>
          <m:naryPr>
            <m:chr m:val="∑"/>
            <m:limLoc m:val="undOvr"/>
            <m:subHide m:val="1"/>
            <m:supHide m:val="1"/>
            <m:ctrlPr>
              <w:rPr>
                <w:rFonts w:ascii="Cambria Math" w:eastAsiaTheme="minorEastAsia" w:hAnsi="Cambria Math" w:cs="Times New Roman"/>
                <w:i/>
              </w:rPr>
            </m:ctrlPr>
          </m:naryPr>
          <m:sub/>
          <m:sup/>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i,t</m:t>
                </m:r>
              </m:sub>
            </m:sSub>
            <m:r>
              <m:rPr>
                <m:sty m:val="p"/>
              </m:rPr>
              <w:rPr>
                <w:rFonts w:ascii="Cambria Math" w:hAnsi="Cambria Math" w:cs="Times New Roman"/>
              </w:rPr>
              <m:t xml:space="preserve"> </m:t>
            </m:r>
          </m:e>
        </m:nary>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5</m:t>
            </m:r>
          </m:sub>
        </m:sSub>
        <m:nary>
          <m:naryPr>
            <m:chr m:val="∑"/>
            <m:limLoc m:val="undOvr"/>
            <m:subHide m:val="1"/>
            <m:supHide m:val="1"/>
            <m:ctrlPr>
              <w:rPr>
                <w:rFonts w:ascii="Cambria Math" w:eastAsiaTheme="minorEastAsia" w:hAnsi="Cambria Math" w:cs="Times New Roman"/>
                <w:i/>
              </w:rPr>
            </m:ctrlPr>
          </m:naryPr>
          <m:sub/>
          <m:sup/>
          <m:e>
            <m:sSub>
              <m:sSubPr>
                <m:ctrlPr>
                  <w:rPr>
                    <w:rFonts w:ascii="Cambria Math" w:eastAsiaTheme="minorEastAsia" w:hAnsi="Cambria Math" w:cs="Times New Roman"/>
                    <w:i/>
                  </w:rPr>
                </m:ctrlPr>
              </m:sSubPr>
              <m:e>
                <m:r>
                  <w:rPr>
                    <w:rFonts w:ascii="Cambria Math" w:eastAsiaTheme="minorEastAsia" w:hAnsi="Cambria Math" w:cs="Times New Roman"/>
                  </w:rPr>
                  <m:t>Z</m:t>
                </m:r>
              </m:e>
              <m:sub>
                <m:r>
                  <w:rPr>
                    <w:rFonts w:ascii="Cambria Math" w:eastAsiaTheme="minorEastAsia" w:hAnsi="Cambria Math" w:cs="Times New Roman"/>
                  </w:rPr>
                  <m:t>i,t</m:t>
                </m:r>
              </m:sub>
            </m:sSub>
            <m:r>
              <m:rPr>
                <m:sty m:val="p"/>
              </m:rPr>
              <w:rPr>
                <w:rFonts w:ascii="Cambria Math" w:hAnsi="Cambria Math" w:cs="Times New Roman"/>
              </w:rPr>
              <m:t xml:space="preserve"> </m:t>
            </m:r>
          </m:e>
        </m:nary>
      </m:oMath>
      <w:r w:rsidR="008852FB" w:rsidRPr="00614418">
        <w:rPr>
          <w:rFonts w:ascii="Garamond" w:eastAsiaTheme="minorEastAsia" w:hAnsi="Garamond" w:cs="Times New Roman"/>
        </w:rPr>
        <w:t xml:space="preserve"> + </w:t>
      </w:r>
      <m:oMath>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6</m:t>
            </m:r>
          </m:sub>
        </m:sSub>
        <m:nary>
          <m:naryPr>
            <m:chr m:val="∑"/>
            <m:limLoc m:val="undOvr"/>
            <m:subHide m:val="1"/>
            <m:supHide m:val="1"/>
            <m:ctrlPr>
              <w:rPr>
                <w:rFonts w:ascii="Cambria Math" w:eastAsiaTheme="minorEastAsia" w:hAnsi="Cambria Math" w:cs="Times New Roman"/>
                <w:i/>
              </w:rPr>
            </m:ctrlPr>
          </m:naryPr>
          <m:sub/>
          <m:sup/>
          <m:e>
            <m:sSub>
              <m:sSubPr>
                <m:ctrlPr>
                  <w:rPr>
                    <w:rFonts w:ascii="Cambria Math" w:eastAsiaTheme="minorEastAsia" w:hAnsi="Cambria Math" w:cs="Times New Roman"/>
                    <w:i/>
                  </w:rPr>
                </m:ctrlPr>
              </m:sSubPr>
              <m:e>
                <m:r>
                  <w:rPr>
                    <w:rFonts w:ascii="Cambria Math" w:eastAsiaTheme="minorEastAsia" w:hAnsi="Cambria Math" w:cs="Times New Roman"/>
                  </w:rPr>
                  <m:t>T</m:t>
                </m:r>
              </m:e>
              <m:sub>
                <m:r>
                  <w:rPr>
                    <w:rFonts w:ascii="Cambria Math" w:eastAsiaTheme="minorEastAsia" w:hAnsi="Cambria Math" w:cs="Times New Roman"/>
                  </w:rPr>
                  <m:t>t</m:t>
                </m:r>
              </m:sub>
            </m:sSub>
            <m:r>
              <m:rPr>
                <m:sty m:val="p"/>
              </m:rPr>
              <w:rPr>
                <w:rFonts w:ascii="Cambria Math" w:hAnsi="Cambria Math" w:cs="Times New Roman"/>
              </w:rPr>
              <m:t xml:space="preserve"> </m:t>
            </m:r>
          </m:e>
        </m:nary>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7</m:t>
            </m:r>
          </m:sub>
        </m:sSub>
        <m:nary>
          <m:naryPr>
            <m:chr m:val="∑"/>
            <m:limLoc m:val="undOvr"/>
            <m:subHide m:val="1"/>
            <m:supHide m:val="1"/>
            <m:ctrlPr>
              <w:rPr>
                <w:rFonts w:ascii="Cambria Math" w:eastAsiaTheme="minorEastAsia" w:hAnsi="Cambria Math" w:cs="Times New Roman"/>
                <w:i/>
              </w:rPr>
            </m:ctrlPr>
          </m:naryPr>
          <m:sub/>
          <m:sup/>
          <m:e>
            <m:sSub>
              <m:sSubPr>
                <m:ctrlPr>
                  <w:rPr>
                    <w:rFonts w:ascii="Cambria Math" w:eastAsiaTheme="minorEastAsia" w:hAnsi="Cambria Math" w:cs="Times New Roman"/>
                    <w:i/>
                  </w:rPr>
                </m:ctrlPr>
              </m:sSubPr>
              <m:e>
                <m:r>
                  <w:rPr>
                    <w:rFonts w:ascii="Cambria Math" w:eastAsiaTheme="minorEastAsia" w:hAnsi="Cambria Math" w:cs="Times New Roman"/>
                  </w:rPr>
                  <m:t>FE</m:t>
                </m:r>
              </m:e>
              <m:sub>
                <m:r>
                  <w:rPr>
                    <w:rFonts w:ascii="Cambria Math" w:eastAsiaTheme="minorEastAsia" w:hAnsi="Cambria Math" w:cs="Times New Roman"/>
                  </w:rPr>
                  <m:t>i</m:t>
                </m:r>
              </m:sub>
            </m:sSub>
          </m:e>
        </m:nary>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ε</m:t>
            </m:r>
          </m:e>
          <m:sub>
            <m:r>
              <w:rPr>
                <w:rFonts w:ascii="Cambria Math" w:eastAsiaTheme="minorEastAsia" w:hAnsi="Cambria Math" w:cs="Times New Roman"/>
              </w:rPr>
              <m:t>i,t</m:t>
            </m:r>
          </m:sub>
        </m:sSub>
      </m:oMath>
    </w:p>
    <w:p w14:paraId="4B16E76E" w14:textId="77777777" w:rsidR="005F5310" w:rsidRPr="00614418" w:rsidRDefault="005F5310" w:rsidP="008852FB">
      <w:pPr>
        <w:spacing w:line="360" w:lineRule="auto"/>
        <w:jc w:val="both"/>
        <w:rPr>
          <w:rFonts w:ascii="Garamond" w:hAnsi="Garamond" w:cs="Times New Roman"/>
        </w:rPr>
      </w:pPr>
    </w:p>
    <w:p w14:paraId="18716071" w14:textId="278FE269" w:rsidR="009C174D" w:rsidRPr="00614418" w:rsidRDefault="00A76124" w:rsidP="008852FB">
      <w:pPr>
        <w:spacing w:line="360" w:lineRule="auto"/>
        <w:jc w:val="both"/>
        <w:rPr>
          <w:rFonts w:ascii="Garamond" w:eastAsiaTheme="minorEastAsia" w:hAnsi="Garamond" w:cs="Times New Roman"/>
        </w:rPr>
      </w:pPr>
      <m:oMath>
        <m:sSub>
          <m:sSubPr>
            <m:ctrlPr>
              <w:rPr>
                <w:rFonts w:ascii="Cambria Math" w:hAnsi="Cambria Math" w:cs="Times New Roman"/>
                <w:i/>
              </w:rPr>
            </m:ctrlPr>
          </m:sSubPr>
          <m:e>
            <m:r>
              <w:rPr>
                <w:rFonts w:ascii="Cambria Math" w:hAnsi="Cambria Math" w:cs="Times New Roman"/>
              </w:rPr>
              <m:t>n.i.r</m:t>
            </m:r>
          </m:e>
          <m:sub>
            <m:r>
              <w:rPr>
                <w:rFonts w:ascii="Cambria Math" w:hAnsi="Cambria Math" w:cs="Times New Roman"/>
              </w:rPr>
              <m:t>i,t</m:t>
            </m:r>
          </m:sub>
        </m:sSub>
      </m:oMath>
      <w:r w:rsidR="008139F7" w:rsidRPr="00614418">
        <w:rPr>
          <w:rFonts w:ascii="Garamond" w:hAnsi="Garamond" w:cs="Times New Roman"/>
        </w:rPr>
        <w:t xml:space="preserve">, our dependent variable, is </w:t>
      </w:r>
      <w:r w:rsidR="00271848" w:rsidRPr="00614418">
        <w:rPr>
          <w:rFonts w:ascii="Garamond" w:hAnsi="Garamond" w:cs="Times New Roman"/>
        </w:rPr>
        <w:t xml:space="preserve">the nominal interest rate on </w:t>
      </w:r>
      <w:r w:rsidR="008139F7" w:rsidRPr="00614418">
        <w:rPr>
          <w:rFonts w:ascii="Garamond" w:hAnsi="Garamond" w:cs="Times New Roman"/>
        </w:rPr>
        <w:t xml:space="preserve">long-term securities (10-year treasuries in most cases) in </w:t>
      </w:r>
      <w:r w:rsidR="008852FB" w:rsidRPr="00614418">
        <w:rPr>
          <w:rFonts w:ascii="Garamond" w:hAnsi="Garamond" w:cs="Times New Roman"/>
        </w:rPr>
        <w:t xml:space="preserve">country </w:t>
      </w:r>
      <w:r w:rsidR="00494F5B" w:rsidRPr="00614418">
        <w:rPr>
          <w:rFonts w:ascii="Garamond" w:hAnsi="Garamond" w:cs="Times New Roman"/>
        </w:rPr>
        <w:t>i</w:t>
      </w:r>
      <w:r w:rsidR="008139F7" w:rsidRPr="00614418">
        <w:rPr>
          <w:rFonts w:ascii="Garamond" w:hAnsi="Garamond" w:cs="Times New Roman"/>
        </w:rPr>
        <w:t xml:space="preserve"> </w:t>
      </w:r>
      <w:r w:rsidR="008852FB" w:rsidRPr="00614418">
        <w:rPr>
          <w:rFonts w:ascii="Garamond" w:hAnsi="Garamond" w:cs="Times New Roman"/>
        </w:rPr>
        <w:t>in year t</w:t>
      </w:r>
      <w:r w:rsidR="00402E61">
        <w:rPr>
          <w:rStyle w:val="FootnoteReference"/>
          <w:rFonts w:ascii="Garamond" w:hAnsi="Garamond" w:cs="Times New Roman"/>
        </w:rPr>
        <w:footnoteReference w:id="18"/>
      </w:r>
      <w:r w:rsidR="008852FB" w:rsidRPr="00614418">
        <w:rPr>
          <w:rFonts w:ascii="Garamond" w:hAnsi="Garamond" w:cs="Times New Roman"/>
        </w:rPr>
        <w:t>.</w:t>
      </w:r>
      <w:r w:rsidR="005439DC">
        <w:rPr>
          <w:rFonts w:ascii="Garamond" w:hAnsi="Garamond" w:cs="Times New Roman"/>
        </w:rPr>
        <w:t xml:space="preserve"> </w:t>
      </w:r>
      <w:r w:rsidR="005439DC" w:rsidRPr="00C4597D">
        <w:rPr>
          <w:rFonts w:ascii="Garamond" w:hAnsi="Garamond" w:cs="Times New Roman"/>
        </w:rPr>
        <w:t xml:space="preserve">Data for nominal interest rates for most of our sample stems from the European Commission’s (2020) Annual Macroeconomic Database (AMECO).  Nominal interest rate data for Australia, Canada, Iceland, New Zealand, Norway, and Switzerland </w:t>
      </w:r>
      <w:r w:rsidR="005439DC">
        <w:rPr>
          <w:rFonts w:ascii="Garamond" w:hAnsi="Garamond" w:cs="Times New Roman"/>
        </w:rPr>
        <w:t>is</w:t>
      </w:r>
      <w:r w:rsidR="005439DC" w:rsidRPr="00C4597D">
        <w:rPr>
          <w:rFonts w:ascii="Garamond" w:hAnsi="Garamond" w:cs="Times New Roman"/>
        </w:rPr>
        <w:t xml:space="preserve"> from the OECD (2020a).</w:t>
      </w:r>
      <w:r w:rsidR="008852FB" w:rsidRPr="00614418">
        <w:rPr>
          <w:rFonts w:ascii="Garamond" w:hAnsi="Garamond" w:cs="Times New Roman"/>
        </w:rPr>
        <w:t xml:space="preserve">  </w:t>
      </w:r>
      <m:oMath>
        <m:nary>
          <m:naryPr>
            <m:chr m:val="∑"/>
            <m:limLoc m:val="undOvr"/>
            <m:subHide m:val="1"/>
            <m:supHide m:val="1"/>
            <m:ctrlPr>
              <w:rPr>
                <w:rFonts w:ascii="Cambria Math" w:eastAsiaTheme="minorEastAsia" w:hAnsi="Cambria Math" w:cs="Times New Roman"/>
                <w:i/>
              </w:rPr>
            </m:ctrlPr>
          </m:naryPr>
          <m:sub/>
          <m:sup/>
          <m:e>
            <m:sSub>
              <m:sSubPr>
                <m:ctrlPr>
                  <w:rPr>
                    <w:rFonts w:ascii="Cambria Math" w:eastAsiaTheme="minorEastAsia" w:hAnsi="Cambria Math" w:cs="Times New Roman"/>
                    <w:i/>
                  </w:rPr>
                </m:ctrlPr>
              </m:sSubPr>
              <m:e>
                <m:r>
                  <w:rPr>
                    <w:rFonts w:ascii="Cambria Math" w:eastAsiaTheme="minorEastAsia" w:hAnsi="Cambria Math" w:cs="Times New Roman"/>
                  </w:rPr>
                  <m:t>ER</m:t>
                </m:r>
              </m:e>
              <m:sub>
                <m:r>
                  <w:rPr>
                    <w:rFonts w:ascii="Cambria Math" w:eastAsiaTheme="minorEastAsia" w:hAnsi="Cambria Math" w:cs="Times New Roman"/>
                  </w:rPr>
                  <m:t>i,t</m:t>
                </m:r>
              </m:sub>
            </m:sSub>
            <m:r>
              <m:rPr>
                <m:sty m:val="p"/>
              </m:rPr>
              <w:rPr>
                <w:rFonts w:ascii="Cambria Math" w:hAnsi="Cambria Math" w:cs="Times New Roman"/>
              </w:rPr>
              <m:t xml:space="preserve"> </m:t>
            </m:r>
          </m:e>
        </m:nary>
      </m:oMath>
      <w:r w:rsidR="008852FB" w:rsidRPr="00614418">
        <w:rPr>
          <w:rFonts w:ascii="Garamond" w:eastAsiaTheme="minorEastAsia" w:hAnsi="Garamond" w:cs="Times New Roman"/>
        </w:rPr>
        <w:t xml:space="preserve">is </w:t>
      </w:r>
      <w:r w:rsidR="00271848" w:rsidRPr="00614418">
        <w:rPr>
          <w:rFonts w:ascii="Garamond" w:eastAsiaTheme="minorEastAsia" w:hAnsi="Garamond" w:cs="Times New Roman"/>
        </w:rPr>
        <w:t>the</w:t>
      </w:r>
      <w:r w:rsidR="008852FB" w:rsidRPr="00614418">
        <w:rPr>
          <w:rFonts w:ascii="Garamond" w:eastAsiaTheme="minorEastAsia" w:hAnsi="Garamond" w:cs="Times New Roman"/>
        </w:rPr>
        <w:t xml:space="preserve"> exchange rate regime that country i </w:t>
      </w:r>
      <w:r w:rsidR="00271848" w:rsidRPr="00614418">
        <w:rPr>
          <w:rFonts w:ascii="Garamond" w:eastAsiaTheme="minorEastAsia" w:hAnsi="Garamond" w:cs="Times New Roman"/>
        </w:rPr>
        <w:t>adheres</w:t>
      </w:r>
      <w:r w:rsidR="008852FB" w:rsidRPr="00614418">
        <w:rPr>
          <w:rFonts w:ascii="Garamond" w:eastAsiaTheme="minorEastAsia" w:hAnsi="Garamond" w:cs="Times New Roman"/>
        </w:rPr>
        <w:t xml:space="preserve"> to in year t. </w:t>
      </w:r>
      <w:r w:rsidR="001D6D7C" w:rsidRPr="00614418">
        <w:rPr>
          <w:rFonts w:ascii="Garamond" w:eastAsiaTheme="minorEastAsia" w:hAnsi="Garamond" w:cs="Times New Roman"/>
        </w:rPr>
        <w:t>T</w:t>
      </w:r>
      <w:r w:rsidR="008852FB" w:rsidRPr="00614418">
        <w:rPr>
          <w:rFonts w:ascii="Garamond" w:eastAsiaTheme="minorEastAsia" w:hAnsi="Garamond" w:cs="Times New Roman"/>
        </w:rPr>
        <w:t>he IMF’s classification scheme for exchange rate regimes</w:t>
      </w:r>
      <w:r w:rsidR="001D6D7C" w:rsidRPr="00614418">
        <w:rPr>
          <w:rFonts w:ascii="Garamond" w:eastAsiaTheme="minorEastAsia" w:hAnsi="Garamond" w:cs="Times New Roman"/>
        </w:rPr>
        <w:t xml:space="preserve"> </w:t>
      </w:r>
      <w:r w:rsidR="008852FB" w:rsidRPr="00614418">
        <w:rPr>
          <w:rFonts w:ascii="Garamond" w:eastAsiaTheme="minorEastAsia" w:hAnsi="Garamond" w:cs="Times New Roman"/>
        </w:rPr>
        <w:t>identif</w:t>
      </w:r>
      <w:r w:rsidR="00D90ED8" w:rsidRPr="00614418">
        <w:rPr>
          <w:rFonts w:ascii="Garamond" w:eastAsiaTheme="minorEastAsia" w:hAnsi="Garamond" w:cs="Times New Roman"/>
        </w:rPr>
        <w:t>ies</w:t>
      </w:r>
      <w:r w:rsidR="008852FB" w:rsidRPr="00614418">
        <w:rPr>
          <w:rFonts w:ascii="Garamond" w:eastAsiaTheme="minorEastAsia" w:hAnsi="Garamond" w:cs="Times New Roman"/>
        </w:rPr>
        <w:t xml:space="preserve"> five categories: monetary union, floating exchange rates (which includes managed floats and free floats), conventiona</w:t>
      </w:r>
      <w:r w:rsidR="005C6340">
        <w:rPr>
          <w:rFonts w:ascii="Garamond" w:eastAsiaTheme="minorEastAsia" w:hAnsi="Garamond" w:cs="Times New Roman"/>
        </w:rPr>
        <w:t>l fixed exchange rate regimes ('fixed pegs'</w:t>
      </w:r>
      <w:r w:rsidR="008852FB" w:rsidRPr="00614418">
        <w:rPr>
          <w:rFonts w:ascii="Garamond" w:eastAsiaTheme="minorEastAsia" w:hAnsi="Garamond" w:cs="Times New Roman"/>
        </w:rPr>
        <w:t>, such as the European Monetary System’s Exchange Rate Mechanism, or unilateral fixed pegs</w:t>
      </w:r>
      <w:r w:rsidR="009C174D" w:rsidRPr="00614418">
        <w:rPr>
          <w:rFonts w:ascii="Garamond" w:eastAsiaTheme="minorEastAsia" w:hAnsi="Garamond" w:cs="Times New Roman"/>
        </w:rPr>
        <w:t>, such as that which existed between Austria and Germany in the late 1970s and 1980s</w:t>
      </w:r>
      <w:r w:rsidR="005C6340">
        <w:rPr>
          <w:rFonts w:ascii="Garamond" w:eastAsiaTheme="minorEastAsia" w:hAnsi="Garamond" w:cs="Times New Roman"/>
        </w:rPr>
        <w:t>), crawling pegs, and 'other'</w:t>
      </w:r>
      <w:r w:rsidR="008852FB" w:rsidRPr="00614418">
        <w:rPr>
          <w:rFonts w:ascii="Garamond" w:eastAsiaTheme="minorEastAsia" w:hAnsi="Garamond" w:cs="Times New Roman"/>
        </w:rPr>
        <w:t xml:space="preserve"> managed arrangements.</w:t>
      </w:r>
      <w:r w:rsidR="008852FB" w:rsidRPr="00614418">
        <w:rPr>
          <w:rStyle w:val="FootnoteReference"/>
          <w:rFonts w:ascii="Garamond" w:eastAsiaTheme="minorEastAsia" w:hAnsi="Garamond" w:cs="Times New Roman"/>
        </w:rPr>
        <w:footnoteReference w:id="19"/>
      </w:r>
      <w:r w:rsidR="008852FB" w:rsidRPr="00614418">
        <w:rPr>
          <w:rFonts w:ascii="Garamond" w:eastAsiaTheme="minorEastAsia" w:hAnsi="Garamond" w:cs="Times New Roman"/>
        </w:rPr>
        <w:t xml:space="preserve"> Floating exchange rates serve as the </w:t>
      </w:r>
      <w:r w:rsidR="008852FB" w:rsidRPr="00614418">
        <w:rPr>
          <w:rFonts w:ascii="Garamond" w:eastAsiaTheme="minorEastAsia" w:hAnsi="Garamond" w:cs="Times New Roman"/>
        </w:rPr>
        <w:lastRenderedPageBreak/>
        <w:t>(excluded) baseline category within our regression models. Even though the IMF classifies conventional f</w:t>
      </w:r>
      <w:r w:rsidR="005C6340">
        <w:rPr>
          <w:rFonts w:ascii="Garamond" w:eastAsiaTheme="minorEastAsia" w:hAnsi="Garamond" w:cs="Times New Roman"/>
        </w:rPr>
        <w:t>ixed pegs and crawling pegs as 'soft peg'</w:t>
      </w:r>
      <w:r w:rsidR="008852FB" w:rsidRPr="00614418">
        <w:rPr>
          <w:rFonts w:ascii="Garamond" w:eastAsiaTheme="minorEastAsia" w:hAnsi="Garamond" w:cs="Times New Roman"/>
        </w:rPr>
        <w:t xml:space="preserve"> regimes, we treat them as separate categories because the latter allows gradual appreciation/depreciation in the anchor currency (which allows for greater adjustment in the event of rising inflation), while the former places greater constraints on movement</w:t>
      </w:r>
      <w:r w:rsidR="008E7BAD" w:rsidRPr="00614418">
        <w:rPr>
          <w:rFonts w:ascii="Garamond" w:eastAsiaTheme="minorEastAsia" w:hAnsi="Garamond" w:cs="Times New Roman"/>
        </w:rPr>
        <w:t>s</w:t>
      </w:r>
      <w:r w:rsidR="008852FB" w:rsidRPr="00614418">
        <w:rPr>
          <w:rFonts w:ascii="Garamond" w:eastAsiaTheme="minorEastAsia" w:hAnsi="Garamond" w:cs="Times New Roman"/>
        </w:rPr>
        <w:t xml:space="preserve"> </w:t>
      </w:r>
      <w:r w:rsidR="008E7BAD" w:rsidRPr="00614418">
        <w:rPr>
          <w:rFonts w:ascii="Garamond" w:eastAsiaTheme="minorEastAsia" w:hAnsi="Garamond" w:cs="Times New Roman"/>
        </w:rPr>
        <w:t>vis-à-vis</w:t>
      </w:r>
      <w:r w:rsidR="008852FB" w:rsidRPr="00614418">
        <w:rPr>
          <w:rFonts w:ascii="Garamond" w:eastAsiaTheme="minorEastAsia" w:hAnsi="Garamond" w:cs="Times New Roman"/>
        </w:rPr>
        <w:t xml:space="preserve"> the anchor currency</w:t>
      </w:r>
      <w:r w:rsidR="008852FB" w:rsidRPr="00614418">
        <w:rPr>
          <w:rStyle w:val="FootnoteReference"/>
          <w:rFonts w:ascii="Garamond" w:eastAsiaTheme="minorEastAsia" w:hAnsi="Garamond" w:cs="Times New Roman"/>
        </w:rPr>
        <w:footnoteReference w:id="20"/>
      </w:r>
      <w:r w:rsidR="008852FB" w:rsidRPr="00614418">
        <w:rPr>
          <w:rFonts w:ascii="Garamond" w:eastAsiaTheme="minorEastAsia" w:hAnsi="Garamond" w:cs="Times New Roman"/>
        </w:rPr>
        <w:t xml:space="preserve">, and hence presents a stronger commitment device.  Table 1 </w:t>
      </w:r>
      <w:r w:rsidR="006E48EF" w:rsidRPr="00614418">
        <w:rPr>
          <w:rFonts w:ascii="Garamond" w:eastAsiaTheme="minorEastAsia" w:hAnsi="Garamond" w:cs="Times New Roman"/>
        </w:rPr>
        <w:t xml:space="preserve">illustrates the degree of restrictiveness of each of these regimes and </w:t>
      </w:r>
      <w:r w:rsidR="008852FB" w:rsidRPr="00614418">
        <w:rPr>
          <w:rFonts w:ascii="Garamond" w:eastAsiaTheme="minorEastAsia" w:hAnsi="Garamond" w:cs="Times New Roman"/>
        </w:rPr>
        <w:t>presents</w:t>
      </w:r>
      <w:r w:rsidR="006E48EF" w:rsidRPr="00614418">
        <w:rPr>
          <w:rFonts w:ascii="Garamond" w:eastAsiaTheme="minorEastAsia" w:hAnsi="Garamond" w:cs="Times New Roman"/>
        </w:rPr>
        <w:t xml:space="preserve"> </w:t>
      </w:r>
      <w:r w:rsidR="008852FB" w:rsidRPr="00614418">
        <w:rPr>
          <w:rFonts w:ascii="Garamond" w:eastAsiaTheme="minorEastAsia" w:hAnsi="Garamond" w:cs="Times New Roman"/>
        </w:rPr>
        <w:t xml:space="preserve">the distribution of our sample </w:t>
      </w:r>
      <w:r w:rsidR="006E48EF" w:rsidRPr="00614418">
        <w:rPr>
          <w:rFonts w:ascii="Garamond" w:eastAsiaTheme="minorEastAsia" w:hAnsi="Garamond" w:cs="Times New Roman"/>
        </w:rPr>
        <w:t xml:space="preserve">across the </w:t>
      </w:r>
      <w:r w:rsidR="008852FB" w:rsidRPr="00614418">
        <w:rPr>
          <w:rFonts w:ascii="Garamond" w:eastAsiaTheme="minorEastAsia" w:hAnsi="Garamond" w:cs="Times New Roman"/>
        </w:rPr>
        <w:t xml:space="preserve">five </w:t>
      </w:r>
      <w:r w:rsidR="006E48EF" w:rsidRPr="00614418">
        <w:rPr>
          <w:rFonts w:ascii="Garamond" w:eastAsiaTheme="minorEastAsia" w:hAnsi="Garamond" w:cs="Times New Roman"/>
        </w:rPr>
        <w:t>categories</w:t>
      </w:r>
      <w:r w:rsidR="008852FB" w:rsidRPr="00614418">
        <w:rPr>
          <w:rFonts w:ascii="Garamond" w:eastAsiaTheme="minorEastAsia" w:hAnsi="Garamond" w:cs="Times New Roman"/>
        </w:rPr>
        <w:t xml:space="preserve"> for our 1980-201</w:t>
      </w:r>
      <w:r w:rsidR="009C174D" w:rsidRPr="00614418">
        <w:rPr>
          <w:rFonts w:ascii="Garamond" w:eastAsiaTheme="minorEastAsia" w:hAnsi="Garamond" w:cs="Times New Roman"/>
        </w:rPr>
        <w:t>7</w:t>
      </w:r>
      <w:r w:rsidR="008852FB" w:rsidRPr="00614418">
        <w:rPr>
          <w:rFonts w:ascii="Garamond" w:eastAsiaTheme="minorEastAsia" w:hAnsi="Garamond" w:cs="Times New Roman"/>
        </w:rPr>
        <w:t xml:space="preserve"> time period. </w:t>
      </w:r>
      <w:r w:rsidR="005439DC" w:rsidRPr="009B7062">
        <w:rPr>
          <w:rFonts w:ascii="Garamond" w:eastAsiaTheme="minorEastAsia" w:hAnsi="Garamond" w:cs="Times New Roman"/>
        </w:rPr>
        <w:t xml:space="preserve">Data on exchange rate regimes since 1990 stem from various IMF Annual Reports on Exchange Arrangements and Exchange Restrictions (2004, 2006, 2008, 2012, 2014, 2016 and 2018) and </w:t>
      </w:r>
      <w:proofErr w:type="spellStart"/>
      <w:r w:rsidR="005439DC" w:rsidRPr="009B7062">
        <w:rPr>
          <w:rFonts w:ascii="Garamond" w:eastAsiaTheme="minorEastAsia" w:hAnsi="Garamond" w:cs="Times New Roman"/>
        </w:rPr>
        <w:t>Bubula</w:t>
      </w:r>
      <w:proofErr w:type="spellEnd"/>
      <w:r w:rsidR="005439DC" w:rsidRPr="009B7062">
        <w:rPr>
          <w:rFonts w:ascii="Garamond" w:eastAsiaTheme="minorEastAsia" w:hAnsi="Garamond" w:cs="Times New Roman"/>
        </w:rPr>
        <w:t xml:space="preserve"> and </w:t>
      </w:r>
      <w:proofErr w:type="spellStart"/>
      <w:r w:rsidR="005439DC" w:rsidRPr="009B7062">
        <w:rPr>
          <w:rFonts w:ascii="Garamond" w:eastAsiaTheme="minorEastAsia" w:hAnsi="Garamond" w:cs="Cambria"/>
        </w:rPr>
        <w:t>Ö</w:t>
      </w:r>
      <w:r w:rsidR="005439DC" w:rsidRPr="009B7062">
        <w:rPr>
          <w:rFonts w:ascii="Garamond" w:eastAsiaTheme="minorEastAsia" w:hAnsi="Garamond" w:cs="Times New Roman"/>
        </w:rPr>
        <w:t>tker</w:t>
      </w:r>
      <w:proofErr w:type="spellEnd"/>
      <w:r w:rsidR="005439DC" w:rsidRPr="009B7062">
        <w:rPr>
          <w:rFonts w:ascii="Garamond" w:eastAsiaTheme="minorEastAsia" w:hAnsi="Garamond" w:cs="Times New Roman"/>
        </w:rPr>
        <w:t>-Robe (2002). Data on exchange rate classification bef</w:t>
      </w:r>
      <w:r w:rsidR="005439DC" w:rsidRPr="005439DC">
        <w:rPr>
          <w:rFonts w:ascii="Garamond" w:eastAsiaTheme="minorEastAsia" w:hAnsi="Garamond" w:cs="Times New Roman"/>
        </w:rPr>
        <w:t>ore 1990 was taken from the archives of countries’ central banks and other government archives (see Appendix A for a list of these sources by country).</w:t>
      </w:r>
      <w:r w:rsidR="008852FB" w:rsidRPr="00614418">
        <w:rPr>
          <w:rFonts w:ascii="Garamond" w:eastAsiaTheme="minorEastAsia" w:hAnsi="Garamond" w:cs="Times New Roman"/>
        </w:rPr>
        <w:t xml:space="preserve">      </w:t>
      </w:r>
    </w:p>
    <w:p w14:paraId="02103431" w14:textId="42AEE8D5" w:rsidR="004804DB" w:rsidRDefault="004804DB" w:rsidP="008852FB">
      <w:pPr>
        <w:spacing w:line="360" w:lineRule="auto"/>
        <w:jc w:val="both"/>
        <w:rPr>
          <w:rFonts w:ascii="Garamond" w:eastAsiaTheme="minorEastAsia" w:hAnsi="Garamond" w:cs="Times New Roman"/>
        </w:rPr>
      </w:pPr>
    </w:p>
    <w:p w14:paraId="58A4F521" w14:textId="603CC20F" w:rsidR="008852FB" w:rsidRPr="00614418" w:rsidRDefault="008852FB" w:rsidP="008852FB">
      <w:pPr>
        <w:spacing w:line="360" w:lineRule="auto"/>
        <w:jc w:val="center"/>
        <w:rPr>
          <w:rFonts w:ascii="Garamond" w:eastAsiaTheme="minorEastAsia" w:hAnsi="Garamond" w:cs="Times New Roman"/>
          <w:b/>
          <w:bCs/>
        </w:rPr>
      </w:pPr>
      <w:r w:rsidRPr="00614418">
        <w:rPr>
          <w:rFonts w:ascii="Garamond" w:eastAsiaTheme="minorEastAsia" w:hAnsi="Garamond" w:cs="Times New Roman"/>
          <w:b/>
          <w:bCs/>
        </w:rPr>
        <w:t>Table 1: Exchange Rate Regimes within the OECD (1980-201</w:t>
      </w:r>
      <w:r w:rsidR="009C174D" w:rsidRPr="00614418">
        <w:rPr>
          <w:rFonts w:ascii="Garamond" w:eastAsiaTheme="minorEastAsia" w:hAnsi="Garamond" w:cs="Times New Roman"/>
          <w:b/>
          <w:bCs/>
        </w:rPr>
        <w:t>7</w:t>
      </w:r>
      <w:r w:rsidRPr="00614418">
        <w:rPr>
          <w:rFonts w:ascii="Garamond" w:eastAsiaTheme="minorEastAsia" w:hAnsi="Garamond" w:cs="Times New Roman"/>
          <w:b/>
          <w:bCs/>
        </w:rPr>
        <w:t>)</w:t>
      </w:r>
    </w:p>
    <w:tbl>
      <w:tblPr>
        <w:tblStyle w:val="TableGrid"/>
        <w:tblW w:w="10800" w:type="dxa"/>
        <w:tblInd w:w="-725" w:type="dxa"/>
        <w:tblLook w:val="04A0" w:firstRow="1" w:lastRow="0" w:firstColumn="1" w:lastColumn="0" w:noHBand="0" w:noVBand="1"/>
      </w:tblPr>
      <w:tblGrid>
        <w:gridCol w:w="2444"/>
        <w:gridCol w:w="5656"/>
        <w:gridCol w:w="2700"/>
      </w:tblGrid>
      <w:tr w:rsidR="008852FB" w:rsidRPr="00614418" w14:paraId="237CDC93" w14:textId="77777777" w:rsidTr="00321203">
        <w:tc>
          <w:tcPr>
            <w:tcW w:w="2444" w:type="dxa"/>
          </w:tcPr>
          <w:p w14:paraId="4B5CD30C" w14:textId="77777777" w:rsidR="008852FB" w:rsidRPr="00614418" w:rsidRDefault="008852FB" w:rsidP="00321203">
            <w:pPr>
              <w:jc w:val="center"/>
              <w:rPr>
                <w:rFonts w:ascii="Garamond" w:eastAsiaTheme="minorEastAsia" w:hAnsi="Garamond" w:cs="Times New Roman"/>
                <w:b/>
                <w:bCs/>
                <w:sz w:val="24"/>
                <w:szCs w:val="24"/>
              </w:rPr>
            </w:pPr>
            <w:r w:rsidRPr="00614418">
              <w:rPr>
                <w:rFonts w:ascii="Garamond" w:eastAsiaTheme="minorEastAsia" w:hAnsi="Garamond" w:cs="Times New Roman"/>
                <w:b/>
                <w:bCs/>
                <w:sz w:val="24"/>
                <w:szCs w:val="24"/>
              </w:rPr>
              <w:t>Exchange Rate Regime</w:t>
            </w:r>
          </w:p>
        </w:tc>
        <w:tc>
          <w:tcPr>
            <w:tcW w:w="5656" w:type="dxa"/>
          </w:tcPr>
          <w:p w14:paraId="431947F4" w14:textId="77777777" w:rsidR="008852FB" w:rsidRPr="00614418" w:rsidRDefault="008852FB" w:rsidP="00321203">
            <w:pPr>
              <w:jc w:val="center"/>
              <w:rPr>
                <w:rFonts w:ascii="Garamond" w:eastAsiaTheme="minorEastAsia" w:hAnsi="Garamond" w:cs="Times New Roman"/>
                <w:b/>
                <w:bCs/>
                <w:sz w:val="24"/>
                <w:szCs w:val="24"/>
              </w:rPr>
            </w:pPr>
            <w:r w:rsidRPr="00614418">
              <w:rPr>
                <w:rFonts w:ascii="Garamond" w:eastAsiaTheme="minorEastAsia" w:hAnsi="Garamond" w:cs="Times New Roman"/>
                <w:b/>
                <w:bCs/>
                <w:sz w:val="24"/>
                <w:szCs w:val="24"/>
              </w:rPr>
              <w:t>Participants (by Year)</w:t>
            </w:r>
          </w:p>
        </w:tc>
        <w:tc>
          <w:tcPr>
            <w:tcW w:w="2700" w:type="dxa"/>
          </w:tcPr>
          <w:p w14:paraId="3BEA3841" w14:textId="77777777" w:rsidR="008852FB" w:rsidRPr="00614418" w:rsidRDefault="008852FB" w:rsidP="00321203">
            <w:pPr>
              <w:jc w:val="center"/>
              <w:rPr>
                <w:rFonts w:ascii="Garamond" w:eastAsiaTheme="minorEastAsia" w:hAnsi="Garamond" w:cs="Times New Roman"/>
                <w:b/>
                <w:bCs/>
                <w:sz w:val="24"/>
                <w:szCs w:val="24"/>
              </w:rPr>
            </w:pPr>
            <w:r w:rsidRPr="00614418">
              <w:rPr>
                <w:rFonts w:ascii="Garamond" w:eastAsiaTheme="minorEastAsia" w:hAnsi="Garamond" w:cs="Times New Roman"/>
                <w:b/>
                <w:bCs/>
                <w:sz w:val="24"/>
                <w:szCs w:val="24"/>
              </w:rPr>
              <w:t>Degree of Restrictiveness</w:t>
            </w:r>
          </w:p>
        </w:tc>
      </w:tr>
      <w:tr w:rsidR="008852FB" w:rsidRPr="00614418" w14:paraId="74E1D04A" w14:textId="77777777" w:rsidTr="00321203">
        <w:tc>
          <w:tcPr>
            <w:tcW w:w="2444" w:type="dxa"/>
          </w:tcPr>
          <w:p w14:paraId="0826A768" w14:textId="77777777" w:rsidR="008852FB" w:rsidRPr="00614418" w:rsidRDefault="008852FB" w:rsidP="00321203">
            <w:pPr>
              <w:jc w:val="center"/>
              <w:rPr>
                <w:rFonts w:ascii="Garamond" w:eastAsiaTheme="minorEastAsia" w:hAnsi="Garamond" w:cs="Times New Roman"/>
                <w:i/>
                <w:iCs/>
              </w:rPr>
            </w:pPr>
          </w:p>
          <w:p w14:paraId="4DF0F681" w14:textId="77777777" w:rsidR="008852FB" w:rsidRPr="00614418" w:rsidRDefault="008852FB" w:rsidP="00321203">
            <w:pPr>
              <w:jc w:val="center"/>
              <w:rPr>
                <w:rFonts w:ascii="Garamond" w:eastAsiaTheme="minorEastAsia" w:hAnsi="Garamond" w:cs="Times New Roman"/>
                <w:i/>
                <w:iCs/>
              </w:rPr>
            </w:pPr>
          </w:p>
          <w:p w14:paraId="302D95C5" w14:textId="77777777" w:rsidR="008852FB" w:rsidRPr="00614418" w:rsidRDefault="008852FB" w:rsidP="00321203">
            <w:pPr>
              <w:jc w:val="center"/>
              <w:rPr>
                <w:rFonts w:ascii="Garamond" w:eastAsiaTheme="minorEastAsia" w:hAnsi="Garamond" w:cs="Times New Roman"/>
                <w:i/>
                <w:iCs/>
              </w:rPr>
            </w:pPr>
            <w:r w:rsidRPr="00614418">
              <w:rPr>
                <w:rFonts w:ascii="Garamond" w:eastAsiaTheme="minorEastAsia" w:hAnsi="Garamond" w:cs="Times New Roman"/>
                <w:i/>
                <w:iCs/>
              </w:rPr>
              <w:t>Monetary Union</w:t>
            </w:r>
          </w:p>
        </w:tc>
        <w:tc>
          <w:tcPr>
            <w:tcW w:w="5656" w:type="dxa"/>
          </w:tcPr>
          <w:p w14:paraId="5FD7776A" w14:textId="77777777" w:rsidR="008852FB" w:rsidRPr="00614418" w:rsidRDefault="008852FB" w:rsidP="00321203">
            <w:pPr>
              <w:jc w:val="both"/>
              <w:rPr>
                <w:rFonts w:ascii="Garamond" w:eastAsiaTheme="minorEastAsia" w:hAnsi="Garamond" w:cs="Times New Roman"/>
              </w:rPr>
            </w:pPr>
          </w:p>
          <w:p w14:paraId="680CF6F8" w14:textId="3EFA8C18" w:rsidR="008852FB" w:rsidRPr="00614418" w:rsidRDefault="008852FB" w:rsidP="00321203">
            <w:pPr>
              <w:jc w:val="both"/>
              <w:rPr>
                <w:rFonts w:ascii="Garamond" w:eastAsiaTheme="minorEastAsia" w:hAnsi="Garamond" w:cs="Times New Roman"/>
              </w:rPr>
            </w:pPr>
            <w:r w:rsidRPr="00614418">
              <w:rPr>
                <w:rFonts w:ascii="Garamond" w:eastAsiaTheme="minorEastAsia" w:hAnsi="Garamond" w:cs="Times New Roman"/>
              </w:rPr>
              <w:t>Austria (1999-201</w:t>
            </w:r>
            <w:r w:rsidR="009C174D" w:rsidRPr="00614418">
              <w:rPr>
                <w:rFonts w:ascii="Garamond" w:eastAsiaTheme="minorEastAsia" w:hAnsi="Garamond" w:cs="Times New Roman"/>
              </w:rPr>
              <w:t>7</w:t>
            </w:r>
            <w:r w:rsidRPr="00614418">
              <w:rPr>
                <w:rFonts w:ascii="Garamond" w:eastAsiaTheme="minorEastAsia" w:hAnsi="Garamond" w:cs="Times New Roman"/>
              </w:rPr>
              <w:t>), Belgium (1999-201</w:t>
            </w:r>
            <w:r w:rsidR="009C174D" w:rsidRPr="00614418">
              <w:rPr>
                <w:rFonts w:ascii="Garamond" w:eastAsiaTheme="minorEastAsia" w:hAnsi="Garamond" w:cs="Times New Roman"/>
              </w:rPr>
              <w:t>7</w:t>
            </w:r>
            <w:r w:rsidRPr="00614418">
              <w:rPr>
                <w:rFonts w:ascii="Garamond" w:eastAsiaTheme="minorEastAsia" w:hAnsi="Garamond" w:cs="Times New Roman"/>
              </w:rPr>
              <w:t>), Finland (1999-201</w:t>
            </w:r>
            <w:r w:rsidR="009C174D" w:rsidRPr="00614418">
              <w:rPr>
                <w:rFonts w:ascii="Garamond" w:eastAsiaTheme="minorEastAsia" w:hAnsi="Garamond" w:cs="Times New Roman"/>
              </w:rPr>
              <w:t>7</w:t>
            </w:r>
            <w:r w:rsidRPr="00614418">
              <w:rPr>
                <w:rFonts w:ascii="Garamond" w:eastAsiaTheme="minorEastAsia" w:hAnsi="Garamond" w:cs="Times New Roman"/>
              </w:rPr>
              <w:t>), France (1999-201</w:t>
            </w:r>
            <w:r w:rsidR="009C174D" w:rsidRPr="00614418">
              <w:rPr>
                <w:rFonts w:ascii="Garamond" w:eastAsiaTheme="minorEastAsia" w:hAnsi="Garamond" w:cs="Times New Roman"/>
              </w:rPr>
              <w:t>7</w:t>
            </w:r>
            <w:r w:rsidRPr="00614418">
              <w:rPr>
                <w:rFonts w:ascii="Garamond" w:eastAsiaTheme="minorEastAsia" w:hAnsi="Garamond" w:cs="Times New Roman"/>
              </w:rPr>
              <w:t>), Germany (1999-201</w:t>
            </w:r>
            <w:r w:rsidR="009C174D" w:rsidRPr="00614418">
              <w:rPr>
                <w:rFonts w:ascii="Garamond" w:eastAsiaTheme="minorEastAsia" w:hAnsi="Garamond" w:cs="Times New Roman"/>
              </w:rPr>
              <w:t>7</w:t>
            </w:r>
            <w:r w:rsidRPr="00614418">
              <w:rPr>
                <w:rFonts w:ascii="Garamond" w:eastAsiaTheme="minorEastAsia" w:hAnsi="Garamond" w:cs="Times New Roman"/>
              </w:rPr>
              <w:t>), Greece (2001-201</w:t>
            </w:r>
            <w:r w:rsidR="009C174D" w:rsidRPr="00614418">
              <w:rPr>
                <w:rFonts w:ascii="Garamond" w:eastAsiaTheme="minorEastAsia" w:hAnsi="Garamond" w:cs="Times New Roman"/>
              </w:rPr>
              <w:t>7</w:t>
            </w:r>
            <w:r w:rsidRPr="00614418">
              <w:rPr>
                <w:rFonts w:ascii="Garamond" w:eastAsiaTheme="minorEastAsia" w:hAnsi="Garamond" w:cs="Times New Roman"/>
              </w:rPr>
              <w:t>), Ireland (1999-201</w:t>
            </w:r>
            <w:r w:rsidR="009C174D" w:rsidRPr="00614418">
              <w:rPr>
                <w:rFonts w:ascii="Garamond" w:eastAsiaTheme="minorEastAsia" w:hAnsi="Garamond" w:cs="Times New Roman"/>
              </w:rPr>
              <w:t>7</w:t>
            </w:r>
            <w:r w:rsidRPr="00614418">
              <w:rPr>
                <w:rFonts w:ascii="Garamond" w:eastAsiaTheme="minorEastAsia" w:hAnsi="Garamond" w:cs="Times New Roman"/>
              </w:rPr>
              <w:t>), Italy (1999-201</w:t>
            </w:r>
            <w:r w:rsidR="009C174D" w:rsidRPr="00614418">
              <w:rPr>
                <w:rFonts w:ascii="Garamond" w:eastAsiaTheme="minorEastAsia" w:hAnsi="Garamond" w:cs="Times New Roman"/>
              </w:rPr>
              <w:t>7</w:t>
            </w:r>
            <w:r w:rsidRPr="00614418">
              <w:rPr>
                <w:rFonts w:ascii="Garamond" w:eastAsiaTheme="minorEastAsia" w:hAnsi="Garamond" w:cs="Times New Roman"/>
              </w:rPr>
              <w:t>), Luxembourg (1999-201</w:t>
            </w:r>
            <w:r w:rsidR="009C174D" w:rsidRPr="00614418">
              <w:rPr>
                <w:rFonts w:ascii="Garamond" w:eastAsiaTheme="minorEastAsia" w:hAnsi="Garamond" w:cs="Times New Roman"/>
              </w:rPr>
              <w:t>7</w:t>
            </w:r>
            <w:r w:rsidRPr="00614418">
              <w:rPr>
                <w:rFonts w:ascii="Garamond" w:eastAsiaTheme="minorEastAsia" w:hAnsi="Garamond" w:cs="Times New Roman"/>
              </w:rPr>
              <w:t>), Netherlands (1999-201</w:t>
            </w:r>
            <w:r w:rsidR="009C174D" w:rsidRPr="00614418">
              <w:rPr>
                <w:rFonts w:ascii="Garamond" w:eastAsiaTheme="minorEastAsia" w:hAnsi="Garamond" w:cs="Times New Roman"/>
              </w:rPr>
              <w:t>7</w:t>
            </w:r>
            <w:r w:rsidRPr="00614418">
              <w:rPr>
                <w:rFonts w:ascii="Garamond" w:eastAsiaTheme="minorEastAsia" w:hAnsi="Garamond" w:cs="Times New Roman"/>
              </w:rPr>
              <w:t>), Portugal (1999-201</w:t>
            </w:r>
            <w:r w:rsidR="009C174D" w:rsidRPr="00614418">
              <w:rPr>
                <w:rFonts w:ascii="Garamond" w:eastAsiaTheme="minorEastAsia" w:hAnsi="Garamond" w:cs="Times New Roman"/>
              </w:rPr>
              <w:t>7</w:t>
            </w:r>
            <w:r w:rsidRPr="00614418">
              <w:rPr>
                <w:rFonts w:ascii="Garamond" w:eastAsiaTheme="minorEastAsia" w:hAnsi="Garamond" w:cs="Times New Roman"/>
              </w:rPr>
              <w:t>), Spain (1999-201</w:t>
            </w:r>
            <w:r w:rsidR="009C174D" w:rsidRPr="00614418">
              <w:rPr>
                <w:rFonts w:ascii="Garamond" w:eastAsiaTheme="minorEastAsia" w:hAnsi="Garamond" w:cs="Times New Roman"/>
              </w:rPr>
              <w:t>7</w:t>
            </w:r>
            <w:r w:rsidRPr="00614418">
              <w:rPr>
                <w:rFonts w:ascii="Garamond" w:eastAsiaTheme="minorEastAsia" w:hAnsi="Garamond" w:cs="Times New Roman"/>
              </w:rPr>
              <w:t>)</w:t>
            </w:r>
          </w:p>
          <w:p w14:paraId="546B83A6" w14:textId="77777777" w:rsidR="008852FB" w:rsidRPr="00614418" w:rsidRDefault="008852FB" w:rsidP="00321203">
            <w:pPr>
              <w:jc w:val="both"/>
              <w:rPr>
                <w:rFonts w:ascii="Garamond" w:eastAsiaTheme="minorEastAsia" w:hAnsi="Garamond" w:cs="Times New Roman"/>
              </w:rPr>
            </w:pPr>
          </w:p>
        </w:tc>
        <w:tc>
          <w:tcPr>
            <w:tcW w:w="2700" w:type="dxa"/>
            <w:vMerge w:val="restart"/>
          </w:tcPr>
          <w:p w14:paraId="3BA6654D" w14:textId="77777777" w:rsidR="008852FB" w:rsidRPr="00614418" w:rsidRDefault="008852FB" w:rsidP="00321203">
            <w:pPr>
              <w:jc w:val="both"/>
              <w:rPr>
                <w:rFonts w:ascii="Garamond" w:eastAsiaTheme="minorEastAsia" w:hAnsi="Garamond" w:cs="Times New Roman"/>
              </w:rPr>
            </w:pPr>
          </w:p>
          <w:p w14:paraId="79890752" w14:textId="77777777" w:rsidR="008852FB" w:rsidRPr="00614418" w:rsidRDefault="008852FB" w:rsidP="00321203">
            <w:pPr>
              <w:jc w:val="center"/>
              <w:rPr>
                <w:rFonts w:ascii="Garamond" w:eastAsiaTheme="minorEastAsia" w:hAnsi="Garamond" w:cs="Times New Roman"/>
              </w:rPr>
            </w:pPr>
          </w:p>
          <w:p w14:paraId="18EAD884" w14:textId="77777777" w:rsidR="008852FB" w:rsidRPr="00614418" w:rsidRDefault="008852FB" w:rsidP="00321203">
            <w:pPr>
              <w:jc w:val="center"/>
              <w:rPr>
                <w:rFonts w:ascii="Garamond" w:eastAsiaTheme="minorEastAsia" w:hAnsi="Garamond" w:cs="Times New Roman"/>
              </w:rPr>
            </w:pPr>
            <w:r w:rsidRPr="00614418">
              <w:rPr>
                <w:rFonts w:ascii="Garamond" w:eastAsiaTheme="minorEastAsia" w:hAnsi="Garamond" w:cs="Times New Roman"/>
              </w:rPr>
              <w:t>MOST RESTRICTIVE</w:t>
            </w:r>
          </w:p>
          <w:p w14:paraId="04810005" w14:textId="77777777" w:rsidR="008852FB" w:rsidRPr="00614418" w:rsidRDefault="008852FB" w:rsidP="00321203">
            <w:pPr>
              <w:jc w:val="center"/>
              <w:rPr>
                <w:rFonts w:ascii="Garamond" w:eastAsiaTheme="minorEastAsia" w:hAnsi="Garamond" w:cs="Times New Roman"/>
              </w:rPr>
            </w:pPr>
          </w:p>
          <w:p w14:paraId="63EA7EE7" w14:textId="77777777" w:rsidR="008852FB" w:rsidRPr="00614418" w:rsidRDefault="008852FB" w:rsidP="00321203">
            <w:pPr>
              <w:jc w:val="center"/>
              <w:rPr>
                <w:rFonts w:ascii="Garamond" w:eastAsiaTheme="minorEastAsia" w:hAnsi="Garamond" w:cs="Times New Roman"/>
              </w:rPr>
            </w:pPr>
          </w:p>
          <w:p w14:paraId="361361E0" w14:textId="77777777" w:rsidR="008852FB" w:rsidRPr="00614418" w:rsidRDefault="008852FB" w:rsidP="00321203">
            <w:pPr>
              <w:jc w:val="center"/>
              <w:rPr>
                <w:rFonts w:ascii="Garamond" w:eastAsiaTheme="minorEastAsia" w:hAnsi="Garamond" w:cs="Times New Roman"/>
              </w:rPr>
            </w:pPr>
          </w:p>
          <w:p w14:paraId="209E8ED1" w14:textId="77777777" w:rsidR="008852FB" w:rsidRPr="00614418" w:rsidRDefault="008852FB" w:rsidP="00321203">
            <w:pPr>
              <w:jc w:val="center"/>
              <w:rPr>
                <w:rFonts w:ascii="Garamond" w:eastAsiaTheme="minorEastAsia" w:hAnsi="Garamond" w:cs="Times New Roman"/>
              </w:rPr>
            </w:pPr>
          </w:p>
          <w:p w14:paraId="7DD9A37E" w14:textId="77777777" w:rsidR="008852FB" w:rsidRPr="00614418" w:rsidRDefault="008852FB" w:rsidP="00321203">
            <w:pPr>
              <w:jc w:val="center"/>
              <w:rPr>
                <w:rFonts w:ascii="Garamond" w:eastAsiaTheme="minorEastAsia" w:hAnsi="Garamond" w:cs="Times New Roman"/>
              </w:rPr>
            </w:pPr>
          </w:p>
          <w:p w14:paraId="21620220" w14:textId="77777777" w:rsidR="008852FB" w:rsidRPr="00614418" w:rsidRDefault="008852FB" w:rsidP="00321203">
            <w:pPr>
              <w:jc w:val="center"/>
              <w:rPr>
                <w:rFonts w:ascii="Garamond" w:eastAsiaTheme="minorEastAsia" w:hAnsi="Garamond" w:cs="Times New Roman"/>
              </w:rPr>
            </w:pPr>
          </w:p>
          <w:p w14:paraId="47F84816" w14:textId="77777777" w:rsidR="008852FB" w:rsidRPr="00614418" w:rsidRDefault="008852FB" w:rsidP="00321203">
            <w:pPr>
              <w:jc w:val="center"/>
              <w:rPr>
                <w:rFonts w:ascii="Garamond" w:eastAsiaTheme="minorEastAsia" w:hAnsi="Garamond" w:cs="Times New Roman"/>
              </w:rPr>
            </w:pPr>
          </w:p>
          <w:p w14:paraId="1AF25241" w14:textId="77777777" w:rsidR="008852FB" w:rsidRPr="00614418" w:rsidRDefault="008852FB" w:rsidP="00321203">
            <w:pPr>
              <w:jc w:val="center"/>
              <w:rPr>
                <w:rFonts w:ascii="Garamond" w:eastAsiaTheme="minorEastAsia" w:hAnsi="Garamond" w:cs="Times New Roman"/>
              </w:rPr>
            </w:pPr>
          </w:p>
          <w:p w14:paraId="5D4A4E6B" w14:textId="77777777" w:rsidR="008852FB" w:rsidRPr="00614418" w:rsidRDefault="008852FB" w:rsidP="00321203">
            <w:pPr>
              <w:jc w:val="center"/>
              <w:rPr>
                <w:rFonts w:ascii="Garamond" w:eastAsiaTheme="minorEastAsia" w:hAnsi="Garamond" w:cs="Times New Roman"/>
              </w:rPr>
            </w:pPr>
          </w:p>
          <w:p w14:paraId="06AF51AA" w14:textId="77777777" w:rsidR="008852FB" w:rsidRPr="00614418" w:rsidRDefault="008852FB" w:rsidP="00321203">
            <w:pPr>
              <w:jc w:val="center"/>
              <w:rPr>
                <w:rFonts w:ascii="Garamond" w:eastAsiaTheme="minorEastAsia" w:hAnsi="Garamond" w:cs="Times New Roman"/>
              </w:rPr>
            </w:pPr>
          </w:p>
          <w:p w14:paraId="0EDCA4BA" w14:textId="77777777" w:rsidR="008852FB" w:rsidRPr="00614418" w:rsidRDefault="008852FB" w:rsidP="00321203">
            <w:pPr>
              <w:jc w:val="center"/>
              <w:rPr>
                <w:rFonts w:ascii="Garamond" w:eastAsiaTheme="minorEastAsia" w:hAnsi="Garamond" w:cs="Times New Roman"/>
              </w:rPr>
            </w:pPr>
          </w:p>
          <w:p w14:paraId="41A82F5D" w14:textId="77777777" w:rsidR="008852FB" w:rsidRPr="00614418" w:rsidRDefault="008852FB" w:rsidP="00321203">
            <w:pPr>
              <w:jc w:val="center"/>
              <w:rPr>
                <w:rFonts w:ascii="Garamond" w:eastAsiaTheme="minorEastAsia" w:hAnsi="Garamond" w:cs="Times New Roman"/>
              </w:rPr>
            </w:pPr>
          </w:p>
          <w:p w14:paraId="6C2DDAAC" w14:textId="77777777" w:rsidR="008852FB" w:rsidRPr="00614418" w:rsidRDefault="008852FB" w:rsidP="00321203">
            <w:pPr>
              <w:jc w:val="center"/>
              <w:rPr>
                <w:rFonts w:ascii="Garamond" w:eastAsiaTheme="minorEastAsia" w:hAnsi="Garamond" w:cs="Times New Roman"/>
              </w:rPr>
            </w:pPr>
          </w:p>
          <w:p w14:paraId="362AFB29" w14:textId="77777777" w:rsidR="008852FB" w:rsidRPr="00614418" w:rsidRDefault="008852FB" w:rsidP="00321203">
            <w:pPr>
              <w:jc w:val="center"/>
              <w:rPr>
                <w:rFonts w:ascii="Garamond" w:eastAsiaTheme="minorEastAsia" w:hAnsi="Garamond" w:cs="Times New Roman"/>
              </w:rPr>
            </w:pPr>
          </w:p>
          <w:p w14:paraId="29F22558" w14:textId="77777777" w:rsidR="008852FB" w:rsidRPr="00614418" w:rsidRDefault="008852FB" w:rsidP="00321203">
            <w:pPr>
              <w:jc w:val="center"/>
              <w:rPr>
                <w:rFonts w:ascii="Garamond" w:eastAsiaTheme="minorEastAsia" w:hAnsi="Garamond" w:cs="Times New Roman"/>
              </w:rPr>
            </w:pPr>
          </w:p>
          <w:p w14:paraId="498F6574" w14:textId="77777777" w:rsidR="008852FB" w:rsidRPr="00614418" w:rsidRDefault="008852FB" w:rsidP="00321203">
            <w:pPr>
              <w:jc w:val="center"/>
              <w:rPr>
                <w:rFonts w:ascii="Garamond" w:eastAsiaTheme="minorEastAsia" w:hAnsi="Garamond" w:cs="Times New Roman"/>
              </w:rPr>
            </w:pPr>
          </w:p>
          <w:p w14:paraId="1D33EDBB" w14:textId="77777777" w:rsidR="008852FB" w:rsidRPr="00614418" w:rsidRDefault="008852FB" w:rsidP="00321203">
            <w:pPr>
              <w:jc w:val="center"/>
              <w:rPr>
                <w:rFonts w:ascii="Garamond" w:eastAsiaTheme="minorEastAsia" w:hAnsi="Garamond" w:cs="Times New Roman"/>
              </w:rPr>
            </w:pPr>
          </w:p>
          <w:p w14:paraId="6C33E98F" w14:textId="77777777" w:rsidR="008852FB" w:rsidRPr="00614418" w:rsidRDefault="008852FB" w:rsidP="00321203">
            <w:pPr>
              <w:jc w:val="center"/>
              <w:rPr>
                <w:rFonts w:ascii="Garamond" w:eastAsiaTheme="minorEastAsia" w:hAnsi="Garamond" w:cs="Times New Roman"/>
              </w:rPr>
            </w:pPr>
          </w:p>
          <w:p w14:paraId="1E940FDB" w14:textId="77777777" w:rsidR="008852FB" w:rsidRPr="00614418" w:rsidRDefault="008852FB" w:rsidP="00321203">
            <w:pPr>
              <w:jc w:val="center"/>
              <w:rPr>
                <w:rFonts w:ascii="Garamond" w:eastAsiaTheme="minorEastAsia" w:hAnsi="Garamond" w:cs="Times New Roman"/>
              </w:rPr>
            </w:pPr>
          </w:p>
          <w:p w14:paraId="3131169B" w14:textId="77777777" w:rsidR="008852FB" w:rsidRPr="00614418" w:rsidRDefault="008852FB" w:rsidP="00321203">
            <w:pPr>
              <w:jc w:val="center"/>
              <w:rPr>
                <w:rFonts w:ascii="Garamond" w:eastAsiaTheme="minorEastAsia" w:hAnsi="Garamond" w:cs="Times New Roman"/>
              </w:rPr>
            </w:pPr>
          </w:p>
          <w:p w14:paraId="433D0E2D" w14:textId="77777777" w:rsidR="008852FB" w:rsidRPr="00614418" w:rsidRDefault="008852FB" w:rsidP="00321203">
            <w:pPr>
              <w:jc w:val="center"/>
              <w:rPr>
                <w:rFonts w:ascii="Garamond" w:eastAsiaTheme="minorEastAsia" w:hAnsi="Garamond" w:cs="Times New Roman"/>
              </w:rPr>
            </w:pPr>
          </w:p>
          <w:p w14:paraId="1855B455" w14:textId="77777777" w:rsidR="008852FB" w:rsidRPr="00614418" w:rsidRDefault="008852FB" w:rsidP="00321203">
            <w:pPr>
              <w:rPr>
                <w:rFonts w:ascii="Garamond" w:eastAsiaTheme="minorEastAsia" w:hAnsi="Garamond" w:cs="Times New Roman"/>
              </w:rPr>
            </w:pPr>
          </w:p>
          <w:p w14:paraId="2AF3EE82" w14:textId="77777777" w:rsidR="008852FB" w:rsidRPr="00614418" w:rsidRDefault="008852FB" w:rsidP="00321203">
            <w:pPr>
              <w:rPr>
                <w:rFonts w:ascii="Garamond" w:eastAsiaTheme="minorEastAsia" w:hAnsi="Garamond" w:cs="Times New Roman"/>
              </w:rPr>
            </w:pPr>
          </w:p>
          <w:p w14:paraId="6B11AB98" w14:textId="77777777" w:rsidR="008852FB" w:rsidRPr="00614418" w:rsidRDefault="008852FB" w:rsidP="00321203">
            <w:pPr>
              <w:jc w:val="center"/>
              <w:rPr>
                <w:rFonts w:ascii="Garamond" w:eastAsiaTheme="minorEastAsia" w:hAnsi="Garamond" w:cs="Times New Roman"/>
              </w:rPr>
            </w:pPr>
          </w:p>
          <w:p w14:paraId="1FF0D32B" w14:textId="77777777" w:rsidR="008852FB" w:rsidRPr="00614418" w:rsidRDefault="008852FB" w:rsidP="00321203">
            <w:pPr>
              <w:jc w:val="center"/>
              <w:rPr>
                <w:rFonts w:ascii="Garamond" w:eastAsiaTheme="minorEastAsia" w:hAnsi="Garamond" w:cs="Times New Roman"/>
              </w:rPr>
            </w:pPr>
            <w:r w:rsidRPr="00614418">
              <w:rPr>
                <w:rFonts w:ascii="Garamond" w:eastAsiaTheme="minorEastAsia" w:hAnsi="Garamond" w:cs="Times New Roman"/>
              </w:rPr>
              <w:t>LEAST RESTRICTIVE</w:t>
            </w:r>
          </w:p>
        </w:tc>
      </w:tr>
      <w:tr w:rsidR="008852FB" w:rsidRPr="00614418" w14:paraId="289AA918" w14:textId="77777777" w:rsidTr="00321203">
        <w:tc>
          <w:tcPr>
            <w:tcW w:w="2444" w:type="dxa"/>
          </w:tcPr>
          <w:p w14:paraId="1600A584" w14:textId="77777777" w:rsidR="008852FB" w:rsidRPr="00614418" w:rsidRDefault="008852FB" w:rsidP="00321203">
            <w:pPr>
              <w:jc w:val="center"/>
              <w:rPr>
                <w:rFonts w:ascii="Garamond" w:eastAsiaTheme="minorEastAsia" w:hAnsi="Garamond" w:cs="Times New Roman"/>
                <w:i/>
                <w:iCs/>
              </w:rPr>
            </w:pPr>
          </w:p>
          <w:p w14:paraId="31DA6B88" w14:textId="77777777" w:rsidR="008852FB" w:rsidRPr="00614418" w:rsidRDefault="008852FB" w:rsidP="00321203">
            <w:pPr>
              <w:jc w:val="center"/>
              <w:rPr>
                <w:rFonts w:ascii="Garamond" w:eastAsiaTheme="minorEastAsia" w:hAnsi="Garamond" w:cs="Times New Roman"/>
                <w:i/>
                <w:iCs/>
              </w:rPr>
            </w:pPr>
          </w:p>
          <w:p w14:paraId="235C0B30" w14:textId="77777777" w:rsidR="008852FB" w:rsidRPr="00614418" w:rsidRDefault="008852FB" w:rsidP="00321203">
            <w:pPr>
              <w:jc w:val="center"/>
              <w:rPr>
                <w:rFonts w:ascii="Garamond" w:eastAsiaTheme="minorEastAsia" w:hAnsi="Garamond" w:cs="Times New Roman"/>
                <w:i/>
                <w:iCs/>
              </w:rPr>
            </w:pPr>
          </w:p>
          <w:p w14:paraId="1D25EE8E" w14:textId="77777777" w:rsidR="008852FB" w:rsidRPr="00614418" w:rsidRDefault="008852FB" w:rsidP="00321203">
            <w:pPr>
              <w:jc w:val="center"/>
              <w:rPr>
                <w:rFonts w:ascii="Garamond" w:eastAsiaTheme="minorEastAsia" w:hAnsi="Garamond" w:cs="Times New Roman"/>
                <w:i/>
                <w:iCs/>
              </w:rPr>
            </w:pPr>
            <w:r w:rsidRPr="00614418">
              <w:rPr>
                <w:rFonts w:ascii="Garamond" w:eastAsiaTheme="minorEastAsia" w:hAnsi="Garamond" w:cs="Times New Roman"/>
                <w:i/>
                <w:iCs/>
              </w:rPr>
              <w:t>Fixed Peg</w:t>
            </w:r>
          </w:p>
        </w:tc>
        <w:tc>
          <w:tcPr>
            <w:tcW w:w="5656" w:type="dxa"/>
          </w:tcPr>
          <w:p w14:paraId="533D8751" w14:textId="77777777" w:rsidR="008852FB" w:rsidRPr="00614418" w:rsidRDefault="008852FB" w:rsidP="00321203">
            <w:pPr>
              <w:jc w:val="both"/>
              <w:rPr>
                <w:rFonts w:ascii="Garamond" w:eastAsiaTheme="minorEastAsia" w:hAnsi="Garamond" w:cs="Times New Roman"/>
              </w:rPr>
            </w:pPr>
          </w:p>
          <w:p w14:paraId="7A7CFE12" w14:textId="41AB4F28" w:rsidR="008852FB" w:rsidRPr="00614418" w:rsidRDefault="008852FB" w:rsidP="00321203">
            <w:pPr>
              <w:jc w:val="both"/>
              <w:rPr>
                <w:rFonts w:ascii="Garamond" w:eastAsiaTheme="minorEastAsia" w:hAnsi="Garamond" w:cs="Times New Roman"/>
              </w:rPr>
            </w:pPr>
            <w:r w:rsidRPr="00614418">
              <w:rPr>
                <w:rFonts w:ascii="Garamond" w:eastAsiaTheme="minorEastAsia" w:hAnsi="Garamond" w:cs="Times New Roman"/>
              </w:rPr>
              <w:t>Austria (1980-1998), Belgium (1980-1998), Denmark (1980-201</w:t>
            </w:r>
            <w:r w:rsidR="009C174D" w:rsidRPr="00614418">
              <w:rPr>
                <w:rFonts w:ascii="Garamond" w:eastAsiaTheme="minorEastAsia" w:hAnsi="Garamond" w:cs="Times New Roman"/>
              </w:rPr>
              <w:t>7</w:t>
            </w:r>
            <w:r w:rsidRPr="00614418">
              <w:rPr>
                <w:rFonts w:ascii="Garamond" w:eastAsiaTheme="minorEastAsia" w:hAnsi="Garamond" w:cs="Times New Roman"/>
              </w:rPr>
              <w:t xml:space="preserve">), Finland (1980-1991, 1996-1998), France (1980-1998), Germany (1980-1998), Greece (1998-2000), Iceland (1990-2000), Ireland (1980-1998), Italy (1980-1991, 1996-1998), Luxembourg (1980-1998), Netherlands (1980-1998), New Zealand (1983-1984), Norway (1980-1991), Portugal (1992-1998), Spain (1986-1998), Sweden (1980-1992), UK (1991-1992) </w:t>
            </w:r>
          </w:p>
          <w:p w14:paraId="282BFBF7" w14:textId="77777777" w:rsidR="008852FB" w:rsidRPr="00614418" w:rsidRDefault="008852FB" w:rsidP="00321203">
            <w:pPr>
              <w:jc w:val="both"/>
              <w:rPr>
                <w:rFonts w:ascii="Garamond" w:eastAsiaTheme="minorEastAsia" w:hAnsi="Garamond" w:cs="Times New Roman"/>
              </w:rPr>
            </w:pPr>
          </w:p>
        </w:tc>
        <w:tc>
          <w:tcPr>
            <w:tcW w:w="2700" w:type="dxa"/>
            <w:vMerge/>
          </w:tcPr>
          <w:p w14:paraId="3A6DFD49" w14:textId="77777777" w:rsidR="008852FB" w:rsidRPr="00614418" w:rsidRDefault="008852FB" w:rsidP="00321203">
            <w:pPr>
              <w:jc w:val="both"/>
              <w:rPr>
                <w:rFonts w:ascii="Garamond" w:eastAsiaTheme="minorEastAsia" w:hAnsi="Garamond" w:cs="Times New Roman"/>
              </w:rPr>
            </w:pPr>
          </w:p>
        </w:tc>
      </w:tr>
      <w:tr w:rsidR="008852FB" w:rsidRPr="00614418" w14:paraId="2A96BD7D" w14:textId="77777777" w:rsidTr="00321203">
        <w:tc>
          <w:tcPr>
            <w:tcW w:w="2444" w:type="dxa"/>
          </w:tcPr>
          <w:p w14:paraId="5055D3D0" w14:textId="77777777" w:rsidR="008852FB" w:rsidRPr="00614418" w:rsidRDefault="008852FB" w:rsidP="00321203">
            <w:pPr>
              <w:jc w:val="center"/>
              <w:rPr>
                <w:rFonts w:ascii="Garamond" w:eastAsiaTheme="minorEastAsia" w:hAnsi="Garamond" w:cs="Times New Roman"/>
                <w:i/>
                <w:iCs/>
              </w:rPr>
            </w:pPr>
          </w:p>
          <w:p w14:paraId="07ABA117" w14:textId="77777777" w:rsidR="008852FB" w:rsidRPr="00614418" w:rsidRDefault="008852FB" w:rsidP="00321203">
            <w:pPr>
              <w:jc w:val="center"/>
              <w:rPr>
                <w:rFonts w:ascii="Garamond" w:eastAsiaTheme="minorEastAsia" w:hAnsi="Garamond" w:cs="Times New Roman"/>
                <w:i/>
                <w:iCs/>
              </w:rPr>
            </w:pPr>
            <w:r w:rsidRPr="00614418">
              <w:rPr>
                <w:rFonts w:ascii="Garamond" w:eastAsiaTheme="minorEastAsia" w:hAnsi="Garamond" w:cs="Times New Roman"/>
                <w:i/>
                <w:iCs/>
              </w:rPr>
              <w:t>Crawling Peg</w:t>
            </w:r>
          </w:p>
        </w:tc>
        <w:tc>
          <w:tcPr>
            <w:tcW w:w="5656" w:type="dxa"/>
          </w:tcPr>
          <w:p w14:paraId="5E4FB09E" w14:textId="77777777" w:rsidR="008852FB" w:rsidRPr="00614418" w:rsidRDefault="008852FB" w:rsidP="00321203">
            <w:pPr>
              <w:jc w:val="both"/>
              <w:rPr>
                <w:rFonts w:ascii="Garamond" w:eastAsiaTheme="minorEastAsia" w:hAnsi="Garamond" w:cs="Times New Roman"/>
              </w:rPr>
            </w:pPr>
          </w:p>
          <w:p w14:paraId="32377F42" w14:textId="77777777" w:rsidR="008852FB" w:rsidRPr="00614418" w:rsidRDefault="008852FB" w:rsidP="00321203">
            <w:pPr>
              <w:jc w:val="both"/>
              <w:rPr>
                <w:rFonts w:ascii="Garamond" w:eastAsiaTheme="minorEastAsia" w:hAnsi="Garamond" w:cs="Times New Roman"/>
              </w:rPr>
            </w:pPr>
            <w:r w:rsidRPr="00614418">
              <w:rPr>
                <w:rFonts w:ascii="Garamond" w:eastAsiaTheme="minorEastAsia" w:hAnsi="Garamond" w:cs="Times New Roman"/>
              </w:rPr>
              <w:t>Australia (1980-1982), Greece (1980-1997), New Zealand (1980-1982), Portugal (1980-1991), Switzerland (2013-2014)</w:t>
            </w:r>
          </w:p>
          <w:p w14:paraId="1619C2FF" w14:textId="77777777" w:rsidR="008852FB" w:rsidRPr="00614418" w:rsidRDefault="008852FB" w:rsidP="00321203">
            <w:pPr>
              <w:jc w:val="both"/>
              <w:rPr>
                <w:rFonts w:ascii="Garamond" w:eastAsiaTheme="minorEastAsia" w:hAnsi="Garamond" w:cs="Times New Roman"/>
              </w:rPr>
            </w:pPr>
          </w:p>
        </w:tc>
        <w:tc>
          <w:tcPr>
            <w:tcW w:w="2700" w:type="dxa"/>
            <w:vMerge/>
          </w:tcPr>
          <w:p w14:paraId="755A7711" w14:textId="77777777" w:rsidR="008852FB" w:rsidRPr="00614418" w:rsidRDefault="008852FB" w:rsidP="00321203">
            <w:pPr>
              <w:jc w:val="both"/>
              <w:rPr>
                <w:rFonts w:ascii="Garamond" w:eastAsiaTheme="minorEastAsia" w:hAnsi="Garamond" w:cs="Times New Roman"/>
              </w:rPr>
            </w:pPr>
          </w:p>
        </w:tc>
      </w:tr>
      <w:tr w:rsidR="008852FB" w:rsidRPr="00614418" w14:paraId="4AC6B5DA" w14:textId="77777777" w:rsidTr="00321203">
        <w:tc>
          <w:tcPr>
            <w:tcW w:w="2444" w:type="dxa"/>
          </w:tcPr>
          <w:p w14:paraId="73F0370E" w14:textId="77777777" w:rsidR="008852FB" w:rsidRPr="00614418" w:rsidRDefault="008852FB" w:rsidP="00321203">
            <w:pPr>
              <w:jc w:val="center"/>
              <w:rPr>
                <w:rFonts w:ascii="Garamond" w:eastAsiaTheme="minorEastAsia" w:hAnsi="Garamond" w:cs="Times New Roman"/>
                <w:i/>
                <w:iCs/>
              </w:rPr>
            </w:pPr>
          </w:p>
          <w:p w14:paraId="617CFB56" w14:textId="055A9C54" w:rsidR="008852FB" w:rsidRPr="00614418" w:rsidRDefault="00373B9D" w:rsidP="00321203">
            <w:pPr>
              <w:jc w:val="center"/>
              <w:rPr>
                <w:rFonts w:ascii="Garamond" w:eastAsiaTheme="minorEastAsia" w:hAnsi="Garamond" w:cs="Times New Roman"/>
                <w:i/>
                <w:iCs/>
              </w:rPr>
            </w:pPr>
            <w:r>
              <w:rPr>
                <w:rFonts w:ascii="Garamond" w:eastAsiaTheme="minorEastAsia" w:hAnsi="Garamond" w:cs="Times New Roman"/>
                <w:i/>
                <w:iCs/>
              </w:rPr>
              <w:t>‘</w:t>
            </w:r>
            <w:r w:rsidR="008852FB" w:rsidRPr="00614418">
              <w:rPr>
                <w:rFonts w:ascii="Garamond" w:eastAsiaTheme="minorEastAsia" w:hAnsi="Garamond" w:cs="Times New Roman"/>
                <w:i/>
                <w:iCs/>
              </w:rPr>
              <w:t>Other</w:t>
            </w:r>
            <w:r>
              <w:rPr>
                <w:rFonts w:ascii="Garamond" w:eastAsiaTheme="minorEastAsia" w:hAnsi="Garamond" w:cs="Times New Roman"/>
                <w:i/>
                <w:iCs/>
              </w:rPr>
              <w:t>’</w:t>
            </w:r>
            <w:r w:rsidR="008852FB" w:rsidRPr="00614418">
              <w:rPr>
                <w:rFonts w:ascii="Garamond" w:eastAsiaTheme="minorEastAsia" w:hAnsi="Garamond" w:cs="Times New Roman"/>
                <w:i/>
                <w:iCs/>
              </w:rPr>
              <w:t xml:space="preserve"> Managed Arrangement</w:t>
            </w:r>
          </w:p>
          <w:p w14:paraId="12C2F7C6" w14:textId="77777777" w:rsidR="008852FB" w:rsidRPr="00614418" w:rsidRDefault="008852FB" w:rsidP="00321203">
            <w:pPr>
              <w:jc w:val="center"/>
              <w:rPr>
                <w:rFonts w:ascii="Garamond" w:eastAsiaTheme="minorEastAsia" w:hAnsi="Garamond" w:cs="Times New Roman"/>
                <w:i/>
                <w:iCs/>
              </w:rPr>
            </w:pPr>
          </w:p>
        </w:tc>
        <w:tc>
          <w:tcPr>
            <w:tcW w:w="5656" w:type="dxa"/>
          </w:tcPr>
          <w:p w14:paraId="5CA81F20" w14:textId="77777777" w:rsidR="008852FB" w:rsidRPr="00614418" w:rsidRDefault="008852FB" w:rsidP="00321203">
            <w:pPr>
              <w:jc w:val="both"/>
              <w:rPr>
                <w:rFonts w:ascii="Garamond" w:eastAsiaTheme="minorEastAsia" w:hAnsi="Garamond" w:cs="Times New Roman"/>
              </w:rPr>
            </w:pPr>
          </w:p>
          <w:p w14:paraId="38BEF14E" w14:textId="77777777" w:rsidR="008852FB" w:rsidRPr="00614418" w:rsidRDefault="008852FB" w:rsidP="00321203">
            <w:pPr>
              <w:jc w:val="both"/>
              <w:rPr>
                <w:rFonts w:ascii="Garamond" w:eastAsiaTheme="minorEastAsia" w:hAnsi="Garamond" w:cs="Times New Roman"/>
              </w:rPr>
            </w:pPr>
            <w:r w:rsidRPr="00614418">
              <w:rPr>
                <w:rFonts w:ascii="Garamond" w:eastAsiaTheme="minorEastAsia" w:hAnsi="Garamond" w:cs="Times New Roman"/>
              </w:rPr>
              <w:t>Switzerland (2011-2012)</w:t>
            </w:r>
          </w:p>
          <w:p w14:paraId="103C1FA5" w14:textId="77777777" w:rsidR="008852FB" w:rsidRPr="00614418" w:rsidRDefault="008852FB" w:rsidP="00321203">
            <w:pPr>
              <w:jc w:val="both"/>
              <w:rPr>
                <w:rFonts w:ascii="Garamond" w:eastAsiaTheme="minorEastAsia" w:hAnsi="Garamond" w:cs="Times New Roman"/>
              </w:rPr>
            </w:pPr>
          </w:p>
        </w:tc>
        <w:tc>
          <w:tcPr>
            <w:tcW w:w="2700" w:type="dxa"/>
            <w:vMerge/>
          </w:tcPr>
          <w:p w14:paraId="6D96BC67" w14:textId="77777777" w:rsidR="008852FB" w:rsidRPr="00614418" w:rsidRDefault="008852FB" w:rsidP="00321203">
            <w:pPr>
              <w:jc w:val="both"/>
              <w:rPr>
                <w:rFonts w:ascii="Garamond" w:eastAsiaTheme="minorEastAsia" w:hAnsi="Garamond" w:cs="Times New Roman"/>
              </w:rPr>
            </w:pPr>
          </w:p>
        </w:tc>
      </w:tr>
      <w:tr w:rsidR="008852FB" w:rsidRPr="00614418" w14:paraId="60CA26D5" w14:textId="77777777" w:rsidTr="00321203">
        <w:tc>
          <w:tcPr>
            <w:tcW w:w="2444" w:type="dxa"/>
          </w:tcPr>
          <w:p w14:paraId="443B3E8B" w14:textId="77777777" w:rsidR="008852FB" w:rsidRPr="00614418" w:rsidRDefault="008852FB" w:rsidP="00321203">
            <w:pPr>
              <w:jc w:val="center"/>
              <w:rPr>
                <w:rFonts w:ascii="Garamond" w:eastAsiaTheme="minorEastAsia" w:hAnsi="Garamond" w:cs="Times New Roman"/>
                <w:i/>
                <w:iCs/>
              </w:rPr>
            </w:pPr>
          </w:p>
          <w:p w14:paraId="2FDB25E0" w14:textId="77777777" w:rsidR="008852FB" w:rsidRPr="00614418" w:rsidRDefault="008852FB" w:rsidP="00321203">
            <w:pPr>
              <w:jc w:val="center"/>
              <w:rPr>
                <w:rFonts w:ascii="Garamond" w:eastAsiaTheme="minorEastAsia" w:hAnsi="Garamond" w:cs="Times New Roman"/>
                <w:i/>
                <w:iCs/>
              </w:rPr>
            </w:pPr>
          </w:p>
          <w:p w14:paraId="0548D1E1" w14:textId="77777777" w:rsidR="008852FB" w:rsidRPr="00614418" w:rsidRDefault="008852FB" w:rsidP="00321203">
            <w:pPr>
              <w:jc w:val="center"/>
              <w:rPr>
                <w:rFonts w:ascii="Garamond" w:eastAsiaTheme="minorEastAsia" w:hAnsi="Garamond" w:cs="Times New Roman"/>
                <w:i/>
                <w:iCs/>
              </w:rPr>
            </w:pPr>
            <w:r w:rsidRPr="00614418">
              <w:rPr>
                <w:rFonts w:ascii="Garamond" w:eastAsiaTheme="minorEastAsia" w:hAnsi="Garamond" w:cs="Times New Roman"/>
                <w:i/>
                <w:iCs/>
              </w:rPr>
              <w:t>Floating Exchange Rate</w:t>
            </w:r>
          </w:p>
        </w:tc>
        <w:tc>
          <w:tcPr>
            <w:tcW w:w="5656" w:type="dxa"/>
          </w:tcPr>
          <w:p w14:paraId="55A84D80" w14:textId="77777777" w:rsidR="008852FB" w:rsidRPr="00614418" w:rsidRDefault="008852FB" w:rsidP="00321203">
            <w:pPr>
              <w:jc w:val="both"/>
              <w:rPr>
                <w:rFonts w:ascii="Garamond" w:eastAsiaTheme="minorEastAsia" w:hAnsi="Garamond" w:cs="Times New Roman"/>
              </w:rPr>
            </w:pPr>
          </w:p>
          <w:p w14:paraId="34B1FA26" w14:textId="039792C4" w:rsidR="008852FB" w:rsidRPr="00614418" w:rsidRDefault="008852FB" w:rsidP="00321203">
            <w:pPr>
              <w:jc w:val="both"/>
              <w:rPr>
                <w:rFonts w:ascii="Garamond" w:eastAsiaTheme="minorEastAsia" w:hAnsi="Garamond" w:cs="Times New Roman"/>
              </w:rPr>
            </w:pPr>
            <w:r w:rsidRPr="00614418">
              <w:rPr>
                <w:rFonts w:ascii="Garamond" w:eastAsiaTheme="minorEastAsia" w:hAnsi="Garamond" w:cs="Times New Roman"/>
              </w:rPr>
              <w:t>Australia (1983-201</w:t>
            </w:r>
            <w:r w:rsidR="009C174D" w:rsidRPr="00614418">
              <w:rPr>
                <w:rFonts w:ascii="Garamond" w:eastAsiaTheme="minorEastAsia" w:hAnsi="Garamond" w:cs="Times New Roman"/>
              </w:rPr>
              <w:t>7</w:t>
            </w:r>
            <w:r w:rsidRPr="00614418">
              <w:rPr>
                <w:rFonts w:ascii="Garamond" w:eastAsiaTheme="minorEastAsia" w:hAnsi="Garamond" w:cs="Times New Roman"/>
              </w:rPr>
              <w:t>), Canada (1980-201</w:t>
            </w:r>
            <w:r w:rsidR="009C174D" w:rsidRPr="00614418">
              <w:rPr>
                <w:rFonts w:ascii="Garamond" w:eastAsiaTheme="minorEastAsia" w:hAnsi="Garamond" w:cs="Times New Roman"/>
              </w:rPr>
              <w:t>7</w:t>
            </w:r>
            <w:r w:rsidRPr="00614418">
              <w:rPr>
                <w:rFonts w:ascii="Garamond" w:eastAsiaTheme="minorEastAsia" w:hAnsi="Garamond" w:cs="Times New Roman"/>
              </w:rPr>
              <w:t>), Finland (1992-1995), Iceland (1980-1989), Iceland (2001-201</w:t>
            </w:r>
            <w:r w:rsidR="009C174D" w:rsidRPr="00614418">
              <w:rPr>
                <w:rFonts w:ascii="Garamond" w:eastAsiaTheme="minorEastAsia" w:hAnsi="Garamond" w:cs="Times New Roman"/>
              </w:rPr>
              <w:t>7</w:t>
            </w:r>
            <w:r w:rsidRPr="00614418">
              <w:rPr>
                <w:rFonts w:ascii="Garamond" w:eastAsiaTheme="minorEastAsia" w:hAnsi="Garamond" w:cs="Times New Roman"/>
              </w:rPr>
              <w:t>), Italy (1992-1995), Japan (1980-201</w:t>
            </w:r>
            <w:r w:rsidR="009C174D" w:rsidRPr="00614418">
              <w:rPr>
                <w:rFonts w:ascii="Garamond" w:eastAsiaTheme="minorEastAsia" w:hAnsi="Garamond" w:cs="Times New Roman"/>
              </w:rPr>
              <w:t>7</w:t>
            </w:r>
            <w:r w:rsidRPr="00614418">
              <w:rPr>
                <w:rFonts w:ascii="Garamond" w:eastAsiaTheme="minorEastAsia" w:hAnsi="Garamond" w:cs="Times New Roman"/>
              </w:rPr>
              <w:t>), New Zealand (1985-201</w:t>
            </w:r>
            <w:r w:rsidR="009C174D" w:rsidRPr="00614418">
              <w:rPr>
                <w:rFonts w:ascii="Garamond" w:eastAsiaTheme="minorEastAsia" w:hAnsi="Garamond" w:cs="Times New Roman"/>
              </w:rPr>
              <w:t>7</w:t>
            </w:r>
            <w:r w:rsidRPr="00614418">
              <w:rPr>
                <w:rFonts w:ascii="Garamond" w:eastAsiaTheme="minorEastAsia" w:hAnsi="Garamond" w:cs="Times New Roman"/>
              </w:rPr>
              <w:t>), Norway (1992-201</w:t>
            </w:r>
            <w:r w:rsidR="009C174D" w:rsidRPr="00614418">
              <w:rPr>
                <w:rFonts w:ascii="Garamond" w:eastAsiaTheme="minorEastAsia" w:hAnsi="Garamond" w:cs="Times New Roman"/>
              </w:rPr>
              <w:t>7</w:t>
            </w:r>
            <w:r w:rsidRPr="00614418">
              <w:rPr>
                <w:rFonts w:ascii="Garamond" w:eastAsiaTheme="minorEastAsia" w:hAnsi="Garamond" w:cs="Times New Roman"/>
              </w:rPr>
              <w:t>), Spain (1980-1985), Sweden (1993-201</w:t>
            </w:r>
            <w:r w:rsidR="009C174D" w:rsidRPr="00614418">
              <w:rPr>
                <w:rFonts w:ascii="Garamond" w:eastAsiaTheme="minorEastAsia" w:hAnsi="Garamond" w:cs="Times New Roman"/>
              </w:rPr>
              <w:t>7</w:t>
            </w:r>
            <w:r w:rsidRPr="00614418">
              <w:rPr>
                <w:rFonts w:ascii="Garamond" w:eastAsiaTheme="minorEastAsia" w:hAnsi="Garamond" w:cs="Times New Roman"/>
              </w:rPr>
              <w:t>), Switzerland (1980-2010, 2015-201</w:t>
            </w:r>
            <w:r w:rsidR="009C174D" w:rsidRPr="00614418">
              <w:rPr>
                <w:rFonts w:ascii="Garamond" w:eastAsiaTheme="minorEastAsia" w:hAnsi="Garamond" w:cs="Times New Roman"/>
              </w:rPr>
              <w:t>7</w:t>
            </w:r>
            <w:r w:rsidRPr="00614418">
              <w:rPr>
                <w:rFonts w:ascii="Garamond" w:eastAsiaTheme="minorEastAsia" w:hAnsi="Garamond" w:cs="Times New Roman"/>
              </w:rPr>
              <w:t>), UK (1980-1990, 1993-201</w:t>
            </w:r>
            <w:r w:rsidR="009C174D" w:rsidRPr="00614418">
              <w:rPr>
                <w:rFonts w:ascii="Garamond" w:eastAsiaTheme="minorEastAsia" w:hAnsi="Garamond" w:cs="Times New Roman"/>
              </w:rPr>
              <w:t>7</w:t>
            </w:r>
            <w:r w:rsidRPr="00614418">
              <w:rPr>
                <w:rFonts w:ascii="Garamond" w:eastAsiaTheme="minorEastAsia" w:hAnsi="Garamond" w:cs="Times New Roman"/>
              </w:rPr>
              <w:t>), US (1980-201</w:t>
            </w:r>
            <w:r w:rsidR="009C174D" w:rsidRPr="00614418">
              <w:rPr>
                <w:rFonts w:ascii="Garamond" w:eastAsiaTheme="minorEastAsia" w:hAnsi="Garamond" w:cs="Times New Roman"/>
              </w:rPr>
              <w:t>7</w:t>
            </w:r>
            <w:r w:rsidRPr="00614418">
              <w:rPr>
                <w:rFonts w:ascii="Garamond" w:eastAsiaTheme="minorEastAsia" w:hAnsi="Garamond" w:cs="Times New Roman"/>
              </w:rPr>
              <w:t>)</w:t>
            </w:r>
          </w:p>
          <w:p w14:paraId="2AD644B2" w14:textId="77777777" w:rsidR="008852FB" w:rsidRPr="00614418" w:rsidRDefault="008852FB" w:rsidP="00321203">
            <w:pPr>
              <w:jc w:val="both"/>
              <w:rPr>
                <w:rFonts w:ascii="Garamond" w:eastAsiaTheme="minorEastAsia" w:hAnsi="Garamond" w:cs="Times New Roman"/>
              </w:rPr>
            </w:pPr>
          </w:p>
        </w:tc>
        <w:tc>
          <w:tcPr>
            <w:tcW w:w="2700" w:type="dxa"/>
            <w:vMerge/>
          </w:tcPr>
          <w:p w14:paraId="79161FAD" w14:textId="77777777" w:rsidR="008852FB" w:rsidRPr="00614418" w:rsidRDefault="008852FB" w:rsidP="00321203">
            <w:pPr>
              <w:jc w:val="both"/>
              <w:rPr>
                <w:rFonts w:ascii="Garamond" w:eastAsiaTheme="minorEastAsia" w:hAnsi="Garamond" w:cs="Times New Roman"/>
              </w:rPr>
            </w:pPr>
          </w:p>
        </w:tc>
      </w:tr>
    </w:tbl>
    <w:p w14:paraId="4640A44D" w14:textId="77777777" w:rsidR="008852FB" w:rsidRPr="00614418" w:rsidRDefault="008852FB" w:rsidP="008852FB">
      <w:pPr>
        <w:spacing w:line="360" w:lineRule="auto"/>
        <w:jc w:val="both"/>
        <w:rPr>
          <w:rFonts w:ascii="Garamond" w:eastAsiaTheme="minorEastAsia" w:hAnsi="Garamond" w:cs="Times New Roman"/>
          <w:sz w:val="22"/>
          <w:szCs w:val="22"/>
        </w:rPr>
      </w:pPr>
    </w:p>
    <w:p w14:paraId="6B8BEF14" w14:textId="43309F7B" w:rsidR="0057413C" w:rsidRDefault="00A76124" w:rsidP="0057413C">
      <w:pPr>
        <w:spacing w:line="360" w:lineRule="auto"/>
        <w:ind w:firstLine="720"/>
        <w:jc w:val="both"/>
        <w:rPr>
          <w:rFonts w:ascii="Garamond" w:hAnsi="Garamond" w:cs="Times New Roman"/>
        </w:rPr>
      </w:pPr>
      <m:oMath>
        <m:sSub>
          <m:sSubPr>
            <m:ctrlPr>
              <w:rPr>
                <w:rFonts w:ascii="Cambria Math" w:eastAsiaTheme="minorEastAsia" w:hAnsi="Cambria Math" w:cs="Times New Roman"/>
                <w:i/>
              </w:rPr>
            </m:ctrlPr>
          </m:sSubPr>
          <m:e>
            <m:r>
              <w:rPr>
                <w:rFonts w:ascii="Cambria Math" w:eastAsiaTheme="minorEastAsia" w:hAnsi="Cambria Math" w:cs="Times New Roman"/>
              </w:rPr>
              <m:t>MacroInd</m:t>
            </m:r>
          </m:e>
          <m:sub>
            <m:r>
              <w:rPr>
                <w:rFonts w:ascii="Cambria Math" w:eastAsiaTheme="minorEastAsia" w:hAnsi="Cambria Math" w:cs="Times New Roman"/>
              </w:rPr>
              <m:t xml:space="preserve">i,t </m:t>
            </m:r>
          </m:sub>
        </m:sSub>
      </m:oMath>
      <w:r w:rsidR="008852FB" w:rsidRPr="00614418">
        <w:rPr>
          <w:rFonts w:ascii="Garamond" w:eastAsiaTheme="minorEastAsia" w:hAnsi="Garamond" w:cs="Times New Roman"/>
        </w:rPr>
        <w:t xml:space="preserve"> are the </w:t>
      </w:r>
      <w:r w:rsidR="00252C98" w:rsidRPr="00614418">
        <w:rPr>
          <w:rFonts w:ascii="Garamond" w:eastAsiaTheme="minorEastAsia" w:hAnsi="Garamond" w:cs="Times New Roman"/>
        </w:rPr>
        <w:t xml:space="preserve">monetary </w:t>
      </w:r>
      <w:r w:rsidR="008852FB" w:rsidRPr="00614418">
        <w:rPr>
          <w:rFonts w:ascii="Garamond" w:eastAsiaTheme="minorEastAsia" w:hAnsi="Garamond" w:cs="Times New Roman"/>
        </w:rPr>
        <w:t xml:space="preserve">and fiscal indicators </w:t>
      </w:r>
      <w:r w:rsidR="008E7BAD" w:rsidRPr="00614418">
        <w:rPr>
          <w:rFonts w:ascii="Garamond" w:eastAsiaTheme="minorEastAsia" w:hAnsi="Garamond" w:cs="Times New Roman"/>
        </w:rPr>
        <w:t>that</w:t>
      </w:r>
      <w:r w:rsidR="00252C98" w:rsidRPr="00614418">
        <w:rPr>
          <w:rFonts w:ascii="Garamond" w:eastAsiaTheme="minorEastAsia" w:hAnsi="Garamond" w:cs="Times New Roman"/>
        </w:rPr>
        <w:t xml:space="preserve"> our hypotheses posit might affect the risk premia component of nominal interest rates</w:t>
      </w:r>
      <w:r w:rsidR="00653A9E" w:rsidRPr="00614418">
        <w:rPr>
          <w:rFonts w:ascii="Garamond" w:eastAsiaTheme="minorEastAsia" w:hAnsi="Garamond" w:cs="Times New Roman"/>
        </w:rPr>
        <w:t>, in country i at time t</w:t>
      </w:r>
      <w:r w:rsidR="00935466" w:rsidRPr="00614418">
        <w:rPr>
          <w:rFonts w:ascii="Garamond" w:eastAsiaTheme="minorEastAsia" w:hAnsi="Garamond" w:cs="Times New Roman"/>
        </w:rPr>
        <w:t xml:space="preserve">. These include </w:t>
      </w:r>
      <w:r w:rsidR="00935466" w:rsidRPr="00614418">
        <w:rPr>
          <w:rFonts w:ascii="Garamond" w:hAnsi="Garamond"/>
        </w:rPr>
        <w:t xml:space="preserve">inflation, deficits, </w:t>
      </w:r>
      <w:r w:rsidR="00402DAA">
        <w:rPr>
          <w:rFonts w:ascii="Garamond" w:hAnsi="Garamond"/>
        </w:rPr>
        <w:t xml:space="preserve">government </w:t>
      </w:r>
      <w:r w:rsidR="00935466" w:rsidRPr="00614418">
        <w:rPr>
          <w:rFonts w:ascii="Garamond" w:hAnsi="Garamond"/>
        </w:rPr>
        <w:t xml:space="preserve">debt, </w:t>
      </w:r>
      <w:r w:rsidR="00402DAA">
        <w:rPr>
          <w:rFonts w:ascii="Garamond" w:hAnsi="Garamond"/>
        </w:rPr>
        <w:t xml:space="preserve">total </w:t>
      </w:r>
      <w:r w:rsidR="007F4E6A">
        <w:rPr>
          <w:rFonts w:ascii="Garamond" w:hAnsi="Garamond"/>
        </w:rPr>
        <w:t>social</w:t>
      </w:r>
      <w:r w:rsidR="007F4E6A" w:rsidRPr="00614418">
        <w:rPr>
          <w:rFonts w:ascii="Garamond" w:hAnsi="Garamond"/>
        </w:rPr>
        <w:t xml:space="preserve"> </w:t>
      </w:r>
      <w:r w:rsidR="00935466" w:rsidRPr="00614418">
        <w:rPr>
          <w:rFonts w:ascii="Garamond" w:hAnsi="Garamond"/>
        </w:rPr>
        <w:t>spending as well as spending on entitlements</w:t>
      </w:r>
      <w:r w:rsidR="00653A9E" w:rsidRPr="00614418">
        <w:rPr>
          <w:rFonts w:ascii="Garamond" w:hAnsi="Garamond"/>
        </w:rPr>
        <w:t>.</w:t>
      </w:r>
      <w:r w:rsidR="00402DAA">
        <w:rPr>
          <w:rFonts w:ascii="Garamond" w:hAnsi="Garamond"/>
        </w:rPr>
        <w:t xml:space="preserve">  </w:t>
      </w:r>
      <w:r w:rsidR="00B2187D">
        <w:rPr>
          <w:rFonts w:ascii="Garamond" w:hAnsi="Garamond"/>
        </w:rPr>
        <w:t xml:space="preserve">As explained above, we </w:t>
      </w:r>
      <w:r w:rsidR="00402DAA">
        <w:rPr>
          <w:rFonts w:ascii="Garamond" w:hAnsi="Garamond"/>
        </w:rPr>
        <w:t>single out entitlement spending</w:t>
      </w:r>
      <w:r w:rsidR="00B2187D">
        <w:rPr>
          <w:rFonts w:ascii="Garamond" w:hAnsi="Garamond"/>
        </w:rPr>
        <w:t xml:space="preserve"> for scrutiny</w:t>
      </w:r>
      <w:r w:rsidR="00402DAA">
        <w:rPr>
          <w:rFonts w:ascii="Garamond" w:hAnsi="Garamond"/>
        </w:rPr>
        <w:t xml:space="preserve"> from</w:t>
      </w:r>
      <w:r w:rsidR="00B2187D">
        <w:rPr>
          <w:rFonts w:ascii="Garamond" w:hAnsi="Garamond"/>
        </w:rPr>
        <w:t xml:space="preserve"> among the various types of</w:t>
      </w:r>
      <w:r w:rsidR="00402DAA">
        <w:rPr>
          <w:rFonts w:ascii="Garamond" w:hAnsi="Garamond"/>
        </w:rPr>
        <w:t xml:space="preserve"> social spending </w:t>
      </w:r>
      <w:r w:rsidR="00B2187D">
        <w:rPr>
          <w:rFonts w:ascii="Garamond" w:hAnsi="Garamond"/>
        </w:rPr>
        <w:t xml:space="preserve">because of their expected impact on long-term solvency (constituting </w:t>
      </w:r>
      <w:r w:rsidR="00B2187D">
        <w:rPr>
          <w:rFonts w:ascii="Garamond" w:hAnsi="Garamond" w:cs="Times New Roman"/>
        </w:rPr>
        <w:t>implicit liabilities that tend to</w:t>
      </w:r>
      <w:r w:rsidR="00B2187D" w:rsidRPr="00614418">
        <w:rPr>
          <w:rFonts w:ascii="Garamond" w:hAnsi="Garamond" w:cs="Times New Roman"/>
        </w:rPr>
        <w:t xml:space="preserve"> endogenously increase during periods of economic </w:t>
      </w:r>
      <w:r w:rsidR="00B2187D">
        <w:rPr>
          <w:rFonts w:ascii="Garamond" w:hAnsi="Garamond" w:cs="Times New Roman"/>
        </w:rPr>
        <w:t xml:space="preserve">distress and </w:t>
      </w:r>
      <w:r w:rsidR="00E62A98">
        <w:rPr>
          <w:rFonts w:ascii="Garamond" w:hAnsi="Garamond" w:cs="Times New Roman"/>
        </w:rPr>
        <w:t xml:space="preserve">do </w:t>
      </w:r>
      <w:r w:rsidR="00B2187D">
        <w:rPr>
          <w:rFonts w:ascii="Garamond" w:hAnsi="Garamond" w:cs="Times New Roman"/>
        </w:rPr>
        <w:t>not improv</w:t>
      </w:r>
      <w:r w:rsidR="00E62A98">
        <w:rPr>
          <w:rFonts w:ascii="Garamond" w:hAnsi="Garamond" w:cs="Times New Roman"/>
        </w:rPr>
        <w:t>e</w:t>
      </w:r>
      <w:r w:rsidR="00B2187D">
        <w:rPr>
          <w:rFonts w:ascii="Garamond" w:hAnsi="Garamond" w:cs="Times New Roman"/>
        </w:rPr>
        <w:t xml:space="preserve"> long-term growth-prospects). </w:t>
      </w:r>
      <w:r w:rsidR="00887F5E">
        <w:rPr>
          <w:rFonts w:ascii="Garamond" w:hAnsi="Garamond"/>
        </w:rPr>
        <w:t xml:space="preserve"> </w:t>
      </w:r>
      <w:r w:rsidR="00B2187D">
        <w:rPr>
          <w:rFonts w:ascii="Garamond" w:hAnsi="Garamond"/>
        </w:rPr>
        <w:t xml:space="preserve">Incidentally, entitlements are also </w:t>
      </w:r>
      <w:r w:rsidR="00887F5E">
        <w:rPr>
          <w:rFonts w:ascii="Garamond" w:hAnsi="Garamond"/>
        </w:rPr>
        <w:t>the only sub</w:t>
      </w:r>
      <w:r w:rsidR="003901B4">
        <w:rPr>
          <w:rFonts w:ascii="Garamond" w:hAnsi="Garamond"/>
        </w:rPr>
        <w:t>-</w:t>
      </w:r>
      <w:r w:rsidR="00887F5E">
        <w:rPr>
          <w:rFonts w:ascii="Garamond" w:hAnsi="Garamond"/>
        </w:rPr>
        <w:t>component of social spending for which there is balanced data for our entire sample</w:t>
      </w:r>
      <w:r w:rsidR="00887F5E">
        <w:rPr>
          <w:rStyle w:val="FootnoteReference"/>
          <w:rFonts w:ascii="Garamond" w:hAnsi="Garamond"/>
        </w:rPr>
        <w:footnoteReference w:id="21"/>
      </w:r>
      <w:r w:rsidR="00402DAA">
        <w:rPr>
          <w:rFonts w:ascii="Garamond" w:hAnsi="Garamond"/>
        </w:rPr>
        <w:t xml:space="preserve">. </w:t>
      </w:r>
      <w:r w:rsidR="00E32854" w:rsidRPr="00614418">
        <w:rPr>
          <w:rFonts w:ascii="Garamond" w:eastAsiaTheme="minorEastAsia" w:hAnsi="Garamond" w:cs="Times New Roman"/>
        </w:rPr>
        <w:t xml:space="preserve"> </w:t>
      </w:r>
      <m:oMath>
        <m:nary>
          <m:naryPr>
            <m:chr m:val="∑"/>
            <m:limLoc m:val="undOvr"/>
            <m:subHide m:val="1"/>
            <m:supHide m:val="1"/>
            <m:ctrlPr>
              <w:rPr>
                <w:rFonts w:ascii="Cambria Math" w:eastAsiaTheme="minorEastAsia" w:hAnsi="Cambria Math" w:cs="Times New Roman"/>
                <w:i/>
              </w:rPr>
            </m:ctrlPr>
          </m:naryPr>
          <m:sub/>
          <m:sup/>
          <m:e>
            <m:sSub>
              <m:sSubPr>
                <m:ctrlPr>
                  <w:rPr>
                    <w:rFonts w:ascii="Cambria Math" w:eastAsiaTheme="minorEastAsia" w:hAnsi="Cambria Math" w:cs="Times New Roman"/>
                    <w:i/>
                  </w:rPr>
                </m:ctrlPr>
              </m:sSubPr>
              <m:e>
                <m:r>
                  <w:rPr>
                    <w:rFonts w:ascii="Cambria Math" w:eastAsiaTheme="minorEastAsia" w:hAnsi="Cambria Math" w:cs="Times New Roman"/>
                  </w:rPr>
                  <m:t>ERregime</m:t>
                </m:r>
              </m:e>
              <m:sub>
                <m:r>
                  <w:rPr>
                    <w:rFonts w:ascii="Cambria Math" w:eastAsiaTheme="minorEastAsia" w:hAnsi="Cambria Math" w:cs="Times New Roman"/>
                  </w:rPr>
                  <m:t>i,t</m:t>
                </m:r>
              </m:sub>
            </m:sSub>
          </m:e>
        </m:nary>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MacroInd</m:t>
            </m:r>
          </m:e>
          <m:sub>
            <m:r>
              <w:rPr>
                <w:rFonts w:ascii="Cambria Math" w:eastAsiaTheme="minorEastAsia" w:hAnsi="Cambria Math" w:cs="Times New Roman"/>
              </w:rPr>
              <m:t>i,t</m:t>
            </m:r>
          </m:sub>
        </m:sSub>
        <m:r>
          <w:rPr>
            <w:rFonts w:ascii="Cambria Math" w:eastAsiaTheme="minorEastAsia" w:hAnsi="Cambria Math" w:cs="Times New Roman"/>
          </w:rPr>
          <m:t xml:space="preserve"> </m:t>
        </m:r>
      </m:oMath>
      <w:r w:rsidR="00E32854" w:rsidRPr="00614418">
        <w:rPr>
          <w:rFonts w:ascii="Garamond" w:eastAsiaTheme="minorEastAsia" w:hAnsi="Garamond" w:cs="Times New Roman"/>
        </w:rPr>
        <w:t xml:space="preserve"> </w:t>
      </w:r>
      <w:r w:rsidR="00E32854" w:rsidRPr="00614418">
        <w:rPr>
          <w:rFonts w:ascii="Garamond" w:hAnsi="Garamond" w:cs="Times New Roman"/>
        </w:rPr>
        <w:t>is the interaction term between these indicators and the exchange rate regime</w:t>
      </w:r>
      <w:r w:rsidR="0056601E" w:rsidRPr="00614418">
        <w:rPr>
          <w:rFonts w:ascii="Garamond" w:hAnsi="Garamond" w:cs="Times New Roman"/>
        </w:rPr>
        <w:t xml:space="preserve"> that</w:t>
      </w:r>
      <w:r w:rsidR="00E32854" w:rsidRPr="00614418">
        <w:rPr>
          <w:rFonts w:ascii="Garamond" w:hAnsi="Garamond" w:cs="Times New Roman"/>
        </w:rPr>
        <w:t xml:space="preserve"> country i belongs to at time t</w:t>
      </w:r>
      <w:r w:rsidR="0056601E" w:rsidRPr="00614418">
        <w:rPr>
          <w:rFonts w:ascii="Garamond" w:hAnsi="Garamond" w:cs="Times New Roman"/>
        </w:rPr>
        <w:t xml:space="preserve">. This </w:t>
      </w:r>
      <w:r w:rsidR="00402DAA">
        <w:rPr>
          <w:rFonts w:ascii="Garamond" w:hAnsi="Garamond" w:cs="Times New Roman"/>
        </w:rPr>
        <w:t>interaction captures</w:t>
      </w:r>
      <w:r w:rsidR="00252C98" w:rsidRPr="00614418">
        <w:rPr>
          <w:rFonts w:ascii="Garamond" w:hAnsi="Garamond" w:cs="Times New Roman"/>
        </w:rPr>
        <w:t xml:space="preserve"> differences in the impact o</w:t>
      </w:r>
      <w:r w:rsidR="00370C07" w:rsidRPr="00614418">
        <w:rPr>
          <w:rFonts w:ascii="Garamond" w:hAnsi="Garamond" w:cs="Times New Roman"/>
        </w:rPr>
        <w:t xml:space="preserve">f </w:t>
      </w:r>
      <w:r w:rsidR="0056601E" w:rsidRPr="00614418">
        <w:rPr>
          <w:rFonts w:ascii="Garamond" w:hAnsi="Garamond" w:cs="Times New Roman"/>
        </w:rPr>
        <w:t>our</w:t>
      </w:r>
      <w:r w:rsidR="00370C07" w:rsidRPr="00614418">
        <w:rPr>
          <w:rFonts w:ascii="Garamond" w:hAnsi="Garamond" w:cs="Times New Roman"/>
        </w:rPr>
        <w:t xml:space="preserve"> variables</w:t>
      </w:r>
      <w:r w:rsidR="0056601E" w:rsidRPr="00614418">
        <w:rPr>
          <w:rFonts w:ascii="Garamond" w:hAnsi="Garamond" w:cs="Times New Roman"/>
        </w:rPr>
        <w:t xml:space="preserve"> of interest</w:t>
      </w:r>
      <w:r w:rsidR="00370C07" w:rsidRPr="00614418">
        <w:rPr>
          <w:rFonts w:ascii="Garamond" w:hAnsi="Garamond" w:cs="Times New Roman"/>
        </w:rPr>
        <w:t xml:space="preserve"> on nominal interest rates under different exchange rate regimes</w:t>
      </w:r>
      <w:r w:rsidR="008852FB" w:rsidRPr="00614418">
        <w:rPr>
          <w:rFonts w:ascii="Garamond" w:eastAsiaTheme="minorEastAsia" w:hAnsi="Garamond" w:cs="Times New Roman"/>
        </w:rPr>
        <w:t xml:space="preserve">. </w:t>
      </w:r>
      <w:r w:rsidR="009076C8" w:rsidRPr="00614418">
        <w:rPr>
          <w:rFonts w:ascii="Garamond" w:eastAsiaTheme="minorEastAsia" w:hAnsi="Garamond" w:cs="Times New Roman"/>
        </w:rPr>
        <w:t xml:space="preserve">Data for </w:t>
      </w:r>
      <w:r w:rsidR="009076C8" w:rsidRPr="00614418">
        <w:rPr>
          <w:rFonts w:ascii="Garamond" w:eastAsiaTheme="minorEastAsia" w:hAnsi="Garamond" w:cs="Times New Roman"/>
          <w:i/>
        </w:rPr>
        <w:t>inflation</w:t>
      </w:r>
      <w:r w:rsidR="009076C8" w:rsidRPr="00614418">
        <w:rPr>
          <w:rFonts w:ascii="Garamond" w:eastAsiaTheme="minorEastAsia" w:hAnsi="Garamond" w:cs="Times New Roman"/>
        </w:rPr>
        <w:t xml:space="preserve"> stems from the OECD (2020</w:t>
      </w:r>
      <w:r w:rsidR="00FC5FF8">
        <w:rPr>
          <w:rFonts w:ascii="Garamond" w:eastAsiaTheme="minorEastAsia" w:hAnsi="Garamond" w:cs="Times New Roman"/>
        </w:rPr>
        <w:t>b</w:t>
      </w:r>
      <w:r w:rsidR="009076C8" w:rsidRPr="00614418">
        <w:rPr>
          <w:rFonts w:ascii="Garamond" w:eastAsiaTheme="minorEastAsia" w:hAnsi="Garamond" w:cs="Times New Roman"/>
        </w:rPr>
        <w:t>)</w:t>
      </w:r>
      <w:r w:rsidR="00B934A4" w:rsidRPr="00614418">
        <w:rPr>
          <w:rFonts w:ascii="Garamond" w:eastAsiaTheme="minorEastAsia" w:hAnsi="Garamond" w:cs="Times New Roman"/>
        </w:rPr>
        <w:t>.</w:t>
      </w:r>
      <w:r w:rsidR="009C174D" w:rsidRPr="00614418">
        <w:rPr>
          <w:rFonts w:ascii="Garamond" w:eastAsiaTheme="minorEastAsia" w:hAnsi="Garamond" w:cs="Times New Roman"/>
        </w:rPr>
        <w:t xml:space="preserve"> </w:t>
      </w:r>
      <w:r w:rsidR="00DF6051" w:rsidRPr="00614418">
        <w:rPr>
          <w:rFonts w:ascii="Garamond" w:eastAsiaTheme="minorEastAsia" w:hAnsi="Garamond" w:cs="Times New Roman"/>
        </w:rPr>
        <w:t xml:space="preserve">For </w:t>
      </w:r>
      <w:r w:rsidR="00645F09" w:rsidRPr="00614418">
        <w:rPr>
          <w:rFonts w:ascii="Garamond" w:eastAsiaTheme="minorEastAsia" w:hAnsi="Garamond" w:cs="Times New Roman"/>
        </w:rPr>
        <w:t xml:space="preserve">data </w:t>
      </w:r>
      <w:r w:rsidR="00DF6051" w:rsidRPr="00614418">
        <w:rPr>
          <w:rFonts w:ascii="Garamond" w:eastAsiaTheme="minorEastAsia" w:hAnsi="Garamond" w:cs="Times New Roman"/>
        </w:rPr>
        <w:t>on</w:t>
      </w:r>
      <w:r w:rsidR="00B934A4" w:rsidRPr="00614418">
        <w:rPr>
          <w:rFonts w:ascii="Garamond" w:eastAsiaTheme="minorEastAsia" w:hAnsi="Garamond" w:cs="Times New Roman"/>
        </w:rPr>
        <w:t xml:space="preserve"> </w:t>
      </w:r>
      <w:r w:rsidR="00B934A4" w:rsidRPr="00614418">
        <w:rPr>
          <w:rFonts w:ascii="Garamond" w:eastAsiaTheme="minorEastAsia" w:hAnsi="Garamond" w:cs="Times New Roman"/>
          <w:i/>
        </w:rPr>
        <w:t>g</w:t>
      </w:r>
      <w:r w:rsidR="009076C8" w:rsidRPr="00614418">
        <w:rPr>
          <w:rFonts w:ascii="Garamond" w:eastAsiaTheme="minorEastAsia" w:hAnsi="Garamond" w:cs="Times New Roman"/>
          <w:i/>
        </w:rPr>
        <w:t xml:space="preserve">overnment </w:t>
      </w:r>
      <w:r w:rsidR="009C174D" w:rsidRPr="00614418">
        <w:rPr>
          <w:rFonts w:ascii="Garamond" w:eastAsiaTheme="minorEastAsia" w:hAnsi="Garamond" w:cs="Times New Roman"/>
          <w:i/>
        </w:rPr>
        <w:t>debt</w:t>
      </w:r>
      <w:r w:rsidR="00EF430D" w:rsidRPr="00614418">
        <w:rPr>
          <w:rFonts w:ascii="Garamond" w:eastAsiaTheme="minorEastAsia" w:hAnsi="Garamond" w:cs="Times New Roman"/>
          <w:i/>
        </w:rPr>
        <w:t xml:space="preserve"> and</w:t>
      </w:r>
      <w:r w:rsidR="009C174D" w:rsidRPr="00614418">
        <w:rPr>
          <w:rFonts w:ascii="Garamond" w:eastAsiaTheme="minorEastAsia" w:hAnsi="Garamond" w:cs="Times New Roman"/>
          <w:i/>
        </w:rPr>
        <w:t xml:space="preserve"> the fiscal defici</w:t>
      </w:r>
      <w:r w:rsidR="007C4CD6" w:rsidRPr="00614418">
        <w:rPr>
          <w:rFonts w:ascii="Garamond" w:eastAsiaTheme="minorEastAsia" w:hAnsi="Garamond" w:cs="Times New Roman"/>
          <w:i/>
        </w:rPr>
        <w:t>t</w:t>
      </w:r>
      <w:r w:rsidR="00BE08E8" w:rsidRPr="00614418">
        <w:rPr>
          <w:rStyle w:val="FootnoteReference"/>
          <w:rFonts w:ascii="Garamond" w:eastAsiaTheme="minorEastAsia" w:hAnsi="Garamond" w:cs="Times New Roman"/>
        </w:rPr>
        <w:footnoteReference w:id="22"/>
      </w:r>
      <w:r w:rsidR="007C4CD6" w:rsidRPr="00614418">
        <w:rPr>
          <w:rFonts w:ascii="Garamond" w:eastAsiaTheme="minorEastAsia" w:hAnsi="Garamond" w:cs="Times New Roman"/>
        </w:rPr>
        <w:t xml:space="preserve"> (both as a percentage of GDP</w:t>
      </w:r>
      <w:r w:rsidR="00B934A4" w:rsidRPr="00614418">
        <w:rPr>
          <w:rFonts w:ascii="Garamond" w:eastAsiaTheme="minorEastAsia" w:hAnsi="Garamond" w:cs="Times New Roman"/>
        </w:rPr>
        <w:t xml:space="preserve">) </w:t>
      </w:r>
      <w:r w:rsidR="007C4CD6" w:rsidRPr="00614418">
        <w:rPr>
          <w:rFonts w:ascii="Garamond" w:eastAsiaTheme="minorEastAsia" w:hAnsi="Garamond" w:cs="Times New Roman"/>
        </w:rPr>
        <w:t xml:space="preserve">we rely on </w:t>
      </w:r>
      <w:proofErr w:type="spellStart"/>
      <w:r w:rsidR="007C4CD6" w:rsidRPr="00614418">
        <w:rPr>
          <w:rFonts w:ascii="Garamond" w:eastAsiaTheme="minorEastAsia" w:hAnsi="Garamond" w:cs="Times New Roman"/>
        </w:rPr>
        <w:t>Armingeon</w:t>
      </w:r>
      <w:proofErr w:type="spellEnd"/>
      <w:r w:rsidR="007C4CD6" w:rsidRPr="00614418">
        <w:rPr>
          <w:rFonts w:ascii="Garamond" w:eastAsiaTheme="minorEastAsia" w:hAnsi="Garamond" w:cs="Times New Roman"/>
        </w:rPr>
        <w:t xml:space="preserve"> et al (2020), who have extrapolated government debt and fiscal deficit </w:t>
      </w:r>
      <w:r w:rsidR="00EF430D" w:rsidRPr="00614418">
        <w:rPr>
          <w:rFonts w:ascii="Garamond" w:eastAsiaTheme="minorEastAsia" w:hAnsi="Garamond" w:cs="Times New Roman"/>
        </w:rPr>
        <w:t xml:space="preserve">data </w:t>
      </w:r>
      <w:r w:rsidR="007C4CD6" w:rsidRPr="00614418">
        <w:rPr>
          <w:rFonts w:ascii="Garamond" w:eastAsiaTheme="minorEastAsia" w:hAnsi="Garamond" w:cs="Times New Roman"/>
        </w:rPr>
        <w:t>for all countries in our sample back until 1980</w:t>
      </w:r>
      <w:r w:rsidR="00EF430D" w:rsidRPr="00614418">
        <w:rPr>
          <w:rStyle w:val="FootnoteReference"/>
          <w:rFonts w:ascii="Garamond" w:eastAsiaTheme="minorEastAsia" w:hAnsi="Garamond" w:cs="Times New Roman"/>
        </w:rPr>
        <w:footnoteReference w:id="23"/>
      </w:r>
      <w:r w:rsidR="007C4CD6" w:rsidRPr="00614418">
        <w:rPr>
          <w:rFonts w:ascii="Garamond" w:eastAsiaTheme="minorEastAsia" w:hAnsi="Garamond" w:cs="Times New Roman"/>
        </w:rPr>
        <w:t xml:space="preserve">. </w:t>
      </w:r>
      <w:r w:rsidR="00B934A4" w:rsidRPr="00614418">
        <w:rPr>
          <w:rFonts w:ascii="Garamond" w:eastAsiaTheme="minorEastAsia" w:hAnsi="Garamond" w:cs="Times New Roman"/>
        </w:rPr>
        <w:t xml:space="preserve">Due to collinearity, we test the impact of debt and deficit in separate models. Data for </w:t>
      </w:r>
      <w:r w:rsidR="007F4E6A">
        <w:rPr>
          <w:rFonts w:ascii="Garamond" w:eastAsiaTheme="minorEastAsia" w:hAnsi="Garamond" w:cs="Times New Roman"/>
          <w:i/>
        </w:rPr>
        <w:t>social</w:t>
      </w:r>
      <w:r w:rsidR="007F4E6A" w:rsidRPr="00614418">
        <w:rPr>
          <w:rFonts w:ascii="Garamond" w:eastAsiaTheme="minorEastAsia" w:hAnsi="Garamond" w:cs="Times New Roman"/>
          <w:i/>
        </w:rPr>
        <w:t xml:space="preserve"> </w:t>
      </w:r>
      <w:r w:rsidR="00B934A4" w:rsidRPr="00614418">
        <w:rPr>
          <w:rFonts w:ascii="Garamond" w:eastAsiaTheme="minorEastAsia" w:hAnsi="Garamond" w:cs="Times New Roman"/>
          <w:i/>
        </w:rPr>
        <w:t>spending</w:t>
      </w:r>
      <w:r w:rsidR="00F87FD8" w:rsidRPr="00614418">
        <w:rPr>
          <w:rFonts w:ascii="Garamond" w:eastAsiaTheme="minorEastAsia" w:hAnsi="Garamond" w:cs="Times New Roman"/>
        </w:rPr>
        <w:t xml:space="preserve"> (which includes spending on cash </w:t>
      </w:r>
      <w:r w:rsidR="00032434" w:rsidRPr="00614418">
        <w:rPr>
          <w:rFonts w:ascii="Garamond" w:eastAsiaTheme="minorEastAsia" w:hAnsi="Garamond" w:cs="Times New Roman"/>
        </w:rPr>
        <w:t>benefits</w:t>
      </w:r>
      <w:r w:rsidR="00080C7F">
        <w:rPr>
          <w:rFonts w:ascii="Garamond" w:eastAsiaTheme="minorEastAsia" w:hAnsi="Garamond" w:cs="Times New Roman"/>
        </w:rPr>
        <w:t>, such as entitlements,</w:t>
      </w:r>
      <w:r w:rsidR="00F87FD8" w:rsidRPr="00614418">
        <w:rPr>
          <w:rFonts w:ascii="Garamond" w:eastAsiaTheme="minorEastAsia" w:hAnsi="Garamond" w:cs="Times New Roman"/>
        </w:rPr>
        <w:t xml:space="preserve"> and social transfers in-kind like healthcare, education, social housing, etc</w:t>
      </w:r>
      <w:r w:rsidR="00653A9E" w:rsidRPr="00614418">
        <w:rPr>
          <w:rFonts w:ascii="Garamond" w:eastAsiaTheme="minorEastAsia" w:hAnsi="Garamond" w:cs="Times New Roman"/>
        </w:rPr>
        <w:t>.</w:t>
      </w:r>
      <w:r w:rsidR="00F87FD8" w:rsidRPr="00614418">
        <w:rPr>
          <w:rFonts w:ascii="Garamond" w:eastAsiaTheme="minorEastAsia" w:hAnsi="Garamond" w:cs="Times New Roman"/>
        </w:rPr>
        <w:t>)</w:t>
      </w:r>
      <w:r w:rsidR="007203BB" w:rsidRPr="00614418">
        <w:rPr>
          <w:rFonts w:ascii="Garamond" w:eastAsiaTheme="minorEastAsia" w:hAnsi="Garamond" w:cs="Times New Roman"/>
        </w:rPr>
        <w:t xml:space="preserve"> stem from the OECD (2021), while figures on </w:t>
      </w:r>
      <w:r w:rsidR="00B934A4" w:rsidRPr="00614418">
        <w:rPr>
          <w:rFonts w:ascii="Garamond" w:eastAsiaTheme="minorEastAsia" w:hAnsi="Garamond" w:cs="Times New Roman"/>
          <w:i/>
        </w:rPr>
        <w:t>entitlement spending</w:t>
      </w:r>
      <w:r w:rsidR="00F87FD8" w:rsidRPr="00614418">
        <w:rPr>
          <w:rFonts w:ascii="Garamond" w:eastAsiaTheme="minorEastAsia" w:hAnsi="Garamond" w:cs="Times New Roman"/>
        </w:rPr>
        <w:t xml:space="preserve"> (</w:t>
      </w:r>
      <w:r w:rsidR="00887F5E">
        <w:rPr>
          <w:rFonts w:ascii="Garamond" w:eastAsiaTheme="minorEastAsia" w:hAnsi="Garamond" w:cs="Times New Roman"/>
        </w:rPr>
        <w:t xml:space="preserve">also </w:t>
      </w:r>
      <w:r w:rsidR="00080C7F">
        <w:rPr>
          <w:rFonts w:ascii="Garamond" w:eastAsiaTheme="minorEastAsia" w:hAnsi="Garamond" w:cs="Times New Roman"/>
        </w:rPr>
        <w:t>called</w:t>
      </w:r>
      <w:r w:rsidR="00887F5E">
        <w:rPr>
          <w:rFonts w:ascii="Garamond" w:eastAsiaTheme="minorEastAsia" w:hAnsi="Garamond" w:cs="Times New Roman"/>
        </w:rPr>
        <w:t xml:space="preserve"> social security transfers</w:t>
      </w:r>
      <w:r w:rsidR="005439DC">
        <w:rPr>
          <w:rFonts w:ascii="Garamond" w:eastAsiaTheme="minorEastAsia" w:hAnsi="Garamond" w:cs="Times New Roman"/>
        </w:rPr>
        <w:t xml:space="preserve">) </w:t>
      </w:r>
      <w:r w:rsidR="00887F5E">
        <w:rPr>
          <w:rFonts w:ascii="Garamond" w:eastAsiaTheme="minorEastAsia" w:hAnsi="Garamond" w:cs="Times New Roman"/>
        </w:rPr>
        <w:t xml:space="preserve">include </w:t>
      </w:r>
      <w:r w:rsidR="006150B9" w:rsidRPr="00614418">
        <w:rPr>
          <w:rFonts w:ascii="Garamond" w:eastAsiaTheme="minorEastAsia" w:hAnsi="Garamond" w:cs="Times New Roman"/>
        </w:rPr>
        <w:t>pension spending</w:t>
      </w:r>
      <w:r w:rsidR="006150B9">
        <w:rPr>
          <w:rFonts w:ascii="Garamond" w:eastAsiaTheme="minorEastAsia" w:hAnsi="Garamond" w:cs="Times New Roman"/>
        </w:rPr>
        <w:t xml:space="preserve">, </w:t>
      </w:r>
      <w:r w:rsidR="006150B9" w:rsidRPr="005439DC">
        <w:rPr>
          <w:rFonts w:ascii="Garamond" w:eastAsiaTheme="minorEastAsia" w:hAnsi="Garamond" w:cs="Times New Roman"/>
        </w:rPr>
        <w:t>unemployment</w:t>
      </w:r>
      <w:r w:rsidR="0019223A" w:rsidRPr="005439DC">
        <w:rPr>
          <w:rFonts w:ascii="Garamond" w:eastAsiaTheme="minorEastAsia" w:hAnsi="Garamond" w:cs="Times New Roman"/>
        </w:rPr>
        <w:t>,</w:t>
      </w:r>
      <w:r w:rsidR="006150B9" w:rsidRPr="00614418">
        <w:rPr>
          <w:rFonts w:ascii="Garamond" w:eastAsiaTheme="minorEastAsia" w:hAnsi="Garamond" w:cs="Times New Roman"/>
        </w:rPr>
        <w:t xml:space="preserve"> </w:t>
      </w:r>
      <w:r w:rsidR="00F87FD8" w:rsidRPr="00614418">
        <w:rPr>
          <w:rFonts w:ascii="Garamond" w:eastAsiaTheme="minorEastAsia" w:hAnsi="Garamond" w:cs="Times New Roman"/>
        </w:rPr>
        <w:t>sickness and disability benefits, and family allowance</w:t>
      </w:r>
      <w:r w:rsidR="005439DC">
        <w:rPr>
          <w:rFonts w:ascii="Garamond" w:eastAsiaTheme="minorEastAsia" w:hAnsi="Garamond" w:cs="Times New Roman"/>
        </w:rPr>
        <w:t>, and are taken</w:t>
      </w:r>
      <w:r w:rsidR="007203BB" w:rsidRPr="00614418">
        <w:rPr>
          <w:rFonts w:ascii="Garamond" w:eastAsiaTheme="minorEastAsia" w:hAnsi="Garamond" w:cs="Times New Roman"/>
        </w:rPr>
        <w:t xml:space="preserve"> from </w:t>
      </w:r>
      <w:proofErr w:type="spellStart"/>
      <w:r w:rsidR="007203BB" w:rsidRPr="00614418">
        <w:rPr>
          <w:rFonts w:ascii="Garamond" w:eastAsiaTheme="minorEastAsia" w:hAnsi="Garamond" w:cs="Times New Roman"/>
        </w:rPr>
        <w:t>Armingeon</w:t>
      </w:r>
      <w:proofErr w:type="spellEnd"/>
      <w:r w:rsidR="007203BB" w:rsidRPr="00614418">
        <w:rPr>
          <w:rFonts w:ascii="Garamond" w:eastAsiaTheme="minorEastAsia" w:hAnsi="Garamond" w:cs="Times New Roman"/>
        </w:rPr>
        <w:t xml:space="preserve"> et al (2020)</w:t>
      </w:r>
      <w:r w:rsidR="00F87FD8" w:rsidRPr="00614418">
        <w:rPr>
          <w:rFonts w:ascii="Garamond" w:eastAsiaTheme="minorEastAsia" w:hAnsi="Garamond" w:cs="Times New Roman"/>
        </w:rPr>
        <w:t>.</w:t>
      </w:r>
      <w:r w:rsidR="003C3FE1" w:rsidRPr="00614418">
        <w:rPr>
          <w:rFonts w:ascii="Garamond" w:eastAsiaTheme="minorEastAsia" w:hAnsi="Garamond" w:cs="Times New Roman"/>
        </w:rPr>
        <w:t xml:space="preserve"> </w:t>
      </w:r>
      <w:r w:rsidR="00FC5FF8">
        <w:rPr>
          <w:rFonts w:ascii="Garamond" w:eastAsiaTheme="minorEastAsia" w:hAnsi="Garamond" w:cs="Times New Roman"/>
        </w:rPr>
        <w:t xml:space="preserve"> Rather th</w:t>
      </w:r>
      <w:r w:rsidR="00080C7F">
        <w:rPr>
          <w:rFonts w:ascii="Garamond" w:eastAsiaTheme="minorEastAsia" w:hAnsi="Garamond" w:cs="Times New Roman"/>
        </w:rPr>
        <w:t>a</w:t>
      </w:r>
      <w:r w:rsidR="00FC5FF8">
        <w:rPr>
          <w:rFonts w:ascii="Garamond" w:eastAsiaTheme="minorEastAsia" w:hAnsi="Garamond" w:cs="Times New Roman"/>
        </w:rPr>
        <w:t>n placing all interactions between our five policy variables and exchange rate regime</w:t>
      </w:r>
      <w:r w:rsidR="008A3353">
        <w:rPr>
          <w:rFonts w:ascii="Garamond" w:eastAsiaTheme="minorEastAsia" w:hAnsi="Garamond" w:cs="Times New Roman"/>
        </w:rPr>
        <w:t>s</w:t>
      </w:r>
      <w:r w:rsidR="00FC5FF8">
        <w:rPr>
          <w:rFonts w:ascii="Garamond" w:eastAsiaTheme="minorEastAsia" w:hAnsi="Garamond" w:cs="Times New Roman"/>
        </w:rPr>
        <w:t xml:space="preserve"> into the same model, we examine them one-by-one</w:t>
      </w:r>
      <w:r w:rsidR="008A3353">
        <w:rPr>
          <w:rFonts w:ascii="Garamond" w:eastAsiaTheme="minorEastAsia" w:hAnsi="Garamond" w:cs="Times New Roman"/>
        </w:rPr>
        <w:t xml:space="preserve">, </w:t>
      </w:r>
      <w:r w:rsidR="00FC5FF8">
        <w:rPr>
          <w:rFonts w:ascii="Garamond" w:eastAsiaTheme="minorEastAsia" w:hAnsi="Garamond" w:cs="Times New Roman"/>
        </w:rPr>
        <w:t>giving us a total of five models</w:t>
      </w:r>
      <w:r w:rsidR="008A3353">
        <w:rPr>
          <w:rFonts w:ascii="Garamond" w:eastAsiaTheme="minorEastAsia" w:hAnsi="Garamond" w:cs="Times New Roman"/>
        </w:rPr>
        <w:t xml:space="preserve"> for our moving window </w:t>
      </w:r>
      <w:r w:rsidR="008A3353">
        <w:rPr>
          <w:rFonts w:ascii="Garamond" w:eastAsiaTheme="minorEastAsia" w:hAnsi="Garamond" w:cs="Times New Roman"/>
        </w:rPr>
        <w:lastRenderedPageBreak/>
        <w:t>analysis</w:t>
      </w:r>
      <w:r w:rsidR="00FC5FF8">
        <w:rPr>
          <w:rFonts w:ascii="Garamond" w:eastAsiaTheme="minorEastAsia" w:hAnsi="Garamond" w:cs="Times New Roman"/>
        </w:rPr>
        <w:t>. All models, regardless of the interaction term</w:t>
      </w:r>
      <w:r w:rsidR="008A3353">
        <w:rPr>
          <w:rFonts w:ascii="Garamond" w:eastAsiaTheme="minorEastAsia" w:hAnsi="Garamond" w:cs="Times New Roman"/>
        </w:rPr>
        <w:t>, control for inflation, while all models except for that which incorporates the interaction between the fiscal deficit and exchange rate regime use government debt as the primary default risk control.</w:t>
      </w:r>
      <w:r w:rsidR="00FC5FF8">
        <w:rPr>
          <w:rFonts w:ascii="Garamond" w:eastAsiaTheme="minorEastAsia" w:hAnsi="Garamond" w:cs="Times New Roman"/>
        </w:rPr>
        <w:t xml:space="preserve"> </w:t>
      </w:r>
      <m:oMath>
        <m:nary>
          <m:naryPr>
            <m:chr m:val="∑"/>
            <m:limLoc m:val="undOvr"/>
            <m:subHide m:val="1"/>
            <m:supHide m:val="1"/>
            <m:ctrlPr>
              <w:rPr>
                <w:rFonts w:ascii="Cambria Math" w:eastAsiaTheme="minorEastAsia" w:hAnsi="Cambria Math" w:cs="Times New Roman"/>
                <w:i/>
              </w:rPr>
            </m:ctrlPr>
          </m:naryPr>
          <m:sub/>
          <m:sup/>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i,t</m:t>
                </m:r>
              </m:sub>
            </m:sSub>
            <m:r>
              <m:rPr>
                <m:sty m:val="p"/>
              </m:rPr>
              <w:rPr>
                <w:rFonts w:ascii="Cambria Math" w:hAnsi="Cambria Math" w:cs="Times New Roman"/>
              </w:rPr>
              <m:t xml:space="preserve"> </m:t>
            </m:r>
          </m:e>
        </m:nary>
      </m:oMath>
      <w:r w:rsidR="008852FB" w:rsidRPr="00614418">
        <w:rPr>
          <w:rFonts w:ascii="Garamond" w:hAnsi="Garamond" w:cs="Times New Roman"/>
        </w:rPr>
        <w:t xml:space="preserve">is a vector of economic indicators that </w:t>
      </w:r>
      <w:r w:rsidR="008B5C84" w:rsidRPr="00614418">
        <w:rPr>
          <w:rFonts w:ascii="Garamond" w:hAnsi="Garamond" w:cs="Times New Roman"/>
        </w:rPr>
        <w:t>are commonly expected to affect</w:t>
      </w:r>
      <w:r w:rsidR="008852FB" w:rsidRPr="00614418">
        <w:rPr>
          <w:rFonts w:ascii="Garamond" w:hAnsi="Garamond" w:cs="Times New Roman"/>
        </w:rPr>
        <w:t xml:space="preserve"> </w:t>
      </w:r>
      <w:r w:rsidR="00E32854" w:rsidRPr="00614418">
        <w:rPr>
          <w:rFonts w:ascii="Garamond" w:hAnsi="Garamond" w:cs="Times New Roman"/>
        </w:rPr>
        <w:t xml:space="preserve">bond </w:t>
      </w:r>
      <w:r w:rsidR="00C50405" w:rsidRPr="00614418">
        <w:rPr>
          <w:rFonts w:ascii="Garamond" w:hAnsi="Garamond" w:cs="Times New Roman"/>
        </w:rPr>
        <w:t>yields</w:t>
      </w:r>
      <w:r w:rsidR="00653A9E" w:rsidRPr="00614418">
        <w:rPr>
          <w:rFonts w:ascii="Garamond" w:hAnsi="Garamond" w:cs="Times New Roman"/>
        </w:rPr>
        <w:t>, in country i at time t</w:t>
      </w:r>
      <w:r w:rsidR="008852FB" w:rsidRPr="00614418">
        <w:rPr>
          <w:rFonts w:ascii="Garamond" w:hAnsi="Garamond" w:cs="Times New Roman"/>
        </w:rPr>
        <w:t>.  These include GDP growth</w:t>
      </w:r>
      <w:r w:rsidR="008852FB" w:rsidRPr="00614418">
        <w:rPr>
          <w:rStyle w:val="FootnoteReference"/>
          <w:rFonts w:ascii="Garamond" w:hAnsi="Garamond" w:cs="Times New Roman"/>
        </w:rPr>
        <w:footnoteReference w:id="24"/>
      </w:r>
      <w:r w:rsidR="008852FB" w:rsidRPr="00614418">
        <w:rPr>
          <w:rFonts w:ascii="Garamond" w:hAnsi="Garamond" w:cs="Times New Roman"/>
        </w:rPr>
        <w:t>, the (first differenced) unemployment rate</w:t>
      </w:r>
      <w:r w:rsidR="008852FB" w:rsidRPr="00614418">
        <w:rPr>
          <w:rStyle w:val="FootnoteReference"/>
          <w:rFonts w:ascii="Garamond" w:hAnsi="Garamond" w:cs="Times New Roman"/>
        </w:rPr>
        <w:footnoteReference w:id="25"/>
      </w:r>
      <w:r w:rsidR="008852FB" w:rsidRPr="00614418">
        <w:rPr>
          <w:rFonts w:ascii="Garamond" w:hAnsi="Garamond" w:cs="Times New Roman"/>
        </w:rPr>
        <w:t xml:space="preserve">, </w:t>
      </w:r>
      <w:r w:rsidR="00E34D43" w:rsidRPr="00614418">
        <w:rPr>
          <w:rFonts w:ascii="Garamond" w:hAnsi="Garamond" w:cs="Times New Roman"/>
        </w:rPr>
        <w:t xml:space="preserve">and </w:t>
      </w:r>
      <w:r w:rsidR="008852FB" w:rsidRPr="00614418">
        <w:rPr>
          <w:rFonts w:ascii="Garamond" w:hAnsi="Garamond" w:cs="Times New Roman"/>
        </w:rPr>
        <w:t>the current account balance</w:t>
      </w:r>
      <w:r w:rsidR="008852FB" w:rsidRPr="00614418">
        <w:rPr>
          <w:rStyle w:val="FootnoteReference"/>
          <w:rFonts w:ascii="Garamond" w:hAnsi="Garamond" w:cs="Times New Roman"/>
        </w:rPr>
        <w:footnoteReference w:id="26"/>
      </w:r>
      <w:r w:rsidR="005C6340">
        <w:rPr>
          <w:rFonts w:ascii="Garamond" w:hAnsi="Garamond" w:cs="Times New Roman"/>
        </w:rPr>
        <w:t xml:space="preserve"> (as a percentage of GDP).</w:t>
      </w:r>
      <w:r w:rsidR="008852FB" w:rsidRPr="00614418">
        <w:rPr>
          <w:rFonts w:ascii="Garamond" w:hAnsi="Garamond" w:cs="Times New Roman"/>
        </w:rPr>
        <w:t xml:space="preserve"> </w:t>
      </w:r>
    </w:p>
    <w:p w14:paraId="2087D78D" w14:textId="02D31905" w:rsidR="008852FB" w:rsidRPr="00614418" w:rsidRDefault="00E32854">
      <w:pPr>
        <w:spacing w:line="360" w:lineRule="auto"/>
        <w:ind w:firstLine="720"/>
        <w:jc w:val="both"/>
        <w:rPr>
          <w:rFonts w:ascii="Garamond" w:hAnsi="Garamond" w:cs="Times New Roman"/>
        </w:rPr>
      </w:pPr>
      <w:r w:rsidRPr="00614418">
        <w:rPr>
          <w:rFonts w:ascii="Garamond" w:hAnsi="Garamond" w:cs="Times New Roman"/>
        </w:rPr>
        <w:t xml:space="preserve">Ideally, we would </w:t>
      </w:r>
      <w:r w:rsidR="005C6340">
        <w:rPr>
          <w:rFonts w:ascii="Garamond" w:hAnsi="Garamond" w:cs="Times New Roman"/>
        </w:rPr>
        <w:t>like</w:t>
      </w:r>
      <w:r w:rsidRPr="00614418">
        <w:rPr>
          <w:rFonts w:ascii="Garamond" w:hAnsi="Garamond" w:cs="Times New Roman"/>
        </w:rPr>
        <w:t xml:space="preserve"> to control for </w:t>
      </w:r>
      <w:r w:rsidR="00A443FE">
        <w:rPr>
          <w:rFonts w:ascii="Garamond" w:hAnsi="Garamond" w:cs="Times New Roman"/>
        </w:rPr>
        <w:t xml:space="preserve">a number of factors </w:t>
      </w:r>
      <w:r w:rsidR="00C619CC">
        <w:rPr>
          <w:rFonts w:ascii="Garamond" w:hAnsi="Garamond" w:cs="Times New Roman"/>
        </w:rPr>
        <w:t>that affect domestic financial market conditions</w:t>
      </w:r>
      <w:r w:rsidR="0010650C">
        <w:rPr>
          <w:rFonts w:ascii="Garamond" w:hAnsi="Garamond" w:cs="Times New Roman"/>
        </w:rPr>
        <w:t xml:space="preserve"> and, therefore, modulate the demand for countries’ bonds</w:t>
      </w:r>
      <w:r w:rsidR="00C619CC">
        <w:rPr>
          <w:rFonts w:ascii="Garamond" w:hAnsi="Garamond" w:cs="Times New Roman"/>
        </w:rPr>
        <w:t xml:space="preserve">, such as </w:t>
      </w:r>
      <w:r w:rsidR="007F4E6A">
        <w:rPr>
          <w:rFonts w:ascii="Garamond" w:hAnsi="Garamond" w:cs="Times New Roman"/>
        </w:rPr>
        <w:t>capital mobility</w:t>
      </w:r>
      <w:r w:rsidR="00C619CC">
        <w:rPr>
          <w:rFonts w:ascii="Garamond" w:hAnsi="Garamond" w:cs="Times New Roman"/>
        </w:rPr>
        <w:t xml:space="preserve">, </w:t>
      </w:r>
      <w:r w:rsidR="0010650C">
        <w:rPr>
          <w:rFonts w:ascii="Garamond" w:hAnsi="Garamond" w:cs="Times New Roman"/>
        </w:rPr>
        <w:t xml:space="preserve">the share of foreign/domestic-denominated debt within the total debt stock, and </w:t>
      </w:r>
      <w:r w:rsidR="00C619CC">
        <w:rPr>
          <w:rFonts w:ascii="Garamond" w:hAnsi="Garamond" w:cs="Times New Roman"/>
        </w:rPr>
        <w:t>measures of financial repression and/or home bias</w:t>
      </w:r>
      <w:r w:rsidR="0010650C">
        <w:rPr>
          <w:rFonts w:ascii="Garamond" w:hAnsi="Garamond" w:cs="Times New Roman"/>
        </w:rPr>
        <w:t xml:space="preserve">. Data on capital mobility, measured by the Chinn-Ito capital account openness index (2020) is missing for Luxembourg for the entire period and for Switzerland before 1996. We exclude this control from our main models to preserve our sample, but we emphasize that when this variable is controlled for (which would omit those observations lacking data), our results are similar to those produced below (we present these results in Appendix B). </w:t>
      </w:r>
      <w:r w:rsidR="00F83A92">
        <w:rPr>
          <w:rFonts w:ascii="Garamond" w:hAnsi="Garamond" w:cs="Times New Roman"/>
        </w:rPr>
        <w:t xml:space="preserve">Data </w:t>
      </w:r>
      <w:r w:rsidR="00C11F23">
        <w:rPr>
          <w:rFonts w:ascii="Garamond" w:hAnsi="Garamond" w:cs="Times New Roman"/>
        </w:rPr>
        <w:t>on the currency denomination of sovereign debt</w:t>
      </w:r>
      <w:r w:rsidR="0057413C">
        <w:rPr>
          <w:rFonts w:ascii="Garamond" w:hAnsi="Garamond" w:cs="Times New Roman"/>
        </w:rPr>
        <w:t xml:space="preserve"> (</w:t>
      </w:r>
      <w:r w:rsidR="00F83A92">
        <w:rPr>
          <w:rFonts w:ascii="Garamond" w:hAnsi="Garamond" w:cs="Times New Roman"/>
        </w:rPr>
        <w:t xml:space="preserve">Bank of International Settlements, </w:t>
      </w:r>
      <w:r w:rsidR="0057413C">
        <w:rPr>
          <w:rFonts w:ascii="Garamond" w:hAnsi="Garamond" w:cs="Times New Roman"/>
        </w:rPr>
        <w:t>2022)</w:t>
      </w:r>
      <w:r w:rsidR="00C11F23">
        <w:rPr>
          <w:rFonts w:ascii="Garamond" w:hAnsi="Garamond" w:cs="Times New Roman"/>
        </w:rPr>
        <w:t xml:space="preserve"> misses observation for most of our sample of countries for most of our sample period (</w:t>
      </w:r>
      <w:r w:rsidR="0057413C">
        <w:rPr>
          <w:rFonts w:ascii="Garamond" w:hAnsi="Garamond" w:cs="Times New Roman"/>
        </w:rPr>
        <w:t>e</w:t>
      </w:r>
      <w:r w:rsidR="00C11F23">
        <w:rPr>
          <w:rFonts w:ascii="Garamond" w:hAnsi="Garamond" w:cs="Times New Roman"/>
        </w:rPr>
        <w:t>.g. data for the United Kingdom</w:t>
      </w:r>
      <w:r w:rsidR="00C11F23" w:rsidRPr="00C11F23">
        <w:rPr>
          <w:rFonts w:ascii="Garamond" w:hAnsi="Garamond" w:cs="Times New Roman"/>
        </w:rPr>
        <w:t xml:space="preserve"> </w:t>
      </w:r>
      <w:r w:rsidR="00C11F23">
        <w:rPr>
          <w:rFonts w:ascii="Garamond" w:hAnsi="Garamond" w:cs="Times New Roman"/>
        </w:rPr>
        <w:t>is missing all the way up to 1998, for Switzerland up to 1999, for Norway up to 2005, for Japan up to 2012)</w:t>
      </w:r>
      <w:r w:rsidR="0057413C">
        <w:rPr>
          <w:rFonts w:ascii="Garamond" w:hAnsi="Garamond" w:cs="Times New Roman"/>
        </w:rPr>
        <w:t>, making it impossible to directly control for currency denomination</w:t>
      </w:r>
      <w:r w:rsidR="00C11F23">
        <w:rPr>
          <w:rFonts w:ascii="Garamond" w:hAnsi="Garamond" w:cs="Times New Roman"/>
        </w:rPr>
        <w:t xml:space="preserve">. </w:t>
      </w:r>
      <w:r w:rsidR="00F9561F">
        <w:rPr>
          <w:rFonts w:ascii="Garamond" w:hAnsi="Garamond" w:cs="Times New Roman"/>
        </w:rPr>
        <w:t xml:space="preserve">That said, we surveyed the </w:t>
      </w:r>
      <w:r w:rsidR="0057413C">
        <w:rPr>
          <w:rFonts w:ascii="Garamond" w:hAnsi="Garamond" w:cs="Times New Roman"/>
        </w:rPr>
        <w:t xml:space="preserve">available </w:t>
      </w:r>
      <w:r w:rsidR="00F9561F">
        <w:rPr>
          <w:rFonts w:ascii="Garamond" w:hAnsi="Garamond" w:cs="Times New Roman"/>
        </w:rPr>
        <w:t xml:space="preserve">data to identify countries whose proportion of foreign-currency denominated debt is more than marginal (greater than </w:t>
      </w:r>
      <w:r w:rsidR="00F83A92">
        <w:rPr>
          <w:rFonts w:ascii="Garamond" w:hAnsi="Garamond" w:cs="Times New Roman"/>
        </w:rPr>
        <w:t>two</w:t>
      </w:r>
      <w:r w:rsidR="00F9561F">
        <w:rPr>
          <w:rFonts w:ascii="Garamond" w:hAnsi="Garamond" w:cs="Times New Roman"/>
        </w:rPr>
        <w:t xml:space="preserve"> percent of the total outstanding debt), in order to identify cases in which the ‘original sin’ phenomenon (i.e. the problem of being indebted foreign currency) could complicate the determination of yields. In our sample, only Canada and Sweden had share</w:t>
      </w:r>
      <w:r w:rsidR="004B1945">
        <w:rPr>
          <w:rFonts w:ascii="Garamond" w:hAnsi="Garamond" w:cs="Times New Roman"/>
        </w:rPr>
        <w:t>s</w:t>
      </w:r>
      <w:r w:rsidR="00F9561F">
        <w:rPr>
          <w:rFonts w:ascii="Garamond" w:hAnsi="Garamond" w:cs="Times New Roman"/>
        </w:rPr>
        <w:t xml:space="preserve"> of foreign-currency denominated debt</w:t>
      </w:r>
      <w:r w:rsidR="0057413C">
        <w:rPr>
          <w:rFonts w:ascii="Garamond" w:hAnsi="Garamond" w:cs="Times New Roman"/>
        </w:rPr>
        <w:t xml:space="preserve"> that ever went beyond two percent, based on the available data (in the case of Canada, the largest share was around 10 percent, in Sweden around 17 percent)</w:t>
      </w:r>
      <w:r w:rsidR="00F9561F">
        <w:rPr>
          <w:rFonts w:ascii="Garamond" w:hAnsi="Garamond" w:cs="Times New Roman"/>
        </w:rPr>
        <w:t>. As a robustness check, we ran our models excluding these two countries, and the results do not change.</w:t>
      </w:r>
      <w:r w:rsidR="00D821FE">
        <w:rPr>
          <w:rFonts w:ascii="Garamond" w:hAnsi="Garamond" w:cs="Times New Roman"/>
        </w:rPr>
        <w:t xml:space="preserve"> (We present these results in Appendix C).</w:t>
      </w:r>
      <w:r w:rsidR="007904F3">
        <w:rPr>
          <w:rFonts w:ascii="Garamond" w:hAnsi="Garamond" w:cs="Times New Roman"/>
        </w:rPr>
        <w:t xml:space="preserve"> </w:t>
      </w:r>
      <w:r w:rsidR="0057413C">
        <w:rPr>
          <w:rFonts w:ascii="Garamond" w:hAnsi="Garamond" w:cs="Times New Roman"/>
        </w:rPr>
        <w:t xml:space="preserve">Controlling for financial repression/home bias proved to be the greatest challenge, because </w:t>
      </w:r>
      <w:r w:rsidR="00F83A92">
        <w:rPr>
          <w:rFonts w:ascii="Garamond" w:hAnsi="Garamond" w:cs="Times New Roman"/>
        </w:rPr>
        <w:t xml:space="preserve">we are unaware of any quantitative operationalization of the concepts (beyond the qualitative overview provided in Reinhart and </w:t>
      </w:r>
      <w:proofErr w:type="spellStart"/>
      <w:r w:rsidR="00F83A92">
        <w:rPr>
          <w:rFonts w:ascii="Garamond" w:hAnsi="Garamond" w:cs="Times New Roman"/>
        </w:rPr>
        <w:t>Sbrancia</w:t>
      </w:r>
      <w:proofErr w:type="spellEnd"/>
      <w:r w:rsidR="00F83A92">
        <w:rPr>
          <w:rFonts w:ascii="Garamond" w:hAnsi="Garamond" w:cs="Times New Roman"/>
        </w:rPr>
        <w:t xml:space="preserve"> 2012 for 11 out of our 23 countries in our sample). While financial repression/home bias is likely to differ both across </w:t>
      </w:r>
      <w:r w:rsidR="00F83A92">
        <w:rPr>
          <w:rFonts w:ascii="Garamond" w:hAnsi="Garamond" w:cs="Times New Roman"/>
        </w:rPr>
        <w:lastRenderedPageBreak/>
        <w:t>countries and across time</w:t>
      </w:r>
      <w:r w:rsidR="00753FFA">
        <w:rPr>
          <w:rFonts w:ascii="Garamond" w:hAnsi="Garamond" w:cs="Times New Roman"/>
        </w:rPr>
        <w:t xml:space="preserve"> and could affect our results to some extent</w:t>
      </w:r>
      <w:r w:rsidR="00F83A92">
        <w:rPr>
          <w:rFonts w:ascii="Garamond" w:hAnsi="Garamond" w:cs="Times New Roman"/>
        </w:rPr>
        <w:t xml:space="preserve">, </w:t>
      </w:r>
      <w:r w:rsidR="00753FFA">
        <w:rPr>
          <w:rFonts w:ascii="Garamond" w:hAnsi="Garamond" w:cs="Times New Roman"/>
        </w:rPr>
        <w:t>we suspect that intertemporal variation within countries is likely to be limited enough to wash out in our 20-year windows, whereas</w:t>
      </w:r>
      <w:r w:rsidR="00753FFA" w:rsidRPr="00753FFA">
        <w:rPr>
          <w:rFonts w:ascii="Garamond" w:hAnsi="Garamond" w:cs="Times New Roman"/>
        </w:rPr>
        <w:t xml:space="preserve"> </w:t>
      </w:r>
      <w:r w:rsidR="00753FFA">
        <w:rPr>
          <w:rFonts w:ascii="Garamond" w:hAnsi="Garamond" w:cs="Times New Roman"/>
        </w:rPr>
        <w:t>significant, lasting cross-country variation in financial repression/home bias can be approximately controlled for by country-fixed effects</w:t>
      </w:r>
      <w:r w:rsidR="00A76124">
        <w:rPr>
          <w:rFonts w:ascii="Garamond" w:hAnsi="Garamond" w:cs="Times New Roman"/>
        </w:rPr>
        <w:t>.</w:t>
      </w:r>
    </w:p>
    <w:p w14:paraId="060A91D7" w14:textId="4B39884E" w:rsidR="00D9315C" w:rsidRPr="00614418" w:rsidRDefault="008852FB" w:rsidP="008852FB">
      <w:pPr>
        <w:spacing w:line="360" w:lineRule="auto"/>
        <w:jc w:val="both"/>
        <w:rPr>
          <w:rFonts w:ascii="Garamond" w:eastAsiaTheme="minorEastAsia" w:hAnsi="Garamond" w:cs="Times New Roman"/>
        </w:rPr>
      </w:pPr>
      <w:r w:rsidRPr="00614418">
        <w:rPr>
          <w:rFonts w:ascii="Garamond" w:hAnsi="Garamond" w:cs="Times New Roman"/>
        </w:rPr>
        <w:tab/>
      </w:r>
      <m:oMath>
        <m:nary>
          <m:naryPr>
            <m:chr m:val="∑"/>
            <m:limLoc m:val="undOvr"/>
            <m:subHide m:val="1"/>
            <m:supHide m:val="1"/>
            <m:ctrlPr>
              <w:rPr>
                <w:rFonts w:ascii="Cambria Math" w:eastAsiaTheme="minorEastAsia" w:hAnsi="Cambria Math" w:cs="Times New Roman"/>
                <w:i/>
              </w:rPr>
            </m:ctrlPr>
          </m:naryPr>
          <m:sub/>
          <m:sup/>
          <m:e>
            <m:sSub>
              <m:sSubPr>
                <m:ctrlPr>
                  <w:rPr>
                    <w:rFonts w:ascii="Cambria Math" w:eastAsiaTheme="minorEastAsia" w:hAnsi="Cambria Math" w:cs="Times New Roman"/>
                    <w:i/>
                  </w:rPr>
                </m:ctrlPr>
              </m:sSubPr>
              <m:e>
                <m:r>
                  <w:rPr>
                    <w:rFonts w:ascii="Cambria Math" w:eastAsiaTheme="minorEastAsia" w:hAnsi="Cambria Math" w:cs="Times New Roman"/>
                  </w:rPr>
                  <m:t>Z</m:t>
                </m:r>
              </m:e>
              <m:sub>
                <m:r>
                  <w:rPr>
                    <w:rFonts w:ascii="Cambria Math" w:eastAsiaTheme="minorEastAsia" w:hAnsi="Cambria Math" w:cs="Times New Roman"/>
                  </w:rPr>
                  <m:t>i,t</m:t>
                </m:r>
              </m:sub>
            </m:sSub>
            <m:r>
              <m:rPr>
                <m:sty m:val="p"/>
              </m:rPr>
              <w:rPr>
                <w:rFonts w:ascii="Cambria Math" w:hAnsi="Cambria Math" w:cs="Times New Roman"/>
              </w:rPr>
              <m:t xml:space="preserve"> </m:t>
            </m:r>
          </m:e>
        </m:nary>
      </m:oMath>
      <w:r w:rsidRPr="00614418">
        <w:rPr>
          <w:rFonts w:ascii="Garamond" w:eastAsiaTheme="minorEastAsia" w:hAnsi="Garamond" w:cs="Times New Roman"/>
        </w:rPr>
        <w:t xml:space="preserve">is a vector of political </w:t>
      </w:r>
      <w:r w:rsidR="00AC7D48">
        <w:rPr>
          <w:rFonts w:ascii="Garamond" w:eastAsiaTheme="minorEastAsia" w:hAnsi="Garamond" w:cs="Times New Roman"/>
        </w:rPr>
        <w:t>factors</w:t>
      </w:r>
      <w:r w:rsidR="00AC7D48" w:rsidRPr="00614418">
        <w:rPr>
          <w:rFonts w:ascii="Garamond" w:eastAsiaTheme="minorEastAsia" w:hAnsi="Garamond" w:cs="Times New Roman"/>
        </w:rPr>
        <w:t xml:space="preserve"> </w:t>
      </w:r>
      <w:r w:rsidRPr="00614418">
        <w:rPr>
          <w:rFonts w:ascii="Garamond" w:eastAsiaTheme="minorEastAsia" w:hAnsi="Garamond" w:cs="Times New Roman"/>
        </w:rPr>
        <w:t>that have been found</w:t>
      </w:r>
      <w:r w:rsidR="00AC7D48">
        <w:rPr>
          <w:rFonts w:ascii="Garamond" w:eastAsiaTheme="minorEastAsia" w:hAnsi="Garamond" w:cs="Times New Roman"/>
        </w:rPr>
        <w:t xml:space="preserve"> by various studies</w:t>
      </w:r>
      <w:r w:rsidRPr="00614418">
        <w:rPr>
          <w:rFonts w:ascii="Garamond" w:eastAsiaTheme="minorEastAsia" w:hAnsi="Garamond" w:cs="Times New Roman"/>
        </w:rPr>
        <w:t xml:space="preserve"> to move markets (</w:t>
      </w:r>
      <w:r w:rsidR="00AC7D48">
        <w:rPr>
          <w:rFonts w:ascii="Garamond" w:eastAsiaTheme="minorEastAsia" w:hAnsi="Garamond" w:cs="Times New Roman"/>
        </w:rPr>
        <w:t xml:space="preserve">e.g. </w:t>
      </w:r>
      <w:r w:rsidRPr="00614418">
        <w:rPr>
          <w:rFonts w:ascii="Garamond" w:eastAsiaTheme="minorEastAsia" w:hAnsi="Garamond" w:cs="Times New Roman"/>
        </w:rPr>
        <w:t>Bech</w:t>
      </w:r>
      <w:r w:rsidR="00AC7D48">
        <w:rPr>
          <w:rFonts w:ascii="Garamond" w:eastAsiaTheme="minorEastAsia" w:hAnsi="Garamond" w:cs="Times New Roman"/>
        </w:rPr>
        <w:t>t</w:t>
      </w:r>
      <w:r w:rsidRPr="00614418">
        <w:rPr>
          <w:rFonts w:ascii="Garamond" w:eastAsiaTheme="minorEastAsia" w:hAnsi="Garamond" w:cs="Times New Roman"/>
        </w:rPr>
        <w:t xml:space="preserve">el 2009, Breen and McMenamin 2013, </w:t>
      </w:r>
      <w:r w:rsidR="00AC7D48">
        <w:rPr>
          <w:rFonts w:ascii="Garamond" w:eastAsiaTheme="minorEastAsia" w:hAnsi="Garamond" w:cs="Times New Roman"/>
        </w:rPr>
        <w:t>Sattler 2013,</w:t>
      </w:r>
      <w:r w:rsidR="008F72EF">
        <w:rPr>
          <w:rFonts w:ascii="Garamond" w:eastAsiaTheme="minorEastAsia" w:hAnsi="Garamond" w:cs="Times New Roman"/>
        </w:rPr>
        <w:t xml:space="preserve"> </w:t>
      </w:r>
      <w:r w:rsidRPr="00614418">
        <w:rPr>
          <w:rFonts w:ascii="Garamond" w:eastAsiaTheme="minorEastAsia" w:hAnsi="Garamond" w:cs="Times New Roman"/>
        </w:rPr>
        <w:t xml:space="preserve">Barta and Johnston </w:t>
      </w:r>
      <w:proofErr w:type="gramStart"/>
      <w:r w:rsidR="008B5C84" w:rsidRPr="00614418">
        <w:rPr>
          <w:rFonts w:ascii="Garamond" w:eastAsiaTheme="minorEastAsia" w:hAnsi="Garamond" w:cs="Times New Roman"/>
        </w:rPr>
        <w:t>2018</w:t>
      </w:r>
      <w:r w:rsidRPr="00614418">
        <w:rPr>
          <w:rFonts w:ascii="Garamond" w:eastAsiaTheme="minorEastAsia" w:hAnsi="Garamond" w:cs="Times New Roman"/>
        </w:rPr>
        <w:t>).</w:t>
      </w:r>
      <w:proofErr w:type="gramEnd"/>
      <w:r w:rsidRPr="00614418">
        <w:rPr>
          <w:rFonts w:ascii="Garamond" w:eastAsiaTheme="minorEastAsia" w:hAnsi="Garamond" w:cs="Times New Roman"/>
        </w:rPr>
        <w:t xml:space="preserve">  These</w:t>
      </w:r>
      <w:r w:rsidR="009C6BDE" w:rsidRPr="00614418">
        <w:rPr>
          <w:rFonts w:ascii="Garamond" w:eastAsiaTheme="minorEastAsia" w:hAnsi="Garamond" w:cs="Times New Roman"/>
        </w:rPr>
        <w:t xml:space="preserve"> include three</w:t>
      </w:r>
      <w:r w:rsidRPr="00614418">
        <w:rPr>
          <w:rFonts w:ascii="Garamond" w:eastAsiaTheme="minorEastAsia" w:hAnsi="Garamond" w:cs="Times New Roman"/>
        </w:rPr>
        <w:t xml:space="preserve"> controls</w:t>
      </w:r>
      <w:r w:rsidR="009C6BDE" w:rsidRPr="00614418">
        <w:rPr>
          <w:rFonts w:ascii="Garamond" w:eastAsiaTheme="minorEastAsia" w:hAnsi="Garamond" w:cs="Times New Roman"/>
        </w:rPr>
        <w:t>. The first is</w:t>
      </w:r>
      <w:r w:rsidRPr="00614418">
        <w:rPr>
          <w:rFonts w:ascii="Garamond" w:eastAsiaTheme="minorEastAsia" w:hAnsi="Garamond" w:cs="Times New Roman"/>
        </w:rPr>
        <w:t xml:space="preserve"> whether country i had an election in year t (1 if yes, 0 if no)</w:t>
      </w:r>
      <w:r w:rsidR="009C6BDE" w:rsidRPr="00614418">
        <w:rPr>
          <w:rFonts w:ascii="Garamond" w:eastAsiaTheme="minorEastAsia" w:hAnsi="Garamond" w:cs="Times New Roman"/>
        </w:rPr>
        <w:t>. T</w:t>
      </w:r>
      <w:r w:rsidRPr="00614418">
        <w:rPr>
          <w:rFonts w:ascii="Garamond" w:eastAsiaTheme="minorEastAsia" w:hAnsi="Garamond" w:cs="Times New Roman"/>
        </w:rPr>
        <w:t xml:space="preserve">he </w:t>
      </w:r>
      <w:r w:rsidR="009C6BDE" w:rsidRPr="00614418">
        <w:rPr>
          <w:rFonts w:ascii="Garamond" w:eastAsiaTheme="minorEastAsia" w:hAnsi="Garamond" w:cs="Times New Roman"/>
        </w:rPr>
        <w:t xml:space="preserve">second is the </w:t>
      </w:r>
      <w:r w:rsidRPr="00614418">
        <w:rPr>
          <w:rFonts w:ascii="Garamond" w:eastAsiaTheme="minorEastAsia" w:hAnsi="Garamond" w:cs="Times New Roman"/>
        </w:rPr>
        <w:t>partisanship of the executive</w:t>
      </w:r>
      <w:r w:rsidR="009C6BDE" w:rsidRPr="00614418">
        <w:rPr>
          <w:rFonts w:ascii="Garamond" w:eastAsiaTheme="minorEastAsia" w:hAnsi="Garamond" w:cs="Times New Roman"/>
        </w:rPr>
        <w:t>.</w:t>
      </w:r>
      <w:r w:rsidRPr="00614418">
        <w:rPr>
          <w:rFonts w:ascii="Garamond" w:eastAsiaTheme="minorEastAsia" w:hAnsi="Garamond" w:cs="Times New Roman"/>
        </w:rPr>
        <w:t xml:space="preserve"> </w:t>
      </w:r>
      <w:r w:rsidR="009C6BDE" w:rsidRPr="00614418">
        <w:rPr>
          <w:rFonts w:ascii="Garamond" w:eastAsiaTheme="minorEastAsia" w:hAnsi="Garamond" w:cs="Times New Roman"/>
        </w:rPr>
        <w:t>W</w:t>
      </w:r>
      <w:r w:rsidRPr="00614418">
        <w:rPr>
          <w:rFonts w:ascii="Garamond" w:eastAsiaTheme="minorEastAsia" w:hAnsi="Garamond" w:cs="Times New Roman"/>
        </w:rPr>
        <w:t>e control for</w:t>
      </w:r>
      <w:r w:rsidR="009C6BDE" w:rsidRPr="00614418">
        <w:rPr>
          <w:rFonts w:ascii="Garamond" w:eastAsiaTheme="minorEastAsia" w:hAnsi="Garamond" w:cs="Times New Roman"/>
        </w:rPr>
        <w:t xml:space="preserve"> this variable</w:t>
      </w:r>
      <w:r w:rsidRPr="00614418">
        <w:rPr>
          <w:rFonts w:ascii="Garamond" w:eastAsiaTheme="minorEastAsia" w:hAnsi="Garamond" w:cs="Times New Roman"/>
        </w:rPr>
        <w:t xml:space="preserve"> via executive seat share held by left/social democratic parties and center/Christian Democratic parties</w:t>
      </w:r>
      <w:r w:rsidR="009C6BDE" w:rsidRPr="00614418">
        <w:rPr>
          <w:rFonts w:ascii="Garamond" w:eastAsiaTheme="minorEastAsia" w:hAnsi="Garamond" w:cs="Times New Roman"/>
        </w:rPr>
        <w:t>. C</w:t>
      </w:r>
      <w:r w:rsidRPr="00614418">
        <w:rPr>
          <w:rFonts w:ascii="Garamond" w:eastAsiaTheme="minorEastAsia" w:hAnsi="Garamond" w:cs="Times New Roman"/>
        </w:rPr>
        <w:t>onservative/liberal party seat share serves as the omitted baseline category</w:t>
      </w:r>
      <w:r w:rsidR="009C6BDE" w:rsidRPr="00614418">
        <w:rPr>
          <w:rFonts w:ascii="Garamond" w:eastAsiaTheme="minorEastAsia" w:hAnsi="Garamond" w:cs="Times New Roman"/>
        </w:rPr>
        <w:t>. The third is</w:t>
      </w:r>
      <w:r w:rsidR="00653A9E" w:rsidRPr="00614418">
        <w:rPr>
          <w:rFonts w:ascii="Garamond" w:eastAsiaTheme="minorEastAsia" w:hAnsi="Garamond" w:cs="Times New Roman"/>
        </w:rPr>
        <w:t xml:space="preserve"> </w:t>
      </w:r>
      <w:r w:rsidRPr="00614418">
        <w:rPr>
          <w:rFonts w:ascii="Garamond" w:eastAsiaTheme="minorEastAsia" w:hAnsi="Garamond" w:cs="Times New Roman"/>
        </w:rPr>
        <w:t>the degree of power-sharing within government,</w:t>
      </w:r>
      <w:r w:rsidR="009C6BDE" w:rsidRPr="00614418">
        <w:rPr>
          <w:rFonts w:ascii="Garamond" w:eastAsiaTheme="minorEastAsia" w:hAnsi="Garamond" w:cs="Times New Roman"/>
        </w:rPr>
        <w:t xml:space="preserve"> for which</w:t>
      </w:r>
      <w:r w:rsidRPr="00614418">
        <w:rPr>
          <w:rFonts w:ascii="Garamond" w:eastAsiaTheme="minorEastAsia" w:hAnsi="Garamond" w:cs="Times New Roman"/>
        </w:rPr>
        <w:t xml:space="preserve"> we use Breen and McMenamin’s (2013) concentration indicator, based </w:t>
      </w:r>
      <w:r w:rsidR="009C6BDE" w:rsidRPr="00614418">
        <w:rPr>
          <w:rFonts w:ascii="Garamond" w:eastAsiaTheme="minorEastAsia" w:hAnsi="Garamond" w:cs="Times New Roman"/>
        </w:rPr>
        <w:t>on</w:t>
      </w:r>
      <w:r w:rsidRPr="00614418">
        <w:rPr>
          <w:rFonts w:ascii="Garamond" w:eastAsiaTheme="minorEastAsia" w:hAnsi="Garamond" w:cs="Times New Roman"/>
        </w:rPr>
        <w:t xml:space="preserve"> </w:t>
      </w:r>
      <w:proofErr w:type="spellStart"/>
      <w:r w:rsidRPr="00614418">
        <w:rPr>
          <w:rFonts w:ascii="Garamond" w:eastAsiaTheme="minorEastAsia" w:hAnsi="Garamond" w:cs="Times New Roman"/>
        </w:rPr>
        <w:t>Lijphart’s</w:t>
      </w:r>
      <w:proofErr w:type="spellEnd"/>
      <w:r w:rsidRPr="00614418">
        <w:rPr>
          <w:rFonts w:ascii="Garamond" w:eastAsiaTheme="minorEastAsia" w:hAnsi="Garamond" w:cs="Times New Roman"/>
        </w:rPr>
        <w:t xml:space="preserve"> (1999) measure of joint power in the executive-parties realm.  Data for our political variables stem from </w:t>
      </w:r>
      <w:proofErr w:type="spellStart"/>
      <w:r w:rsidRPr="00614418">
        <w:rPr>
          <w:rFonts w:ascii="Garamond" w:eastAsiaTheme="minorEastAsia" w:hAnsi="Garamond" w:cs="Times New Roman"/>
        </w:rPr>
        <w:t>Armingeon</w:t>
      </w:r>
      <w:proofErr w:type="spellEnd"/>
      <w:r w:rsidRPr="00614418">
        <w:rPr>
          <w:rFonts w:ascii="Garamond" w:eastAsiaTheme="minorEastAsia" w:hAnsi="Garamond" w:cs="Times New Roman"/>
        </w:rPr>
        <w:t xml:space="preserve"> et al (2020). </w:t>
      </w:r>
      <w:r w:rsidR="00D9315C">
        <w:rPr>
          <w:rFonts w:ascii="Garamond" w:eastAsiaTheme="minorEastAsia" w:hAnsi="Garamond" w:cs="Times New Roman"/>
        </w:rPr>
        <w:t>One crucial political variable we</w:t>
      </w:r>
      <w:r w:rsidR="008C574C">
        <w:rPr>
          <w:rFonts w:ascii="Garamond" w:eastAsiaTheme="minorEastAsia" w:hAnsi="Garamond" w:cs="Times New Roman"/>
        </w:rPr>
        <w:t xml:space="preserve"> purposefully</w:t>
      </w:r>
      <w:r w:rsidR="00D9315C">
        <w:rPr>
          <w:rFonts w:ascii="Garamond" w:eastAsiaTheme="minorEastAsia" w:hAnsi="Garamond" w:cs="Times New Roman"/>
        </w:rPr>
        <w:t xml:space="preserve"> do </w:t>
      </w:r>
      <w:r w:rsidR="00D9315C" w:rsidRPr="008C574C">
        <w:rPr>
          <w:rFonts w:ascii="Garamond" w:eastAsiaTheme="minorEastAsia" w:hAnsi="Garamond" w:cs="Times New Roman"/>
          <w:i/>
          <w:iCs/>
        </w:rPr>
        <w:t xml:space="preserve">not </w:t>
      </w:r>
      <w:r w:rsidR="00D9315C">
        <w:rPr>
          <w:rFonts w:ascii="Garamond" w:eastAsiaTheme="minorEastAsia" w:hAnsi="Garamond" w:cs="Times New Roman"/>
        </w:rPr>
        <w:t xml:space="preserve">incorporate into our models, but which has been discussed at length in its impact on inflation and inflation expectations, is central bank independence (CBI). The primary problem with incorporating CBI within our analysis is that its value for all Eurozone countries after 1999 (2001 for Greece) perfectly correlates with the monetary union exchange rate regime dummy, </w:t>
      </w:r>
      <w:r w:rsidR="008C574C">
        <w:rPr>
          <w:rFonts w:ascii="Garamond" w:eastAsiaTheme="minorEastAsia" w:hAnsi="Garamond" w:cs="Times New Roman"/>
        </w:rPr>
        <w:t>causing this</w:t>
      </w:r>
      <w:r w:rsidR="00D9315C">
        <w:rPr>
          <w:rFonts w:ascii="Garamond" w:eastAsiaTheme="minorEastAsia" w:hAnsi="Garamond" w:cs="Times New Roman"/>
        </w:rPr>
        <w:t xml:space="preserve"> exchange rate category to be dropped from our model output. In other words, by controlling for CBI, we could not examine how monetary union tempers</w:t>
      </w:r>
      <w:r w:rsidR="008C574C">
        <w:rPr>
          <w:rFonts w:ascii="Garamond" w:eastAsiaTheme="minorEastAsia" w:hAnsi="Garamond" w:cs="Times New Roman"/>
        </w:rPr>
        <w:t xml:space="preserve"> (or magnifies)</w:t>
      </w:r>
      <w:r w:rsidR="00D9315C">
        <w:rPr>
          <w:rFonts w:ascii="Garamond" w:eastAsiaTheme="minorEastAsia" w:hAnsi="Garamond" w:cs="Times New Roman"/>
        </w:rPr>
        <w:t xml:space="preserve"> how our policy variables impact the risk premia o</w:t>
      </w:r>
      <w:r w:rsidR="00AB3C0F">
        <w:rPr>
          <w:rFonts w:ascii="Garamond" w:eastAsiaTheme="minorEastAsia" w:hAnsi="Garamond" w:cs="Times New Roman"/>
        </w:rPr>
        <w:t>n</w:t>
      </w:r>
      <w:r w:rsidR="00D9315C">
        <w:rPr>
          <w:rFonts w:ascii="Garamond" w:eastAsiaTheme="minorEastAsia" w:hAnsi="Garamond" w:cs="Times New Roman"/>
        </w:rPr>
        <w:t xml:space="preserve"> government bonds.        </w:t>
      </w:r>
    </w:p>
    <w:p w14:paraId="1664F685" w14:textId="12FBFAA0" w:rsidR="008852FB" w:rsidRPr="00614418" w:rsidRDefault="008852FB" w:rsidP="00586734">
      <w:pPr>
        <w:spacing w:line="360" w:lineRule="auto"/>
        <w:ind w:firstLine="720"/>
        <w:jc w:val="both"/>
        <w:rPr>
          <w:rFonts w:ascii="Garamond" w:eastAsiaTheme="minorEastAsia" w:hAnsi="Garamond" w:cs="Times New Roman"/>
        </w:rPr>
      </w:pPr>
      <w:r w:rsidRPr="00614418">
        <w:rPr>
          <w:rFonts w:ascii="Garamond" w:eastAsiaTheme="minorEastAsia" w:hAnsi="Garamond" w:cs="Times New Roman"/>
        </w:rPr>
        <w:t xml:space="preserve"> </w:t>
      </w:r>
      <m:oMath>
        <m:nary>
          <m:naryPr>
            <m:chr m:val="∑"/>
            <m:limLoc m:val="undOvr"/>
            <m:subHide m:val="1"/>
            <m:supHide m:val="1"/>
            <m:ctrlPr>
              <w:rPr>
                <w:rFonts w:ascii="Cambria Math" w:eastAsiaTheme="minorEastAsia" w:hAnsi="Cambria Math" w:cs="Times New Roman"/>
                <w:i/>
              </w:rPr>
            </m:ctrlPr>
          </m:naryPr>
          <m:sub/>
          <m:sup/>
          <m:e>
            <m:sSub>
              <m:sSubPr>
                <m:ctrlPr>
                  <w:rPr>
                    <w:rFonts w:ascii="Cambria Math" w:eastAsiaTheme="minorEastAsia" w:hAnsi="Cambria Math" w:cs="Times New Roman"/>
                    <w:i/>
                  </w:rPr>
                </m:ctrlPr>
              </m:sSubPr>
              <m:e>
                <m:r>
                  <w:rPr>
                    <w:rFonts w:ascii="Cambria Math" w:eastAsiaTheme="minorEastAsia" w:hAnsi="Cambria Math" w:cs="Times New Roman"/>
                  </w:rPr>
                  <m:t>T</m:t>
                </m:r>
              </m:e>
              <m:sub>
                <m:r>
                  <w:rPr>
                    <w:rFonts w:ascii="Cambria Math" w:eastAsiaTheme="minorEastAsia" w:hAnsi="Cambria Math" w:cs="Times New Roman"/>
                  </w:rPr>
                  <m:t>t</m:t>
                </m:r>
              </m:sub>
            </m:sSub>
            <m:r>
              <m:rPr>
                <m:sty m:val="p"/>
              </m:rPr>
              <w:rPr>
                <w:rFonts w:ascii="Cambria Math" w:hAnsi="Cambria Math" w:cs="Times New Roman"/>
              </w:rPr>
              <m:t xml:space="preserve"> </m:t>
            </m:r>
          </m:e>
        </m:nary>
      </m:oMath>
      <w:r w:rsidRPr="00614418">
        <w:rPr>
          <w:rFonts w:ascii="Garamond" w:eastAsiaTheme="minorEastAsia" w:hAnsi="Garamond" w:cs="Times New Roman"/>
        </w:rPr>
        <w:t>is a vector of n-1 time dummies to control for (global) financial shocks</w:t>
      </w:r>
      <w:r w:rsidR="00E32854" w:rsidRPr="00614418">
        <w:rPr>
          <w:rFonts w:ascii="Garamond" w:eastAsiaTheme="minorEastAsia" w:hAnsi="Garamond" w:cs="Times New Roman"/>
        </w:rPr>
        <w:t xml:space="preserve"> and</w:t>
      </w:r>
      <w:r w:rsidRPr="00614418">
        <w:rPr>
          <w:rFonts w:ascii="Garamond" w:eastAsiaTheme="minorEastAsia" w:hAnsi="Garamond" w:cs="Times New Roman"/>
        </w:rPr>
        <w:t xml:space="preserve"> changes in global liquidity that may prompt an increase in </w:t>
      </w:r>
      <w:r w:rsidR="00E32854" w:rsidRPr="00614418">
        <w:rPr>
          <w:rFonts w:ascii="Garamond" w:eastAsiaTheme="minorEastAsia" w:hAnsi="Garamond" w:cs="Times New Roman"/>
        </w:rPr>
        <w:t>interest rates on government debt</w:t>
      </w:r>
      <w:r w:rsidRPr="00614418">
        <w:rPr>
          <w:rFonts w:ascii="Garamond" w:eastAsiaTheme="minorEastAsia" w:hAnsi="Garamond" w:cs="Times New Roman"/>
        </w:rPr>
        <w:t xml:space="preserve"> across </w:t>
      </w:r>
      <w:r w:rsidR="00E32854" w:rsidRPr="00614418">
        <w:rPr>
          <w:rFonts w:ascii="Garamond" w:eastAsiaTheme="minorEastAsia" w:hAnsi="Garamond" w:cs="Times New Roman"/>
        </w:rPr>
        <w:t xml:space="preserve">all </w:t>
      </w:r>
      <w:r w:rsidRPr="00614418">
        <w:rPr>
          <w:rFonts w:ascii="Garamond" w:eastAsiaTheme="minorEastAsia" w:hAnsi="Garamond" w:cs="Times New Roman"/>
        </w:rPr>
        <w:t>countries</w:t>
      </w:r>
      <w:r w:rsidR="00E32854" w:rsidRPr="00614418">
        <w:rPr>
          <w:rFonts w:ascii="Garamond" w:eastAsiaTheme="minorEastAsia" w:hAnsi="Garamond" w:cs="Times New Roman"/>
        </w:rPr>
        <w:t xml:space="preserve"> in a given </w:t>
      </w:r>
      <w:proofErr w:type="gramStart"/>
      <w:r w:rsidR="00E32854" w:rsidRPr="00614418">
        <w:rPr>
          <w:rFonts w:ascii="Garamond" w:eastAsiaTheme="minorEastAsia" w:hAnsi="Garamond" w:cs="Times New Roman"/>
        </w:rPr>
        <w:t>year</w:t>
      </w:r>
      <w:r w:rsidR="009C6BDE" w:rsidRPr="00614418">
        <w:rPr>
          <w:rFonts w:ascii="Garamond" w:eastAsiaTheme="minorEastAsia" w:hAnsi="Garamond" w:cs="Times New Roman"/>
        </w:rPr>
        <w:t>.</w:t>
      </w:r>
      <w:proofErr w:type="gramEnd"/>
      <w:r w:rsidR="00097AC3">
        <w:rPr>
          <w:rFonts w:ascii="Garamond" w:eastAsiaTheme="minorEastAsia" w:hAnsi="Garamond" w:cs="Times New Roman"/>
        </w:rPr>
        <w:t xml:space="preserve"> Crucially, these dummies control for large-scale changes in central bank behavior, such as the massive increase in liquidity due to quantitative easing in the wake of the financial crisis.</w:t>
      </w:r>
      <w:r w:rsidR="009C6BDE" w:rsidRPr="00614418">
        <w:rPr>
          <w:rFonts w:ascii="Garamond" w:eastAsiaTheme="minorEastAsia" w:hAnsi="Garamond" w:cs="Times New Roman"/>
        </w:rPr>
        <w:t xml:space="preserve"> </w:t>
      </w:r>
      <w:r w:rsidR="007F4E6A">
        <w:rPr>
          <w:rFonts w:ascii="Garamond" w:eastAsiaTheme="minorEastAsia" w:hAnsi="Garamond" w:cs="Times New Roman"/>
        </w:rPr>
        <w:t>T</w:t>
      </w:r>
      <w:r w:rsidR="005F5310" w:rsidRPr="00614418">
        <w:rPr>
          <w:rFonts w:ascii="Garamond" w:eastAsiaTheme="minorEastAsia" w:hAnsi="Garamond" w:cs="Times New Roman"/>
        </w:rPr>
        <w:t>ime dummies also capture any change in the world interest rate</w:t>
      </w:r>
      <w:r w:rsidR="00E34D43" w:rsidRPr="00614418">
        <w:rPr>
          <w:rFonts w:ascii="Garamond" w:eastAsiaTheme="minorEastAsia" w:hAnsi="Garamond" w:cs="Times New Roman"/>
        </w:rPr>
        <w:t xml:space="preserve">. </w:t>
      </w:r>
      <m:oMath>
        <m:nary>
          <m:naryPr>
            <m:chr m:val="∑"/>
            <m:limLoc m:val="undOvr"/>
            <m:subHide m:val="1"/>
            <m:supHide m:val="1"/>
            <m:ctrlPr>
              <w:rPr>
                <w:rFonts w:ascii="Cambria Math" w:eastAsiaTheme="minorEastAsia" w:hAnsi="Cambria Math" w:cs="Times New Roman"/>
                <w:i/>
              </w:rPr>
            </m:ctrlPr>
          </m:naryPr>
          <m:sub/>
          <m:sup/>
          <m:e>
            <m:sSub>
              <m:sSubPr>
                <m:ctrlPr>
                  <w:rPr>
                    <w:rFonts w:ascii="Cambria Math" w:eastAsiaTheme="minorEastAsia" w:hAnsi="Cambria Math" w:cs="Times New Roman"/>
                    <w:i/>
                  </w:rPr>
                </m:ctrlPr>
              </m:sSubPr>
              <m:e>
                <m:r>
                  <w:rPr>
                    <w:rFonts w:ascii="Cambria Math" w:eastAsiaTheme="minorEastAsia" w:hAnsi="Cambria Math" w:cs="Times New Roman"/>
                  </w:rPr>
                  <m:t>FE</m:t>
                </m:r>
              </m:e>
              <m:sub>
                <m:r>
                  <w:rPr>
                    <w:rFonts w:ascii="Cambria Math" w:eastAsiaTheme="minorEastAsia" w:hAnsi="Cambria Math" w:cs="Times New Roman"/>
                  </w:rPr>
                  <m:t>i</m:t>
                </m:r>
              </m:sub>
            </m:sSub>
          </m:e>
        </m:nary>
        <m:r>
          <w:rPr>
            <w:rFonts w:ascii="Cambria Math" w:eastAsiaTheme="minorEastAsia" w:hAnsi="Cambria Math" w:cs="Times New Roman"/>
          </w:rPr>
          <m:t xml:space="preserve"> </m:t>
        </m:r>
      </m:oMath>
      <w:r w:rsidRPr="00614418">
        <w:rPr>
          <w:rFonts w:ascii="Garamond" w:eastAsiaTheme="minorEastAsia" w:hAnsi="Garamond" w:cs="Times New Roman"/>
        </w:rPr>
        <w:t xml:space="preserve">is a vector of fixed effects that control for omitted variables that </w:t>
      </w:r>
      <w:r w:rsidR="009C6BDE" w:rsidRPr="00614418">
        <w:rPr>
          <w:rFonts w:ascii="Garamond" w:eastAsiaTheme="minorEastAsia" w:hAnsi="Garamond" w:cs="Times New Roman"/>
        </w:rPr>
        <w:t xml:space="preserve">affect </w:t>
      </w:r>
      <w:r w:rsidR="00841EBE" w:rsidRPr="00614418">
        <w:rPr>
          <w:rFonts w:ascii="Garamond" w:eastAsiaTheme="minorEastAsia" w:hAnsi="Garamond" w:cs="Times New Roman"/>
        </w:rPr>
        <w:t>nominal interest rates</w:t>
      </w:r>
      <w:r w:rsidRPr="00614418">
        <w:rPr>
          <w:rFonts w:ascii="Garamond" w:eastAsiaTheme="minorEastAsia" w:hAnsi="Garamond" w:cs="Times New Roman"/>
        </w:rPr>
        <w:t xml:space="preserve"> across countries but do not vary over time (i.e. reserve currency status</w:t>
      </w:r>
      <w:r w:rsidR="00097AC3">
        <w:rPr>
          <w:rFonts w:ascii="Garamond" w:eastAsiaTheme="minorEastAsia" w:hAnsi="Garamond" w:cs="Times New Roman"/>
        </w:rPr>
        <w:t>, which also accounts for the likelihood that a given country’s bonds are considered ‘safe asset</w:t>
      </w:r>
      <w:r w:rsidR="00964D32">
        <w:rPr>
          <w:rFonts w:ascii="Garamond" w:eastAsiaTheme="minorEastAsia" w:hAnsi="Garamond" w:cs="Times New Roman"/>
        </w:rPr>
        <w:t>s</w:t>
      </w:r>
      <w:r w:rsidR="00097AC3">
        <w:rPr>
          <w:rFonts w:ascii="Garamond" w:eastAsiaTheme="minorEastAsia" w:hAnsi="Garamond" w:cs="Times New Roman"/>
        </w:rPr>
        <w:t>’ during ‘flights to safety’</w:t>
      </w:r>
      <w:r w:rsidRPr="00614418">
        <w:rPr>
          <w:rFonts w:ascii="Garamond" w:eastAsiaTheme="minorEastAsia" w:hAnsi="Garamond" w:cs="Times New Roman"/>
        </w:rPr>
        <w:t>). Finally, we incorporate country</w:t>
      </w:r>
      <w:r w:rsidR="00A724CC">
        <w:rPr>
          <w:rFonts w:ascii="Garamond" w:eastAsiaTheme="minorEastAsia" w:hAnsi="Garamond" w:cs="Times New Roman"/>
        </w:rPr>
        <w:t>-</w:t>
      </w:r>
      <w:r w:rsidRPr="00614418">
        <w:rPr>
          <w:rFonts w:ascii="Garamond" w:eastAsiaTheme="minorEastAsia" w:hAnsi="Garamond" w:cs="Times New Roman"/>
        </w:rPr>
        <w:t>clustered standard errors to rectify bias in our standard errors driven by heteroskedasticity and contemporaneous correlation.</w:t>
      </w:r>
    </w:p>
    <w:p w14:paraId="73ADE24D" w14:textId="77737FBF" w:rsidR="00BD6525" w:rsidRDefault="00BD6525" w:rsidP="008852FB">
      <w:pPr>
        <w:spacing w:line="360" w:lineRule="auto"/>
        <w:jc w:val="both"/>
        <w:rPr>
          <w:rFonts w:ascii="Garamond" w:eastAsiaTheme="minorEastAsia" w:hAnsi="Garamond" w:cs="Times New Roman"/>
        </w:rPr>
      </w:pPr>
    </w:p>
    <w:p w14:paraId="24F8C5AA" w14:textId="77777777" w:rsidR="00A76124" w:rsidRPr="00614418" w:rsidRDefault="00A76124" w:rsidP="008852FB">
      <w:pPr>
        <w:spacing w:line="360" w:lineRule="auto"/>
        <w:jc w:val="both"/>
        <w:rPr>
          <w:rFonts w:ascii="Garamond" w:eastAsiaTheme="minorEastAsia" w:hAnsi="Garamond" w:cs="Times New Roman"/>
        </w:rPr>
      </w:pPr>
    </w:p>
    <w:p w14:paraId="3A520BEE" w14:textId="77777777" w:rsidR="008852FB" w:rsidRPr="00614418" w:rsidRDefault="008852FB" w:rsidP="008852FB">
      <w:pPr>
        <w:spacing w:line="360" w:lineRule="auto"/>
        <w:jc w:val="both"/>
        <w:rPr>
          <w:rFonts w:ascii="Garamond" w:eastAsiaTheme="minorEastAsia" w:hAnsi="Garamond" w:cs="Times New Roman"/>
          <w:b/>
          <w:bCs/>
        </w:rPr>
      </w:pPr>
      <w:r w:rsidRPr="00614418">
        <w:rPr>
          <w:rFonts w:ascii="Garamond" w:eastAsiaTheme="minorEastAsia" w:hAnsi="Garamond" w:cs="Times New Roman"/>
          <w:b/>
          <w:bCs/>
        </w:rPr>
        <w:lastRenderedPageBreak/>
        <w:t>Results</w:t>
      </w:r>
    </w:p>
    <w:p w14:paraId="78A08B77" w14:textId="76C3DE4D" w:rsidR="008852FB" w:rsidRPr="00614418" w:rsidRDefault="002F77A3" w:rsidP="00C436A2">
      <w:pPr>
        <w:spacing w:line="360" w:lineRule="auto"/>
        <w:ind w:firstLine="720"/>
        <w:jc w:val="both"/>
        <w:rPr>
          <w:rFonts w:ascii="Garamond" w:eastAsiaTheme="minorEastAsia" w:hAnsi="Garamond" w:cs="Times New Roman"/>
        </w:rPr>
      </w:pPr>
      <w:r w:rsidRPr="00614418">
        <w:rPr>
          <w:rFonts w:ascii="Garamond" w:eastAsiaTheme="minorEastAsia" w:hAnsi="Garamond" w:cs="Times New Roman"/>
        </w:rPr>
        <w:t xml:space="preserve">In order </w:t>
      </w:r>
      <w:r w:rsidR="00AA0165" w:rsidRPr="00614418">
        <w:rPr>
          <w:rFonts w:ascii="Garamond" w:eastAsiaTheme="minorEastAsia" w:hAnsi="Garamond" w:cs="Times New Roman"/>
        </w:rPr>
        <w:t>to save space</w:t>
      </w:r>
      <w:r w:rsidR="00AB3C0F">
        <w:rPr>
          <w:rFonts w:ascii="Garamond" w:eastAsiaTheme="minorEastAsia" w:hAnsi="Garamond" w:cs="Times New Roman"/>
        </w:rPr>
        <w:t xml:space="preserve"> (recall that nineteen regression models for each of the five exchange rate regime/policy variable interactions we examine are estimated in our moving window approach)</w:t>
      </w:r>
      <w:r w:rsidRPr="00614418">
        <w:rPr>
          <w:rFonts w:ascii="Garamond" w:eastAsiaTheme="minorEastAsia" w:hAnsi="Garamond" w:cs="Times New Roman"/>
        </w:rPr>
        <w:t>,</w:t>
      </w:r>
      <w:r w:rsidR="00AA0165" w:rsidRPr="00614418">
        <w:rPr>
          <w:rFonts w:ascii="Garamond" w:eastAsiaTheme="minorEastAsia" w:hAnsi="Garamond" w:cs="Times New Roman"/>
        </w:rPr>
        <w:t xml:space="preserve"> we </w:t>
      </w:r>
      <w:r w:rsidR="006150B9">
        <w:rPr>
          <w:rFonts w:ascii="Garamond" w:eastAsiaTheme="minorEastAsia" w:hAnsi="Garamond" w:cs="Times New Roman"/>
        </w:rPr>
        <w:t>do not</w:t>
      </w:r>
      <w:r w:rsidR="006150B9" w:rsidRPr="00614418">
        <w:rPr>
          <w:rFonts w:ascii="Garamond" w:eastAsiaTheme="minorEastAsia" w:hAnsi="Garamond" w:cs="Times New Roman"/>
        </w:rPr>
        <w:t xml:space="preserve"> </w:t>
      </w:r>
      <w:r w:rsidR="00AA0165" w:rsidRPr="00614418">
        <w:rPr>
          <w:rFonts w:ascii="Garamond" w:eastAsiaTheme="minorEastAsia" w:hAnsi="Garamond" w:cs="Times New Roman"/>
        </w:rPr>
        <w:t xml:space="preserve">report the coefficients of control variables, and we </w:t>
      </w:r>
      <w:r w:rsidRPr="00614418">
        <w:rPr>
          <w:rFonts w:ascii="Garamond" w:eastAsiaTheme="minorEastAsia" w:hAnsi="Garamond" w:cs="Times New Roman"/>
        </w:rPr>
        <w:t xml:space="preserve">present our key results graphically, </w:t>
      </w:r>
      <w:r w:rsidR="00AA0165" w:rsidRPr="00614418">
        <w:rPr>
          <w:rFonts w:ascii="Garamond" w:eastAsiaTheme="minorEastAsia" w:hAnsi="Garamond" w:cs="Times New Roman"/>
        </w:rPr>
        <w:t>plot</w:t>
      </w:r>
      <w:r w:rsidRPr="00614418">
        <w:rPr>
          <w:rFonts w:ascii="Garamond" w:eastAsiaTheme="minorEastAsia" w:hAnsi="Garamond" w:cs="Times New Roman"/>
        </w:rPr>
        <w:t>ting</w:t>
      </w:r>
      <w:r w:rsidR="00AA0165" w:rsidRPr="00614418">
        <w:rPr>
          <w:rFonts w:ascii="Garamond" w:eastAsiaTheme="minorEastAsia" w:hAnsi="Garamond" w:cs="Times New Roman"/>
        </w:rPr>
        <w:t xml:space="preserve"> the </w:t>
      </w:r>
      <w:r w:rsidR="008852FB" w:rsidRPr="00614418">
        <w:rPr>
          <w:rFonts w:ascii="Garamond" w:eastAsiaTheme="minorEastAsia" w:hAnsi="Garamond" w:cs="Times New Roman"/>
        </w:rPr>
        <w:t xml:space="preserve">point estimates </w:t>
      </w:r>
      <w:r w:rsidR="009C6BDE" w:rsidRPr="00614418">
        <w:rPr>
          <w:rFonts w:ascii="Garamond" w:eastAsiaTheme="minorEastAsia" w:hAnsi="Garamond" w:cs="Times New Roman"/>
        </w:rPr>
        <w:t xml:space="preserve">of </w:t>
      </w:r>
      <w:r w:rsidR="008852FB" w:rsidRPr="00614418">
        <w:rPr>
          <w:rFonts w:ascii="Garamond" w:eastAsiaTheme="minorEastAsia" w:hAnsi="Garamond" w:cs="Times New Roman"/>
        </w:rPr>
        <w:t xml:space="preserve">the </w:t>
      </w:r>
      <w:r w:rsidR="00AA0165" w:rsidRPr="00614418">
        <w:rPr>
          <w:rFonts w:ascii="Garamond" w:eastAsiaTheme="minorEastAsia" w:hAnsi="Garamond" w:cs="Times New Roman"/>
        </w:rPr>
        <w:t>marginal effects</w:t>
      </w:r>
      <w:r w:rsidR="008852FB" w:rsidRPr="00614418">
        <w:rPr>
          <w:rFonts w:ascii="Garamond" w:eastAsiaTheme="minorEastAsia" w:hAnsi="Garamond" w:cs="Times New Roman"/>
        </w:rPr>
        <w:t xml:space="preserve"> of </w:t>
      </w:r>
      <w:r w:rsidR="009C6BDE" w:rsidRPr="00614418">
        <w:rPr>
          <w:rFonts w:ascii="Garamond" w:eastAsiaTheme="minorEastAsia" w:hAnsi="Garamond" w:cs="Times New Roman"/>
        </w:rPr>
        <w:t>our variables</w:t>
      </w:r>
      <w:r w:rsidR="007C6E49" w:rsidRPr="00614418">
        <w:rPr>
          <w:rFonts w:ascii="Garamond" w:eastAsiaTheme="minorEastAsia" w:hAnsi="Garamond" w:cs="Times New Roman"/>
        </w:rPr>
        <w:t xml:space="preserve"> of interest</w:t>
      </w:r>
      <w:r w:rsidR="008852FB" w:rsidRPr="00614418">
        <w:rPr>
          <w:rFonts w:ascii="Garamond" w:eastAsiaTheme="minorEastAsia" w:hAnsi="Garamond" w:cs="Times New Roman"/>
        </w:rPr>
        <w:t xml:space="preserve"> on </w:t>
      </w:r>
      <w:r w:rsidR="008A3F7B" w:rsidRPr="00614418">
        <w:rPr>
          <w:rFonts w:ascii="Garamond" w:eastAsiaTheme="minorEastAsia" w:hAnsi="Garamond" w:cs="Times New Roman"/>
        </w:rPr>
        <w:t>nominal interest rates</w:t>
      </w:r>
      <w:r w:rsidR="00B932B8" w:rsidRPr="00614418">
        <w:rPr>
          <w:rFonts w:ascii="Garamond" w:eastAsiaTheme="minorEastAsia" w:hAnsi="Garamond" w:cs="Times New Roman"/>
        </w:rPr>
        <w:t>, conditioned by exchange rate regime</w:t>
      </w:r>
      <w:r w:rsidR="00B932B8" w:rsidRPr="00614418">
        <w:rPr>
          <w:rStyle w:val="FootnoteReference"/>
          <w:rFonts w:ascii="Garamond" w:eastAsiaTheme="minorEastAsia" w:hAnsi="Garamond" w:cs="Times New Roman"/>
        </w:rPr>
        <w:footnoteReference w:id="27"/>
      </w:r>
      <w:r w:rsidR="008852FB" w:rsidRPr="00614418">
        <w:rPr>
          <w:rFonts w:ascii="Garamond" w:eastAsiaTheme="minorEastAsia" w:hAnsi="Garamond" w:cs="Times New Roman"/>
        </w:rPr>
        <w:t xml:space="preserve"> for </w:t>
      </w:r>
      <w:r w:rsidR="00841EBE" w:rsidRPr="00614418">
        <w:rPr>
          <w:rFonts w:ascii="Garamond" w:eastAsiaTheme="minorEastAsia" w:hAnsi="Garamond" w:cs="Times New Roman"/>
        </w:rPr>
        <w:t>each</w:t>
      </w:r>
      <w:r w:rsidR="008852FB" w:rsidRPr="00614418">
        <w:rPr>
          <w:rFonts w:ascii="Garamond" w:eastAsiaTheme="minorEastAsia" w:hAnsi="Garamond" w:cs="Times New Roman"/>
        </w:rPr>
        <w:t xml:space="preserve"> 2</w:t>
      </w:r>
      <w:r w:rsidR="00841EBE" w:rsidRPr="00614418">
        <w:rPr>
          <w:rFonts w:ascii="Garamond" w:eastAsiaTheme="minorEastAsia" w:hAnsi="Garamond" w:cs="Times New Roman"/>
        </w:rPr>
        <w:t>0</w:t>
      </w:r>
      <w:r w:rsidR="008852FB" w:rsidRPr="00614418">
        <w:rPr>
          <w:rFonts w:ascii="Garamond" w:eastAsiaTheme="minorEastAsia" w:hAnsi="Garamond" w:cs="Times New Roman"/>
        </w:rPr>
        <w:t>-year window, as well as the 9</w:t>
      </w:r>
      <w:r w:rsidR="00841EBE" w:rsidRPr="00614418">
        <w:rPr>
          <w:rFonts w:ascii="Garamond" w:eastAsiaTheme="minorEastAsia" w:hAnsi="Garamond" w:cs="Times New Roman"/>
        </w:rPr>
        <w:t>5</w:t>
      </w:r>
      <w:r w:rsidR="00B24913">
        <w:rPr>
          <w:rFonts w:ascii="Garamond" w:eastAsiaTheme="minorEastAsia" w:hAnsi="Garamond" w:cs="Times New Roman"/>
        </w:rPr>
        <w:t xml:space="preserve"> percent</w:t>
      </w:r>
      <w:r w:rsidR="008852FB" w:rsidRPr="00614418">
        <w:rPr>
          <w:rFonts w:ascii="Garamond" w:eastAsiaTheme="minorEastAsia" w:hAnsi="Garamond" w:cs="Times New Roman"/>
        </w:rPr>
        <w:t xml:space="preserve"> confidence interval for that point estimate</w:t>
      </w:r>
      <w:r w:rsidR="00B24913">
        <w:rPr>
          <w:rFonts w:ascii="Garamond" w:eastAsiaTheme="minorEastAsia" w:hAnsi="Garamond" w:cs="Times New Roman"/>
        </w:rPr>
        <w:t>.</w:t>
      </w:r>
      <w:r w:rsidR="00582218">
        <w:rPr>
          <w:rFonts w:ascii="Garamond" w:eastAsiaTheme="minorEastAsia" w:hAnsi="Garamond" w:cs="Times New Roman"/>
        </w:rPr>
        <w:t xml:space="preserve"> </w:t>
      </w:r>
      <w:r w:rsidR="00B24913">
        <w:rPr>
          <w:rFonts w:ascii="Garamond" w:eastAsiaTheme="minorEastAsia" w:hAnsi="Garamond" w:cs="Times New Roman"/>
        </w:rPr>
        <w:t xml:space="preserve">The </w:t>
      </w:r>
      <w:r w:rsidR="00582218">
        <w:rPr>
          <w:rFonts w:ascii="Garamond" w:eastAsiaTheme="minorEastAsia" w:hAnsi="Garamond" w:cs="Times New Roman"/>
        </w:rPr>
        <w:t>full table</w:t>
      </w:r>
      <w:r w:rsidR="009B4806">
        <w:rPr>
          <w:rFonts w:ascii="Garamond" w:eastAsiaTheme="minorEastAsia" w:hAnsi="Garamond" w:cs="Times New Roman"/>
        </w:rPr>
        <w:t>s</w:t>
      </w:r>
      <w:r w:rsidR="00582218">
        <w:rPr>
          <w:rFonts w:ascii="Garamond" w:eastAsiaTheme="minorEastAsia" w:hAnsi="Garamond" w:cs="Times New Roman"/>
        </w:rPr>
        <w:t xml:space="preserve"> of </w:t>
      </w:r>
      <w:r w:rsidR="00AB2BB4">
        <w:rPr>
          <w:rFonts w:ascii="Garamond" w:eastAsiaTheme="minorEastAsia" w:hAnsi="Garamond" w:cs="Times New Roman"/>
        </w:rPr>
        <w:t xml:space="preserve">regression </w:t>
      </w:r>
      <w:r w:rsidR="00582218">
        <w:rPr>
          <w:rFonts w:ascii="Garamond" w:eastAsiaTheme="minorEastAsia" w:hAnsi="Garamond" w:cs="Times New Roman"/>
        </w:rPr>
        <w:t xml:space="preserve">results </w:t>
      </w:r>
      <w:r w:rsidR="00AB2BB4">
        <w:rPr>
          <w:rFonts w:ascii="Garamond" w:eastAsiaTheme="minorEastAsia" w:hAnsi="Garamond" w:cs="Times New Roman"/>
        </w:rPr>
        <w:t xml:space="preserve">and marginal effects </w:t>
      </w:r>
      <w:r w:rsidR="00582218">
        <w:rPr>
          <w:rFonts w:ascii="Garamond" w:eastAsiaTheme="minorEastAsia" w:hAnsi="Garamond" w:cs="Times New Roman"/>
        </w:rPr>
        <w:t>is provided in a supplementary excel file appendix</w:t>
      </w:r>
      <w:r w:rsidR="009C6BDE" w:rsidRPr="00614418">
        <w:rPr>
          <w:rFonts w:ascii="Garamond" w:eastAsiaTheme="minorEastAsia" w:hAnsi="Garamond" w:cs="Times New Roman"/>
        </w:rPr>
        <w:t>. I</w:t>
      </w:r>
      <w:r w:rsidR="00B932B8" w:rsidRPr="00614418">
        <w:rPr>
          <w:rFonts w:ascii="Garamond" w:eastAsiaTheme="minorEastAsia" w:hAnsi="Garamond" w:cs="Times New Roman"/>
        </w:rPr>
        <w:t xml:space="preserve">f the confidence interval straddles zero – marked by the horizontal black line – this indicates a </w:t>
      </w:r>
      <w:r w:rsidR="005C6340">
        <w:rPr>
          <w:rFonts w:ascii="Garamond" w:eastAsiaTheme="minorEastAsia" w:hAnsi="Garamond" w:cs="Times New Roman"/>
        </w:rPr>
        <w:t>statistically in</w:t>
      </w:r>
      <w:r w:rsidR="00B932B8" w:rsidRPr="00614418">
        <w:rPr>
          <w:rFonts w:ascii="Garamond" w:eastAsiaTheme="minorEastAsia" w:hAnsi="Garamond" w:cs="Times New Roman"/>
        </w:rPr>
        <w:t>significant effect.</w:t>
      </w:r>
      <w:r w:rsidR="009C6BDE" w:rsidRPr="00614418">
        <w:rPr>
          <w:rFonts w:ascii="Garamond" w:eastAsiaTheme="minorEastAsia" w:hAnsi="Garamond" w:cs="Times New Roman"/>
        </w:rPr>
        <w:t xml:space="preserve"> Windows start with the 1980-1999 period and end with 1998-2017.</w:t>
      </w:r>
      <w:r w:rsidR="00CD259E" w:rsidRPr="00614418">
        <w:rPr>
          <w:rFonts w:ascii="Garamond" w:eastAsiaTheme="minorEastAsia" w:hAnsi="Garamond" w:cs="Times New Roman"/>
        </w:rPr>
        <w:t xml:space="preserve"> </w:t>
      </w:r>
      <w:r w:rsidR="009C6BDE" w:rsidRPr="00614418">
        <w:rPr>
          <w:rFonts w:ascii="Garamond" w:eastAsiaTheme="minorEastAsia" w:hAnsi="Garamond" w:cs="Times New Roman"/>
        </w:rPr>
        <w:t xml:space="preserve">Although </w:t>
      </w:r>
      <w:r w:rsidR="008852FB" w:rsidRPr="00614418">
        <w:rPr>
          <w:rFonts w:ascii="Garamond" w:eastAsiaTheme="minorEastAsia" w:hAnsi="Garamond" w:cs="Times New Roman"/>
        </w:rPr>
        <w:t>our interactive models account for all five exchange rate regimes, we do not present</w:t>
      </w:r>
      <w:r w:rsidR="009C6BDE" w:rsidRPr="00614418">
        <w:rPr>
          <w:rFonts w:ascii="Garamond" w:eastAsiaTheme="minorEastAsia" w:hAnsi="Garamond" w:cs="Times New Roman"/>
        </w:rPr>
        <w:t xml:space="preserve"> here</w:t>
      </w:r>
      <w:r w:rsidR="008852FB" w:rsidRPr="00614418">
        <w:rPr>
          <w:rFonts w:ascii="Garamond" w:eastAsiaTheme="minorEastAsia" w:hAnsi="Garamond" w:cs="Times New Roman"/>
        </w:rPr>
        <w:t xml:space="preserve"> the results for </w:t>
      </w:r>
      <w:r w:rsidR="00B80CD1">
        <w:rPr>
          <w:rFonts w:ascii="Garamond" w:eastAsiaTheme="minorEastAsia" w:hAnsi="Garamond" w:cs="Times New Roman"/>
        </w:rPr>
        <w:t>‘</w:t>
      </w:r>
      <w:r w:rsidR="008852FB" w:rsidRPr="00614418">
        <w:rPr>
          <w:rFonts w:ascii="Garamond" w:eastAsiaTheme="minorEastAsia" w:hAnsi="Garamond" w:cs="Times New Roman"/>
        </w:rPr>
        <w:t>other managed arrangements</w:t>
      </w:r>
      <w:r w:rsidR="00B80CD1">
        <w:rPr>
          <w:rFonts w:ascii="Garamond" w:eastAsiaTheme="minorEastAsia" w:hAnsi="Garamond" w:cs="Times New Roman"/>
        </w:rPr>
        <w:t>’</w:t>
      </w:r>
      <w:r w:rsidR="008852FB" w:rsidRPr="00614418">
        <w:rPr>
          <w:rFonts w:ascii="Garamond" w:eastAsiaTheme="minorEastAsia" w:hAnsi="Garamond" w:cs="Times New Roman"/>
        </w:rPr>
        <w:t xml:space="preserve"> </w:t>
      </w:r>
      <w:r w:rsidR="009C6BDE" w:rsidRPr="00614418">
        <w:rPr>
          <w:rFonts w:ascii="Garamond" w:eastAsiaTheme="minorEastAsia" w:hAnsi="Garamond" w:cs="Times New Roman"/>
        </w:rPr>
        <w:t xml:space="preserve">and </w:t>
      </w:r>
      <w:r w:rsidR="008852FB" w:rsidRPr="00614418">
        <w:rPr>
          <w:rFonts w:ascii="Garamond" w:eastAsiaTheme="minorEastAsia" w:hAnsi="Garamond" w:cs="Times New Roman"/>
        </w:rPr>
        <w:t>crawling pegs</w:t>
      </w:r>
      <w:r w:rsidR="00841EBE" w:rsidRPr="00614418">
        <w:rPr>
          <w:rFonts w:ascii="Garamond" w:eastAsiaTheme="minorEastAsia" w:hAnsi="Garamond" w:cs="Times New Roman"/>
        </w:rPr>
        <w:t>, because</w:t>
      </w:r>
      <w:r w:rsidR="00E83819" w:rsidRPr="00614418">
        <w:rPr>
          <w:rFonts w:ascii="Garamond" w:eastAsiaTheme="minorEastAsia" w:hAnsi="Garamond" w:cs="Times New Roman"/>
        </w:rPr>
        <w:t xml:space="preserve"> both categories have a large number of years with few or no observations in them</w:t>
      </w:r>
      <w:r w:rsidR="006150B9">
        <w:rPr>
          <w:rFonts w:ascii="Garamond" w:eastAsiaTheme="minorEastAsia" w:hAnsi="Garamond" w:cs="Times New Roman"/>
        </w:rPr>
        <w:t>,</w:t>
      </w:r>
      <w:r w:rsidR="00AB3C0F">
        <w:rPr>
          <w:rFonts w:ascii="Garamond" w:eastAsiaTheme="minorEastAsia" w:hAnsi="Garamond" w:cs="Times New Roman"/>
        </w:rPr>
        <w:t xml:space="preserve"> and hence have expansive confidence intervals that </w:t>
      </w:r>
      <w:r w:rsidR="00C81BAB">
        <w:rPr>
          <w:rFonts w:ascii="Garamond" w:eastAsiaTheme="minorEastAsia" w:hAnsi="Garamond" w:cs="Times New Roman"/>
        </w:rPr>
        <w:t>make it difficult to observe the results for the fixed peg, floating and monetary union exchange rate regime categories</w:t>
      </w:r>
      <w:r w:rsidR="008C574C">
        <w:rPr>
          <w:rFonts w:ascii="Garamond" w:eastAsiaTheme="minorEastAsia" w:hAnsi="Garamond" w:cs="Times New Roman"/>
        </w:rPr>
        <w:t xml:space="preserve"> </w:t>
      </w:r>
      <w:r w:rsidR="00C81BAB">
        <w:rPr>
          <w:rFonts w:ascii="Garamond" w:eastAsiaTheme="minorEastAsia" w:hAnsi="Garamond" w:cs="Times New Roman"/>
        </w:rPr>
        <w:t>within the same figure. W</w:t>
      </w:r>
      <w:r w:rsidR="008C574C">
        <w:rPr>
          <w:rFonts w:ascii="Garamond" w:eastAsiaTheme="minorEastAsia" w:hAnsi="Garamond" w:cs="Times New Roman"/>
        </w:rPr>
        <w:t xml:space="preserve">e present the results for crawling pegs in Appendix </w:t>
      </w:r>
      <w:r w:rsidR="00D821FE">
        <w:rPr>
          <w:rFonts w:ascii="Garamond" w:eastAsiaTheme="minorEastAsia" w:hAnsi="Garamond" w:cs="Times New Roman"/>
        </w:rPr>
        <w:t>D</w:t>
      </w:r>
      <w:r w:rsidR="006150B9">
        <w:rPr>
          <w:rFonts w:ascii="Garamond" w:eastAsiaTheme="minorEastAsia" w:hAnsi="Garamond" w:cs="Times New Roman"/>
        </w:rPr>
        <w:t>. W</w:t>
      </w:r>
      <w:r w:rsidR="008C574C">
        <w:rPr>
          <w:rFonts w:ascii="Garamond" w:eastAsiaTheme="minorEastAsia" w:hAnsi="Garamond" w:cs="Times New Roman"/>
        </w:rPr>
        <w:t xml:space="preserve">e do not present those for the </w:t>
      </w:r>
      <w:r w:rsidR="00B80CD1">
        <w:rPr>
          <w:rFonts w:ascii="Garamond" w:eastAsiaTheme="minorEastAsia" w:hAnsi="Garamond" w:cs="Times New Roman"/>
        </w:rPr>
        <w:t>‘</w:t>
      </w:r>
      <w:r w:rsidR="008C574C">
        <w:rPr>
          <w:rFonts w:ascii="Garamond" w:eastAsiaTheme="minorEastAsia" w:hAnsi="Garamond" w:cs="Times New Roman"/>
        </w:rPr>
        <w:t>other managed arrangement</w:t>
      </w:r>
      <w:r w:rsidR="00B80CD1">
        <w:rPr>
          <w:rFonts w:ascii="Garamond" w:eastAsiaTheme="minorEastAsia" w:hAnsi="Garamond" w:cs="Times New Roman"/>
        </w:rPr>
        <w:t xml:space="preserve">’ </w:t>
      </w:r>
      <w:r w:rsidR="008C574C">
        <w:rPr>
          <w:rFonts w:ascii="Garamond" w:eastAsiaTheme="minorEastAsia" w:hAnsi="Garamond" w:cs="Times New Roman"/>
        </w:rPr>
        <w:t>category, because this regime only existed for 2 country-years within our sample</w:t>
      </w:r>
      <w:r w:rsidR="00E83819" w:rsidRPr="00614418">
        <w:rPr>
          <w:rFonts w:ascii="Garamond" w:eastAsiaTheme="minorEastAsia" w:hAnsi="Garamond" w:cs="Times New Roman"/>
        </w:rPr>
        <w:t>.</w:t>
      </w:r>
      <w:r w:rsidR="00DD21E3" w:rsidRPr="00614418">
        <w:rPr>
          <w:rFonts w:ascii="Garamond" w:eastAsiaTheme="minorEastAsia" w:hAnsi="Garamond" w:cs="Times New Roman"/>
        </w:rPr>
        <w:t xml:space="preserve"> Furthermore, </w:t>
      </w:r>
      <w:r w:rsidR="008C574C">
        <w:rPr>
          <w:rFonts w:ascii="Garamond" w:eastAsiaTheme="minorEastAsia" w:hAnsi="Garamond" w:cs="Times New Roman"/>
        </w:rPr>
        <w:t xml:space="preserve">it is important to emphasize that </w:t>
      </w:r>
      <w:r w:rsidR="00DD21E3" w:rsidRPr="00614418">
        <w:rPr>
          <w:rFonts w:ascii="Garamond" w:eastAsiaTheme="minorEastAsia" w:hAnsi="Garamond" w:cs="Times New Roman"/>
        </w:rPr>
        <w:t xml:space="preserve">the graph </w:t>
      </w:r>
      <w:r w:rsidR="00AC5891" w:rsidRPr="00614418">
        <w:rPr>
          <w:rFonts w:ascii="Garamond" w:eastAsiaTheme="minorEastAsia" w:hAnsi="Garamond" w:cs="Times New Roman"/>
        </w:rPr>
        <w:t>for fixed exchange rates is heavily influenced by Denmark, which is the only country</w:t>
      </w:r>
      <w:r w:rsidR="005C6340">
        <w:rPr>
          <w:rFonts w:ascii="Garamond" w:eastAsiaTheme="minorEastAsia" w:hAnsi="Garamond" w:cs="Times New Roman"/>
        </w:rPr>
        <w:t xml:space="preserve"> in our sample</w:t>
      </w:r>
      <w:r w:rsidR="00AC5891" w:rsidRPr="00614418">
        <w:rPr>
          <w:rFonts w:ascii="Garamond" w:eastAsiaTheme="minorEastAsia" w:hAnsi="Garamond" w:cs="Times New Roman"/>
        </w:rPr>
        <w:t xml:space="preserve"> to remain in this exchange regime after 1999.</w:t>
      </w:r>
      <w:r w:rsidR="00C81BAB">
        <w:rPr>
          <w:rFonts w:ascii="Garamond" w:eastAsiaTheme="minorEastAsia" w:hAnsi="Garamond" w:cs="Times New Roman"/>
        </w:rPr>
        <w:t xml:space="preserve"> Figures 1, 2, 3, 4 and 5 present results for the interaction effect between exchange rate regime and inflation, debt, the deficit, social spending and entitlement spending, respectively.</w:t>
      </w:r>
    </w:p>
    <w:p w14:paraId="6CA8BC73" w14:textId="53341E1E" w:rsidR="000E16F7" w:rsidRDefault="000E16F7" w:rsidP="008852FB">
      <w:pPr>
        <w:spacing w:line="360" w:lineRule="auto"/>
        <w:jc w:val="both"/>
        <w:rPr>
          <w:rFonts w:ascii="Garamond" w:eastAsiaTheme="minorEastAsia" w:hAnsi="Garamond" w:cs="Times New Roman"/>
          <w:b/>
          <w:bCs/>
        </w:rPr>
      </w:pPr>
    </w:p>
    <w:p w14:paraId="11743F57" w14:textId="33AEA94C" w:rsidR="00A76124" w:rsidRDefault="00A76124" w:rsidP="008852FB">
      <w:pPr>
        <w:spacing w:line="360" w:lineRule="auto"/>
        <w:jc w:val="both"/>
        <w:rPr>
          <w:rFonts w:ascii="Garamond" w:eastAsiaTheme="minorEastAsia" w:hAnsi="Garamond" w:cs="Times New Roman"/>
          <w:b/>
          <w:bCs/>
        </w:rPr>
      </w:pPr>
    </w:p>
    <w:p w14:paraId="4EA1A765" w14:textId="2A9F9EEA" w:rsidR="00A76124" w:rsidRDefault="00A76124" w:rsidP="008852FB">
      <w:pPr>
        <w:spacing w:line="360" w:lineRule="auto"/>
        <w:jc w:val="both"/>
        <w:rPr>
          <w:rFonts w:ascii="Garamond" w:eastAsiaTheme="minorEastAsia" w:hAnsi="Garamond" w:cs="Times New Roman"/>
          <w:b/>
          <w:bCs/>
        </w:rPr>
      </w:pPr>
    </w:p>
    <w:p w14:paraId="48A04CF3" w14:textId="48B4ED3B" w:rsidR="00A76124" w:rsidRDefault="00A76124" w:rsidP="008852FB">
      <w:pPr>
        <w:spacing w:line="360" w:lineRule="auto"/>
        <w:jc w:val="both"/>
        <w:rPr>
          <w:rFonts w:ascii="Garamond" w:eastAsiaTheme="minorEastAsia" w:hAnsi="Garamond" w:cs="Times New Roman"/>
          <w:b/>
          <w:bCs/>
        </w:rPr>
      </w:pPr>
    </w:p>
    <w:p w14:paraId="5FFDB9F0" w14:textId="23D30D4C" w:rsidR="00A76124" w:rsidRDefault="00A76124" w:rsidP="008852FB">
      <w:pPr>
        <w:spacing w:line="360" w:lineRule="auto"/>
        <w:jc w:val="both"/>
        <w:rPr>
          <w:rFonts w:ascii="Garamond" w:eastAsiaTheme="minorEastAsia" w:hAnsi="Garamond" w:cs="Times New Roman"/>
          <w:b/>
          <w:bCs/>
        </w:rPr>
      </w:pPr>
    </w:p>
    <w:p w14:paraId="72B1DFAB" w14:textId="2CDE92C4" w:rsidR="00A76124" w:rsidRDefault="00A76124" w:rsidP="008852FB">
      <w:pPr>
        <w:spacing w:line="360" w:lineRule="auto"/>
        <w:jc w:val="both"/>
        <w:rPr>
          <w:rFonts w:ascii="Garamond" w:eastAsiaTheme="minorEastAsia" w:hAnsi="Garamond" w:cs="Times New Roman"/>
          <w:b/>
          <w:bCs/>
        </w:rPr>
      </w:pPr>
    </w:p>
    <w:p w14:paraId="71B1358D" w14:textId="366065F3" w:rsidR="00A76124" w:rsidRDefault="00A76124" w:rsidP="008852FB">
      <w:pPr>
        <w:spacing w:line="360" w:lineRule="auto"/>
        <w:jc w:val="both"/>
        <w:rPr>
          <w:rFonts w:ascii="Garamond" w:eastAsiaTheme="minorEastAsia" w:hAnsi="Garamond" w:cs="Times New Roman"/>
          <w:b/>
          <w:bCs/>
        </w:rPr>
      </w:pPr>
    </w:p>
    <w:p w14:paraId="2B33DB58" w14:textId="7F727E0E" w:rsidR="00A76124" w:rsidRDefault="00A76124" w:rsidP="008852FB">
      <w:pPr>
        <w:spacing w:line="360" w:lineRule="auto"/>
        <w:jc w:val="both"/>
        <w:rPr>
          <w:rFonts w:ascii="Garamond" w:eastAsiaTheme="minorEastAsia" w:hAnsi="Garamond" w:cs="Times New Roman"/>
          <w:b/>
          <w:bCs/>
        </w:rPr>
      </w:pPr>
    </w:p>
    <w:p w14:paraId="665ADD0A" w14:textId="46DEAF82" w:rsidR="00A76124" w:rsidRDefault="00A76124" w:rsidP="008852FB">
      <w:pPr>
        <w:spacing w:line="360" w:lineRule="auto"/>
        <w:jc w:val="both"/>
        <w:rPr>
          <w:rFonts w:ascii="Garamond" w:eastAsiaTheme="minorEastAsia" w:hAnsi="Garamond" w:cs="Times New Roman"/>
          <w:b/>
          <w:bCs/>
        </w:rPr>
      </w:pPr>
    </w:p>
    <w:p w14:paraId="67FFF720" w14:textId="77777777" w:rsidR="00A76124" w:rsidRDefault="00A76124" w:rsidP="008852FB">
      <w:pPr>
        <w:spacing w:line="360" w:lineRule="auto"/>
        <w:jc w:val="both"/>
        <w:rPr>
          <w:rFonts w:ascii="Garamond" w:eastAsiaTheme="minorEastAsia" w:hAnsi="Garamond" w:cs="Times New Roman"/>
          <w:b/>
          <w:bCs/>
        </w:rPr>
      </w:pPr>
    </w:p>
    <w:p w14:paraId="4213448C" w14:textId="03B42DA0" w:rsidR="008852FB" w:rsidRPr="00614418" w:rsidRDefault="008852FB" w:rsidP="008852FB">
      <w:pPr>
        <w:jc w:val="center"/>
        <w:rPr>
          <w:rFonts w:ascii="Garamond" w:hAnsi="Garamond" w:cs="Times New Roman"/>
          <w:b/>
          <w:bCs/>
        </w:rPr>
      </w:pPr>
      <w:r w:rsidRPr="00614418">
        <w:rPr>
          <w:rFonts w:ascii="Garamond" w:hAnsi="Garamond" w:cs="Times New Roman"/>
          <w:b/>
          <w:bCs/>
        </w:rPr>
        <w:lastRenderedPageBreak/>
        <w:t xml:space="preserve">Figure 1: </w:t>
      </w:r>
      <w:r w:rsidR="00591A20" w:rsidRPr="00614418">
        <w:rPr>
          <w:rFonts w:ascii="Garamond" w:hAnsi="Garamond" w:cs="Times New Roman"/>
          <w:b/>
          <w:bCs/>
        </w:rPr>
        <w:t>The impact of inflation on bond yields</w:t>
      </w:r>
      <w:r w:rsidR="004969BE">
        <w:rPr>
          <w:rFonts w:ascii="Garamond" w:hAnsi="Garamond" w:cs="Times New Roman"/>
          <w:b/>
          <w:bCs/>
        </w:rPr>
        <w:t xml:space="preserve"> by exchange rate regime</w:t>
      </w:r>
      <w:r w:rsidR="00591A20" w:rsidRPr="00614418">
        <w:rPr>
          <w:rFonts w:ascii="Garamond" w:hAnsi="Garamond" w:cs="Times New Roman"/>
          <w:b/>
          <w:bCs/>
        </w:rPr>
        <w:t xml:space="preserve"> </w:t>
      </w:r>
    </w:p>
    <w:p w14:paraId="71D9F712" w14:textId="77777777" w:rsidR="008852FB" w:rsidRPr="00614418" w:rsidRDefault="008852FB" w:rsidP="008852FB">
      <w:pPr>
        <w:jc w:val="center"/>
        <w:rPr>
          <w:rFonts w:ascii="Garamond" w:hAnsi="Garamond" w:cs="Times New Roman"/>
          <w:b/>
          <w:bCs/>
        </w:rPr>
      </w:pPr>
    </w:p>
    <w:p w14:paraId="7839937C" w14:textId="510C1F93" w:rsidR="008852FB" w:rsidRPr="00614418" w:rsidRDefault="009D300F" w:rsidP="008852FB">
      <w:pPr>
        <w:jc w:val="center"/>
        <w:rPr>
          <w:rFonts w:ascii="Garamond" w:hAnsi="Garamond"/>
        </w:rPr>
      </w:pPr>
      <w:r w:rsidRPr="009D300F">
        <w:rPr>
          <w:rFonts w:ascii="Garamond" w:hAnsi="Garamond"/>
          <w:noProof/>
          <w:lang w:val="fr-CH" w:eastAsia="fr-CH"/>
        </w:rPr>
        <w:drawing>
          <wp:inline distT="0" distB="0" distL="0" distR="0" wp14:anchorId="26D66162" wp14:editId="5511AE47">
            <wp:extent cx="5295742" cy="3851448"/>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99189" cy="3853955"/>
                    </a:xfrm>
                    <a:prstGeom prst="rect">
                      <a:avLst/>
                    </a:prstGeom>
                    <a:noFill/>
                    <a:ln>
                      <a:noFill/>
                    </a:ln>
                  </pic:spPr>
                </pic:pic>
              </a:graphicData>
            </a:graphic>
          </wp:inline>
        </w:drawing>
      </w:r>
    </w:p>
    <w:p w14:paraId="391598D3" w14:textId="77777777" w:rsidR="008852FB" w:rsidRPr="00614418" w:rsidRDefault="008852FB" w:rsidP="008852FB">
      <w:pPr>
        <w:spacing w:line="360" w:lineRule="auto"/>
        <w:jc w:val="both"/>
        <w:rPr>
          <w:rFonts w:ascii="Garamond" w:hAnsi="Garamond" w:cs="Times New Roman"/>
        </w:rPr>
      </w:pPr>
    </w:p>
    <w:p w14:paraId="232E9312" w14:textId="55ED9E39" w:rsidR="007F4E6A" w:rsidRPr="00614418" w:rsidRDefault="00510803" w:rsidP="006C6126">
      <w:pPr>
        <w:spacing w:line="360" w:lineRule="auto"/>
        <w:ind w:firstLine="720"/>
        <w:jc w:val="both"/>
        <w:rPr>
          <w:rFonts w:ascii="Garamond" w:hAnsi="Garamond" w:cs="Times New Roman"/>
        </w:rPr>
      </w:pPr>
      <w:r w:rsidRPr="00614418">
        <w:rPr>
          <w:rFonts w:ascii="Garamond" w:hAnsi="Garamond" w:cs="Times New Roman"/>
        </w:rPr>
        <w:t xml:space="preserve">Results </w:t>
      </w:r>
      <w:r w:rsidR="00E83819" w:rsidRPr="00614418">
        <w:rPr>
          <w:rFonts w:ascii="Garamond" w:hAnsi="Garamond" w:cs="Times New Roman"/>
        </w:rPr>
        <w:t xml:space="preserve">presented in </w:t>
      </w:r>
      <w:r w:rsidRPr="00614418">
        <w:rPr>
          <w:rFonts w:ascii="Garamond" w:hAnsi="Garamond" w:cs="Times New Roman"/>
        </w:rPr>
        <w:t xml:space="preserve">Figure 1 </w:t>
      </w:r>
      <w:r w:rsidR="005B5C2E" w:rsidRPr="00614418">
        <w:rPr>
          <w:rFonts w:ascii="Garamond" w:hAnsi="Garamond" w:cs="Times New Roman"/>
        </w:rPr>
        <w:t xml:space="preserve">show that inflation </w:t>
      </w:r>
      <w:r w:rsidR="00B6386C" w:rsidRPr="00614418">
        <w:rPr>
          <w:rFonts w:ascii="Garamond" w:hAnsi="Garamond" w:cs="Times New Roman"/>
        </w:rPr>
        <w:t>has a significant positive effect on nominal interest rates</w:t>
      </w:r>
      <w:r w:rsidR="00591A20" w:rsidRPr="00614418">
        <w:rPr>
          <w:rFonts w:ascii="Garamond" w:hAnsi="Garamond" w:cs="Times New Roman"/>
        </w:rPr>
        <w:t xml:space="preserve"> </w:t>
      </w:r>
      <w:r w:rsidR="005B5C2E" w:rsidRPr="00614418">
        <w:rPr>
          <w:rFonts w:ascii="Garamond" w:hAnsi="Garamond" w:cs="Times New Roman"/>
        </w:rPr>
        <w:t xml:space="preserve">in </w:t>
      </w:r>
      <w:r w:rsidR="00591A20" w:rsidRPr="00614418">
        <w:rPr>
          <w:rFonts w:ascii="Garamond" w:hAnsi="Garamond" w:cs="Times New Roman"/>
        </w:rPr>
        <w:t>countries in floating and fixed exchange rate regimes</w:t>
      </w:r>
      <w:r w:rsidR="005B5C2E" w:rsidRPr="00614418">
        <w:rPr>
          <w:rFonts w:ascii="Garamond" w:hAnsi="Garamond" w:cs="Times New Roman"/>
        </w:rPr>
        <w:t xml:space="preserve"> for much of the period under consideration</w:t>
      </w:r>
      <w:r w:rsidR="00666865" w:rsidRPr="00614418">
        <w:rPr>
          <w:rFonts w:ascii="Garamond" w:hAnsi="Garamond" w:cs="Times New Roman"/>
        </w:rPr>
        <w:t>. A</w:t>
      </w:r>
      <w:r w:rsidR="00B6386C" w:rsidRPr="00614418">
        <w:rPr>
          <w:rFonts w:ascii="Garamond" w:hAnsi="Garamond" w:cs="Times New Roman"/>
        </w:rPr>
        <w:t xml:space="preserve"> 1</w:t>
      </w:r>
      <w:r w:rsidR="00B24913">
        <w:rPr>
          <w:rFonts w:ascii="Garamond" w:hAnsi="Garamond" w:cs="Times New Roman"/>
        </w:rPr>
        <w:t>-percent</w:t>
      </w:r>
      <w:r w:rsidR="00B6386C" w:rsidRPr="00614418">
        <w:rPr>
          <w:rFonts w:ascii="Garamond" w:hAnsi="Garamond" w:cs="Times New Roman"/>
        </w:rPr>
        <w:t xml:space="preserve"> increase inflation leads to a 50</w:t>
      </w:r>
      <w:r w:rsidR="00B24913">
        <w:rPr>
          <w:rFonts w:ascii="Garamond" w:hAnsi="Garamond" w:cs="Times New Roman"/>
        </w:rPr>
        <w:t>-</w:t>
      </w:r>
      <w:r w:rsidR="00B6386C" w:rsidRPr="00614418">
        <w:rPr>
          <w:rFonts w:ascii="Garamond" w:hAnsi="Garamond" w:cs="Times New Roman"/>
        </w:rPr>
        <w:t>basis point and 70</w:t>
      </w:r>
      <w:r w:rsidR="00B24913">
        <w:rPr>
          <w:rFonts w:ascii="Garamond" w:hAnsi="Garamond" w:cs="Times New Roman"/>
        </w:rPr>
        <w:t>-</w:t>
      </w:r>
      <w:r w:rsidR="00B6386C" w:rsidRPr="00614418">
        <w:rPr>
          <w:rFonts w:ascii="Garamond" w:hAnsi="Garamond" w:cs="Times New Roman"/>
        </w:rPr>
        <w:t>basis point increase in nominal interest rates for countries in floating and fixed exchange rate regimes, respectively, in early windows</w:t>
      </w:r>
      <w:r w:rsidR="00666865" w:rsidRPr="00614418">
        <w:rPr>
          <w:rFonts w:ascii="Garamond" w:hAnsi="Garamond" w:cs="Times New Roman"/>
        </w:rPr>
        <w:t>. However,</w:t>
      </w:r>
      <w:r w:rsidR="005B5C2E" w:rsidRPr="00614418">
        <w:rPr>
          <w:rFonts w:ascii="Garamond" w:hAnsi="Garamond" w:cs="Times New Roman"/>
        </w:rPr>
        <w:t xml:space="preserve"> inflation loses significance in the latest windows</w:t>
      </w:r>
      <w:r w:rsidR="00BC77F5" w:rsidRPr="00614418">
        <w:rPr>
          <w:rFonts w:ascii="Garamond" w:hAnsi="Garamond" w:cs="Times New Roman"/>
        </w:rPr>
        <w:t>,</w:t>
      </w:r>
      <w:r w:rsidR="005B5C2E" w:rsidRPr="00614418">
        <w:rPr>
          <w:rFonts w:ascii="Garamond" w:hAnsi="Garamond" w:cs="Times New Roman"/>
        </w:rPr>
        <w:t xml:space="preserve"> in which the deflationary years after the </w:t>
      </w:r>
      <w:r w:rsidR="00AA0165" w:rsidRPr="00614418">
        <w:rPr>
          <w:rFonts w:ascii="Garamond" w:hAnsi="Garamond" w:cs="Times New Roman"/>
        </w:rPr>
        <w:t xml:space="preserve">financial crisis and the </w:t>
      </w:r>
      <w:r w:rsidR="005B5C2E" w:rsidRPr="00614418">
        <w:rPr>
          <w:rFonts w:ascii="Garamond" w:hAnsi="Garamond" w:cs="Times New Roman"/>
        </w:rPr>
        <w:t>European debt crisis carry greater weight</w:t>
      </w:r>
      <w:r w:rsidR="00AC5891" w:rsidRPr="00614418">
        <w:rPr>
          <w:rFonts w:ascii="Garamond" w:hAnsi="Garamond" w:cs="Times New Roman"/>
        </w:rPr>
        <w:t>.</w:t>
      </w:r>
      <w:r w:rsidR="00B6386C" w:rsidRPr="00614418">
        <w:rPr>
          <w:rFonts w:ascii="Garamond" w:hAnsi="Garamond" w:cs="Times New Roman"/>
        </w:rPr>
        <w:t xml:space="preserve"> In contrast, </w:t>
      </w:r>
      <w:r w:rsidR="005B5C2E" w:rsidRPr="00614418">
        <w:rPr>
          <w:rFonts w:ascii="Garamond" w:hAnsi="Garamond" w:cs="Times New Roman"/>
        </w:rPr>
        <w:t xml:space="preserve">interest rates do not respond to inflation in </w:t>
      </w:r>
      <w:r w:rsidR="00B6386C" w:rsidRPr="00614418">
        <w:rPr>
          <w:rFonts w:ascii="Garamond" w:hAnsi="Garamond" w:cs="Times New Roman"/>
        </w:rPr>
        <w:t xml:space="preserve">countries in monetary union </w:t>
      </w:r>
      <w:r w:rsidR="005B5C2E" w:rsidRPr="00614418">
        <w:rPr>
          <w:rFonts w:ascii="Garamond" w:hAnsi="Garamond" w:cs="Times New Roman"/>
        </w:rPr>
        <w:t>in</w:t>
      </w:r>
      <w:r w:rsidR="00B6386C" w:rsidRPr="00614418">
        <w:rPr>
          <w:rFonts w:ascii="Garamond" w:hAnsi="Garamond" w:cs="Times New Roman"/>
        </w:rPr>
        <w:t xml:space="preserve"> any sample windows</w:t>
      </w:r>
      <w:r w:rsidR="00B24913">
        <w:rPr>
          <w:rStyle w:val="FootnoteReference"/>
          <w:rFonts w:ascii="Garamond" w:hAnsi="Garamond" w:cs="Times New Roman"/>
        </w:rPr>
        <w:footnoteReference w:id="28"/>
      </w:r>
      <w:r w:rsidR="00B6386C" w:rsidRPr="00614418">
        <w:rPr>
          <w:rFonts w:ascii="Garamond" w:hAnsi="Garamond" w:cs="Times New Roman"/>
        </w:rPr>
        <w:t xml:space="preserve">. </w:t>
      </w:r>
      <w:r w:rsidR="00666865" w:rsidRPr="00614418">
        <w:rPr>
          <w:rFonts w:ascii="Garamond" w:hAnsi="Garamond" w:cs="Times New Roman"/>
        </w:rPr>
        <w:t xml:space="preserve"> These results bear out hypotheses 1a</w:t>
      </w:r>
      <w:r w:rsidR="00FA0DC8">
        <w:rPr>
          <w:rFonts w:ascii="Garamond" w:hAnsi="Garamond" w:cs="Times New Roman"/>
        </w:rPr>
        <w:t xml:space="preserve"> and 1</w:t>
      </w:r>
      <w:r w:rsidR="00BC77F5" w:rsidRPr="00614418">
        <w:rPr>
          <w:rFonts w:ascii="Garamond" w:hAnsi="Garamond" w:cs="Times New Roman"/>
        </w:rPr>
        <w:t xml:space="preserve">b </w:t>
      </w:r>
      <w:r w:rsidR="00666865" w:rsidRPr="00614418">
        <w:rPr>
          <w:rFonts w:ascii="Garamond" w:hAnsi="Garamond" w:cs="Times New Roman"/>
        </w:rPr>
        <w:t>demonstrating that in an inflationary environment</w:t>
      </w:r>
      <w:r w:rsidR="00B24913">
        <w:rPr>
          <w:rFonts w:ascii="Garamond" w:hAnsi="Garamond" w:cs="Times New Roman"/>
        </w:rPr>
        <w:t>,</w:t>
      </w:r>
      <w:r w:rsidR="00666865" w:rsidRPr="00614418">
        <w:rPr>
          <w:rFonts w:ascii="Garamond" w:hAnsi="Garamond" w:cs="Times New Roman"/>
        </w:rPr>
        <w:t xml:space="preserve"> inflation matters in floating exchange rates, but not in </w:t>
      </w:r>
      <w:r w:rsidR="00AC5891" w:rsidRPr="00614418">
        <w:rPr>
          <w:rFonts w:ascii="Garamond" w:hAnsi="Garamond" w:cs="Times New Roman"/>
        </w:rPr>
        <w:t xml:space="preserve">a </w:t>
      </w:r>
      <w:r w:rsidR="00666865" w:rsidRPr="00614418">
        <w:rPr>
          <w:rFonts w:ascii="Garamond" w:hAnsi="Garamond" w:cs="Times New Roman"/>
        </w:rPr>
        <w:t xml:space="preserve">monetary union. </w:t>
      </w:r>
      <w:r w:rsidR="00FA0DC8">
        <w:rPr>
          <w:rFonts w:ascii="Garamond" w:hAnsi="Garamond" w:cs="Times New Roman"/>
        </w:rPr>
        <w:t>Interestingly, in an inflationary environment</w:t>
      </w:r>
      <w:r w:rsidR="00B24913">
        <w:rPr>
          <w:rFonts w:ascii="Garamond" w:hAnsi="Garamond" w:cs="Times New Roman"/>
        </w:rPr>
        <w:t>,</w:t>
      </w:r>
      <w:r w:rsidR="00FA0DC8">
        <w:rPr>
          <w:rFonts w:ascii="Garamond" w:hAnsi="Garamond" w:cs="Times New Roman"/>
        </w:rPr>
        <w:t xml:space="preserve"> </w:t>
      </w:r>
      <w:r w:rsidR="00F82EC7">
        <w:rPr>
          <w:rFonts w:ascii="Garamond" w:hAnsi="Garamond" w:cs="Times New Roman"/>
        </w:rPr>
        <w:t>markets treat fixed exchange rates simila</w:t>
      </w:r>
      <w:r w:rsidR="009B4806">
        <w:rPr>
          <w:rFonts w:ascii="Garamond" w:hAnsi="Garamond" w:cs="Times New Roman"/>
        </w:rPr>
        <w:t>rly, and in fact a bit worse</w:t>
      </w:r>
      <w:r w:rsidR="00B24913">
        <w:rPr>
          <w:rFonts w:ascii="Garamond" w:hAnsi="Garamond" w:cs="Times New Roman"/>
        </w:rPr>
        <w:t>,</w:t>
      </w:r>
      <w:r w:rsidR="009B4806">
        <w:rPr>
          <w:rFonts w:ascii="Garamond" w:hAnsi="Garamond" w:cs="Times New Roman"/>
        </w:rPr>
        <w:t xml:space="preserve"> than</w:t>
      </w:r>
      <w:r w:rsidR="00F82EC7">
        <w:rPr>
          <w:rFonts w:ascii="Garamond" w:hAnsi="Garamond" w:cs="Times New Roman"/>
        </w:rPr>
        <w:t xml:space="preserve"> floating exchange rate</w:t>
      </w:r>
      <w:r w:rsidR="00926DA7">
        <w:rPr>
          <w:rFonts w:ascii="Garamond" w:hAnsi="Garamond" w:cs="Times New Roman"/>
        </w:rPr>
        <w:t>s</w:t>
      </w:r>
      <w:r w:rsidR="00F82EC7">
        <w:rPr>
          <w:rFonts w:ascii="Garamond" w:hAnsi="Garamond" w:cs="Times New Roman"/>
        </w:rPr>
        <w:t xml:space="preserve">. </w:t>
      </w:r>
      <w:r w:rsidR="009B4806">
        <w:rPr>
          <w:rFonts w:ascii="Garamond" w:hAnsi="Garamond" w:cs="Times New Roman"/>
        </w:rPr>
        <w:t>Results</w:t>
      </w:r>
      <w:r w:rsidR="00666865" w:rsidRPr="00614418">
        <w:rPr>
          <w:rFonts w:ascii="Garamond" w:hAnsi="Garamond" w:cs="Times New Roman"/>
        </w:rPr>
        <w:t xml:space="preserve"> also substantiate hypothes</w:t>
      </w:r>
      <w:r w:rsidR="000478DC">
        <w:rPr>
          <w:rFonts w:ascii="Garamond" w:hAnsi="Garamond" w:cs="Times New Roman"/>
        </w:rPr>
        <w:t>i</w:t>
      </w:r>
      <w:r w:rsidR="00666865" w:rsidRPr="00614418">
        <w:rPr>
          <w:rFonts w:ascii="Garamond" w:hAnsi="Garamond" w:cs="Times New Roman"/>
        </w:rPr>
        <w:t xml:space="preserve">s 3a that </w:t>
      </w:r>
      <w:r w:rsidR="00F82EC7">
        <w:rPr>
          <w:rFonts w:ascii="Garamond" w:hAnsi="Garamond" w:cs="Times New Roman"/>
        </w:rPr>
        <w:t xml:space="preserve">the inflation penalty </w:t>
      </w:r>
      <w:r w:rsidR="00B24913">
        <w:rPr>
          <w:rFonts w:ascii="Garamond" w:hAnsi="Garamond" w:cs="Times New Roman"/>
        </w:rPr>
        <w:t>in</w:t>
      </w:r>
      <w:r w:rsidR="00F82EC7">
        <w:rPr>
          <w:rFonts w:ascii="Garamond" w:hAnsi="Garamond" w:cs="Times New Roman"/>
        </w:rPr>
        <w:t xml:space="preserve"> floating </w:t>
      </w:r>
      <w:r w:rsidR="00B24913">
        <w:rPr>
          <w:rFonts w:ascii="Garamond" w:hAnsi="Garamond" w:cs="Times New Roman"/>
        </w:rPr>
        <w:t xml:space="preserve">(and fixed) </w:t>
      </w:r>
      <w:r w:rsidR="00F82EC7">
        <w:rPr>
          <w:rFonts w:ascii="Garamond" w:hAnsi="Garamond" w:cs="Times New Roman"/>
        </w:rPr>
        <w:t xml:space="preserve">exchange rates </w:t>
      </w:r>
      <w:r w:rsidR="00F82EC7">
        <w:rPr>
          <w:rFonts w:ascii="Garamond" w:hAnsi="Garamond" w:cs="Times New Roman"/>
        </w:rPr>
        <w:lastRenderedPageBreak/>
        <w:t xml:space="preserve">declines over time. In fact, interest rates </w:t>
      </w:r>
      <w:r w:rsidR="00666865" w:rsidRPr="00614418">
        <w:rPr>
          <w:rFonts w:ascii="Garamond" w:hAnsi="Garamond" w:cs="Times New Roman"/>
        </w:rPr>
        <w:t>cease to be sensitive to inflation under any exchange rate regime in a deflationary environment</w:t>
      </w:r>
      <w:r w:rsidR="00712D7A" w:rsidRPr="00614418">
        <w:rPr>
          <w:rFonts w:ascii="Garamond" w:hAnsi="Garamond" w:cs="Times New Roman"/>
        </w:rPr>
        <w:t>.</w:t>
      </w:r>
    </w:p>
    <w:p w14:paraId="26A7EE47" w14:textId="40A3CC96" w:rsidR="008373FC" w:rsidRPr="00614418" w:rsidRDefault="00BE08E8" w:rsidP="006C6126">
      <w:pPr>
        <w:spacing w:before="120"/>
        <w:jc w:val="center"/>
        <w:rPr>
          <w:rFonts w:ascii="Garamond" w:hAnsi="Garamond" w:cs="Times New Roman"/>
          <w:b/>
          <w:bCs/>
        </w:rPr>
      </w:pPr>
      <w:bookmarkStart w:id="21" w:name="_Hlk79763346"/>
      <w:r w:rsidRPr="00614418">
        <w:rPr>
          <w:rFonts w:ascii="Garamond" w:hAnsi="Garamond" w:cs="Times New Roman"/>
          <w:b/>
          <w:bCs/>
        </w:rPr>
        <w:t xml:space="preserve">Figure 2: </w:t>
      </w:r>
      <w:r w:rsidR="000617D1" w:rsidRPr="00614418">
        <w:rPr>
          <w:rFonts w:ascii="Garamond" w:hAnsi="Garamond" w:cs="Times New Roman"/>
          <w:b/>
          <w:bCs/>
        </w:rPr>
        <w:t>The impact of government debt on bond yields</w:t>
      </w:r>
      <w:r w:rsidR="004969BE">
        <w:rPr>
          <w:rFonts w:ascii="Garamond" w:hAnsi="Garamond" w:cs="Times New Roman"/>
          <w:b/>
          <w:bCs/>
        </w:rPr>
        <w:t xml:space="preserve"> by exchange rate regime</w:t>
      </w:r>
      <w:r w:rsidR="000617D1" w:rsidRPr="00614418">
        <w:rPr>
          <w:rFonts w:ascii="Garamond" w:hAnsi="Garamond" w:cs="Times New Roman"/>
          <w:b/>
          <w:bCs/>
        </w:rPr>
        <w:t xml:space="preserve"> </w:t>
      </w:r>
    </w:p>
    <w:bookmarkEnd w:id="21"/>
    <w:p w14:paraId="006F7CCD" w14:textId="77777777" w:rsidR="000E16F7" w:rsidRPr="00614418" w:rsidRDefault="000E16F7" w:rsidP="000617D1">
      <w:pPr>
        <w:jc w:val="center"/>
        <w:rPr>
          <w:rFonts w:ascii="Garamond" w:hAnsi="Garamond" w:cs="Times New Roman"/>
        </w:rPr>
      </w:pPr>
    </w:p>
    <w:p w14:paraId="55D9DE8A" w14:textId="12C63ADA" w:rsidR="00B6386C" w:rsidRPr="00614418" w:rsidRDefault="006A5C84" w:rsidP="006C6126">
      <w:pPr>
        <w:spacing w:after="120" w:line="360" w:lineRule="auto"/>
        <w:jc w:val="center"/>
        <w:rPr>
          <w:rFonts w:ascii="Garamond" w:hAnsi="Garamond" w:cs="Times New Roman"/>
        </w:rPr>
      </w:pPr>
      <w:r w:rsidRPr="006A5C84">
        <w:rPr>
          <w:rFonts w:ascii="Garamond" w:hAnsi="Garamond" w:cs="Times New Roman"/>
          <w:noProof/>
          <w:lang w:val="fr-CH" w:eastAsia="fr-CH"/>
        </w:rPr>
        <w:drawing>
          <wp:inline distT="0" distB="0" distL="0" distR="0" wp14:anchorId="7D6587E4" wp14:editId="21F68ED9">
            <wp:extent cx="5143500" cy="374072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44614" cy="3741537"/>
                    </a:xfrm>
                    <a:prstGeom prst="rect">
                      <a:avLst/>
                    </a:prstGeom>
                    <a:noFill/>
                    <a:ln>
                      <a:noFill/>
                    </a:ln>
                  </pic:spPr>
                </pic:pic>
              </a:graphicData>
            </a:graphic>
          </wp:inline>
        </w:drawing>
      </w:r>
    </w:p>
    <w:p w14:paraId="6F86677F" w14:textId="2FF7E536" w:rsidR="007A33DA" w:rsidRPr="00614418" w:rsidRDefault="00666865" w:rsidP="00926DA7">
      <w:pPr>
        <w:spacing w:line="360" w:lineRule="auto"/>
        <w:ind w:firstLine="720"/>
        <w:jc w:val="both"/>
        <w:rPr>
          <w:rFonts w:ascii="Garamond" w:hAnsi="Garamond" w:cs="Times New Roman"/>
        </w:rPr>
      </w:pPr>
      <w:r w:rsidRPr="00614418">
        <w:rPr>
          <w:rFonts w:ascii="Garamond" w:hAnsi="Garamond" w:cs="Times New Roman"/>
        </w:rPr>
        <w:t>Results presented in Figure 2</w:t>
      </w:r>
      <w:r w:rsidR="00F43801" w:rsidRPr="00614418">
        <w:rPr>
          <w:rFonts w:ascii="Garamond" w:hAnsi="Garamond" w:cs="Times New Roman"/>
        </w:rPr>
        <w:t xml:space="preserve"> show that</w:t>
      </w:r>
      <w:r w:rsidRPr="00614418">
        <w:rPr>
          <w:rFonts w:ascii="Garamond" w:hAnsi="Garamond" w:cs="Times New Roman"/>
        </w:rPr>
        <w:t xml:space="preserve"> </w:t>
      </w:r>
      <w:r w:rsidR="00AD44F4" w:rsidRPr="00614418">
        <w:rPr>
          <w:rFonts w:ascii="Garamond" w:hAnsi="Garamond" w:cs="Times New Roman"/>
        </w:rPr>
        <w:t>p</w:t>
      </w:r>
      <w:r w:rsidR="00C50405" w:rsidRPr="00614418">
        <w:rPr>
          <w:rFonts w:ascii="Garamond" w:hAnsi="Garamond" w:cs="Times New Roman"/>
        </w:rPr>
        <w:t xml:space="preserve">ublic debt has no significant effect on interest rates </w:t>
      </w:r>
      <w:r w:rsidR="00F43801" w:rsidRPr="00614418">
        <w:rPr>
          <w:rFonts w:ascii="Garamond" w:hAnsi="Garamond" w:cs="Times New Roman"/>
        </w:rPr>
        <w:t>under</w:t>
      </w:r>
      <w:r w:rsidR="001F2051" w:rsidRPr="00614418">
        <w:rPr>
          <w:rFonts w:ascii="Garamond" w:hAnsi="Garamond" w:cs="Times New Roman"/>
        </w:rPr>
        <w:t xml:space="preserve"> </w:t>
      </w:r>
      <w:r w:rsidR="00F43801" w:rsidRPr="00614418">
        <w:rPr>
          <w:rFonts w:ascii="Garamond" w:hAnsi="Garamond" w:cs="Times New Roman"/>
        </w:rPr>
        <w:t>any</w:t>
      </w:r>
      <w:r w:rsidR="001F2051" w:rsidRPr="00614418">
        <w:rPr>
          <w:rFonts w:ascii="Garamond" w:hAnsi="Garamond" w:cs="Times New Roman"/>
        </w:rPr>
        <w:t xml:space="preserve"> </w:t>
      </w:r>
      <w:r w:rsidR="00C50405" w:rsidRPr="00614418">
        <w:rPr>
          <w:rFonts w:ascii="Garamond" w:hAnsi="Garamond" w:cs="Times New Roman"/>
        </w:rPr>
        <w:t>exchange rate regime in the early windows</w:t>
      </w:r>
      <w:r w:rsidR="002F77A3" w:rsidRPr="00614418">
        <w:rPr>
          <w:rFonts w:ascii="Garamond" w:hAnsi="Garamond" w:cs="Times New Roman"/>
        </w:rPr>
        <w:t>. For countries with</w:t>
      </w:r>
      <w:r w:rsidR="00C50405" w:rsidRPr="00614418">
        <w:rPr>
          <w:rFonts w:ascii="Garamond" w:hAnsi="Garamond" w:cs="Times New Roman"/>
        </w:rPr>
        <w:t xml:space="preserve"> floating exchange rate</w:t>
      </w:r>
      <w:r w:rsidR="002F77A3" w:rsidRPr="00614418">
        <w:rPr>
          <w:rFonts w:ascii="Garamond" w:hAnsi="Garamond" w:cs="Times New Roman"/>
        </w:rPr>
        <w:t>s</w:t>
      </w:r>
      <w:r w:rsidR="00C50405" w:rsidRPr="00614418">
        <w:rPr>
          <w:rFonts w:ascii="Garamond" w:hAnsi="Garamond" w:cs="Times New Roman"/>
        </w:rPr>
        <w:t xml:space="preserve">, </w:t>
      </w:r>
      <w:r w:rsidR="00F7199A" w:rsidRPr="00614418">
        <w:rPr>
          <w:rFonts w:ascii="Garamond" w:hAnsi="Garamond" w:cs="Times New Roman"/>
        </w:rPr>
        <w:t xml:space="preserve">the point estimate of the marginal effect of </w:t>
      </w:r>
      <w:r w:rsidR="00AA0165" w:rsidRPr="00614418">
        <w:rPr>
          <w:rFonts w:ascii="Garamond" w:hAnsi="Garamond" w:cs="Times New Roman"/>
        </w:rPr>
        <w:t>government debt</w:t>
      </w:r>
      <w:r w:rsidR="00F7199A" w:rsidRPr="00614418">
        <w:rPr>
          <w:rFonts w:ascii="Garamond" w:hAnsi="Garamond" w:cs="Times New Roman"/>
        </w:rPr>
        <w:t xml:space="preserve"> </w:t>
      </w:r>
      <w:r w:rsidR="00DD21E3" w:rsidRPr="00614418">
        <w:rPr>
          <w:rFonts w:ascii="Garamond" w:hAnsi="Garamond" w:cs="Times New Roman"/>
        </w:rPr>
        <w:t xml:space="preserve">remains </w:t>
      </w:r>
      <w:r w:rsidR="00C81BAB">
        <w:rPr>
          <w:rFonts w:ascii="Garamond" w:hAnsi="Garamond" w:cs="Times New Roman"/>
        </w:rPr>
        <w:t>at</w:t>
      </w:r>
      <w:r w:rsidR="00DD21E3" w:rsidRPr="00614418">
        <w:rPr>
          <w:rFonts w:ascii="Garamond" w:hAnsi="Garamond" w:cs="Times New Roman"/>
        </w:rPr>
        <w:t xml:space="preserve"> about 2</w:t>
      </w:r>
      <w:r w:rsidR="00D82A6D">
        <w:rPr>
          <w:rFonts w:ascii="Garamond" w:hAnsi="Garamond" w:cs="Times New Roman"/>
        </w:rPr>
        <w:t xml:space="preserve"> percent</w:t>
      </w:r>
      <w:r w:rsidR="00DD21E3" w:rsidRPr="00614418">
        <w:rPr>
          <w:rFonts w:ascii="Garamond" w:hAnsi="Garamond" w:cs="Times New Roman"/>
        </w:rPr>
        <w:t xml:space="preserve"> throughout the period, which implies that a 10</w:t>
      </w:r>
      <w:r w:rsidR="00D82A6D">
        <w:rPr>
          <w:rFonts w:ascii="Garamond" w:hAnsi="Garamond" w:cs="Times New Roman"/>
        </w:rPr>
        <w:t>-percent</w:t>
      </w:r>
      <w:r w:rsidR="00DD21E3" w:rsidRPr="00614418">
        <w:rPr>
          <w:rFonts w:ascii="Garamond" w:hAnsi="Garamond" w:cs="Times New Roman"/>
        </w:rPr>
        <w:t xml:space="preserve"> increase in public debt is associated with a</w:t>
      </w:r>
      <w:r w:rsidR="00AC5891" w:rsidRPr="00614418">
        <w:rPr>
          <w:rFonts w:ascii="Garamond" w:hAnsi="Garamond" w:cs="Times New Roman"/>
        </w:rPr>
        <w:t xml:space="preserve"> 20</w:t>
      </w:r>
      <w:r w:rsidR="006150B9">
        <w:rPr>
          <w:rFonts w:ascii="Garamond" w:hAnsi="Garamond" w:cs="Times New Roman"/>
        </w:rPr>
        <w:t>-</w:t>
      </w:r>
      <w:r w:rsidR="00AC5891" w:rsidRPr="00614418">
        <w:rPr>
          <w:rFonts w:ascii="Garamond" w:hAnsi="Garamond" w:cs="Times New Roman"/>
        </w:rPr>
        <w:t>basis point</w:t>
      </w:r>
      <w:r w:rsidR="00DD21E3" w:rsidRPr="00614418">
        <w:rPr>
          <w:rFonts w:ascii="Garamond" w:hAnsi="Garamond" w:cs="Times New Roman"/>
        </w:rPr>
        <w:t xml:space="preserve"> increase in nominal interest rates, although the confidence intervals</w:t>
      </w:r>
      <w:r w:rsidR="002F77A3" w:rsidRPr="00614418">
        <w:rPr>
          <w:rFonts w:ascii="Garamond" w:hAnsi="Garamond" w:cs="Times New Roman"/>
        </w:rPr>
        <w:t xml:space="preserve"> often straddle the zero line. S</w:t>
      </w:r>
      <w:r w:rsidR="00AC5891" w:rsidRPr="00614418">
        <w:rPr>
          <w:rFonts w:ascii="Garamond" w:hAnsi="Garamond" w:cs="Times New Roman"/>
        </w:rPr>
        <w:t>ta</w:t>
      </w:r>
      <w:r w:rsidR="00DD21E3" w:rsidRPr="00614418">
        <w:rPr>
          <w:rFonts w:ascii="Garamond" w:hAnsi="Garamond" w:cs="Times New Roman"/>
        </w:rPr>
        <w:t>ti</w:t>
      </w:r>
      <w:r w:rsidR="00AC5891" w:rsidRPr="00614418">
        <w:rPr>
          <w:rFonts w:ascii="Garamond" w:hAnsi="Garamond" w:cs="Times New Roman"/>
        </w:rPr>
        <w:t>sti</w:t>
      </w:r>
      <w:r w:rsidR="00DD21E3" w:rsidRPr="00614418">
        <w:rPr>
          <w:rFonts w:ascii="Garamond" w:hAnsi="Garamond" w:cs="Times New Roman"/>
        </w:rPr>
        <w:t xml:space="preserve">cally </w:t>
      </w:r>
      <w:r w:rsidR="00C50405" w:rsidRPr="00614418">
        <w:rPr>
          <w:rFonts w:ascii="Garamond" w:hAnsi="Garamond" w:cs="Times New Roman"/>
        </w:rPr>
        <w:t>significant effect</w:t>
      </w:r>
      <w:r w:rsidR="002F77A3" w:rsidRPr="00614418">
        <w:rPr>
          <w:rFonts w:ascii="Garamond" w:hAnsi="Garamond" w:cs="Times New Roman"/>
        </w:rPr>
        <w:t>s emerge</w:t>
      </w:r>
      <w:r w:rsidR="001F2051" w:rsidRPr="00614418">
        <w:rPr>
          <w:rFonts w:ascii="Garamond" w:hAnsi="Garamond" w:cs="Times New Roman"/>
        </w:rPr>
        <w:t xml:space="preserve"> when </w:t>
      </w:r>
      <w:r w:rsidR="00C50405" w:rsidRPr="00614418">
        <w:rPr>
          <w:rFonts w:ascii="Garamond" w:hAnsi="Garamond" w:cs="Times New Roman"/>
        </w:rPr>
        <w:t xml:space="preserve">the years </w:t>
      </w:r>
      <w:r w:rsidR="001F2051" w:rsidRPr="00614418">
        <w:rPr>
          <w:rFonts w:ascii="Garamond" w:hAnsi="Garamond" w:cs="Times New Roman"/>
        </w:rPr>
        <w:t xml:space="preserve">around </w:t>
      </w:r>
      <w:r w:rsidR="00C50405" w:rsidRPr="00614418">
        <w:rPr>
          <w:rFonts w:ascii="Garamond" w:hAnsi="Garamond" w:cs="Times New Roman"/>
        </w:rPr>
        <w:t xml:space="preserve">the US subprime mortgage crisis and </w:t>
      </w:r>
      <w:r w:rsidR="00D82A6D">
        <w:rPr>
          <w:rFonts w:ascii="Garamond" w:hAnsi="Garamond" w:cs="Times New Roman"/>
        </w:rPr>
        <w:t xml:space="preserve">the </w:t>
      </w:r>
      <w:r w:rsidR="00C50405" w:rsidRPr="00614418">
        <w:rPr>
          <w:rFonts w:ascii="Garamond" w:hAnsi="Garamond" w:cs="Times New Roman"/>
        </w:rPr>
        <w:t xml:space="preserve">subsequent </w:t>
      </w:r>
      <w:r w:rsidR="00D82A6D">
        <w:rPr>
          <w:rFonts w:ascii="Garamond" w:hAnsi="Garamond" w:cs="Times New Roman"/>
        </w:rPr>
        <w:t>g</w:t>
      </w:r>
      <w:r w:rsidR="00D82A6D" w:rsidRPr="00614418">
        <w:rPr>
          <w:rFonts w:ascii="Garamond" w:hAnsi="Garamond" w:cs="Times New Roman"/>
        </w:rPr>
        <w:t xml:space="preserve">lobal </w:t>
      </w:r>
      <w:r w:rsidR="00D82A6D">
        <w:rPr>
          <w:rFonts w:ascii="Garamond" w:hAnsi="Garamond" w:cs="Times New Roman"/>
        </w:rPr>
        <w:t>f</w:t>
      </w:r>
      <w:r w:rsidR="00D82A6D" w:rsidRPr="00614418">
        <w:rPr>
          <w:rFonts w:ascii="Garamond" w:hAnsi="Garamond" w:cs="Times New Roman"/>
        </w:rPr>
        <w:t xml:space="preserve">inancial </w:t>
      </w:r>
      <w:r w:rsidR="00D82A6D">
        <w:rPr>
          <w:rFonts w:ascii="Garamond" w:hAnsi="Garamond" w:cs="Times New Roman"/>
        </w:rPr>
        <w:t>c</w:t>
      </w:r>
      <w:r w:rsidR="00D82A6D" w:rsidRPr="00614418">
        <w:rPr>
          <w:rFonts w:ascii="Garamond" w:hAnsi="Garamond" w:cs="Times New Roman"/>
        </w:rPr>
        <w:t xml:space="preserve">risis </w:t>
      </w:r>
      <w:r w:rsidR="00CF4795" w:rsidRPr="00614418">
        <w:rPr>
          <w:rFonts w:ascii="Garamond" w:hAnsi="Garamond" w:cs="Times New Roman"/>
        </w:rPr>
        <w:t>have largest weight in the windows</w:t>
      </w:r>
      <w:r w:rsidR="00A02AC1">
        <w:rPr>
          <w:rFonts w:ascii="Garamond" w:hAnsi="Garamond" w:cs="Times New Roman"/>
        </w:rPr>
        <w:t xml:space="preserve">, but </w:t>
      </w:r>
      <w:r w:rsidR="00D82A6D">
        <w:rPr>
          <w:rFonts w:ascii="Garamond" w:hAnsi="Garamond" w:cs="Times New Roman"/>
        </w:rPr>
        <w:t xml:space="preserve">the </w:t>
      </w:r>
      <w:r w:rsidR="00A02AC1">
        <w:rPr>
          <w:rFonts w:ascii="Garamond" w:hAnsi="Garamond" w:cs="Times New Roman"/>
        </w:rPr>
        <w:t>significance disappears once the 2010s enter the window</w:t>
      </w:r>
      <w:r w:rsidR="00C50405" w:rsidRPr="00614418">
        <w:rPr>
          <w:rFonts w:ascii="Garamond" w:hAnsi="Garamond" w:cs="Times New Roman"/>
        </w:rPr>
        <w:t>. A similar story emerges for fixed exchange rate</w:t>
      </w:r>
      <w:r w:rsidR="000617D1" w:rsidRPr="00614418">
        <w:rPr>
          <w:rFonts w:ascii="Garamond" w:hAnsi="Garamond" w:cs="Times New Roman"/>
        </w:rPr>
        <w:t>s</w:t>
      </w:r>
      <w:r w:rsidR="00F43801" w:rsidRPr="00614418">
        <w:rPr>
          <w:rFonts w:ascii="Garamond" w:hAnsi="Garamond" w:cs="Times New Roman"/>
        </w:rPr>
        <w:t>:</w:t>
      </w:r>
      <w:r w:rsidR="00C50405" w:rsidRPr="00614418">
        <w:rPr>
          <w:rFonts w:ascii="Garamond" w:hAnsi="Garamond" w:cs="Times New Roman"/>
        </w:rPr>
        <w:t xml:space="preserve"> government debt</w:t>
      </w:r>
      <w:r w:rsidR="00F43801" w:rsidRPr="00614418">
        <w:rPr>
          <w:rFonts w:ascii="Garamond" w:hAnsi="Garamond" w:cs="Times New Roman"/>
        </w:rPr>
        <w:t xml:space="preserve"> briefly</w:t>
      </w:r>
      <w:r w:rsidR="00C50405" w:rsidRPr="00614418">
        <w:rPr>
          <w:rFonts w:ascii="Garamond" w:hAnsi="Garamond" w:cs="Times New Roman"/>
        </w:rPr>
        <w:t xml:space="preserve"> has a significant positive effect on nominal interest rates</w:t>
      </w:r>
      <w:r w:rsidR="00A02AC1">
        <w:rPr>
          <w:rFonts w:ascii="Garamond" w:hAnsi="Garamond" w:cs="Times New Roman"/>
        </w:rPr>
        <w:t xml:space="preserve"> (once the early 2010s enter the window)</w:t>
      </w:r>
      <w:r w:rsidR="00C50405" w:rsidRPr="00614418">
        <w:rPr>
          <w:rFonts w:ascii="Garamond" w:hAnsi="Garamond" w:cs="Times New Roman"/>
        </w:rPr>
        <w:t xml:space="preserve">, but then loses its significance for the last window. In contrast, government debt has a significant and prolonged positive effect on nominal interest rates </w:t>
      </w:r>
      <w:r w:rsidR="00F43801" w:rsidRPr="00614418">
        <w:rPr>
          <w:rFonts w:ascii="Garamond" w:hAnsi="Garamond" w:cs="Times New Roman"/>
        </w:rPr>
        <w:t xml:space="preserve">in </w:t>
      </w:r>
      <w:r w:rsidR="00C50405" w:rsidRPr="00614418">
        <w:rPr>
          <w:rFonts w:ascii="Garamond" w:hAnsi="Garamond" w:cs="Times New Roman"/>
        </w:rPr>
        <w:t xml:space="preserve">countries in monetary union </w:t>
      </w:r>
      <w:r w:rsidR="001F2051" w:rsidRPr="00614418">
        <w:rPr>
          <w:rFonts w:ascii="Garamond" w:hAnsi="Garamond" w:cs="Times New Roman"/>
        </w:rPr>
        <w:t>throughout</w:t>
      </w:r>
      <w:r w:rsidR="00F43801" w:rsidRPr="00614418">
        <w:rPr>
          <w:rFonts w:ascii="Garamond" w:hAnsi="Garamond" w:cs="Times New Roman"/>
        </w:rPr>
        <w:t xml:space="preserve"> the last </w:t>
      </w:r>
      <w:r w:rsidR="00A02AC1">
        <w:rPr>
          <w:rFonts w:ascii="Garamond" w:hAnsi="Garamond" w:cs="Times New Roman"/>
        </w:rPr>
        <w:t>six</w:t>
      </w:r>
      <w:r w:rsidR="00A02AC1" w:rsidRPr="00614418">
        <w:rPr>
          <w:rFonts w:ascii="Garamond" w:hAnsi="Garamond" w:cs="Times New Roman"/>
        </w:rPr>
        <w:t xml:space="preserve"> </w:t>
      </w:r>
      <w:r w:rsidR="00F43801" w:rsidRPr="00614418">
        <w:rPr>
          <w:rFonts w:ascii="Garamond" w:hAnsi="Garamond" w:cs="Times New Roman"/>
        </w:rPr>
        <w:t>windows</w:t>
      </w:r>
      <w:r w:rsidR="00C50405" w:rsidRPr="00614418">
        <w:rPr>
          <w:rFonts w:ascii="Garamond" w:hAnsi="Garamond" w:cs="Times New Roman"/>
        </w:rPr>
        <w:t xml:space="preserve">. </w:t>
      </w:r>
      <w:r w:rsidR="001F2051" w:rsidRPr="00614418">
        <w:rPr>
          <w:rFonts w:ascii="Garamond" w:hAnsi="Garamond" w:cs="Times New Roman"/>
        </w:rPr>
        <w:t xml:space="preserve">These results confirm the expectation (formulated in hypotheses </w:t>
      </w:r>
      <w:r w:rsidR="00404698">
        <w:rPr>
          <w:rFonts w:ascii="Garamond" w:hAnsi="Garamond" w:cs="Times New Roman"/>
        </w:rPr>
        <w:t xml:space="preserve">2a and </w:t>
      </w:r>
      <w:r w:rsidR="00926DA7">
        <w:rPr>
          <w:rFonts w:ascii="Garamond" w:hAnsi="Garamond" w:cs="Times New Roman"/>
        </w:rPr>
        <w:t>3b</w:t>
      </w:r>
      <w:r w:rsidR="00D82A6D">
        <w:rPr>
          <w:rFonts w:ascii="Garamond" w:hAnsi="Garamond" w:cs="Times New Roman"/>
        </w:rPr>
        <w:t>)</w:t>
      </w:r>
      <w:r w:rsidR="00926DA7">
        <w:rPr>
          <w:rFonts w:ascii="Garamond" w:hAnsi="Garamond" w:cs="Times New Roman"/>
        </w:rPr>
        <w:t xml:space="preserve"> </w:t>
      </w:r>
      <w:r w:rsidR="001F2051" w:rsidRPr="00614418">
        <w:rPr>
          <w:rFonts w:ascii="Garamond" w:hAnsi="Garamond" w:cs="Times New Roman"/>
        </w:rPr>
        <w:t xml:space="preserve">that </w:t>
      </w:r>
      <w:r w:rsidR="00CF4795" w:rsidRPr="00614418">
        <w:rPr>
          <w:rFonts w:ascii="Garamond" w:hAnsi="Garamond" w:cs="Times New Roman"/>
        </w:rPr>
        <w:t xml:space="preserve">debt </w:t>
      </w:r>
      <w:r w:rsidR="00926DA7">
        <w:rPr>
          <w:rFonts w:ascii="Garamond" w:hAnsi="Garamond" w:cs="Times New Roman"/>
        </w:rPr>
        <w:t xml:space="preserve">would </w:t>
      </w:r>
      <w:r w:rsidR="000E1EA1">
        <w:rPr>
          <w:rFonts w:ascii="Garamond" w:hAnsi="Garamond" w:cs="Times New Roman"/>
        </w:rPr>
        <w:t xml:space="preserve">gradually </w:t>
      </w:r>
      <w:r w:rsidR="00D82A6D">
        <w:rPr>
          <w:rFonts w:ascii="Garamond" w:hAnsi="Garamond" w:cs="Times New Roman"/>
        </w:rPr>
        <w:t xml:space="preserve">be </w:t>
      </w:r>
      <w:r w:rsidR="000E1EA1">
        <w:rPr>
          <w:rFonts w:ascii="Garamond" w:hAnsi="Garamond" w:cs="Times New Roman"/>
        </w:rPr>
        <w:t>penalize</w:t>
      </w:r>
      <w:r w:rsidR="00D82A6D">
        <w:rPr>
          <w:rFonts w:ascii="Garamond" w:hAnsi="Garamond" w:cs="Times New Roman"/>
        </w:rPr>
        <w:t>d by</w:t>
      </w:r>
      <w:r w:rsidR="000E1EA1">
        <w:rPr>
          <w:rFonts w:ascii="Garamond" w:hAnsi="Garamond" w:cs="Times New Roman"/>
        </w:rPr>
        <w:t xml:space="preserve"> bond yields for </w:t>
      </w:r>
      <w:r w:rsidR="00926DA7">
        <w:rPr>
          <w:rFonts w:ascii="Garamond" w:hAnsi="Garamond" w:cs="Times New Roman"/>
        </w:rPr>
        <w:t>countries</w:t>
      </w:r>
      <w:r w:rsidR="00AB2BB4">
        <w:rPr>
          <w:rFonts w:ascii="Garamond" w:hAnsi="Garamond" w:cs="Times New Roman"/>
        </w:rPr>
        <w:t xml:space="preserve"> </w:t>
      </w:r>
      <w:r w:rsidR="00926DA7">
        <w:rPr>
          <w:rFonts w:ascii="Garamond" w:hAnsi="Garamond" w:cs="Times New Roman"/>
        </w:rPr>
        <w:t>in a monetary union</w:t>
      </w:r>
      <w:r w:rsidR="00432D42" w:rsidRPr="00614418">
        <w:rPr>
          <w:rFonts w:ascii="Garamond" w:hAnsi="Garamond" w:cs="Times New Roman"/>
        </w:rPr>
        <w:t>,</w:t>
      </w:r>
      <w:r w:rsidR="00CF4795" w:rsidRPr="00614418">
        <w:rPr>
          <w:rFonts w:ascii="Garamond" w:hAnsi="Garamond" w:cs="Times New Roman"/>
        </w:rPr>
        <w:t xml:space="preserve"> as </w:t>
      </w:r>
      <w:r w:rsidR="00432D42" w:rsidRPr="00614418">
        <w:rPr>
          <w:rFonts w:ascii="Garamond" w:hAnsi="Garamond" w:cs="Times New Roman"/>
        </w:rPr>
        <w:lastRenderedPageBreak/>
        <w:t>worries about</w:t>
      </w:r>
      <w:r w:rsidR="00CF4795" w:rsidRPr="00614418">
        <w:rPr>
          <w:rFonts w:ascii="Garamond" w:hAnsi="Garamond" w:cs="Times New Roman"/>
        </w:rPr>
        <w:t xml:space="preserve"> inflation gave way to concerns about default</w:t>
      </w:r>
      <w:r w:rsidR="00D82A6D">
        <w:rPr>
          <w:rFonts w:ascii="Garamond" w:hAnsi="Garamond" w:cs="Times New Roman"/>
        </w:rPr>
        <w:t xml:space="preserve">. They also bear out </w:t>
      </w:r>
      <w:r w:rsidR="00CF4795" w:rsidRPr="00614418">
        <w:rPr>
          <w:rFonts w:ascii="Garamond" w:hAnsi="Garamond" w:cs="Times New Roman"/>
        </w:rPr>
        <w:t>the prediction of hypothes</w:t>
      </w:r>
      <w:r w:rsidR="000478DC">
        <w:rPr>
          <w:rFonts w:ascii="Garamond" w:hAnsi="Garamond" w:cs="Times New Roman"/>
        </w:rPr>
        <w:t>i</w:t>
      </w:r>
      <w:r w:rsidR="00CF4795" w:rsidRPr="00614418">
        <w:rPr>
          <w:rFonts w:ascii="Garamond" w:hAnsi="Garamond" w:cs="Times New Roman"/>
        </w:rPr>
        <w:t>s 2</w:t>
      </w:r>
      <w:r w:rsidR="000E1EA1">
        <w:rPr>
          <w:rFonts w:ascii="Garamond" w:hAnsi="Garamond" w:cs="Times New Roman"/>
        </w:rPr>
        <w:t>b</w:t>
      </w:r>
      <w:r w:rsidR="00A444CC" w:rsidRPr="00614418">
        <w:rPr>
          <w:rFonts w:ascii="Garamond" w:hAnsi="Garamond" w:cs="Times New Roman"/>
        </w:rPr>
        <w:t xml:space="preserve"> that </w:t>
      </w:r>
      <w:r w:rsidR="001F2051" w:rsidRPr="00614418">
        <w:rPr>
          <w:rFonts w:ascii="Garamond" w:hAnsi="Garamond" w:cs="Times New Roman"/>
        </w:rPr>
        <w:t>th</w:t>
      </w:r>
      <w:r w:rsidR="00404698">
        <w:rPr>
          <w:rFonts w:ascii="Garamond" w:hAnsi="Garamond" w:cs="Times New Roman"/>
        </w:rPr>
        <w:t>e impact of debt</w:t>
      </w:r>
      <w:r w:rsidR="001F2051" w:rsidRPr="00614418">
        <w:rPr>
          <w:rFonts w:ascii="Garamond" w:hAnsi="Garamond" w:cs="Times New Roman"/>
        </w:rPr>
        <w:t xml:space="preserve"> is stronger in </w:t>
      </w:r>
      <w:r w:rsidR="00D82A6D">
        <w:rPr>
          <w:rFonts w:ascii="Garamond" w:hAnsi="Garamond" w:cs="Times New Roman"/>
        </w:rPr>
        <w:t xml:space="preserve">a </w:t>
      </w:r>
      <w:r w:rsidR="001F2051" w:rsidRPr="00614418">
        <w:rPr>
          <w:rFonts w:ascii="Garamond" w:hAnsi="Garamond" w:cs="Times New Roman"/>
        </w:rPr>
        <w:t xml:space="preserve">monetary union than in fixed or floating exchange rates. </w:t>
      </w:r>
    </w:p>
    <w:p w14:paraId="27100E7E" w14:textId="5A9B0EDE" w:rsidR="007A33DA" w:rsidRPr="00614418" w:rsidRDefault="007A33DA" w:rsidP="000617D1">
      <w:pPr>
        <w:jc w:val="center"/>
        <w:rPr>
          <w:rFonts w:ascii="Garamond" w:hAnsi="Garamond" w:cs="Times New Roman"/>
        </w:rPr>
      </w:pPr>
      <w:bookmarkStart w:id="22" w:name="_Hlk79765332"/>
      <w:r w:rsidRPr="00614418">
        <w:rPr>
          <w:rFonts w:ascii="Garamond" w:hAnsi="Garamond" w:cs="Times New Roman"/>
          <w:b/>
          <w:bCs/>
        </w:rPr>
        <w:t xml:space="preserve">Figure 3: </w:t>
      </w:r>
      <w:r w:rsidR="000617D1" w:rsidRPr="00614418">
        <w:rPr>
          <w:rFonts w:ascii="Garamond" w:hAnsi="Garamond" w:cs="Times New Roman"/>
          <w:b/>
          <w:bCs/>
        </w:rPr>
        <w:t>The impact of fiscal deficits on bond yields</w:t>
      </w:r>
      <w:r w:rsidR="004969BE">
        <w:rPr>
          <w:rFonts w:ascii="Garamond" w:hAnsi="Garamond" w:cs="Times New Roman"/>
          <w:b/>
          <w:bCs/>
        </w:rPr>
        <w:t xml:space="preserve"> by exchange rate regime</w:t>
      </w:r>
      <w:r w:rsidR="000617D1" w:rsidRPr="00614418">
        <w:rPr>
          <w:rFonts w:ascii="Garamond" w:hAnsi="Garamond" w:cs="Times New Roman"/>
          <w:b/>
          <w:bCs/>
        </w:rPr>
        <w:t xml:space="preserve"> </w:t>
      </w:r>
    </w:p>
    <w:bookmarkEnd w:id="22"/>
    <w:p w14:paraId="03A3340A" w14:textId="77777777" w:rsidR="007A33DA" w:rsidRPr="00614418" w:rsidRDefault="007A33DA" w:rsidP="00C50405">
      <w:pPr>
        <w:spacing w:line="360" w:lineRule="auto"/>
        <w:rPr>
          <w:rFonts w:ascii="Garamond" w:hAnsi="Garamond" w:cs="Times New Roman"/>
        </w:rPr>
      </w:pPr>
    </w:p>
    <w:p w14:paraId="56823030" w14:textId="18782BA4" w:rsidR="007A33DA" w:rsidRPr="00614418" w:rsidRDefault="00EB6879" w:rsidP="006C6126">
      <w:pPr>
        <w:spacing w:after="120" w:line="360" w:lineRule="auto"/>
        <w:jc w:val="center"/>
        <w:rPr>
          <w:rFonts w:ascii="Garamond" w:hAnsi="Garamond" w:cs="Times New Roman"/>
        </w:rPr>
      </w:pPr>
      <w:r w:rsidRPr="00EB6879">
        <w:rPr>
          <w:rFonts w:ascii="Garamond" w:hAnsi="Garamond" w:cs="Times New Roman"/>
          <w:noProof/>
          <w:lang w:val="fr-CH" w:eastAsia="fr-CH"/>
        </w:rPr>
        <w:drawing>
          <wp:inline distT="0" distB="0" distL="0" distR="0" wp14:anchorId="423785FA" wp14:editId="05869E6B">
            <wp:extent cx="5029200" cy="3657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29200" cy="3657600"/>
                    </a:xfrm>
                    <a:prstGeom prst="rect">
                      <a:avLst/>
                    </a:prstGeom>
                    <a:noFill/>
                    <a:ln>
                      <a:noFill/>
                    </a:ln>
                  </pic:spPr>
                </pic:pic>
              </a:graphicData>
            </a:graphic>
          </wp:inline>
        </w:drawing>
      </w:r>
    </w:p>
    <w:p w14:paraId="7BBDAEB1" w14:textId="4900B234" w:rsidR="008B2B48" w:rsidRDefault="00A444CC" w:rsidP="00C436A2">
      <w:pPr>
        <w:spacing w:line="360" w:lineRule="auto"/>
        <w:ind w:firstLine="720"/>
        <w:jc w:val="both"/>
        <w:rPr>
          <w:rFonts w:ascii="Garamond" w:hAnsi="Garamond" w:cs="Times New Roman"/>
        </w:rPr>
      </w:pPr>
      <w:r w:rsidRPr="00614418">
        <w:rPr>
          <w:rFonts w:ascii="Garamond" w:hAnsi="Garamond" w:cs="Times New Roman"/>
        </w:rPr>
        <w:t>Figure 3 show</w:t>
      </w:r>
      <w:r w:rsidR="00F77A61" w:rsidRPr="00614418">
        <w:rPr>
          <w:rFonts w:ascii="Garamond" w:hAnsi="Garamond" w:cs="Times New Roman"/>
        </w:rPr>
        <w:t>s</w:t>
      </w:r>
      <w:r w:rsidRPr="00614418">
        <w:rPr>
          <w:rFonts w:ascii="Garamond" w:hAnsi="Garamond" w:cs="Times New Roman"/>
        </w:rPr>
        <w:t xml:space="preserve"> that </w:t>
      </w:r>
      <w:r w:rsidR="000A1DDD" w:rsidRPr="00614418">
        <w:rPr>
          <w:rFonts w:ascii="Garamond" w:hAnsi="Garamond" w:cs="Times New Roman"/>
        </w:rPr>
        <w:t xml:space="preserve">the marginal effect of </w:t>
      </w:r>
      <w:r w:rsidRPr="00614418">
        <w:rPr>
          <w:rFonts w:ascii="Garamond" w:hAnsi="Garamond" w:cs="Times New Roman"/>
        </w:rPr>
        <w:t xml:space="preserve">fiscal deficits </w:t>
      </w:r>
      <w:r w:rsidR="000A1DDD" w:rsidRPr="00614418">
        <w:rPr>
          <w:rFonts w:ascii="Garamond" w:hAnsi="Garamond" w:cs="Times New Roman"/>
        </w:rPr>
        <w:t>is never statistically significant</w:t>
      </w:r>
      <w:r w:rsidR="00DC39E5" w:rsidRPr="00614418">
        <w:rPr>
          <w:rFonts w:ascii="Garamond" w:hAnsi="Garamond" w:cs="Times New Roman"/>
        </w:rPr>
        <w:t xml:space="preserve">, except </w:t>
      </w:r>
      <w:r w:rsidR="00EB6879">
        <w:rPr>
          <w:rFonts w:ascii="Garamond" w:hAnsi="Garamond" w:cs="Times New Roman"/>
        </w:rPr>
        <w:t>for a select number of windows:</w:t>
      </w:r>
      <w:r w:rsidR="00EB6879" w:rsidRPr="00614418">
        <w:rPr>
          <w:rFonts w:ascii="Garamond" w:hAnsi="Garamond" w:cs="Times New Roman"/>
        </w:rPr>
        <w:t xml:space="preserve"> </w:t>
      </w:r>
      <w:r w:rsidR="00EB6879">
        <w:rPr>
          <w:rFonts w:ascii="Garamond" w:hAnsi="Garamond" w:cs="Times New Roman"/>
        </w:rPr>
        <w:t xml:space="preserve">deficits were associated with significantly higher bond yields for countries in floating exchange rate regimes for the 1987-2006 and 1988-2007 windows, for countries in monetary union for the 1991-2010 and 1992-2011 windows, and for countries in fixed pegs for the 1991-2010 </w:t>
      </w:r>
      <w:r w:rsidR="00E2772A">
        <w:rPr>
          <w:rFonts w:ascii="Garamond" w:hAnsi="Garamond" w:cs="Times New Roman"/>
        </w:rPr>
        <w:t xml:space="preserve">and 1998-2017 </w:t>
      </w:r>
      <w:r w:rsidR="00EB6879">
        <w:rPr>
          <w:rFonts w:ascii="Garamond" w:hAnsi="Garamond" w:cs="Times New Roman"/>
        </w:rPr>
        <w:t>window</w:t>
      </w:r>
      <w:r w:rsidR="00E2772A">
        <w:rPr>
          <w:rFonts w:ascii="Garamond" w:hAnsi="Garamond" w:cs="Times New Roman"/>
        </w:rPr>
        <w:t>s</w:t>
      </w:r>
      <w:r w:rsidR="00EF78E9">
        <w:rPr>
          <w:rFonts w:ascii="Garamond" w:hAnsi="Garamond" w:cs="Times New Roman"/>
        </w:rPr>
        <w:t>.</w:t>
      </w:r>
      <w:r w:rsidR="00EB6879">
        <w:rPr>
          <w:rFonts w:ascii="Garamond" w:hAnsi="Garamond" w:cs="Times New Roman"/>
        </w:rPr>
        <w:t xml:space="preserve"> </w:t>
      </w:r>
      <w:r w:rsidR="00E2772A">
        <w:rPr>
          <w:rFonts w:ascii="Garamond" w:hAnsi="Garamond" w:cs="Times New Roman"/>
        </w:rPr>
        <w:t>(</w:t>
      </w:r>
      <w:r w:rsidR="00EF78E9">
        <w:rPr>
          <w:rFonts w:ascii="Garamond" w:hAnsi="Garamond" w:cs="Times New Roman"/>
        </w:rPr>
        <w:t xml:space="preserve">For </w:t>
      </w:r>
      <w:r w:rsidR="00E2772A">
        <w:rPr>
          <w:rFonts w:ascii="Garamond" w:hAnsi="Garamond" w:cs="Times New Roman"/>
        </w:rPr>
        <w:t xml:space="preserve">the latter, the effect on bond yields is significantly </w:t>
      </w:r>
      <w:r w:rsidR="00E2772A" w:rsidRPr="00E2772A">
        <w:rPr>
          <w:rFonts w:ascii="Garamond" w:hAnsi="Garamond" w:cs="Times New Roman"/>
          <w:i/>
          <w:iCs/>
        </w:rPr>
        <w:t>negative</w:t>
      </w:r>
      <w:r w:rsidR="00EF78E9">
        <w:rPr>
          <w:rFonts w:ascii="Garamond" w:hAnsi="Garamond" w:cs="Times New Roman"/>
          <w:i/>
          <w:iCs/>
        </w:rPr>
        <w:t>,</w:t>
      </w:r>
      <w:r w:rsidR="00EF78E9">
        <w:rPr>
          <w:rFonts w:ascii="Garamond" w:hAnsi="Garamond" w:cs="Times New Roman"/>
          <w:iCs/>
        </w:rPr>
        <w:t xml:space="preserve"> which is likely</w:t>
      </w:r>
      <w:r w:rsidR="00EF78E9">
        <w:rPr>
          <w:rFonts w:ascii="Garamond" w:hAnsi="Garamond" w:cs="Times New Roman"/>
          <w:i/>
          <w:iCs/>
        </w:rPr>
        <w:t xml:space="preserve"> </w:t>
      </w:r>
      <w:r w:rsidR="00EF78E9" w:rsidRPr="00EF78E9">
        <w:rPr>
          <w:rFonts w:ascii="Garamond" w:hAnsi="Garamond" w:cs="Times New Roman"/>
        </w:rPr>
        <w:t>explained by the fact that this category only includes Denmark in the years after 200</w:t>
      </w:r>
      <w:r w:rsidR="00983A48">
        <w:rPr>
          <w:rFonts w:ascii="Garamond" w:hAnsi="Garamond" w:cs="Times New Roman"/>
        </w:rPr>
        <w:t>0</w:t>
      </w:r>
      <w:r w:rsidR="00EF78E9">
        <w:rPr>
          <w:rFonts w:ascii="Garamond" w:hAnsi="Garamond" w:cs="Times New Roman"/>
        </w:rPr>
        <w:t>. Therefore</w:t>
      </w:r>
      <w:r w:rsidR="00EF78E9" w:rsidRPr="00EF78E9">
        <w:rPr>
          <w:rFonts w:ascii="Garamond" w:hAnsi="Garamond" w:cs="Times New Roman"/>
        </w:rPr>
        <w:t>,</w:t>
      </w:r>
      <w:r w:rsidR="00EF78E9">
        <w:rPr>
          <w:rFonts w:ascii="Garamond" w:hAnsi="Garamond" w:cs="Times New Roman"/>
        </w:rPr>
        <w:t xml:space="preserve"> the counterintuitive effect might</w:t>
      </w:r>
      <w:r w:rsidR="00EF78E9" w:rsidRPr="00EF78E9">
        <w:rPr>
          <w:rFonts w:ascii="Garamond" w:hAnsi="Garamond" w:cs="Times New Roman"/>
        </w:rPr>
        <w:t xml:space="preserve"> possibly reflect some idiosyncratic factor in the AAA-rated country that managed to generate persistent fiscal surpluses in the 2000s.</w:t>
      </w:r>
      <w:r w:rsidR="00E2772A">
        <w:rPr>
          <w:rFonts w:ascii="Garamond" w:hAnsi="Garamond" w:cs="Times New Roman"/>
        </w:rPr>
        <w:t>)</w:t>
      </w:r>
      <w:r w:rsidR="00EB6879">
        <w:rPr>
          <w:rFonts w:ascii="Garamond" w:hAnsi="Garamond" w:cs="Times New Roman"/>
        </w:rPr>
        <w:t>.</w:t>
      </w:r>
      <w:r w:rsidR="00E2772A">
        <w:rPr>
          <w:rFonts w:ascii="Garamond" w:hAnsi="Garamond" w:cs="Times New Roman"/>
        </w:rPr>
        <w:t xml:space="preserve"> The </w:t>
      </w:r>
      <w:r w:rsidR="00404698">
        <w:rPr>
          <w:rFonts w:ascii="Garamond" w:hAnsi="Garamond" w:cs="Times New Roman"/>
        </w:rPr>
        <w:t xml:space="preserve">statistical </w:t>
      </w:r>
      <w:r w:rsidR="00E2772A">
        <w:rPr>
          <w:rFonts w:ascii="Garamond" w:hAnsi="Garamond" w:cs="Times New Roman"/>
        </w:rPr>
        <w:t>significance</w:t>
      </w:r>
      <w:r w:rsidR="00404698">
        <w:rPr>
          <w:rFonts w:ascii="Garamond" w:hAnsi="Garamond" w:cs="Times New Roman"/>
        </w:rPr>
        <w:t xml:space="preserve"> of the marginal effect</w:t>
      </w:r>
      <w:r w:rsidR="00E2772A">
        <w:rPr>
          <w:rFonts w:ascii="Garamond" w:hAnsi="Garamond" w:cs="Times New Roman"/>
        </w:rPr>
        <w:t xml:space="preserve"> in earlier windows for countries in floating regimes, compared to countries in monetary union and fixed pegs, can likely be attributed to the fact that its members were more heavily exposed to the banking and housing crises of the mid- to late-2000s than they were </w:t>
      </w:r>
      <w:r w:rsidR="000E1EA1">
        <w:rPr>
          <w:rFonts w:ascii="Garamond" w:hAnsi="Garamond" w:cs="Times New Roman"/>
        </w:rPr>
        <w:t xml:space="preserve">to </w:t>
      </w:r>
      <w:r w:rsidR="00E2772A">
        <w:rPr>
          <w:rFonts w:ascii="Garamond" w:hAnsi="Garamond" w:cs="Times New Roman"/>
        </w:rPr>
        <w:t>the sovereign debt crises of the late 2000s and early 2010s. P</w:t>
      </w:r>
      <w:r w:rsidR="00AA7A4D" w:rsidRPr="00614418">
        <w:rPr>
          <w:rFonts w:ascii="Garamond" w:hAnsi="Garamond" w:cs="Times New Roman"/>
        </w:rPr>
        <w:t xml:space="preserve">oint estimates display a declining trend </w:t>
      </w:r>
      <w:r w:rsidR="00AA7A4D" w:rsidRPr="00614418">
        <w:rPr>
          <w:rFonts w:ascii="Garamond" w:hAnsi="Garamond" w:cs="Times New Roman"/>
        </w:rPr>
        <w:lastRenderedPageBreak/>
        <w:t>across all three exchange rate regimes starting in 2010, which suggests that deficits bec</w:t>
      </w:r>
      <w:r w:rsidR="00E922A7">
        <w:rPr>
          <w:rFonts w:ascii="Garamond" w:hAnsi="Garamond" w:cs="Times New Roman"/>
        </w:rPr>
        <w:t>a</w:t>
      </w:r>
      <w:r w:rsidR="00AA7A4D" w:rsidRPr="00614418">
        <w:rPr>
          <w:rFonts w:ascii="Garamond" w:hAnsi="Garamond" w:cs="Times New Roman"/>
        </w:rPr>
        <w:t>me less important over time</w:t>
      </w:r>
      <w:r w:rsidR="000A1DDD" w:rsidRPr="00614418">
        <w:rPr>
          <w:rFonts w:ascii="Garamond" w:hAnsi="Garamond" w:cs="Times New Roman"/>
        </w:rPr>
        <w:t xml:space="preserve"> for </w:t>
      </w:r>
      <w:r w:rsidR="00A30A3D">
        <w:rPr>
          <w:rFonts w:ascii="Garamond" w:hAnsi="Garamond" w:cs="Times New Roman"/>
        </w:rPr>
        <w:t xml:space="preserve">the determination of nominal </w:t>
      </w:r>
      <w:r w:rsidR="000A1DDD" w:rsidRPr="00614418">
        <w:rPr>
          <w:rFonts w:ascii="Garamond" w:hAnsi="Garamond" w:cs="Times New Roman"/>
        </w:rPr>
        <w:t>interest rates</w:t>
      </w:r>
      <w:r w:rsidR="00AA7A4D" w:rsidRPr="00614418">
        <w:rPr>
          <w:rFonts w:ascii="Garamond" w:hAnsi="Garamond" w:cs="Times New Roman"/>
        </w:rPr>
        <w:t>.</w:t>
      </w:r>
      <w:r w:rsidRPr="00614418">
        <w:rPr>
          <w:rFonts w:ascii="Garamond" w:hAnsi="Garamond" w:cs="Times New Roman"/>
        </w:rPr>
        <w:t xml:space="preserve"> </w:t>
      </w:r>
      <w:r w:rsidR="0001070F" w:rsidRPr="00614418">
        <w:rPr>
          <w:rFonts w:ascii="Garamond" w:hAnsi="Garamond" w:cs="Times New Roman"/>
        </w:rPr>
        <w:t>These results are not consistent with our theoretical expectations</w:t>
      </w:r>
      <w:r w:rsidR="00432D42" w:rsidRPr="00614418">
        <w:rPr>
          <w:rFonts w:ascii="Garamond" w:hAnsi="Garamond" w:cs="Times New Roman"/>
        </w:rPr>
        <w:t xml:space="preserve"> expressed in hypothes</w:t>
      </w:r>
      <w:r w:rsidR="000478DC">
        <w:rPr>
          <w:rFonts w:ascii="Garamond" w:hAnsi="Garamond" w:cs="Times New Roman"/>
        </w:rPr>
        <w:t>i</w:t>
      </w:r>
      <w:r w:rsidR="00432D42" w:rsidRPr="00614418">
        <w:rPr>
          <w:rFonts w:ascii="Garamond" w:hAnsi="Garamond" w:cs="Times New Roman"/>
        </w:rPr>
        <w:t xml:space="preserve">s 1a </w:t>
      </w:r>
      <w:r w:rsidR="00DC39E5" w:rsidRPr="00614418">
        <w:rPr>
          <w:rFonts w:ascii="Garamond" w:hAnsi="Garamond" w:cs="Times New Roman"/>
        </w:rPr>
        <w:t xml:space="preserve">that deficits would always </w:t>
      </w:r>
      <w:r w:rsidR="0001070F" w:rsidRPr="00614418">
        <w:rPr>
          <w:rFonts w:ascii="Garamond" w:hAnsi="Garamond" w:cs="Times New Roman"/>
        </w:rPr>
        <w:t xml:space="preserve">have a positive effect on yields </w:t>
      </w:r>
      <w:r w:rsidR="000E1EA1">
        <w:rPr>
          <w:rFonts w:ascii="Garamond" w:hAnsi="Garamond" w:cs="Times New Roman"/>
        </w:rPr>
        <w:t>under</w:t>
      </w:r>
      <w:r w:rsidR="0001070F" w:rsidRPr="00614418">
        <w:rPr>
          <w:rFonts w:ascii="Garamond" w:hAnsi="Garamond" w:cs="Times New Roman"/>
        </w:rPr>
        <w:t xml:space="preserve"> floating exchange rate</w:t>
      </w:r>
      <w:r w:rsidR="000E1EA1">
        <w:rPr>
          <w:rFonts w:ascii="Garamond" w:hAnsi="Garamond" w:cs="Times New Roman"/>
        </w:rPr>
        <w:t>s in an inflationary regime</w:t>
      </w:r>
      <w:r w:rsidR="0001070F" w:rsidRPr="00614418">
        <w:rPr>
          <w:rFonts w:ascii="Garamond" w:hAnsi="Garamond" w:cs="Times New Roman"/>
        </w:rPr>
        <w:t>. No</w:t>
      </w:r>
      <w:r w:rsidR="00DB3839" w:rsidRPr="00614418">
        <w:rPr>
          <w:rFonts w:ascii="Garamond" w:hAnsi="Garamond" w:cs="Times New Roman"/>
        </w:rPr>
        <w:t>r</w:t>
      </w:r>
      <w:r w:rsidR="0001070F" w:rsidRPr="00614418">
        <w:rPr>
          <w:rFonts w:ascii="Garamond" w:hAnsi="Garamond" w:cs="Times New Roman"/>
        </w:rPr>
        <w:t xml:space="preserve"> do they substantiate the expectation</w:t>
      </w:r>
      <w:r w:rsidR="0027377F">
        <w:rPr>
          <w:rFonts w:ascii="Garamond" w:hAnsi="Garamond" w:cs="Times New Roman"/>
        </w:rPr>
        <w:t>s</w:t>
      </w:r>
      <w:r w:rsidR="0001070F" w:rsidRPr="00614418">
        <w:rPr>
          <w:rFonts w:ascii="Garamond" w:hAnsi="Garamond" w:cs="Times New Roman"/>
        </w:rPr>
        <w:t xml:space="preserve"> that </w:t>
      </w:r>
      <w:r w:rsidR="00DB3839" w:rsidRPr="00614418">
        <w:rPr>
          <w:rFonts w:ascii="Garamond" w:hAnsi="Garamond" w:cs="Times New Roman"/>
        </w:rPr>
        <w:t>deficits positively affect interest rates in countries under monetary union once investors start to see default as a real risk (hypothes</w:t>
      </w:r>
      <w:r w:rsidR="000478DC">
        <w:rPr>
          <w:rFonts w:ascii="Garamond" w:hAnsi="Garamond" w:cs="Times New Roman"/>
        </w:rPr>
        <w:t>i</w:t>
      </w:r>
      <w:r w:rsidR="00DB3839" w:rsidRPr="00614418">
        <w:rPr>
          <w:rFonts w:ascii="Garamond" w:hAnsi="Garamond" w:cs="Times New Roman"/>
        </w:rPr>
        <w:t>s 2</w:t>
      </w:r>
      <w:r w:rsidR="0027377F">
        <w:rPr>
          <w:rFonts w:ascii="Garamond" w:hAnsi="Garamond" w:cs="Times New Roman"/>
        </w:rPr>
        <w:t xml:space="preserve">a) and that the penalty associated </w:t>
      </w:r>
      <w:r w:rsidR="00EF78E9">
        <w:rPr>
          <w:rFonts w:ascii="Garamond" w:hAnsi="Garamond" w:cs="Times New Roman"/>
        </w:rPr>
        <w:t xml:space="preserve">with </w:t>
      </w:r>
      <w:r w:rsidR="0027377F">
        <w:rPr>
          <w:rFonts w:ascii="Garamond" w:hAnsi="Garamond" w:cs="Times New Roman"/>
        </w:rPr>
        <w:t>deficits is lower under floating exchange rates (hypothesis 2b)</w:t>
      </w:r>
      <w:r w:rsidR="00404698">
        <w:rPr>
          <w:rStyle w:val="FootnoteReference"/>
          <w:rFonts w:ascii="Garamond" w:hAnsi="Garamond" w:cs="Times New Roman"/>
        </w:rPr>
        <w:footnoteReference w:id="29"/>
      </w:r>
      <w:r w:rsidR="00DB3839" w:rsidRPr="00614418">
        <w:rPr>
          <w:rFonts w:ascii="Garamond" w:hAnsi="Garamond" w:cs="Times New Roman"/>
        </w:rPr>
        <w:t>.</w:t>
      </w:r>
      <w:r w:rsidR="000A1DDD" w:rsidRPr="00614418">
        <w:rPr>
          <w:rFonts w:ascii="Garamond" w:hAnsi="Garamond" w:cs="Times New Roman"/>
        </w:rPr>
        <w:t xml:space="preserve"> </w:t>
      </w:r>
      <w:r w:rsidR="00983A48">
        <w:rPr>
          <w:rFonts w:ascii="Garamond" w:hAnsi="Garamond" w:cs="Times New Roman"/>
        </w:rPr>
        <w:t>C</w:t>
      </w:r>
      <w:r w:rsidR="00DC39E5" w:rsidRPr="00614418">
        <w:rPr>
          <w:rFonts w:ascii="Garamond" w:hAnsi="Garamond" w:cs="Times New Roman"/>
        </w:rPr>
        <w:t xml:space="preserve">ombined with the findings about government debt, </w:t>
      </w:r>
      <w:r w:rsidR="00E922A7">
        <w:rPr>
          <w:rFonts w:ascii="Garamond" w:hAnsi="Garamond" w:cs="Times New Roman"/>
        </w:rPr>
        <w:t xml:space="preserve">however, </w:t>
      </w:r>
      <w:r w:rsidR="00DC39E5" w:rsidRPr="00614418">
        <w:rPr>
          <w:rFonts w:ascii="Garamond" w:hAnsi="Garamond" w:cs="Times New Roman"/>
        </w:rPr>
        <w:t>the patter</w:t>
      </w:r>
      <w:r w:rsidR="00A02AC1">
        <w:rPr>
          <w:rFonts w:ascii="Garamond" w:hAnsi="Garamond" w:cs="Times New Roman"/>
        </w:rPr>
        <w:t>n</w:t>
      </w:r>
      <w:r w:rsidR="00DC39E5" w:rsidRPr="00614418">
        <w:rPr>
          <w:rFonts w:ascii="Garamond" w:hAnsi="Garamond" w:cs="Times New Roman"/>
        </w:rPr>
        <w:t xml:space="preserve"> of results suggest</w:t>
      </w:r>
      <w:r w:rsidR="00543535">
        <w:rPr>
          <w:rFonts w:ascii="Garamond" w:hAnsi="Garamond" w:cs="Times New Roman"/>
        </w:rPr>
        <w:t>s</w:t>
      </w:r>
      <w:r w:rsidR="00DC39E5" w:rsidRPr="00614418">
        <w:rPr>
          <w:rFonts w:ascii="Garamond" w:hAnsi="Garamond" w:cs="Times New Roman"/>
        </w:rPr>
        <w:t xml:space="preserve"> that in a deflationary environment it </w:t>
      </w:r>
      <w:r w:rsidR="00E922A7">
        <w:rPr>
          <w:rFonts w:ascii="Garamond" w:hAnsi="Garamond" w:cs="Times New Roman"/>
        </w:rPr>
        <w:t>may be</w:t>
      </w:r>
      <w:r w:rsidR="00E922A7" w:rsidRPr="00614418">
        <w:rPr>
          <w:rFonts w:ascii="Garamond" w:hAnsi="Garamond" w:cs="Times New Roman"/>
        </w:rPr>
        <w:t xml:space="preserve"> </w:t>
      </w:r>
      <w:r w:rsidR="00DC39E5" w:rsidRPr="00614418">
        <w:rPr>
          <w:rFonts w:ascii="Garamond" w:hAnsi="Garamond" w:cs="Times New Roman"/>
        </w:rPr>
        <w:t>government</w:t>
      </w:r>
      <w:r w:rsidR="00A30A3D">
        <w:rPr>
          <w:rFonts w:ascii="Garamond" w:hAnsi="Garamond" w:cs="Times New Roman"/>
        </w:rPr>
        <w:t xml:space="preserve"> debt, not public deficit</w:t>
      </w:r>
      <w:r w:rsidR="00E922A7">
        <w:rPr>
          <w:rFonts w:ascii="Garamond" w:hAnsi="Garamond" w:cs="Times New Roman"/>
        </w:rPr>
        <w:t>s</w:t>
      </w:r>
      <w:r w:rsidR="00A30A3D">
        <w:rPr>
          <w:rFonts w:ascii="Garamond" w:hAnsi="Garamond" w:cs="Times New Roman"/>
        </w:rPr>
        <w:t>, that carries more importance</w:t>
      </w:r>
      <w:r w:rsidR="00DC39E5" w:rsidRPr="00614418">
        <w:rPr>
          <w:rFonts w:ascii="Garamond" w:hAnsi="Garamond" w:cs="Times New Roman"/>
        </w:rPr>
        <w:t xml:space="preserve"> for financial markets when assessing the</w:t>
      </w:r>
      <w:r w:rsidR="000E4D02">
        <w:rPr>
          <w:rFonts w:ascii="Garamond" w:hAnsi="Garamond" w:cs="Times New Roman"/>
        </w:rPr>
        <w:t xml:space="preserve"> default</w:t>
      </w:r>
      <w:r w:rsidR="00DC39E5" w:rsidRPr="00614418">
        <w:rPr>
          <w:rFonts w:ascii="Garamond" w:hAnsi="Garamond" w:cs="Times New Roman"/>
        </w:rPr>
        <w:t xml:space="preserve"> risk of countries</w:t>
      </w:r>
      <w:r w:rsidR="000E4D02">
        <w:rPr>
          <w:rFonts w:ascii="Garamond" w:hAnsi="Garamond" w:cs="Times New Roman"/>
        </w:rPr>
        <w:t>, particularly those</w:t>
      </w:r>
      <w:r w:rsidR="00DC39E5" w:rsidRPr="00614418">
        <w:rPr>
          <w:rFonts w:ascii="Garamond" w:hAnsi="Garamond" w:cs="Times New Roman"/>
        </w:rPr>
        <w:t xml:space="preserve"> in a monetary union.</w:t>
      </w:r>
    </w:p>
    <w:p w14:paraId="13EB0442" w14:textId="61B86BDA" w:rsidR="00A02AC1" w:rsidRDefault="00DC39E5" w:rsidP="003E606E">
      <w:pPr>
        <w:spacing w:line="360" w:lineRule="auto"/>
        <w:ind w:firstLine="720"/>
        <w:jc w:val="both"/>
        <w:rPr>
          <w:rFonts w:ascii="Garamond" w:hAnsi="Garamond" w:cs="Times New Roman"/>
        </w:rPr>
      </w:pPr>
      <w:r w:rsidRPr="00614418">
        <w:rPr>
          <w:rFonts w:ascii="Garamond" w:hAnsi="Garamond" w:cs="Times New Roman"/>
        </w:rPr>
        <w:t xml:space="preserve">As revealed </w:t>
      </w:r>
      <w:r w:rsidR="00543535">
        <w:rPr>
          <w:rFonts w:ascii="Garamond" w:hAnsi="Garamond" w:cs="Times New Roman"/>
        </w:rPr>
        <w:t>in</w:t>
      </w:r>
      <w:r w:rsidR="00543535" w:rsidRPr="00614418">
        <w:rPr>
          <w:rFonts w:ascii="Garamond" w:hAnsi="Garamond" w:cs="Times New Roman"/>
        </w:rPr>
        <w:t xml:space="preserve"> </w:t>
      </w:r>
      <w:r w:rsidRPr="00614418">
        <w:rPr>
          <w:rFonts w:ascii="Garamond" w:hAnsi="Garamond" w:cs="Times New Roman"/>
        </w:rPr>
        <w:t>Figure 4</w:t>
      </w:r>
      <w:r w:rsidR="00723398" w:rsidRPr="00614418">
        <w:rPr>
          <w:rFonts w:ascii="Garamond" w:hAnsi="Garamond" w:cs="Times New Roman"/>
        </w:rPr>
        <w:t xml:space="preserve">, </w:t>
      </w:r>
      <w:r w:rsidR="000A1DDD" w:rsidRPr="00614418">
        <w:rPr>
          <w:rFonts w:ascii="Garamond" w:hAnsi="Garamond" w:cs="Times New Roman"/>
        </w:rPr>
        <w:t>the marginal effect of social spending</w:t>
      </w:r>
      <w:r w:rsidR="001740CF">
        <w:rPr>
          <w:rFonts w:ascii="Garamond" w:hAnsi="Garamond" w:cs="Times New Roman"/>
        </w:rPr>
        <w:t xml:space="preserve"> on bond yields</w:t>
      </w:r>
      <w:r w:rsidR="000A1DDD" w:rsidRPr="00614418">
        <w:rPr>
          <w:rFonts w:ascii="Garamond" w:hAnsi="Garamond" w:cs="Times New Roman"/>
        </w:rPr>
        <w:t xml:space="preserve"> is statistically insignificant</w:t>
      </w:r>
      <w:r w:rsidR="001740CF">
        <w:rPr>
          <w:rFonts w:ascii="Garamond" w:hAnsi="Garamond" w:cs="Times New Roman"/>
        </w:rPr>
        <w:t xml:space="preserve"> for countries in floating exchange rate regimes in all windows. </w:t>
      </w:r>
      <w:r w:rsidR="00934567">
        <w:rPr>
          <w:rFonts w:ascii="Garamond" w:hAnsi="Garamond" w:cs="Times New Roman"/>
        </w:rPr>
        <w:t>(</w:t>
      </w:r>
      <w:r w:rsidR="001740CF">
        <w:rPr>
          <w:rFonts w:ascii="Garamond" w:hAnsi="Garamond" w:cs="Times New Roman"/>
        </w:rPr>
        <w:t xml:space="preserve">Higher levels of social spending </w:t>
      </w:r>
      <w:r w:rsidR="00EF78E9">
        <w:rPr>
          <w:rFonts w:ascii="Garamond" w:hAnsi="Garamond" w:cs="Times New Roman"/>
        </w:rPr>
        <w:t xml:space="preserve">are </w:t>
      </w:r>
      <w:r w:rsidR="001740CF">
        <w:rPr>
          <w:rFonts w:ascii="Garamond" w:hAnsi="Garamond" w:cs="Times New Roman"/>
        </w:rPr>
        <w:t>associated</w:t>
      </w:r>
      <w:r w:rsidR="00534261">
        <w:rPr>
          <w:rFonts w:ascii="Garamond" w:hAnsi="Garamond" w:cs="Times New Roman"/>
        </w:rPr>
        <w:t>, unexpectedly,</w:t>
      </w:r>
      <w:r w:rsidR="001740CF">
        <w:rPr>
          <w:rFonts w:ascii="Garamond" w:hAnsi="Garamond" w:cs="Times New Roman"/>
        </w:rPr>
        <w:t xml:space="preserve"> with significantly </w:t>
      </w:r>
      <w:r w:rsidR="001740CF" w:rsidRPr="00C73041">
        <w:rPr>
          <w:rFonts w:ascii="Garamond" w:hAnsi="Garamond" w:cs="Times New Roman"/>
          <w:i/>
          <w:iCs/>
        </w:rPr>
        <w:t>lower</w:t>
      </w:r>
      <w:r w:rsidR="001740CF">
        <w:rPr>
          <w:rFonts w:ascii="Garamond" w:hAnsi="Garamond" w:cs="Times New Roman"/>
        </w:rPr>
        <w:t xml:space="preserve"> bond yields for countries in fixed pegs for the 1985-2004, 1986-2005, and 1987-2006 windows</w:t>
      </w:r>
      <w:r w:rsidR="00934567">
        <w:rPr>
          <w:rFonts w:ascii="Garamond" w:hAnsi="Garamond" w:cs="Times New Roman"/>
        </w:rPr>
        <w:t>, but that,</w:t>
      </w:r>
      <w:r w:rsidR="001740CF">
        <w:rPr>
          <w:rFonts w:ascii="Garamond" w:hAnsi="Garamond" w:cs="Times New Roman"/>
        </w:rPr>
        <w:t xml:space="preserve"> </w:t>
      </w:r>
      <w:r w:rsidR="00EF78E9">
        <w:rPr>
          <w:rFonts w:ascii="Garamond" w:hAnsi="Garamond" w:cs="Times New Roman"/>
        </w:rPr>
        <w:t>again,</w:t>
      </w:r>
      <w:r w:rsidR="00934567">
        <w:rPr>
          <w:rFonts w:ascii="Garamond" w:hAnsi="Garamond" w:cs="Times New Roman"/>
        </w:rPr>
        <w:t xml:space="preserve"> is</w:t>
      </w:r>
      <w:r w:rsidR="00EF78E9">
        <w:rPr>
          <w:rFonts w:ascii="Garamond" w:hAnsi="Garamond" w:cs="Times New Roman"/>
        </w:rPr>
        <w:t xml:space="preserve"> </w:t>
      </w:r>
      <w:r w:rsidR="001740CF">
        <w:rPr>
          <w:rFonts w:ascii="Garamond" w:hAnsi="Garamond" w:cs="Times New Roman"/>
        </w:rPr>
        <w:t xml:space="preserve">likely the result of </w:t>
      </w:r>
      <w:r w:rsidR="00934567">
        <w:rPr>
          <w:rFonts w:ascii="Garamond" w:hAnsi="Garamond" w:cs="Times New Roman"/>
        </w:rPr>
        <w:t xml:space="preserve">the </w:t>
      </w:r>
      <w:r w:rsidR="00B80CD1">
        <w:rPr>
          <w:rFonts w:ascii="Garamond" w:hAnsi="Garamond" w:cs="Times New Roman"/>
        </w:rPr>
        <w:t>‘</w:t>
      </w:r>
      <w:r w:rsidR="001740CF">
        <w:rPr>
          <w:rFonts w:ascii="Garamond" w:hAnsi="Garamond" w:cs="Times New Roman"/>
        </w:rPr>
        <w:t>Denmark</w:t>
      </w:r>
      <w:r w:rsidR="00B80CD1">
        <w:rPr>
          <w:rFonts w:ascii="Garamond" w:hAnsi="Garamond" w:cs="Times New Roman"/>
        </w:rPr>
        <w:t>-</w:t>
      </w:r>
      <w:r w:rsidR="001740CF">
        <w:rPr>
          <w:rFonts w:ascii="Garamond" w:hAnsi="Garamond" w:cs="Times New Roman"/>
        </w:rPr>
        <w:t>effect</w:t>
      </w:r>
      <w:r w:rsidR="00934567">
        <w:rPr>
          <w:rFonts w:ascii="Garamond" w:hAnsi="Garamond" w:cs="Times New Roman"/>
        </w:rPr>
        <w:t>’</w:t>
      </w:r>
      <w:r w:rsidR="00EF78E9">
        <w:rPr>
          <w:rFonts w:ascii="Garamond" w:hAnsi="Garamond" w:cs="Times New Roman"/>
        </w:rPr>
        <w:t xml:space="preserve"> described above</w:t>
      </w:r>
      <w:r w:rsidR="00186E14">
        <w:rPr>
          <w:rStyle w:val="FootnoteReference"/>
          <w:rFonts w:ascii="Garamond" w:hAnsi="Garamond" w:cs="Times New Roman"/>
        </w:rPr>
        <w:footnoteReference w:id="30"/>
      </w:r>
      <w:r w:rsidR="001740CF">
        <w:rPr>
          <w:rFonts w:ascii="Garamond" w:hAnsi="Garamond" w:cs="Times New Roman"/>
        </w:rPr>
        <w:t>). For countries in monetary union, however</w:t>
      </w:r>
      <w:r w:rsidR="00543535">
        <w:rPr>
          <w:rFonts w:ascii="Garamond" w:hAnsi="Garamond" w:cs="Times New Roman"/>
        </w:rPr>
        <w:t>,</w:t>
      </w:r>
      <w:r w:rsidR="00A02AC1">
        <w:rPr>
          <w:rFonts w:ascii="Garamond" w:hAnsi="Garamond" w:cs="Times New Roman"/>
        </w:rPr>
        <w:t xml:space="preserve"> </w:t>
      </w:r>
      <w:r w:rsidR="001740CF">
        <w:rPr>
          <w:rFonts w:ascii="Garamond" w:hAnsi="Garamond" w:cs="Times New Roman"/>
        </w:rPr>
        <w:t xml:space="preserve">higher social spending </w:t>
      </w:r>
      <w:r w:rsidR="00934567">
        <w:rPr>
          <w:rFonts w:ascii="Garamond" w:hAnsi="Garamond" w:cs="Times New Roman"/>
        </w:rPr>
        <w:t xml:space="preserve">is </w:t>
      </w:r>
      <w:r w:rsidR="001740CF">
        <w:rPr>
          <w:rFonts w:ascii="Garamond" w:hAnsi="Garamond" w:cs="Times New Roman"/>
        </w:rPr>
        <w:t>associated with higher bond yields</w:t>
      </w:r>
      <w:r w:rsidR="00934567">
        <w:rPr>
          <w:rFonts w:ascii="Garamond" w:hAnsi="Garamond" w:cs="Times New Roman"/>
        </w:rPr>
        <w:t>,</w:t>
      </w:r>
      <w:r w:rsidR="001740CF">
        <w:rPr>
          <w:rFonts w:ascii="Garamond" w:hAnsi="Garamond" w:cs="Times New Roman"/>
        </w:rPr>
        <w:t xml:space="preserve"> once the years of the European debt crisis fully enter the window</w:t>
      </w:r>
      <w:r w:rsidR="00934567">
        <w:rPr>
          <w:rFonts w:ascii="Garamond" w:hAnsi="Garamond" w:cs="Times New Roman"/>
        </w:rPr>
        <w:t>:</w:t>
      </w:r>
      <w:r w:rsidR="001740CF">
        <w:rPr>
          <w:rFonts w:ascii="Garamond" w:hAnsi="Garamond" w:cs="Times New Roman"/>
        </w:rPr>
        <w:t xml:space="preserve"> coefficients </w:t>
      </w:r>
      <w:r w:rsidR="00934567">
        <w:rPr>
          <w:rFonts w:ascii="Garamond" w:hAnsi="Garamond" w:cs="Times New Roman"/>
        </w:rPr>
        <w:t>a</w:t>
      </w:r>
      <w:r w:rsidR="001740CF">
        <w:rPr>
          <w:rFonts w:ascii="Garamond" w:hAnsi="Garamond" w:cs="Times New Roman"/>
        </w:rPr>
        <w:t>re significantly positive</w:t>
      </w:r>
      <w:r w:rsidR="00A02AC1">
        <w:rPr>
          <w:rFonts w:ascii="Garamond" w:hAnsi="Garamond" w:cs="Times New Roman"/>
        </w:rPr>
        <w:t xml:space="preserve"> for the </w:t>
      </w:r>
      <w:r w:rsidR="00E7289D">
        <w:rPr>
          <w:rFonts w:ascii="Garamond" w:hAnsi="Garamond" w:cs="Times New Roman"/>
        </w:rPr>
        <w:t xml:space="preserve">1992-2011, </w:t>
      </w:r>
      <w:r w:rsidR="00A02AC1">
        <w:rPr>
          <w:rFonts w:ascii="Garamond" w:hAnsi="Garamond" w:cs="Times New Roman"/>
        </w:rPr>
        <w:t>1993-2012, 1994-2013</w:t>
      </w:r>
      <w:r w:rsidR="001740CF">
        <w:rPr>
          <w:rFonts w:ascii="Garamond" w:hAnsi="Garamond" w:cs="Times New Roman"/>
        </w:rPr>
        <w:t>,</w:t>
      </w:r>
      <w:r w:rsidR="00A02AC1">
        <w:rPr>
          <w:rFonts w:ascii="Garamond" w:hAnsi="Garamond" w:cs="Times New Roman"/>
        </w:rPr>
        <w:t xml:space="preserve"> 1995-2014</w:t>
      </w:r>
      <w:r w:rsidR="001740CF">
        <w:rPr>
          <w:rFonts w:ascii="Garamond" w:hAnsi="Garamond" w:cs="Times New Roman"/>
        </w:rPr>
        <w:t xml:space="preserve"> and 1996-2015</w:t>
      </w:r>
      <w:r w:rsidR="00A02AC1">
        <w:rPr>
          <w:rFonts w:ascii="Garamond" w:hAnsi="Garamond" w:cs="Times New Roman"/>
        </w:rPr>
        <w:t xml:space="preserve"> windows</w:t>
      </w:r>
      <w:r w:rsidR="008B2B48" w:rsidRPr="00614418">
        <w:rPr>
          <w:rFonts w:ascii="Garamond" w:hAnsi="Garamond" w:cs="Times New Roman"/>
        </w:rPr>
        <w:t>.</w:t>
      </w:r>
      <w:r w:rsidR="00517E4F">
        <w:rPr>
          <w:rFonts w:ascii="Garamond" w:hAnsi="Garamond" w:cs="Times New Roman"/>
        </w:rPr>
        <w:t xml:space="preserve"> </w:t>
      </w:r>
      <w:r w:rsidR="00934567">
        <w:rPr>
          <w:rFonts w:ascii="Garamond" w:hAnsi="Garamond" w:cs="Times New Roman"/>
        </w:rPr>
        <w:t>T</w:t>
      </w:r>
      <w:r w:rsidR="001740CF">
        <w:rPr>
          <w:rFonts w:ascii="Garamond" w:hAnsi="Garamond" w:cs="Times New Roman"/>
        </w:rPr>
        <w:t>h</w:t>
      </w:r>
      <w:r w:rsidR="00934567">
        <w:rPr>
          <w:rFonts w:ascii="Garamond" w:hAnsi="Garamond" w:cs="Times New Roman"/>
        </w:rPr>
        <w:t>ese</w:t>
      </w:r>
      <w:r w:rsidR="001740CF">
        <w:rPr>
          <w:rFonts w:ascii="Garamond" w:hAnsi="Garamond" w:cs="Times New Roman"/>
        </w:rPr>
        <w:t xml:space="preserve"> result</w:t>
      </w:r>
      <w:r w:rsidR="00934567">
        <w:rPr>
          <w:rFonts w:ascii="Garamond" w:hAnsi="Garamond" w:cs="Times New Roman"/>
        </w:rPr>
        <w:t>s</w:t>
      </w:r>
      <w:r w:rsidR="001740CF">
        <w:rPr>
          <w:rFonts w:ascii="Garamond" w:hAnsi="Garamond" w:cs="Times New Roman"/>
        </w:rPr>
        <w:t xml:space="preserve"> </w:t>
      </w:r>
      <w:r w:rsidR="00934567" w:rsidRPr="00614418">
        <w:rPr>
          <w:rFonts w:ascii="Garamond" w:hAnsi="Garamond" w:cs="Times New Roman"/>
        </w:rPr>
        <w:t>contradict the expectation expressed in hypothesis 1a that investors might use levels of social spending to gauge inflation risk in an inflationary environment under floating exchange rates</w:t>
      </w:r>
      <w:r w:rsidR="00934567">
        <w:rPr>
          <w:rFonts w:ascii="Garamond" w:hAnsi="Garamond" w:cs="Times New Roman"/>
        </w:rPr>
        <w:t xml:space="preserve">, but they </w:t>
      </w:r>
      <w:r w:rsidR="001740CF">
        <w:rPr>
          <w:rFonts w:ascii="Garamond" w:hAnsi="Garamond" w:cs="Times New Roman"/>
        </w:rPr>
        <w:t xml:space="preserve">substantiate our predictions </w:t>
      </w:r>
      <w:r w:rsidR="00534261">
        <w:rPr>
          <w:rFonts w:ascii="Garamond" w:hAnsi="Garamond" w:cs="Times New Roman"/>
        </w:rPr>
        <w:t>in hypothes</w:t>
      </w:r>
      <w:r w:rsidR="000478DC">
        <w:rPr>
          <w:rFonts w:ascii="Garamond" w:hAnsi="Garamond" w:cs="Times New Roman"/>
        </w:rPr>
        <w:t>e</w:t>
      </w:r>
      <w:r w:rsidR="00534261">
        <w:rPr>
          <w:rFonts w:ascii="Garamond" w:hAnsi="Garamond" w:cs="Times New Roman"/>
        </w:rPr>
        <w:t>s 2b and 3</w:t>
      </w:r>
      <w:r w:rsidR="00673E69">
        <w:rPr>
          <w:rFonts w:ascii="Garamond" w:hAnsi="Garamond" w:cs="Times New Roman"/>
        </w:rPr>
        <w:t>b</w:t>
      </w:r>
      <w:r w:rsidR="00534261">
        <w:rPr>
          <w:rFonts w:ascii="Garamond" w:hAnsi="Garamond" w:cs="Times New Roman"/>
        </w:rPr>
        <w:t xml:space="preserve"> </w:t>
      </w:r>
      <w:r w:rsidR="001740CF">
        <w:rPr>
          <w:rFonts w:ascii="Garamond" w:hAnsi="Garamond" w:cs="Times New Roman"/>
        </w:rPr>
        <w:t xml:space="preserve">that countries in monetary union </w:t>
      </w:r>
      <w:r w:rsidR="00934567">
        <w:rPr>
          <w:rFonts w:ascii="Garamond" w:hAnsi="Garamond" w:cs="Times New Roman"/>
        </w:rPr>
        <w:t>(</w:t>
      </w:r>
      <w:r w:rsidR="001740CF">
        <w:rPr>
          <w:rFonts w:ascii="Garamond" w:hAnsi="Garamond" w:cs="Times New Roman"/>
        </w:rPr>
        <w:t>but not other exchange rate arrangements</w:t>
      </w:r>
      <w:r w:rsidR="00934567">
        <w:rPr>
          <w:rFonts w:ascii="Garamond" w:hAnsi="Garamond" w:cs="Times New Roman"/>
        </w:rPr>
        <w:t>)</w:t>
      </w:r>
      <w:r w:rsidR="001740CF">
        <w:rPr>
          <w:rFonts w:ascii="Garamond" w:hAnsi="Garamond" w:cs="Times New Roman"/>
        </w:rPr>
        <w:t xml:space="preserve"> would face the most significant penalties for higher (public) spending in later windows when default risk trump</w:t>
      </w:r>
      <w:r w:rsidR="00534261">
        <w:rPr>
          <w:rFonts w:ascii="Garamond" w:hAnsi="Garamond" w:cs="Times New Roman"/>
        </w:rPr>
        <w:t>s</w:t>
      </w:r>
      <w:r w:rsidR="001740CF">
        <w:rPr>
          <w:rFonts w:ascii="Garamond" w:hAnsi="Garamond" w:cs="Times New Roman"/>
        </w:rPr>
        <w:t xml:space="preserve"> inflation risk</w:t>
      </w:r>
      <w:r w:rsidR="00934567">
        <w:rPr>
          <w:rFonts w:ascii="Garamond" w:hAnsi="Garamond" w:cs="Times New Roman"/>
        </w:rPr>
        <w:t>. In a deflationary environment</w:t>
      </w:r>
      <w:r w:rsidR="00E27E90">
        <w:rPr>
          <w:rFonts w:ascii="Garamond" w:hAnsi="Garamond" w:cs="Times New Roman"/>
        </w:rPr>
        <w:t xml:space="preserve">, </w:t>
      </w:r>
      <w:r w:rsidR="00534261">
        <w:rPr>
          <w:rFonts w:ascii="Garamond" w:hAnsi="Garamond" w:cs="Times New Roman"/>
        </w:rPr>
        <w:t xml:space="preserve">countries that float their currencies </w:t>
      </w:r>
      <w:r w:rsidR="009349A9">
        <w:rPr>
          <w:rFonts w:ascii="Garamond" w:hAnsi="Garamond" w:cs="Times New Roman"/>
        </w:rPr>
        <w:t xml:space="preserve">may </w:t>
      </w:r>
      <w:r w:rsidR="00534261">
        <w:rPr>
          <w:rFonts w:ascii="Garamond" w:hAnsi="Garamond" w:cs="Times New Roman"/>
        </w:rPr>
        <w:t xml:space="preserve">have greater flexibility over the determination of their </w:t>
      </w:r>
      <w:r w:rsidR="00C73041">
        <w:rPr>
          <w:rFonts w:ascii="Garamond" w:hAnsi="Garamond" w:cs="Times New Roman"/>
        </w:rPr>
        <w:t xml:space="preserve">social spending </w:t>
      </w:r>
      <w:r w:rsidR="00534261">
        <w:rPr>
          <w:rFonts w:ascii="Garamond" w:hAnsi="Garamond" w:cs="Times New Roman"/>
        </w:rPr>
        <w:t xml:space="preserve">policies </w:t>
      </w:r>
      <w:r w:rsidR="009349A9">
        <w:rPr>
          <w:rFonts w:ascii="Garamond" w:hAnsi="Garamond" w:cs="Times New Roman"/>
        </w:rPr>
        <w:t>because they are</w:t>
      </w:r>
      <w:r w:rsidR="00534261">
        <w:rPr>
          <w:rFonts w:ascii="Garamond" w:hAnsi="Garamond" w:cs="Times New Roman"/>
        </w:rPr>
        <w:t xml:space="preserve"> not penalized for higher spending levels</w:t>
      </w:r>
      <w:r w:rsidR="008B2B48" w:rsidRPr="00614418">
        <w:rPr>
          <w:rFonts w:ascii="Garamond" w:hAnsi="Garamond" w:cs="Times New Roman"/>
        </w:rPr>
        <w:t xml:space="preserve">. </w:t>
      </w:r>
    </w:p>
    <w:p w14:paraId="7B0E733E" w14:textId="746804AF" w:rsidR="00A76124" w:rsidRDefault="00A76124" w:rsidP="003E606E">
      <w:pPr>
        <w:spacing w:line="360" w:lineRule="auto"/>
        <w:ind w:firstLine="720"/>
        <w:jc w:val="both"/>
        <w:rPr>
          <w:rFonts w:ascii="Garamond" w:hAnsi="Garamond" w:cs="Times New Roman"/>
        </w:rPr>
      </w:pPr>
    </w:p>
    <w:p w14:paraId="5588B4D2" w14:textId="788DB0E1" w:rsidR="00A76124" w:rsidRDefault="00A76124" w:rsidP="003E606E">
      <w:pPr>
        <w:spacing w:line="360" w:lineRule="auto"/>
        <w:ind w:firstLine="720"/>
        <w:jc w:val="both"/>
        <w:rPr>
          <w:rFonts w:ascii="Garamond" w:hAnsi="Garamond" w:cs="Times New Roman"/>
        </w:rPr>
      </w:pPr>
    </w:p>
    <w:p w14:paraId="6EC7AAB6" w14:textId="77777777" w:rsidR="00A76124" w:rsidRDefault="00A76124" w:rsidP="003E606E">
      <w:pPr>
        <w:spacing w:line="360" w:lineRule="auto"/>
        <w:ind w:firstLine="720"/>
        <w:jc w:val="both"/>
        <w:rPr>
          <w:rFonts w:ascii="Garamond" w:hAnsi="Garamond" w:cs="Times New Roman"/>
        </w:rPr>
      </w:pPr>
    </w:p>
    <w:p w14:paraId="0AEFC055" w14:textId="77777777" w:rsidR="006C6126" w:rsidRDefault="006C6126" w:rsidP="000617D1">
      <w:pPr>
        <w:jc w:val="center"/>
        <w:rPr>
          <w:rFonts w:ascii="Garamond" w:hAnsi="Garamond" w:cs="Times New Roman"/>
          <w:b/>
          <w:bCs/>
        </w:rPr>
      </w:pPr>
    </w:p>
    <w:p w14:paraId="2371CE31" w14:textId="6FB84303" w:rsidR="000F48D8" w:rsidRPr="00614418" w:rsidRDefault="000F48D8" w:rsidP="000617D1">
      <w:pPr>
        <w:jc w:val="center"/>
        <w:rPr>
          <w:rFonts w:ascii="Garamond" w:hAnsi="Garamond" w:cs="Times New Roman"/>
          <w:b/>
          <w:bCs/>
        </w:rPr>
      </w:pPr>
      <w:r w:rsidRPr="00614418">
        <w:rPr>
          <w:rFonts w:ascii="Garamond" w:hAnsi="Garamond" w:cs="Times New Roman"/>
          <w:b/>
          <w:bCs/>
        </w:rPr>
        <w:t xml:space="preserve">Figure 4: </w:t>
      </w:r>
      <w:r w:rsidR="000617D1" w:rsidRPr="00614418">
        <w:rPr>
          <w:rFonts w:ascii="Garamond" w:hAnsi="Garamond" w:cs="Times New Roman"/>
          <w:b/>
          <w:bCs/>
        </w:rPr>
        <w:t>The impact of social spending on bond yields</w:t>
      </w:r>
      <w:r w:rsidR="004969BE">
        <w:rPr>
          <w:rFonts w:ascii="Garamond" w:hAnsi="Garamond" w:cs="Times New Roman"/>
          <w:b/>
          <w:bCs/>
        </w:rPr>
        <w:t xml:space="preserve"> by exchange rate regime</w:t>
      </w:r>
      <w:r w:rsidR="000617D1" w:rsidRPr="00614418">
        <w:rPr>
          <w:rFonts w:ascii="Garamond" w:hAnsi="Garamond" w:cs="Times New Roman"/>
          <w:b/>
          <w:bCs/>
        </w:rPr>
        <w:t xml:space="preserve"> </w:t>
      </w:r>
    </w:p>
    <w:p w14:paraId="60820898" w14:textId="77777777" w:rsidR="000617D1" w:rsidRPr="00614418" w:rsidRDefault="000617D1" w:rsidP="000617D1">
      <w:pPr>
        <w:jc w:val="center"/>
        <w:rPr>
          <w:rFonts w:ascii="Garamond" w:hAnsi="Garamond" w:cs="Times New Roman"/>
        </w:rPr>
      </w:pPr>
    </w:p>
    <w:p w14:paraId="6328ED6F" w14:textId="0BD691AE" w:rsidR="000F48D8" w:rsidRPr="00614418" w:rsidRDefault="00517E4F" w:rsidP="006C6126">
      <w:pPr>
        <w:spacing w:after="120" w:line="360" w:lineRule="auto"/>
        <w:jc w:val="center"/>
        <w:rPr>
          <w:rFonts w:ascii="Garamond" w:hAnsi="Garamond" w:cs="Times New Roman"/>
        </w:rPr>
      </w:pPr>
      <w:r w:rsidRPr="00517E4F">
        <w:rPr>
          <w:rFonts w:ascii="Garamond" w:hAnsi="Garamond" w:cs="Times New Roman"/>
          <w:noProof/>
          <w:lang w:val="fr-CH" w:eastAsia="fr-CH"/>
        </w:rPr>
        <w:drawing>
          <wp:inline distT="0" distB="0" distL="0" distR="0" wp14:anchorId="3F320910" wp14:editId="12117F19">
            <wp:extent cx="5514975" cy="4010891"/>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18970" cy="4013796"/>
                    </a:xfrm>
                    <a:prstGeom prst="rect">
                      <a:avLst/>
                    </a:prstGeom>
                    <a:noFill/>
                    <a:ln>
                      <a:noFill/>
                    </a:ln>
                  </pic:spPr>
                </pic:pic>
              </a:graphicData>
            </a:graphic>
          </wp:inline>
        </w:drawing>
      </w:r>
    </w:p>
    <w:p w14:paraId="50C2A6AB" w14:textId="7CECF56F" w:rsidR="005D2FAD" w:rsidRDefault="00A30A3D" w:rsidP="00A76124">
      <w:pPr>
        <w:spacing w:line="360" w:lineRule="auto"/>
        <w:ind w:firstLine="720"/>
        <w:jc w:val="both"/>
        <w:rPr>
          <w:rFonts w:ascii="Garamond" w:hAnsi="Garamond" w:cs="Times New Roman"/>
        </w:rPr>
      </w:pPr>
      <w:r>
        <w:rPr>
          <w:rFonts w:ascii="Garamond" w:hAnsi="Garamond" w:cs="Times New Roman"/>
        </w:rPr>
        <w:t xml:space="preserve">Results for </w:t>
      </w:r>
      <w:r w:rsidR="00D92A2B" w:rsidRPr="00614418">
        <w:rPr>
          <w:rFonts w:ascii="Garamond" w:hAnsi="Garamond" w:cs="Times New Roman"/>
        </w:rPr>
        <w:t>entitlement spending</w:t>
      </w:r>
      <w:r w:rsidR="005B2AFB">
        <w:rPr>
          <w:rFonts w:ascii="Garamond" w:hAnsi="Garamond" w:cs="Times New Roman"/>
        </w:rPr>
        <w:t xml:space="preserve"> go in the same direction </w:t>
      </w:r>
      <w:r w:rsidR="00673E69">
        <w:rPr>
          <w:rFonts w:ascii="Garamond" w:hAnsi="Garamond" w:cs="Times New Roman"/>
        </w:rPr>
        <w:t xml:space="preserve">as those for the broader category of social spending </w:t>
      </w:r>
      <w:r w:rsidR="005B2AFB">
        <w:rPr>
          <w:rFonts w:ascii="Garamond" w:hAnsi="Garamond" w:cs="Times New Roman"/>
        </w:rPr>
        <w:t>and</w:t>
      </w:r>
      <w:r w:rsidR="00D92A2B" w:rsidRPr="00614418">
        <w:rPr>
          <w:rFonts w:ascii="Garamond" w:hAnsi="Garamond" w:cs="Times New Roman"/>
        </w:rPr>
        <w:t xml:space="preserve"> </w:t>
      </w:r>
      <w:r>
        <w:rPr>
          <w:rFonts w:ascii="Garamond" w:hAnsi="Garamond" w:cs="Times New Roman"/>
        </w:rPr>
        <w:t xml:space="preserve">are </w:t>
      </w:r>
      <w:r w:rsidR="005B2AFB">
        <w:rPr>
          <w:rFonts w:ascii="Garamond" w:hAnsi="Garamond" w:cs="Times New Roman"/>
        </w:rPr>
        <w:t>statistically stronger</w:t>
      </w:r>
      <w:r w:rsidR="00934567">
        <w:rPr>
          <w:rFonts w:ascii="Garamond" w:hAnsi="Garamond" w:cs="Times New Roman"/>
        </w:rPr>
        <w:t>.</w:t>
      </w:r>
      <w:r>
        <w:rPr>
          <w:rFonts w:ascii="Garamond" w:hAnsi="Garamond" w:cs="Times New Roman"/>
        </w:rPr>
        <w:t xml:space="preserve"> </w:t>
      </w:r>
      <w:r w:rsidR="00723398" w:rsidRPr="00614418">
        <w:rPr>
          <w:rFonts w:ascii="Garamond" w:hAnsi="Garamond" w:cs="Times New Roman"/>
        </w:rPr>
        <w:t xml:space="preserve">Displaying a </w:t>
      </w:r>
      <w:r w:rsidR="00CF5D10" w:rsidRPr="00614418">
        <w:rPr>
          <w:rFonts w:ascii="Garamond" w:hAnsi="Garamond" w:cs="Times New Roman"/>
        </w:rPr>
        <w:t>roughly</w:t>
      </w:r>
      <w:r w:rsidR="00723398" w:rsidRPr="00614418">
        <w:rPr>
          <w:rFonts w:ascii="Garamond" w:hAnsi="Garamond" w:cs="Times New Roman"/>
        </w:rPr>
        <w:t xml:space="preserve"> similar pattern as public debt</w:t>
      </w:r>
      <w:r w:rsidR="005D2FAD">
        <w:rPr>
          <w:rFonts w:ascii="Garamond" w:hAnsi="Garamond" w:cs="Times New Roman"/>
        </w:rPr>
        <w:t xml:space="preserve"> (perhaps unsurprisingly, given that entitlements are implicit liabilities that governments are legally obligated to pay to beneficiaries)</w:t>
      </w:r>
      <w:r w:rsidR="00723398" w:rsidRPr="00614418">
        <w:rPr>
          <w:rFonts w:ascii="Garamond" w:hAnsi="Garamond" w:cs="Times New Roman"/>
        </w:rPr>
        <w:t>,</w:t>
      </w:r>
      <w:r w:rsidR="005B2AFB">
        <w:rPr>
          <w:rFonts w:ascii="Garamond" w:hAnsi="Garamond" w:cs="Times New Roman"/>
        </w:rPr>
        <w:t xml:space="preserve"> they show that </w:t>
      </w:r>
      <w:r w:rsidR="00934567">
        <w:rPr>
          <w:rFonts w:ascii="Garamond" w:hAnsi="Garamond" w:cs="Times New Roman"/>
        </w:rPr>
        <w:t xml:space="preserve">the response of </w:t>
      </w:r>
      <w:r w:rsidR="005B2AFB">
        <w:rPr>
          <w:rFonts w:ascii="Garamond" w:hAnsi="Garamond" w:cs="Times New Roman"/>
        </w:rPr>
        <w:t xml:space="preserve">bond yields to entitlement spending rises significantly over time under monetary unions (confirming </w:t>
      </w:r>
      <w:r w:rsidR="00673E69">
        <w:rPr>
          <w:rFonts w:ascii="Garamond" w:hAnsi="Garamond" w:cs="Times New Roman"/>
        </w:rPr>
        <w:t xml:space="preserve">hypotheses 2a and </w:t>
      </w:r>
      <w:r w:rsidR="005B2AFB">
        <w:rPr>
          <w:rFonts w:ascii="Garamond" w:hAnsi="Garamond" w:cs="Times New Roman"/>
        </w:rPr>
        <w:t xml:space="preserve">3b), and they are higher under monetary union than under floating exchange rates </w:t>
      </w:r>
      <w:r w:rsidR="00673E69">
        <w:rPr>
          <w:rFonts w:ascii="Garamond" w:hAnsi="Garamond" w:cs="Times New Roman"/>
        </w:rPr>
        <w:t xml:space="preserve">in a deflationary environment (confirming hypothesis </w:t>
      </w:r>
      <w:r w:rsidR="009D3C74">
        <w:rPr>
          <w:rFonts w:ascii="Garamond" w:hAnsi="Garamond" w:cs="Times New Roman"/>
        </w:rPr>
        <w:t>2b). E</w:t>
      </w:r>
      <w:r w:rsidR="00CF5D10" w:rsidRPr="00614418">
        <w:rPr>
          <w:rFonts w:ascii="Garamond" w:hAnsi="Garamond" w:cs="Times New Roman"/>
        </w:rPr>
        <w:t>ntitlements temporarily gain significance in the windows around the global financial crisis in floating exchange rate regimes, and permanently in monetary union</w:t>
      </w:r>
      <w:r w:rsidR="005D2FAD">
        <w:rPr>
          <w:rFonts w:ascii="Garamond" w:hAnsi="Garamond" w:cs="Times New Roman"/>
        </w:rPr>
        <w:t xml:space="preserve"> after the onset of the European debt crisis</w:t>
      </w:r>
      <w:r w:rsidR="00934567">
        <w:rPr>
          <w:rFonts w:ascii="Garamond" w:hAnsi="Garamond" w:cs="Times New Roman"/>
        </w:rPr>
        <w:t>.</w:t>
      </w:r>
      <w:r w:rsidR="00981269">
        <w:rPr>
          <w:rFonts w:ascii="Garamond" w:hAnsi="Garamond" w:cs="Times New Roman"/>
        </w:rPr>
        <w:t xml:space="preserve"> </w:t>
      </w:r>
      <w:r w:rsidR="00934567">
        <w:rPr>
          <w:rFonts w:ascii="Garamond" w:hAnsi="Garamond" w:cs="Times New Roman"/>
        </w:rPr>
        <w:t>F</w:t>
      </w:r>
      <w:r w:rsidR="00981269">
        <w:rPr>
          <w:rFonts w:ascii="Garamond" w:hAnsi="Garamond" w:cs="Times New Roman"/>
        </w:rPr>
        <w:t>or countries in fixed exchange rate regimes, entitlements only gain significance in the mid-2010s</w:t>
      </w:r>
      <w:r w:rsidR="00CF5D10" w:rsidRPr="00614418">
        <w:rPr>
          <w:rFonts w:ascii="Garamond" w:hAnsi="Garamond" w:cs="Times New Roman"/>
        </w:rPr>
        <w:t>.</w:t>
      </w:r>
      <w:r>
        <w:rPr>
          <w:rFonts w:ascii="Garamond" w:hAnsi="Garamond" w:cs="Times New Roman"/>
        </w:rPr>
        <w:t xml:space="preserve"> Furthermore, the penalty is highe</w:t>
      </w:r>
      <w:r w:rsidR="00981269">
        <w:rPr>
          <w:rFonts w:ascii="Garamond" w:hAnsi="Garamond" w:cs="Times New Roman"/>
        </w:rPr>
        <w:t>st</w:t>
      </w:r>
      <w:r>
        <w:rPr>
          <w:rFonts w:ascii="Garamond" w:hAnsi="Garamond" w:cs="Times New Roman"/>
        </w:rPr>
        <w:t xml:space="preserve"> for </w:t>
      </w:r>
      <w:r w:rsidR="00981269">
        <w:rPr>
          <w:rFonts w:ascii="Garamond" w:hAnsi="Garamond" w:cs="Times New Roman"/>
        </w:rPr>
        <w:t>monetary union countries</w:t>
      </w:r>
      <w:r>
        <w:rPr>
          <w:rFonts w:ascii="Garamond" w:hAnsi="Garamond" w:cs="Times New Roman"/>
        </w:rPr>
        <w:t>.</w:t>
      </w:r>
      <w:r w:rsidR="00CF5D10" w:rsidRPr="00614418">
        <w:rPr>
          <w:rFonts w:ascii="Garamond" w:hAnsi="Garamond" w:cs="Times New Roman"/>
        </w:rPr>
        <w:t xml:space="preserve"> </w:t>
      </w:r>
      <w:r w:rsidR="009D3C74">
        <w:rPr>
          <w:rFonts w:ascii="Garamond" w:hAnsi="Garamond" w:cs="Times New Roman"/>
        </w:rPr>
        <w:t xml:space="preserve">However, entitlements </w:t>
      </w:r>
      <w:r w:rsidR="001B37EC" w:rsidRPr="00614418">
        <w:rPr>
          <w:rFonts w:ascii="Garamond" w:hAnsi="Garamond" w:cs="Times New Roman"/>
        </w:rPr>
        <w:t>are not used by investors to gauge inflation</w:t>
      </w:r>
      <w:r w:rsidR="00CF5D10" w:rsidRPr="00614418">
        <w:rPr>
          <w:rFonts w:ascii="Garamond" w:hAnsi="Garamond" w:cs="Times New Roman"/>
        </w:rPr>
        <w:t xml:space="preserve"> </w:t>
      </w:r>
      <w:r w:rsidR="001B37EC" w:rsidRPr="00614418">
        <w:rPr>
          <w:rFonts w:ascii="Garamond" w:hAnsi="Garamond" w:cs="Times New Roman"/>
        </w:rPr>
        <w:t>risk in an inflationary environment (contradicting hypothesis 1a).</w:t>
      </w:r>
      <w:r w:rsidR="009D3C74">
        <w:rPr>
          <w:rFonts w:ascii="Garamond" w:hAnsi="Garamond" w:cs="Times New Roman"/>
        </w:rPr>
        <w:t xml:space="preserve"> </w:t>
      </w:r>
      <w:r w:rsidR="00027716">
        <w:rPr>
          <w:rFonts w:ascii="Garamond" w:hAnsi="Garamond" w:cs="Times New Roman"/>
        </w:rPr>
        <w:t xml:space="preserve">It is important to highlight that </w:t>
      </w:r>
      <w:r w:rsidR="000478DC">
        <w:rPr>
          <w:rFonts w:ascii="Garamond" w:hAnsi="Garamond" w:cs="Times New Roman"/>
        </w:rPr>
        <w:t xml:space="preserve">the regressions control for government debt, hence </w:t>
      </w:r>
      <w:r w:rsidR="00027716">
        <w:rPr>
          <w:rFonts w:ascii="Garamond" w:hAnsi="Garamond" w:cs="Times New Roman"/>
        </w:rPr>
        <w:t xml:space="preserve">the impact of entitlement spending is </w:t>
      </w:r>
      <w:r w:rsidR="000478DC">
        <w:rPr>
          <w:rFonts w:ascii="Garamond" w:hAnsi="Garamond" w:cs="Times New Roman"/>
        </w:rPr>
        <w:t>over and above its effect on increasing government debt</w:t>
      </w:r>
      <w:r w:rsidR="00027716">
        <w:rPr>
          <w:rFonts w:ascii="Garamond" w:hAnsi="Garamond" w:cs="Times New Roman"/>
        </w:rPr>
        <w:t xml:space="preserve">.   </w:t>
      </w:r>
      <w:bookmarkStart w:id="23" w:name="_Hlk60751236"/>
    </w:p>
    <w:p w14:paraId="3EDC26BB" w14:textId="10043C9F" w:rsidR="00D92A2B" w:rsidRPr="006C6126" w:rsidRDefault="00D92A2B" w:rsidP="006C6126">
      <w:pPr>
        <w:jc w:val="center"/>
        <w:rPr>
          <w:rFonts w:ascii="Garamond" w:hAnsi="Garamond" w:cs="Times New Roman"/>
          <w:b/>
          <w:bCs/>
        </w:rPr>
      </w:pPr>
      <w:bookmarkStart w:id="24" w:name="_Hlk80015684"/>
      <w:r w:rsidRPr="00614418">
        <w:rPr>
          <w:rFonts w:ascii="Garamond" w:hAnsi="Garamond" w:cs="Times New Roman"/>
          <w:b/>
          <w:bCs/>
        </w:rPr>
        <w:lastRenderedPageBreak/>
        <w:t xml:space="preserve">Figure 5: </w:t>
      </w:r>
      <w:r w:rsidR="000E16F7" w:rsidRPr="00614418">
        <w:rPr>
          <w:rFonts w:ascii="Garamond" w:hAnsi="Garamond" w:cs="Times New Roman"/>
          <w:b/>
          <w:bCs/>
        </w:rPr>
        <w:t xml:space="preserve">The impact of </w:t>
      </w:r>
      <w:r w:rsidR="006C3C8E">
        <w:rPr>
          <w:rFonts w:ascii="Garamond" w:hAnsi="Garamond" w:cs="Times New Roman"/>
          <w:b/>
          <w:bCs/>
        </w:rPr>
        <w:t>entitlement</w:t>
      </w:r>
      <w:r w:rsidR="000E16F7" w:rsidRPr="00614418">
        <w:rPr>
          <w:rFonts w:ascii="Garamond" w:hAnsi="Garamond" w:cs="Times New Roman"/>
          <w:b/>
          <w:bCs/>
        </w:rPr>
        <w:t xml:space="preserve"> spending on bond yields </w:t>
      </w:r>
      <w:r w:rsidR="004969BE">
        <w:rPr>
          <w:rFonts w:ascii="Garamond" w:hAnsi="Garamond" w:cs="Times New Roman"/>
          <w:b/>
          <w:bCs/>
        </w:rPr>
        <w:t xml:space="preserve">by exchange rate regime </w:t>
      </w:r>
      <w:r w:rsidR="000E16F7" w:rsidRPr="00614418">
        <w:rPr>
          <w:rFonts w:ascii="Garamond" w:hAnsi="Garamond" w:cs="Times New Roman"/>
          <w:b/>
          <w:bCs/>
        </w:rPr>
        <w:t>(1980-2017)</w:t>
      </w:r>
      <w:bookmarkEnd w:id="23"/>
      <w:bookmarkEnd w:id="24"/>
    </w:p>
    <w:p w14:paraId="489DAEA1" w14:textId="115233AB" w:rsidR="005B2AFB" w:rsidRDefault="005D2FAD" w:rsidP="006C6126">
      <w:pPr>
        <w:spacing w:line="360" w:lineRule="auto"/>
        <w:jc w:val="center"/>
        <w:rPr>
          <w:rFonts w:ascii="Garamond" w:hAnsi="Garamond" w:cs="Times New Roman"/>
        </w:rPr>
      </w:pPr>
      <w:r w:rsidRPr="005D2FAD">
        <w:rPr>
          <w:rFonts w:ascii="Garamond" w:hAnsi="Garamond" w:cs="Times New Roman"/>
          <w:noProof/>
          <w:lang w:val="fr-CH" w:eastAsia="fr-CH"/>
        </w:rPr>
        <w:drawing>
          <wp:inline distT="0" distB="0" distL="0" distR="0" wp14:anchorId="67023EAD" wp14:editId="5BB27B0D">
            <wp:extent cx="5029200" cy="3657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29200" cy="3657600"/>
                    </a:xfrm>
                    <a:prstGeom prst="rect">
                      <a:avLst/>
                    </a:prstGeom>
                    <a:noFill/>
                    <a:ln>
                      <a:noFill/>
                    </a:ln>
                  </pic:spPr>
                </pic:pic>
              </a:graphicData>
            </a:graphic>
          </wp:inline>
        </w:drawing>
      </w:r>
    </w:p>
    <w:p w14:paraId="36506A13" w14:textId="77777777" w:rsidR="005B2AFB" w:rsidRPr="00614418" w:rsidRDefault="005B2AFB" w:rsidP="000E16F7">
      <w:pPr>
        <w:spacing w:line="360" w:lineRule="auto"/>
        <w:jc w:val="center"/>
        <w:rPr>
          <w:rFonts w:ascii="Garamond" w:hAnsi="Garamond" w:cs="Times New Roman"/>
        </w:rPr>
      </w:pPr>
    </w:p>
    <w:p w14:paraId="4A7997D9" w14:textId="714CDEBA" w:rsidR="006140D9" w:rsidRPr="006140D9" w:rsidRDefault="006140D9" w:rsidP="00934567">
      <w:pPr>
        <w:keepNext/>
        <w:spacing w:line="360" w:lineRule="auto"/>
        <w:jc w:val="both"/>
        <w:rPr>
          <w:rFonts w:ascii="Garamond" w:hAnsi="Garamond"/>
          <w:bCs/>
          <w:i/>
          <w:iCs/>
        </w:rPr>
      </w:pPr>
      <w:r w:rsidRPr="006140D9">
        <w:rPr>
          <w:rFonts w:ascii="Garamond" w:hAnsi="Garamond"/>
          <w:bCs/>
          <w:i/>
          <w:iCs/>
        </w:rPr>
        <w:t>Robustness checks</w:t>
      </w:r>
    </w:p>
    <w:p w14:paraId="30CEAE9F" w14:textId="5E2F1FA1" w:rsidR="00374928" w:rsidRDefault="006140D9" w:rsidP="001C3072">
      <w:pPr>
        <w:spacing w:line="360" w:lineRule="auto"/>
        <w:jc w:val="both"/>
        <w:rPr>
          <w:rFonts w:ascii="Garamond" w:hAnsi="Garamond"/>
          <w:bCs/>
          <w:iCs/>
        </w:rPr>
      </w:pPr>
      <w:r w:rsidRPr="006140D9">
        <w:rPr>
          <w:rFonts w:ascii="Garamond" w:hAnsi="Garamond"/>
          <w:bCs/>
          <w:iCs/>
        </w:rPr>
        <w:tab/>
      </w:r>
      <w:r w:rsidR="00910E9C">
        <w:rPr>
          <w:rFonts w:ascii="Garamond" w:hAnsi="Garamond"/>
          <w:bCs/>
          <w:iCs/>
        </w:rPr>
        <w:t xml:space="preserve">These results indicate </w:t>
      </w:r>
      <w:r w:rsidR="000015A4">
        <w:rPr>
          <w:rFonts w:ascii="Garamond" w:hAnsi="Garamond"/>
          <w:bCs/>
          <w:iCs/>
        </w:rPr>
        <w:t xml:space="preserve">a </w:t>
      </w:r>
      <w:r w:rsidR="00910E9C">
        <w:rPr>
          <w:rFonts w:ascii="Garamond" w:hAnsi="Garamond"/>
          <w:bCs/>
          <w:iCs/>
        </w:rPr>
        <w:t>strong contrast</w:t>
      </w:r>
      <w:r w:rsidR="0089115D">
        <w:rPr>
          <w:rFonts w:ascii="Garamond" w:hAnsi="Garamond"/>
          <w:bCs/>
          <w:iCs/>
        </w:rPr>
        <w:t xml:space="preserve"> </w:t>
      </w:r>
      <w:r w:rsidR="00910E9C">
        <w:rPr>
          <w:rFonts w:ascii="Garamond" w:hAnsi="Garamond"/>
          <w:bCs/>
          <w:iCs/>
        </w:rPr>
        <w:t xml:space="preserve">between </w:t>
      </w:r>
      <w:r w:rsidR="0089115D">
        <w:rPr>
          <w:rFonts w:ascii="Garamond" w:hAnsi="Garamond"/>
          <w:bCs/>
          <w:iCs/>
        </w:rPr>
        <w:t>the penalties on fiscal variables (primarily debt and entitlement spending) within and outside of monetary union</w:t>
      </w:r>
      <w:r w:rsidR="00910E9C">
        <w:rPr>
          <w:rFonts w:ascii="Garamond" w:hAnsi="Garamond"/>
          <w:bCs/>
          <w:iCs/>
        </w:rPr>
        <w:t xml:space="preserve"> once default is considered a </w:t>
      </w:r>
      <w:r w:rsidR="00C85455">
        <w:rPr>
          <w:rFonts w:ascii="Garamond" w:hAnsi="Garamond"/>
          <w:bCs/>
          <w:iCs/>
        </w:rPr>
        <w:t>real possibility.</w:t>
      </w:r>
      <w:r w:rsidR="00156729">
        <w:rPr>
          <w:rFonts w:ascii="Garamond" w:hAnsi="Garamond"/>
          <w:bCs/>
          <w:iCs/>
        </w:rPr>
        <w:t xml:space="preserve"> </w:t>
      </w:r>
      <w:r w:rsidR="00C85455">
        <w:rPr>
          <w:rFonts w:ascii="Garamond" w:hAnsi="Garamond"/>
          <w:bCs/>
          <w:iCs/>
        </w:rPr>
        <w:t>We attribute this contrast to perceptions about differences in governments’ macroeconomic maneuvering space – and, thus, their ability to sustain debt – in and outside of monetary union. But</w:t>
      </w:r>
      <w:r w:rsidR="00156729">
        <w:rPr>
          <w:rFonts w:ascii="Garamond" w:hAnsi="Garamond"/>
          <w:bCs/>
          <w:iCs/>
        </w:rPr>
        <w:t xml:space="preserve"> is macroeconomic maneuvering space </w:t>
      </w:r>
      <w:r w:rsidR="00C85455">
        <w:rPr>
          <w:rFonts w:ascii="Garamond" w:hAnsi="Garamond"/>
          <w:bCs/>
          <w:iCs/>
        </w:rPr>
        <w:t xml:space="preserve">a universal concern for all countries within a monetary union? The </w:t>
      </w:r>
      <w:r w:rsidR="007B0B7A">
        <w:rPr>
          <w:rFonts w:ascii="Garamond" w:hAnsi="Garamond"/>
          <w:bCs/>
          <w:iCs/>
        </w:rPr>
        <w:t>EMU</w:t>
      </w:r>
      <w:r w:rsidR="00C85455">
        <w:rPr>
          <w:rFonts w:ascii="Garamond" w:hAnsi="Garamond"/>
          <w:bCs/>
          <w:iCs/>
        </w:rPr>
        <w:t xml:space="preserve"> united countries of fairly varied credit profiles and it is not inconceivable that the penalties we detected among monetary union members might be driven by outliers perceived to have the least sustainable debt situation. Therefore</w:t>
      </w:r>
      <w:r w:rsidR="00A63459">
        <w:rPr>
          <w:rFonts w:ascii="Garamond" w:hAnsi="Garamond"/>
          <w:bCs/>
          <w:iCs/>
        </w:rPr>
        <w:t xml:space="preserve">, as a robustness check, we </w:t>
      </w:r>
      <w:r w:rsidR="00C85455">
        <w:rPr>
          <w:rFonts w:ascii="Garamond" w:hAnsi="Garamond"/>
          <w:bCs/>
          <w:iCs/>
        </w:rPr>
        <w:t xml:space="preserve">replicate our analysis excluding </w:t>
      </w:r>
      <w:r w:rsidR="00A63459">
        <w:rPr>
          <w:rFonts w:ascii="Garamond" w:hAnsi="Garamond"/>
          <w:bCs/>
          <w:iCs/>
        </w:rPr>
        <w:t>outliers with</w:t>
      </w:r>
      <w:r w:rsidR="00C85455">
        <w:rPr>
          <w:rFonts w:ascii="Garamond" w:hAnsi="Garamond"/>
          <w:bCs/>
          <w:iCs/>
        </w:rPr>
        <w:t xml:space="preserve"> (1.)</w:t>
      </w:r>
      <w:r w:rsidR="00A63459">
        <w:rPr>
          <w:rFonts w:ascii="Garamond" w:hAnsi="Garamond"/>
          <w:bCs/>
          <w:iCs/>
        </w:rPr>
        <w:t xml:space="preserve"> the highest debt-to-GDP ratios prior to the</w:t>
      </w:r>
      <w:r w:rsidR="00000E43">
        <w:rPr>
          <w:rFonts w:ascii="Garamond" w:hAnsi="Garamond"/>
          <w:bCs/>
          <w:iCs/>
        </w:rPr>
        <w:t xml:space="preserve"> European debt</w:t>
      </w:r>
      <w:r w:rsidR="00A63459">
        <w:rPr>
          <w:rFonts w:ascii="Garamond" w:hAnsi="Garamond"/>
          <w:bCs/>
          <w:iCs/>
        </w:rPr>
        <w:t xml:space="preserve"> crisis (Belgium, Greece, and Italy), </w:t>
      </w:r>
      <w:r w:rsidR="00C85455">
        <w:rPr>
          <w:rFonts w:ascii="Garamond" w:hAnsi="Garamond"/>
          <w:bCs/>
          <w:iCs/>
        </w:rPr>
        <w:t>and (2.)</w:t>
      </w:r>
      <w:r w:rsidR="00A63459">
        <w:rPr>
          <w:rFonts w:ascii="Garamond" w:hAnsi="Garamond"/>
          <w:bCs/>
          <w:iCs/>
        </w:rPr>
        <w:t xml:space="preserve"> the lowest credit ratings</w:t>
      </w:r>
      <w:r w:rsidR="00782440">
        <w:rPr>
          <w:rFonts w:ascii="Garamond" w:hAnsi="Garamond"/>
          <w:bCs/>
          <w:iCs/>
        </w:rPr>
        <w:t xml:space="preserve"> prior to the crisis</w:t>
      </w:r>
      <w:r w:rsidR="00A63459">
        <w:rPr>
          <w:rFonts w:ascii="Garamond" w:hAnsi="Garamond"/>
          <w:bCs/>
          <w:iCs/>
        </w:rPr>
        <w:t xml:space="preserve"> (Greece, Italy and Portugal</w:t>
      </w:r>
      <w:r w:rsidR="000F1DA3">
        <w:rPr>
          <w:rFonts w:ascii="Garamond" w:hAnsi="Garamond"/>
          <w:bCs/>
          <w:iCs/>
        </w:rPr>
        <w:t>)</w:t>
      </w:r>
      <w:r w:rsidR="00DC7A7B">
        <w:rPr>
          <w:rFonts w:ascii="Garamond" w:hAnsi="Garamond"/>
          <w:bCs/>
          <w:iCs/>
        </w:rPr>
        <w:t>,</w:t>
      </w:r>
      <w:r w:rsidR="00A63459">
        <w:rPr>
          <w:rFonts w:ascii="Garamond" w:hAnsi="Garamond"/>
          <w:bCs/>
          <w:iCs/>
        </w:rPr>
        <w:t xml:space="preserve"> in order </w:t>
      </w:r>
      <w:r w:rsidR="007B0B7A">
        <w:rPr>
          <w:rFonts w:ascii="Garamond" w:hAnsi="Garamond"/>
          <w:bCs/>
          <w:iCs/>
        </w:rPr>
        <w:t xml:space="preserve">to </w:t>
      </w:r>
      <w:r w:rsidR="00C85455">
        <w:rPr>
          <w:rFonts w:ascii="Garamond" w:hAnsi="Garamond"/>
          <w:bCs/>
          <w:iCs/>
        </w:rPr>
        <w:t xml:space="preserve">ascertain whether our findings for monetary union members were driven by a handful of highly indebted </w:t>
      </w:r>
      <w:r w:rsidR="00000E43">
        <w:rPr>
          <w:rFonts w:ascii="Garamond" w:hAnsi="Garamond"/>
          <w:bCs/>
          <w:iCs/>
        </w:rPr>
        <w:t>members</w:t>
      </w:r>
      <w:r w:rsidR="000015A4">
        <w:rPr>
          <w:rFonts w:ascii="Garamond" w:hAnsi="Garamond"/>
          <w:bCs/>
          <w:iCs/>
        </w:rPr>
        <w:t xml:space="preserve"> at greater risk of default</w:t>
      </w:r>
      <w:r w:rsidR="007B0B7A">
        <w:rPr>
          <w:rFonts w:ascii="Garamond" w:hAnsi="Garamond"/>
          <w:bCs/>
          <w:iCs/>
        </w:rPr>
        <w:t>,</w:t>
      </w:r>
      <w:r w:rsidR="00C85455">
        <w:rPr>
          <w:rFonts w:ascii="Garamond" w:hAnsi="Garamond"/>
          <w:bCs/>
          <w:iCs/>
        </w:rPr>
        <w:t xml:space="preserve"> or they</w:t>
      </w:r>
      <w:r w:rsidR="00A63459">
        <w:rPr>
          <w:rFonts w:ascii="Garamond" w:hAnsi="Garamond"/>
          <w:bCs/>
          <w:iCs/>
        </w:rPr>
        <w:t xml:space="preserve"> hold </w:t>
      </w:r>
      <w:r w:rsidR="00807303">
        <w:rPr>
          <w:rFonts w:ascii="Garamond" w:hAnsi="Garamond"/>
          <w:bCs/>
          <w:iCs/>
        </w:rPr>
        <w:t>more generally</w:t>
      </w:r>
      <w:r w:rsidR="00A63459">
        <w:rPr>
          <w:rFonts w:ascii="Garamond" w:hAnsi="Garamond"/>
          <w:bCs/>
          <w:iCs/>
        </w:rPr>
        <w:t xml:space="preserve">. </w:t>
      </w:r>
      <w:r w:rsidR="00000E43">
        <w:rPr>
          <w:rFonts w:ascii="Garamond" w:hAnsi="Garamond"/>
          <w:bCs/>
          <w:iCs/>
        </w:rPr>
        <w:t xml:space="preserve">We purposefully </w:t>
      </w:r>
      <w:r w:rsidR="00DC7A7B">
        <w:rPr>
          <w:rFonts w:ascii="Garamond" w:hAnsi="Garamond"/>
          <w:bCs/>
          <w:iCs/>
        </w:rPr>
        <w:t>exclude</w:t>
      </w:r>
      <w:r w:rsidR="000F1DA3">
        <w:rPr>
          <w:rFonts w:ascii="Garamond" w:hAnsi="Garamond"/>
          <w:bCs/>
          <w:iCs/>
        </w:rPr>
        <w:t xml:space="preserve"> countries </w:t>
      </w:r>
      <w:r w:rsidR="00000E43">
        <w:rPr>
          <w:rFonts w:ascii="Garamond" w:hAnsi="Garamond"/>
          <w:bCs/>
          <w:iCs/>
        </w:rPr>
        <w:t xml:space="preserve">with the least favorable credit </w:t>
      </w:r>
      <w:r w:rsidR="00582218">
        <w:rPr>
          <w:rFonts w:ascii="Garamond" w:hAnsi="Garamond"/>
          <w:bCs/>
          <w:iCs/>
        </w:rPr>
        <w:t xml:space="preserve">and debt </w:t>
      </w:r>
      <w:r w:rsidR="00000E43">
        <w:rPr>
          <w:rFonts w:ascii="Garamond" w:hAnsi="Garamond"/>
          <w:bCs/>
          <w:iCs/>
        </w:rPr>
        <w:t xml:space="preserve">profiles </w:t>
      </w:r>
      <w:r w:rsidR="00000E43">
        <w:rPr>
          <w:rFonts w:ascii="Garamond" w:hAnsi="Garamond"/>
          <w:bCs/>
          <w:i/>
          <w:iCs/>
        </w:rPr>
        <w:t>prior</w:t>
      </w:r>
      <w:r w:rsidR="00000E43">
        <w:rPr>
          <w:rFonts w:ascii="Garamond" w:hAnsi="Garamond"/>
          <w:bCs/>
          <w:iCs/>
        </w:rPr>
        <w:t xml:space="preserve"> to the crisis</w:t>
      </w:r>
      <w:r w:rsidR="00A63459">
        <w:rPr>
          <w:rFonts w:ascii="Garamond" w:hAnsi="Garamond"/>
          <w:bCs/>
          <w:iCs/>
        </w:rPr>
        <w:t xml:space="preserve">, </w:t>
      </w:r>
      <w:r w:rsidR="00000E43">
        <w:rPr>
          <w:rFonts w:ascii="Garamond" w:hAnsi="Garamond"/>
          <w:bCs/>
          <w:iCs/>
        </w:rPr>
        <w:t xml:space="preserve">rather than countries hardest hit by the debt crisis (often referred to as the PIIGS – Portugal, Ireland, Italy, Greece </w:t>
      </w:r>
      <w:r w:rsidR="00000E43">
        <w:rPr>
          <w:rFonts w:ascii="Garamond" w:hAnsi="Garamond"/>
          <w:bCs/>
          <w:iCs/>
        </w:rPr>
        <w:lastRenderedPageBreak/>
        <w:t xml:space="preserve">and Portugal) in order </w:t>
      </w:r>
      <w:r w:rsidR="00A63459">
        <w:rPr>
          <w:rFonts w:ascii="Garamond" w:hAnsi="Garamond"/>
          <w:bCs/>
          <w:iCs/>
        </w:rPr>
        <w:t>to avoid</w:t>
      </w:r>
      <w:r w:rsidR="00DC7A7B">
        <w:rPr>
          <w:rFonts w:ascii="Garamond" w:hAnsi="Garamond"/>
          <w:bCs/>
          <w:iCs/>
        </w:rPr>
        <w:t xml:space="preserve"> </w:t>
      </w:r>
      <w:r w:rsidR="00000E43">
        <w:rPr>
          <w:rFonts w:ascii="Garamond" w:hAnsi="Garamond"/>
          <w:bCs/>
          <w:iCs/>
        </w:rPr>
        <w:t xml:space="preserve">lumping together countries </w:t>
      </w:r>
      <w:r w:rsidR="00602B69">
        <w:rPr>
          <w:rFonts w:ascii="Garamond" w:hAnsi="Garamond"/>
          <w:bCs/>
          <w:iCs/>
        </w:rPr>
        <w:t>that could reasonably be perceived at risk from the start of the monetary union (Portugal, Italy, Greece) with countries that had excellent credit profiles until they fell victim to the turmoil following the subprime crisis</w:t>
      </w:r>
      <w:r w:rsidR="007B0B7A">
        <w:rPr>
          <w:rFonts w:ascii="Garamond" w:hAnsi="Garamond"/>
          <w:bCs/>
          <w:iCs/>
        </w:rPr>
        <w:t xml:space="preserve"> (Ireland and Spain both had very low debt-to-GDP ratios and AAA credit ratings up to the crisis)</w:t>
      </w:r>
      <w:r w:rsidR="00602B69">
        <w:rPr>
          <w:rFonts w:ascii="Garamond" w:hAnsi="Garamond"/>
          <w:bCs/>
          <w:iCs/>
        </w:rPr>
        <w:t xml:space="preserve">, </w:t>
      </w:r>
      <w:r w:rsidR="00DC7A7B">
        <w:rPr>
          <w:rFonts w:ascii="Garamond" w:hAnsi="Garamond"/>
          <w:bCs/>
          <w:iCs/>
        </w:rPr>
        <w:t>which would constitute</w:t>
      </w:r>
      <w:r w:rsidR="00602B69">
        <w:rPr>
          <w:rFonts w:ascii="Garamond" w:hAnsi="Garamond"/>
          <w:bCs/>
          <w:iCs/>
        </w:rPr>
        <w:t xml:space="preserve"> a </w:t>
      </w:r>
      <w:r w:rsidR="00A63459">
        <w:rPr>
          <w:rFonts w:ascii="Garamond" w:hAnsi="Garamond"/>
          <w:bCs/>
          <w:iCs/>
        </w:rPr>
        <w:t>post-hoc rationalization</w:t>
      </w:r>
      <w:r w:rsidR="00DC7A7B">
        <w:rPr>
          <w:rFonts w:ascii="Garamond" w:hAnsi="Garamond"/>
          <w:bCs/>
          <w:iCs/>
        </w:rPr>
        <w:t xml:space="preserve"> for picking our countries of concern</w:t>
      </w:r>
      <w:r w:rsidR="00A63459">
        <w:rPr>
          <w:rFonts w:ascii="Garamond" w:hAnsi="Garamond"/>
          <w:bCs/>
          <w:iCs/>
        </w:rPr>
        <w:t xml:space="preserve"> </w:t>
      </w:r>
      <w:r w:rsidR="00602B69">
        <w:rPr>
          <w:rFonts w:ascii="Garamond" w:hAnsi="Garamond"/>
          <w:bCs/>
          <w:iCs/>
        </w:rPr>
        <w:t xml:space="preserve">(and </w:t>
      </w:r>
      <w:r w:rsidR="00156729">
        <w:rPr>
          <w:rFonts w:ascii="Garamond" w:hAnsi="Garamond"/>
          <w:bCs/>
          <w:iCs/>
        </w:rPr>
        <w:t>an</w:t>
      </w:r>
      <w:r w:rsidR="00602B69">
        <w:rPr>
          <w:rFonts w:ascii="Garamond" w:hAnsi="Garamond"/>
          <w:bCs/>
          <w:iCs/>
        </w:rPr>
        <w:t xml:space="preserve"> </w:t>
      </w:r>
      <w:r w:rsidR="00DC7A7B">
        <w:rPr>
          <w:rFonts w:ascii="Garamond" w:hAnsi="Garamond"/>
          <w:bCs/>
          <w:iCs/>
        </w:rPr>
        <w:t>unreflective</w:t>
      </w:r>
      <w:r w:rsidR="00602B69">
        <w:rPr>
          <w:rFonts w:ascii="Garamond" w:hAnsi="Garamond"/>
          <w:bCs/>
          <w:iCs/>
        </w:rPr>
        <w:t xml:space="preserve"> use of PIIGS as a category). </w:t>
      </w:r>
    </w:p>
    <w:p w14:paraId="2D09778A" w14:textId="4D1E9F32" w:rsidR="006140D9" w:rsidRDefault="00C821B2" w:rsidP="001C3072">
      <w:pPr>
        <w:spacing w:line="360" w:lineRule="auto"/>
        <w:jc w:val="both"/>
        <w:rPr>
          <w:rFonts w:ascii="Garamond" w:hAnsi="Garamond"/>
          <w:bCs/>
          <w:iCs/>
        </w:rPr>
      </w:pPr>
      <w:r>
        <w:rPr>
          <w:rFonts w:ascii="Garamond" w:hAnsi="Garamond"/>
          <w:bCs/>
          <w:iCs/>
        </w:rPr>
        <w:tab/>
      </w:r>
      <w:r w:rsidR="00A63459">
        <w:rPr>
          <w:rFonts w:ascii="Garamond" w:hAnsi="Garamond"/>
          <w:bCs/>
          <w:iCs/>
        </w:rPr>
        <w:t xml:space="preserve">The results of the robustness checks are </w:t>
      </w:r>
      <w:r w:rsidR="00356F42">
        <w:rPr>
          <w:rFonts w:ascii="Garamond" w:hAnsi="Garamond"/>
          <w:bCs/>
          <w:iCs/>
        </w:rPr>
        <w:t xml:space="preserve">presented in Appendices </w:t>
      </w:r>
      <w:r w:rsidR="00D821FE">
        <w:rPr>
          <w:rFonts w:ascii="Garamond" w:hAnsi="Garamond"/>
          <w:bCs/>
          <w:iCs/>
        </w:rPr>
        <w:t xml:space="preserve">E </w:t>
      </w:r>
      <w:r w:rsidR="00356F42">
        <w:rPr>
          <w:rFonts w:ascii="Garamond" w:hAnsi="Garamond"/>
          <w:bCs/>
          <w:iCs/>
        </w:rPr>
        <w:t>(countries</w:t>
      </w:r>
      <w:r w:rsidR="00602B69">
        <w:rPr>
          <w:rFonts w:ascii="Garamond" w:hAnsi="Garamond"/>
          <w:bCs/>
          <w:iCs/>
        </w:rPr>
        <w:t xml:space="preserve"> with the highest debt-to-GDP ratios</w:t>
      </w:r>
      <w:r w:rsidR="004E7FCE">
        <w:rPr>
          <w:rFonts w:ascii="Garamond" w:hAnsi="Garamond"/>
          <w:bCs/>
          <w:iCs/>
        </w:rPr>
        <w:t xml:space="preserve"> </w:t>
      </w:r>
      <w:r w:rsidR="00602B69">
        <w:rPr>
          <w:rFonts w:ascii="Garamond" w:hAnsi="Garamond"/>
          <w:bCs/>
          <w:iCs/>
        </w:rPr>
        <w:t>are excluded</w:t>
      </w:r>
      <w:r w:rsidR="00356F42">
        <w:rPr>
          <w:rFonts w:ascii="Garamond" w:hAnsi="Garamond"/>
          <w:bCs/>
          <w:iCs/>
        </w:rPr>
        <w:t xml:space="preserve">) and </w:t>
      </w:r>
      <w:r w:rsidR="00D821FE">
        <w:rPr>
          <w:rFonts w:ascii="Garamond" w:hAnsi="Garamond"/>
          <w:bCs/>
          <w:iCs/>
        </w:rPr>
        <w:t xml:space="preserve">F </w:t>
      </w:r>
      <w:r w:rsidR="00356F42">
        <w:rPr>
          <w:rFonts w:ascii="Garamond" w:hAnsi="Garamond"/>
          <w:bCs/>
          <w:iCs/>
        </w:rPr>
        <w:t>(</w:t>
      </w:r>
      <w:r w:rsidR="00602B69">
        <w:rPr>
          <w:rFonts w:ascii="Garamond" w:hAnsi="Garamond"/>
          <w:bCs/>
          <w:iCs/>
        </w:rPr>
        <w:t xml:space="preserve">countries with the lowest </w:t>
      </w:r>
      <w:r w:rsidR="00582218">
        <w:rPr>
          <w:rFonts w:ascii="Garamond" w:hAnsi="Garamond"/>
          <w:bCs/>
          <w:iCs/>
        </w:rPr>
        <w:t xml:space="preserve">credit </w:t>
      </w:r>
      <w:r w:rsidR="00602B69">
        <w:rPr>
          <w:rFonts w:ascii="Garamond" w:hAnsi="Garamond"/>
          <w:bCs/>
          <w:iCs/>
        </w:rPr>
        <w:t>rating</w:t>
      </w:r>
      <w:r w:rsidR="00582218">
        <w:rPr>
          <w:rFonts w:ascii="Garamond" w:hAnsi="Garamond"/>
          <w:bCs/>
          <w:iCs/>
        </w:rPr>
        <w:t>s</w:t>
      </w:r>
      <w:r w:rsidR="004E7FCE">
        <w:rPr>
          <w:rFonts w:ascii="Garamond" w:hAnsi="Garamond"/>
          <w:bCs/>
          <w:iCs/>
        </w:rPr>
        <w:t xml:space="preserve"> </w:t>
      </w:r>
      <w:r w:rsidR="00602B69">
        <w:rPr>
          <w:rFonts w:ascii="Garamond" w:hAnsi="Garamond"/>
          <w:bCs/>
          <w:iCs/>
        </w:rPr>
        <w:t>are excluded</w:t>
      </w:r>
      <w:r w:rsidR="00356F42">
        <w:rPr>
          <w:rFonts w:ascii="Garamond" w:hAnsi="Garamond"/>
          <w:bCs/>
          <w:iCs/>
        </w:rPr>
        <w:t>)</w:t>
      </w:r>
      <w:r w:rsidR="004E7FCE">
        <w:rPr>
          <w:rFonts w:ascii="Garamond" w:hAnsi="Garamond"/>
          <w:bCs/>
          <w:iCs/>
        </w:rPr>
        <w:t xml:space="preserve">. </w:t>
      </w:r>
      <w:r w:rsidR="00DC7A7B">
        <w:rPr>
          <w:rFonts w:ascii="Garamond" w:hAnsi="Garamond"/>
          <w:bCs/>
          <w:iCs/>
        </w:rPr>
        <w:t xml:space="preserve">They </w:t>
      </w:r>
      <w:r w:rsidR="001C3072">
        <w:rPr>
          <w:rFonts w:ascii="Garamond" w:hAnsi="Garamond"/>
          <w:bCs/>
          <w:iCs/>
        </w:rPr>
        <w:t xml:space="preserve">mostly </w:t>
      </w:r>
      <w:r w:rsidR="00DC7A7B">
        <w:rPr>
          <w:rFonts w:ascii="Garamond" w:hAnsi="Garamond"/>
          <w:bCs/>
          <w:iCs/>
        </w:rPr>
        <w:t xml:space="preserve">confirm our results for the </w:t>
      </w:r>
      <w:r w:rsidR="00DB03BF">
        <w:rPr>
          <w:rFonts w:ascii="Garamond" w:hAnsi="Garamond"/>
          <w:bCs/>
          <w:iCs/>
        </w:rPr>
        <w:t>full</w:t>
      </w:r>
      <w:r w:rsidR="00DC7A7B">
        <w:rPr>
          <w:rFonts w:ascii="Garamond" w:hAnsi="Garamond"/>
          <w:bCs/>
          <w:iCs/>
        </w:rPr>
        <w:t xml:space="preserve"> sample</w:t>
      </w:r>
      <w:r w:rsidR="00DB03BF">
        <w:rPr>
          <w:rFonts w:ascii="Garamond" w:hAnsi="Garamond"/>
          <w:bCs/>
          <w:iCs/>
        </w:rPr>
        <w:t>.</w:t>
      </w:r>
      <w:r w:rsidR="00BA4881">
        <w:rPr>
          <w:rFonts w:ascii="Garamond" w:hAnsi="Garamond"/>
          <w:bCs/>
          <w:iCs/>
        </w:rPr>
        <w:t xml:space="preserve"> When </w:t>
      </w:r>
      <w:r w:rsidR="00DB03BF">
        <w:rPr>
          <w:rFonts w:ascii="Garamond" w:hAnsi="Garamond"/>
          <w:bCs/>
          <w:iCs/>
        </w:rPr>
        <w:t>the most</w:t>
      </w:r>
      <w:r w:rsidR="00BA4881">
        <w:rPr>
          <w:rFonts w:ascii="Garamond" w:hAnsi="Garamond"/>
          <w:bCs/>
          <w:iCs/>
        </w:rPr>
        <w:t xml:space="preserve"> highly indebted </w:t>
      </w:r>
      <w:r w:rsidR="00DB03BF">
        <w:rPr>
          <w:rFonts w:ascii="Garamond" w:hAnsi="Garamond"/>
          <w:bCs/>
          <w:iCs/>
        </w:rPr>
        <w:t>members of the monetary union</w:t>
      </w:r>
      <w:r w:rsidR="00BA4881">
        <w:rPr>
          <w:rFonts w:ascii="Garamond" w:hAnsi="Garamond"/>
          <w:bCs/>
          <w:iCs/>
        </w:rPr>
        <w:t xml:space="preserve"> are excluded (see Figure </w:t>
      </w:r>
      <w:r w:rsidR="00D821FE">
        <w:rPr>
          <w:rFonts w:ascii="Garamond" w:hAnsi="Garamond"/>
          <w:bCs/>
          <w:iCs/>
        </w:rPr>
        <w:t>E</w:t>
      </w:r>
      <w:r w:rsidR="00BA4881">
        <w:rPr>
          <w:rFonts w:ascii="Garamond" w:hAnsi="Garamond"/>
          <w:bCs/>
          <w:iCs/>
        </w:rPr>
        <w:t>.2 in the appendix), debt has a significant positive impact on bond yields once the years of the European debt crisis enter the sample</w:t>
      </w:r>
      <w:r w:rsidR="00466DD9">
        <w:rPr>
          <w:rFonts w:ascii="Garamond" w:hAnsi="Garamond"/>
          <w:bCs/>
          <w:iCs/>
        </w:rPr>
        <w:t>.</w:t>
      </w:r>
      <w:r w:rsidR="00BA4881">
        <w:rPr>
          <w:rFonts w:ascii="Garamond" w:hAnsi="Garamond"/>
          <w:bCs/>
          <w:iCs/>
        </w:rPr>
        <w:t xml:space="preserve"> </w:t>
      </w:r>
      <w:r w:rsidR="00466DD9">
        <w:rPr>
          <w:rFonts w:ascii="Garamond" w:hAnsi="Garamond"/>
          <w:bCs/>
          <w:iCs/>
        </w:rPr>
        <w:t>W</w:t>
      </w:r>
      <w:r w:rsidR="00BA4881">
        <w:rPr>
          <w:rFonts w:ascii="Garamond" w:hAnsi="Garamond"/>
          <w:bCs/>
          <w:iCs/>
        </w:rPr>
        <w:t xml:space="preserve">hile the magnitude of this impact declines in later windows, it still remains significant throughout. </w:t>
      </w:r>
      <w:r w:rsidR="00DB03BF">
        <w:rPr>
          <w:rFonts w:ascii="Garamond" w:hAnsi="Garamond"/>
          <w:bCs/>
          <w:iCs/>
        </w:rPr>
        <w:t>When countries with the lowest credit ratings are excluded</w:t>
      </w:r>
      <w:r w:rsidR="00BA4881">
        <w:rPr>
          <w:rFonts w:ascii="Garamond" w:hAnsi="Garamond"/>
          <w:bCs/>
          <w:iCs/>
        </w:rPr>
        <w:t xml:space="preserve"> (Figure </w:t>
      </w:r>
      <w:r w:rsidR="00D821FE">
        <w:rPr>
          <w:rFonts w:ascii="Garamond" w:hAnsi="Garamond"/>
          <w:bCs/>
          <w:iCs/>
        </w:rPr>
        <w:t>F</w:t>
      </w:r>
      <w:r w:rsidR="00BA4881">
        <w:rPr>
          <w:rFonts w:ascii="Garamond" w:hAnsi="Garamond"/>
          <w:bCs/>
          <w:iCs/>
        </w:rPr>
        <w:t>.2 in the appendix)</w:t>
      </w:r>
      <w:r w:rsidR="007B0B7A">
        <w:rPr>
          <w:rFonts w:ascii="Garamond" w:hAnsi="Garamond"/>
          <w:bCs/>
          <w:iCs/>
        </w:rPr>
        <w:t>,</w:t>
      </w:r>
      <w:r w:rsidR="00BA4881">
        <w:rPr>
          <w:rFonts w:ascii="Garamond" w:hAnsi="Garamond"/>
          <w:bCs/>
          <w:iCs/>
        </w:rPr>
        <w:t xml:space="preserve"> debt ha</w:t>
      </w:r>
      <w:r w:rsidR="00DB03BF">
        <w:rPr>
          <w:rFonts w:ascii="Garamond" w:hAnsi="Garamond"/>
          <w:bCs/>
          <w:iCs/>
        </w:rPr>
        <w:t>s</w:t>
      </w:r>
      <w:r w:rsidR="00BA4881">
        <w:rPr>
          <w:rFonts w:ascii="Garamond" w:hAnsi="Garamond"/>
          <w:bCs/>
          <w:iCs/>
        </w:rPr>
        <w:t xml:space="preserve"> a prolonged positive and significant impact on bond yields </w:t>
      </w:r>
      <w:r w:rsidR="00DB03BF">
        <w:rPr>
          <w:rFonts w:ascii="Garamond" w:hAnsi="Garamond"/>
          <w:bCs/>
          <w:iCs/>
        </w:rPr>
        <w:t>within the monetary union</w:t>
      </w:r>
      <w:r w:rsidR="007B0B7A">
        <w:rPr>
          <w:rFonts w:ascii="Garamond" w:hAnsi="Garamond"/>
          <w:bCs/>
          <w:iCs/>
        </w:rPr>
        <w:t>,</w:t>
      </w:r>
      <w:r w:rsidR="00DB03BF">
        <w:rPr>
          <w:rFonts w:ascii="Garamond" w:hAnsi="Garamond"/>
          <w:bCs/>
          <w:iCs/>
        </w:rPr>
        <w:t xml:space="preserve"> not only</w:t>
      </w:r>
      <w:r w:rsidR="00BA4881">
        <w:rPr>
          <w:rFonts w:ascii="Garamond" w:hAnsi="Garamond"/>
          <w:bCs/>
          <w:iCs/>
        </w:rPr>
        <w:t xml:space="preserve"> after the crisis, but also in windows which only include pre-crisis years.</w:t>
      </w:r>
      <w:r w:rsidR="001C3072" w:rsidDel="001C3072">
        <w:rPr>
          <w:rFonts w:ascii="Garamond" w:hAnsi="Garamond"/>
          <w:bCs/>
          <w:iCs/>
        </w:rPr>
        <w:t xml:space="preserve"> </w:t>
      </w:r>
      <w:r w:rsidR="00BA4881">
        <w:rPr>
          <w:rFonts w:ascii="Garamond" w:hAnsi="Garamond"/>
          <w:bCs/>
          <w:iCs/>
        </w:rPr>
        <w:t xml:space="preserve">In contrast </w:t>
      </w:r>
      <w:r w:rsidR="00466DD9">
        <w:rPr>
          <w:rFonts w:ascii="Garamond" w:hAnsi="Garamond"/>
          <w:bCs/>
          <w:iCs/>
        </w:rPr>
        <w:t>to</w:t>
      </w:r>
      <w:r w:rsidR="00BA4881">
        <w:rPr>
          <w:rFonts w:ascii="Garamond" w:hAnsi="Garamond"/>
          <w:bCs/>
          <w:iCs/>
        </w:rPr>
        <w:t xml:space="preserve"> the results for the full sample, fiscal deficits have a </w:t>
      </w:r>
      <w:r w:rsidR="00F53A0F">
        <w:rPr>
          <w:rFonts w:ascii="Garamond" w:hAnsi="Garamond"/>
          <w:bCs/>
          <w:iCs/>
        </w:rPr>
        <w:t xml:space="preserve">prolonged </w:t>
      </w:r>
      <w:r w:rsidR="00BA4881">
        <w:rPr>
          <w:rFonts w:ascii="Garamond" w:hAnsi="Garamond"/>
          <w:bCs/>
          <w:iCs/>
        </w:rPr>
        <w:t>positive</w:t>
      </w:r>
      <w:r w:rsidR="00F53A0F">
        <w:rPr>
          <w:rFonts w:ascii="Garamond" w:hAnsi="Garamond"/>
          <w:bCs/>
          <w:iCs/>
        </w:rPr>
        <w:t xml:space="preserve"> and</w:t>
      </w:r>
      <w:r w:rsidR="00BA4881">
        <w:rPr>
          <w:rFonts w:ascii="Garamond" w:hAnsi="Garamond"/>
          <w:bCs/>
          <w:iCs/>
        </w:rPr>
        <w:t xml:space="preserve"> significant impact on bond yields</w:t>
      </w:r>
      <w:r w:rsidR="00466DD9">
        <w:rPr>
          <w:rFonts w:ascii="Garamond" w:hAnsi="Garamond"/>
          <w:bCs/>
          <w:iCs/>
        </w:rPr>
        <w:t xml:space="preserve"> for monetary union countries</w:t>
      </w:r>
      <w:r w:rsidR="00F53A0F">
        <w:rPr>
          <w:rFonts w:ascii="Garamond" w:hAnsi="Garamond"/>
          <w:bCs/>
          <w:iCs/>
        </w:rPr>
        <w:t xml:space="preserve"> once the crisis sets in</w:t>
      </w:r>
      <w:r w:rsidR="00782440">
        <w:rPr>
          <w:rFonts w:ascii="Garamond" w:hAnsi="Garamond"/>
          <w:bCs/>
          <w:iCs/>
        </w:rPr>
        <w:t xml:space="preserve">. (see Figures </w:t>
      </w:r>
      <w:r w:rsidR="00D821FE">
        <w:rPr>
          <w:rFonts w:ascii="Garamond" w:hAnsi="Garamond"/>
          <w:bCs/>
          <w:iCs/>
        </w:rPr>
        <w:t>E</w:t>
      </w:r>
      <w:r w:rsidR="00782440">
        <w:rPr>
          <w:rFonts w:ascii="Garamond" w:hAnsi="Garamond"/>
          <w:bCs/>
          <w:iCs/>
        </w:rPr>
        <w:t xml:space="preserve">.3 and </w:t>
      </w:r>
      <w:r w:rsidR="00D821FE">
        <w:rPr>
          <w:rFonts w:ascii="Garamond" w:hAnsi="Garamond"/>
          <w:bCs/>
          <w:iCs/>
        </w:rPr>
        <w:t>F</w:t>
      </w:r>
      <w:r w:rsidR="00782440">
        <w:rPr>
          <w:rFonts w:ascii="Garamond" w:hAnsi="Garamond"/>
          <w:bCs/>
          <w:iCs/>
        </w:rPr>
        <w:t>.3)</w:t>
      </w:r>
      <w:r w:rsidR="00F53A0F">
        <w:rPr>
          <w:rFonts w:ascii="Garamond" w:hAnsi="Garamond"/>
          <w:bCs/>
          <w:iCs/>
        </w:rPr>
        <w:t>.</w:t>
      </w:r>
      <w:r w:rsidR="007B0B7A">
        <w:rPr>
          <w:rFonts w:ascii="Garamond" w:hAnsi="Garamond"/>
          <w:bCs/>
          <w:iCs/>
        </w:rPr>
        <w:t xml:space="preserve"> </w:t>
      </w:r>
      <w:r w:rsidR="002E226D">
        <w:rPr>
          <w:rFonts w:ascii="Garamond" w:hAnsi="Garamond"/>
          <w:bCs/>
          <w:iCs/>
        </w:rPr>
        <w:t>This suggests that the fiscal deficit of highly indebted and lower</w:t>
      </w:r>
      <w:r w:rsidR="007B0B7A">
        <w:rPr>
          <w:rFonts w:ascii="Garamond" w:hAnsi="Garamond"/>
          <w:bCs/>
          <w:iCs/>
        </w:rPr>
        <w:t>-</w:t>
      </w:r>
      <w:r w:rsidR="002E226D">
        <w:rPr>
          <w:rFonts w:ascii="Garamond" w:hAnsi="Garamond"/>
          <w:bCs/>
          <w:iCs/>
        </w:rPr>
        <w:t xml:space="preserve">rated </w:t>
      </w:r>
      <w:r w:rsidR="00D35F87">
        <w:rPr>
          <w:rFonts w:ascii="Garamond" w:hAnsi="Garamond"/>
          <w:bCs/>
          <w:iCs/>
        </w:rPr>
        <w:t xml:space="preserve">EMU-members </w:t>
      </w:r>
      <w:r w:rsidR="002E226D">
        <w:rPr>
          <w:rFonts w:ascii="Garamond" w:hAnsi="Garamond"/>
          <w:bCs/>
          <w:iCs/>
        </w:rPr>
        <w:t xml:space="preserve">was treated more leniently by markets </w:t>
      </w:r>
      <w:r w:rsidR="00807303">
        <w:rPr>
          <w:rFonts w:ascii="Garamond" w:hAnsi="Garamond"/>
          <w:bCs/>
          <w:iCs/>
        </w:rPr>
        <w:t xml:space="preserve">during the crisis </w:t>
      </w:r>
      <w:r w:rsidR="002E226D">
        <w:rPr>
          <w:rFonts w:ascii="Garamond" w:hAnsi="Garamond"/>
          <w:bCs/>
          <w:iCs/>
        </w:rPr>
        <w:t>than the fi</w:t>
      </w:r>
      <w:r w:rsidR="00120A48">
        <w:rPr>
          <w:rFonts w:ascii="Garamond" w:hAnsi="Garamond"/>
          <w:bCs/>
          <w:iCs/>
        </w:rPr>
        <w:t xml:space="preserve">scal deficits of </w:t>
      </w:r>
      <w:r w:rsidR="002E226D">
        <w:rPr>
          <w:rFonts w:ascii="Garamond" w:hAnsi="Garamond"/>
          <w:bCs/>
          <w:iCs/>
        </w:rPr>
        <w:t>EMU</w:t>
      </w:r>
      <w:r w:rsidR="00D35F87">
        <w:rPr>
          <w:rFonts w:ascii="Garamond" w:hAnsi="Garamond"/>
          <w:bCs/>
          <w:iCs/>
        </w:rPr>
        <w:t>-</w:t>
      </w:r>
      <w:r w:rsidR="002E226D">
        <w:rPr>
          <w:rFonts w:ascii="Garamond" w:hAnsi="Garamond"/>
          <w:bCs/>
          <w:iCs/>
        </w:rPr>
        <w:t>members</w:t>
      </w:r>
      <w:r w:rsidR="00120A48">
        <w:rPr>
          <w:rFonts w:ascii="Garamond" w:hAnsi="Garamond"/>
          <w:bCs/>
          <w:iCs/>
        </w:rPr>
        <w:t xml:space="preserve"> with better fundamentals</w:t>
      </w:r>
      <w:r w:rsidR="00D35F87">
        <w:rPr>
          <w:rFonts w:ascii="Garamond" w:hAnsi="Garamond"/>
          <w:bCs/>
          <w:iCs/>
        </w:rPr>
        <w:t xml:space="preserve"> (</w:t>
      </w:r>
      <w:r w:rsidR="00F50E9C">
        <w:rPr>
          <w:rFonts w:ascii="Garamond" w:hAnsi="Garamond"/>
          <w:bCs/>
          <w:iCs/>
        </w:rPr>
        <w:t xml:space="preserve">perhaps reflecting a </w:t>
      </w:r>
      <w:r w:rsidR="00D35F87">
        <w:rPr>
          <w:rFonts w:ascii="Garamond" w:hAnsi="Garamond"/>
          <w:bCs/>
          <w:iCs/>
        </w:rPr>
        <w:t>perception that risk is to some extent pooled between EMU-members, due to the weak credibility of the ‘non-bailout clause’ of the Maastricht Treaty)</w:t>
      </w:r>
      <w:r w:rsidR="002E226D">
        <w:rPr>
          <w:rFonts w:ascii="Garamond" w:hAnsi="Garamond"/>
          <w:bCs/>
          <w:iCs/>
        </w:rPr>
        <w:t xml:space="preserve">. </w:t>
      </w:r>
      <w:r w:rsidR="001C3072">
        <w:rPr>
          <w:rFonts w:ascii="Garamond" w:hAnsi="Garamond"/>
          <w:bCs/>
          <w:iCs/>
        </w:rPr>
        <w:t>The</w:t>
      </w:r>
      <w:r w:rsidR="00F53A0F">
        <w:rPr>
          <w:rFonts w:ascii="Garamond" w:hAnsi="Garamond"/>
          <w:bCs/>
          <w:iCs/>
        </w:rPr>
        <w:t xml:space="preserve"> impact </w:t>
      </w:r>
      <w:r w:rsidR="001C3072">
        <w:rPr>
          <w:rFonts w:ascii="Garamond" w:hAnsi="Garamond"/>
          <w:bCs/>
          <w:iCs/>
        </w:rPr>
        <w:t xml:space="preserve">of social spending </w:t>
      </w:r>
      <w:r w:rsidR="00F53A0F">
        <w:rPr>
          <w:rFonts w:ascii="Garamond" w:hAnsi="Garamond"/>
          <w:bCs/>
          <w:iCs/>
        </w:rPr>
        <w:t xml:space="preserve">on bond yields </w:t>
      </w:r>
      <w:r w:rsidR="001C3072">
        <w:rPr>
          <w:rFonts w:ascii="Garamond" w:hAnsi="Garamond"/>
          <w:bCs/>
          <w:iCs/>
        </w:rPr>
        <w:t>–</w:t>
      </w:r>
      <w:r w:rsidR="00F53A0F">
        <w:rPr>
          <w:rFonts w:ascii="Garamond" w:hAnsi="Garamond"/>
          <w:bCs/>
          <w:iCs/>
        </w:rPr>
        <w:t xml:space="preserve"> which lacked significance except for a select number of windows in our full sample </w:t>
      </w:r>
      <w:r w:rsidR="001C3072">
        <w:rPr>
          <w:rFonts w:ascii="Garamond" w:hAnsi="Garamond"/>
          <w:bCs/>
          <w:iCs/>
        </w:rPr>
        <w:t>–</w:t>
      </w:r>
      <w:r w:rsidR="00F53A0F">
        <w:rPr>
          <w:rFonts w:ascii="Garamond" w:hAnsi="Garamond"/>
          <w:bCs/>
          <w:iCs/>
        </w:rPr>
        <w:t xml:space="preserve"> also lack</w:t>
      </w:r>
      <w:r w:rsidR="00374928">
        <w:rPr>
          <w:rFonts w:ascii="Garamond" w:hAnsi="Garamond"/>
          <w:bCs/>
          <w:iCs/>
        </w:rPr>
        <w:t>s</w:t>
      </w:r>
      <w:r w:rsidR="00F53A0F">
        <w:rPr>
          <w:rFonts w:ascii="Garamond" w:hAnsi="Garamond"/>
          <w:bCs/>
          <w:iCs/>
        </w:rPr>
        <w:t xml:space="preserve"> significance when EMU’s most indebted and lowest rated members </w:t>
      </w:r>
      <w:r w:rsidR="00374928">
        <w:rPr>
          <w:rFonts w:ascii="Garamond" w:hAnsi="Garamond"/>
          <w:bCs/>
          <w:iCs/>
        </w:rPr>
        <w:t>are</w:t>
      </w:r>
      <w:r w:rsidR="00F53A0F">
        <w:rPr>
          <w:rFonts w:ascii="Garamond" w:hAnsi="Garamond"/>
          <w:bCs/>
          <w:iCs/>
        </w:rPr>
        <w:t xml:space="preserve"> excluded. Likewise</w:t>
      </w:r>
      <w:r w:rsidR="001C3072">
        <w:rPr>
          <w:rFonts w:ascii="Garamond" w:hAnsi="Garamond"/>
          <w:bCs/>
          <w:iCs/>
        </w:rPr>
        <w:t>, the</w:t>
      </w:r>
      <w:r w:rsidR="00F53A0F">
        <w:rPr>
          <w:rFonts w:ascii="Garamond" w:hAnsi="Garamond"/>
          <w:bCs/>
          <w:iCs/>
        </w:rPr>
        <w:t xml:space="preserve"> significant</w:t>
      </w:r>
      <w:r w:rsidR="00466DD9">
        <w:rPr>
          <w:rFonts w:ascii="Garamond" w:hAnsi="Garamond"/>
          <w:bCs/>
          <w:iCs/>
        </w:rPr>
        <w:t>ly positive</w:t>
      </w:r>
      <w:r w:rsidR="00F53A0F">
        <w:rPr>
          <w:rFonts w:ascii="Garamond" w:hAnsi="Garamond"/>
          <w:bCs/>
          <w:iCs/>
        </w:rPr>
        <w:t xml:space="preserve"> and prolonged effect </w:t>
      </w:r>
      <w:r w:rsidR="001C3072">
        <w:rPr>
          <w:rFonts w:ascii="Garamond" w:hAnsi="Garamond"/>
          <w:bCs/>
          <w:iCs/>
        </w:rPr>
        <w:t xml:space="preserve">of entitlements </w:t>
      </w:r>
      <w:r w:rsidR="00F53A0F">
        <w:rPr>
          <w:rFonts w:ascii="Garamond" w:hAnsi="Garamond"/>
          <w:bCs/>
          <w:iCs/>
        </w:rPr>
        <w:t xml:space="preserve">on bond yields </w:t>
      </w:r>
      <w:r w:rsidR="001C3072">
        <w:rPr>
          <w:rFonts w:ascii="Garamond" w:hAnsi="Garamond"/>
          <w:bCs/>
          <w:iCs/>
        </w:rPr>
        <w:t xml:space="preserve">post-crisis </w:t>
      </w:r>
      <w:r w:rsidR="00F53A0F">
        <w:rPr>
          <w:rFonts w:ascii="Garamond" w:hAnsi="Garamond"/>
          <w:bCs/>
          <w:iCs/>
        </w:rPr>
        <w:t xml:space="preserve">also survived </w:t>
      </w:r>
      <w:r w:rsidR="001C3072">
        <w:rPr>
          <w:rFonts w:ascii="Garamond" w:hAnsi="Garamond"/>
          <w:bCs/>
          <w:iCs/>
        </w:rPr>
        <w:t xml:space="preserve">in </w:t>
      </w:r>
      <w:r w:rsidR="00F53A0F">
        <w:rPr>
          <w:rFonts w:ascii="Garamond" w:hAnsi="Garamond"/>
          <w:bCs/>
          <w:iCs/>
        </w:rPr>
        <w:t>our restricted-sample.</w:t>
      </w:r>
      <w:r w:rsidR="00602B69">
        <w:rPr>
          <w:rFonts w:ascii="Garamond" w:hAnsi="Garamond"/>
          <w:bCs/>
          <w:iCs/>
        </w:rPr>
        <w:t xml:space="preserve"> Results for inflation remain consistent across both robustness checks: countries in monetary union continue to be shielded from inflation risk</w:t>
      </w:r>
      <w:r w:rsidR="001C3072">
        <w:rPr>
          <w:rFonts w:ascii="Garamond" w:hAnsi="Garamond"/>
          <w:bCs/>
          <w:iCs/>
        </w:rPr>
        <w:t>.</w:t>
      </w:r>
    </w:p>
    <w:p w14:paraId="1C3ABDD3" w14:textId="77777777" w:rsidR="00C821B2" w:rsidRPr="006140D9" w:rsidRDefault="00C821B2" w:rsidP="00E855F7">
      <w:pPr>
        <w:spacing w:line="360" w:lineRule="auto"/>
        <w:jc w:val="both"/>
        <w:rPr>
          <w:rFonts w:ascii="Garamond" w:hAnsi="Garamond"/>
          <w:bCs/>
          <w:iCs/>
        </w:rPr>
      </w:pPr>
    </w:p>
    <w:p w14:paraId="1A1A05B3" w14:textId="5D6017B0" w:rsidR="00E855F7" w:rsidRPr="00614418" w:rsidRDefault="005D2FAD" w:rsidP="00934567">
      <w:pPr>
        <w:keepNext/>
        <w:spacing w:line="360" w:lineRule="auto"/>
        <w:jc w:val="both"/>
        <w:rPr>
          <w:rFonts w:ascii="Garamond" w:hAnsi="Garamond"/>
          <w:b/>
          <w:bCs/>
          <w:iCs/>
        </w:rPr>
      </w:pPr>
      <w:r>
        <w:rPr>
          <w:rFonts w:ascii="Garamond" w:hAnsi="Garamond"/>
          <w:b/>
          <w:bCs/>
          <w:iCs/>
        </w:rPr>
        <w:t>Discussion and conclusion</w:t>
      </w:r>
    </w:p>
    <w:p w14:paraId="2B0C4F29" w14:textId="1E174263" w:rsidR="00AC4072" w:rsidRPr="00614418" w:rsidRDefault="00704296" w:rsidP="00E855F7">
      <w:pPr>
        <w:spacing w:line="360" w:lineRule="auto"/>
        <w:jc w:val="both"/>
        <w:rPr>
          <w:rFonts w:ascii="Garamond" w:hAnsi="Garamond"/>
          <w:bCs/>
          <w:iCs/>
        </w:rPr>
      </w:pPr>
      <w:r w:rsidRPr="00614418">
        <w:rPr>
          <w:rFonts w:ascii="Garamond" w:hAnsi="Garamond"/>
          <w:b/>
          <w:bCs/>
          <w:iCs/>
        </w:rPr>
        <w:tab/>
      </w:r>
      <w:r w:rsidRPr="00614418">
        <w:rPr>
          <w:rFonts w:ascii="Garamond" w:hAnsi="Garamond"/>
          <w:bCs/>
          <w:iCs/>
        </w:rPr>
        <w:t xml:space="preserve">In </w:t>
      </w:r>
      <w:r w:rsidR="007172E0" w:rsidRPr="00614418">
        <w:rPr>
          <w:rFonts w:ascii="Garamond" w:hAnsi="Garamond"/>
          <w:bCs/>
          <w:iCs/>
        </w:rPr>
        <w:t xml:space="preserve">this </w:t>
      </w:r>
      <w:r w:rsidR="00654F51" w:rsidRPr="00614418">
        <w:rPr>
          <w:rFonts w:ascii="Garamond" w:hAnsi="Garamond"/>
          <w:bCs/>
          <w:iCs/>
        </w:rPr>
        <w:t>paper</w:t>
      </w:r>
      <w:r w:rsidR="00D35F87">
        <w:rPr>
          <w:rFonts w:ascii="Garamond" w:hAnsi="Garamond"/>
          <w:bCs/>
          <w:iCs/>
        </w:rPr>
        <w:t>,</w:t>
      </w:r>
      <w:r w:rsidR="00654F51" w:rsidRPr="00614418">
        <w:rPr>
          <w:rFonts w:ascii="Garamond" w:hAnsi="Garamond"/>
          <w:bCs/>
          <w:iCs/>
        </w:rPr>
        <w:t xml:space="preserve"> we </w:t>
      </w:r>
      <w:r w:rsidR="00807303">
        <w:rPr>
          <w:rFonts w:ascii="Garamond" w:hAnsi="Garamond"/>
          <w:bCs/>
          <w:iCs/>
        </w:rPr>
        <w:t xml:space="preserve">have </w:t>
      </w:r>
      <w:r w:rsidR="007172E0" w:rsidRPr="00614418">
        <w:rPr>
          <w:rFonts w:ascii="Garamond" w:hAnsi="Garamond"/>
          <w:bCs/>
          <w:iCs/>
        </w:rPr>
        <w:t>analy</w:t>
      </w:r>
      <w:r w:rsidR="00654F51" w:rsidRPr="00614418">
        <w:rPr>
          <w:rFonts w:ascii="Garamond" w:hAnsi="Garamond"/>
          <w:bCs/>
          <w:iCs/>
        </w:rPr>
        <w:t xml:space="preserve">zed </w:t>
      </w:r>
      <w:r w:rsidRPr="00614418">
        <w:rPr>
          <w:rFonts w:ascii="Garamond" w:hAnsi="Garamond"/>
          <w:bCs/>
          <w:iCs/>
        </w:rPr>
        <w:t>the impact of economic and fiscal variables on nominal long-term bond yields in advance</w:t>
      </w:r>
      <w:r w:rsidR="007172E0" w:rsidRPr="00614418">
        <w:rPr>
          <w:rFonts w:ascii="Garamond" w:hAnsi="Garamond"/>
          <w:bCs/>
          <w:iCs/>
        </w:rPr>
        <w:t>d countries</w:t>
      </w:r>
      <w:r w:rsidR="00654F51" w:rsidRPr="00614418">
        <w:rPr>
          <w:rFonts w:ascii="Garamond" w:hAnsi="Garamond"/>
          <w:bCs/>
          <w:iCs/>
        </w:rPr>
        <w:t xml:space="preserve">, hypothesizing </w:t>
      </w:r>
      <w:r w:rsidRPr="00614418">
        <w:rPr>
          <w:rFonts w:ascii="Garamond" w:hAnsi="Garamond"/>
          <w:bCs/>
          <w:iCs/>
        </w:rPr>
        <w:t xml:space="preserve">that </w:t>
      </w:r>
      <w:r w:rsidR="00B413C5">
        <w:rPr>
          <w:rFonts w:ascii="Garamond" w:hAnsi="Garamond"/>
          <w:bCs/>
          <w:iCs/>
        </w:rPr>
        <w:t>t</w:t>
      </w:r>
      <w:r w:rsidR="007172E0" w:rsidRPr="00614418">
        <w:rPr>
          <w:rFonts w:ascii="Garamond" w:hAnsi="Garamond"/>
          <w:bCs/>
          <w:iCs/>
        </w:rPr>
        <w:t xml:space="preserve">he effects would depend both on the </w:t>
      </w:r>
      <w:r w:rsidRPr="00614418">
        <w:rPr>
          <w:rFonts w:ascii="Garamond" w:hAnsi="Garamond"/>
          <w:bCs/>
          <w:iCs/>
        </w:rPr>
        <w:t xml:space="preserve">exchange rate regime and </w:t>
      </w:r>
      <w:r w:rsidR="007172E0" w:rsidRPr="00614418">
        <w:rPr>
          <w:rFonts w:ascii="Garamond" w:hAnsi="Garamond"/>
          <w:bCs/>
          <w:iCs/>
        </w:rPr>
        <w:t xml:space="preserve">on </w:t>
      </w:r>
      <w:r w:rsidRPr="00614418">
        <w:rPr>
          <w:rFonts w:ascii="Garamond" w:hAnsi="Garamond"/>
          <w:bCs/>
          <w:iCs/>
        </w:rPr>
        <w:t xml:space="preserve">the macroeconomic environment. </w:t>
      </w:r>
      <w:r w:rsidR="002E226D">
        <w:rPr>
          <w:rFonts w:ascii="Garamond" w:hAnsi="Garamond"/>
          <w:bCs/>
          <w:iCs/>
        </w:rPr>
        <w:t xml:space="preserve">Membership in a monetary union </w:t>
      </w:r>
      <w:r w:rsidR="007172E0" w:rsidRPr="00614418">
        <w:rPr>
          <w:rFonts w:ascii="Garamond" w:hAnsi="Garamond"/>
          <w:bCs/>
          <w:iCs/>
        </w:rPr>
        <w:t>provides protection against the main risk perceived by international financial markets</w:t>
      </w:r>
      <w:r w:rsidR="002E226D">
        <w:rPr>
          <w:rFonts w:ascii="Garamond" w:hAnsi="Garamond"/>
          <w:bCs/>
          <w:iCs/>
        </w:rPr>
        <w:t xml:space="preserve"> i</w:t>
      </w:r>
      <w:r w:rsidR="002E226D" w:rsidRPr="00614418">
        <w:rPr>
          <w:rFonts w:ascii="Garamond" w:hAnsi="Garamond"/>
          <w:bCs/>
          <w:iCs/>
        </w:rPr>
        <w:t xml:space="preserve">n an </w:t>
      </w:r>
      <w:r w:rsidR="002E226D">
        <w:rPr>
          <w:rFonts w:ascii="Garamond" w:hAnsi="Garamond"/>
          <w:bCs/>
          <w:iCs/>
        </w:rPr>
        <w:t xml:space="preserve">inflationary </w:t>
      </w:r>
      <w:r w:rsidR="002E226D">
        <w:rPr>
          <w:rFonts w:ascii="Garamond" w:hAnsi="Garamond"/>
          <w:bCs/>
          <w:iCs/>
        </w:rPr>
        <w:lastRenderedPageBreak/>
        <w:t>environment</w:t>
      </w:r>
      <w:r w:rsidR="007172E0" w:rsidRPr="00614418">
        <w:rPr>
          <w:rFonts w:ascii="Garamond" w:hAnsi="Garamond"/>
          <w:bCs/>
          <w:iCs/>
        </w:rPr>
        <w:t>: the risk of erosion of the real value of financial assets. By contrast, in a deflationary environment</w:t>
      </w:r>
      <w:r w:rsidR="00D35F87">
        <w:rPr>
          <w:rFonts w:ascii="Garamond" w:hAnsi="Garamond"/>
          <w:bCs/>
          <w:iCs/>
        </w:rPr>
        <w:t>,</w:t>
      </w:r>
      <w:r w:rsidR="007172E0" w:rsidRPr="00614418">
        <w:rPr>
          <w:rFonts w:ascii="Garamond" w:hAnsi="Garamond"/>
          <w:bCs/>
          <w:iCs/>
        </w:rPr>
        <w:t xml:space="preserve"> the main risk is </w:t>
      </w:r>
      <w:r w:rsidR="00C4648F">
        <w:rPr>
          <w:rFonts w:ascii="Garamond" w:hAnsi="Garamond"/>
          <w:bCs/>
          <w:iCs/>
        </w:rPr>
        <w:t>the</w:t>
      </w:r>
      <w:r w:rsidR="0051151E">
        <w:rPr>
          <w:rFonts w:ascii="Garamond" w:hAnsi="Garamond"/>
          <w:bCs/>
          <w:iCs/>
        </w:rPr>
        <w:t xml:space="preserve"> in</w:t>
      </w:r>
      <w:r w:rsidR="007172E0" w:rsidRPr="00614418">
        <w:rPr>
          <w:rFonts w:ascii="Garamond" w:hAnsi="Garamond"/>
          <w:bCs/>
          <w:iCs/>
        </w:rPr>
        <w:t xml:space="preserve">ability of governments </w:t>
      </w:r>
      <w:r w:rsidR="00654F51" w:rsidRPr="00614418">
        <w:rPr>
          <w:rFonts w:ascii="Garamond" w:hAnsi="Garamond"/>
          <w:bCs/>
          <w:iCs/>
        </w:rPr>
        <w:t>to service</w:t>
      </w:r>
      <w:r w:rsidR="00AC4072" w:rsidRPr="00614418">
        <w:rPr>
          <w:rFonts w:ascii="Garamond" w:hAnsi="Garamond"/>
          <w:bCs/>
          <w:iCs/>
        </w:rPr>
        <w:t xml:space="preserve"> their debts. In such an environment, exchange rate rigidity, especially membership in a monetary union, becomes a liability because it constrains the ability of governments to react quickly and effectively to adverse shocks.</w:t>
      </w:r>
    </w:p>
    <w:p w14:paraId="36DF0728" w14:textId="3EFBB7A2" w:rsidR="00E1678F" w:rsidRPr="00614418" w:rsidRDefault="002E226D" w:rsidP="00EA63A2">
      <w:pPr>
        <w:spacing w:line="360" w:lineRule="auto"/>
        <w:ind w:firstLine="720"/>
        <w:jc w:val="both"/>
        <w:rPr>
          <w:rFonts w:ascii="Garamond" w:hAnsi="Garamond"/>
          <w:bCs/>
          <w:iCs/>
        </w:rPr>
      </w:pPr>
      <w:r>
        <w:rPr>
          <w:rFonts w:ascii="Garamond" w:hAnsi="Garamond"/>
          <w:bCs/>
          <w:iCs/>
        </w:rPr>
        <w:t>T</w:t>
      </w:r>
      <w:r w:rsidR="00AC4072" w:rsidRPr="00614418">
        <w:rPr>
          <w:rFonts w:ascii="Garamond" w:hAnsi="Garamond"/>
          <w:bCs/>
          <w:iCs/>
        </w:rPr>
        <w:t xml:space="preserve">he pattern of results </w:t>
      </w:r>
      <w:r>
        <w:rPr>
          <w:rFonts w:ascii="Garamond" w:hAnsi="Garamond"/>
          <w:bCs/>
          <w:iCs/>
        </w:rPr>
        <w:t xml:space="preserve">largely </w:t>
      </w:r>
      <w:r w:rsidR="00AC4072" w:rsidRPr="00614418">
        <w:rPr>
          <w:rFonts w:ascii="Garamond" w:hAnsi="Garamond"/>
          <w:bCs/>
          <w:iCs/>
        </w:rPr>
        <w:t xml:space="preserve">supports our theoretical expectations. </w:t>
      </w:r>
      <w:r w:rsidR="00B413C5">
        <w:rPr>
          <w:rFonts w:ascii="Garamond" w:hAnsi="Garamond"/>
          <w:bCs/>
          <w:iCs/>
        </w:rPr>
        <w:t>W</w:t>
      </w:r>
      <w:r w:rsidR="00AC4072" w:rsidRPr="00614418">
        <w:rPr>
          <w:rFonts w:ascii="Garamond" w:hAnsi="Garamond"/>
          <w:bCs/>
          <w:iCs/>
        </w:rPr>
        <w:t xml:space="preserve">e find that </w:t>
      </w:r>
      <w:r w:rsidR="00A30A3D">
        <w:rPr>
          <w:rFonts w:ascii="Garamond" w:hAnsi="Garamond"/>
          <w:bCs/>
          <w:iCs/>
        </w:rPr>
        <w:t>monetary union used to have</w:t>
      </w:r>
      <w:r w:rsidR="00AC4072" w:rsidRPr="00614418">
        <w:rPr>
          <w:rFonts w:ascii="Garamond" w:hAnsi="Garamond"/>
          <w:bCs/>
          <w:iCs/>
        </w:rPr>
        <w:t xml:space="preserve"> a distinct advantage over floating exchange rates </w:t>
      </w:r>
      <w:r w:rsidR="009D2E55">
        <w:rPr>
          <w:rFonts w:ascii="Garamond" w:hAnsi="Garamond"/>
          <w:bCs/>
          <w:iCs/>
        </w:rPr>
        <w:t xml:space="preserve">(and fixed pegs) </w:t>
      </w:r>
      <w:r w:rsidR="00AC4072" w:rsidRPr="00614418">
        <w:rPr>
          <w:rFonts w:ascii="Garamond" w:hAnsi="Garamond"/>
          <w:bCs/>
          <w:iCs/>
        </w:rPr>
        <w:t>up until</w:t>
      </w:r>
      <w:r w:rsidR="002275A3" w:rsidRPr="00614418">
        <w:rPr>
          <w:rFonts w:ascii="Garamond" w:hAnsi="Garamond"/>
          <w:bCs/>
          <w:iCs/>
        </w:rPr>
        <w:t xml:space="preserve"> the early 2010s</w:t>
      </w:r>
      <w:r w:rsidR="00D35F87">
        <w:rPr>
          <w:rFonts w:ascii="Garamond" w:hAnsi="Garamond"/>
          <w:bCs/>
          <w:iCs/>
        </w:rPr>
        <w:t>.</w:t>
      </w:r>
      <w:r w:rsidR="002275A3" w:rsidRPr="00614418">
        <w:rPr>
          <w:rFonts w:ascii="Garamond" w:hAnsi="Garamond"/>
          <w:bCs/>
          <w:iCs/>
        </w:rPr>
        <w:t xml:space="preserve"> A</w:t>
      </w:r>
      <w:r w:rsidR="00AC4072" w:rsidRPr="00614418">
        <w:rPr>
          <w:rFonts w:ascii="Garamond" w:hAnsi="Garamond"/>
          <w:bCs/>
          <w:iCs/>
        </w:rPr>
        <w:t xml:space="preserve"> </w:t>
      </w:r>
      <w:r w:rsidR="00A30A3D">
        <w:rPr>
          <w:rFonts w:ascii="Garamond" w:hAnsi="Garamond"/>
          <w:bCs/>
          <w:iCs/>
        </w:rPr>
        <w:t>marginal increase in inflation wa</w:t>
      </w:r>
      <w:r w:rsidR="00AC4072" w:rsidRPr="00614418">
        <w:rPr>
          <w:rFonts w:ascii="Garamond" w:hAnsi="Garamond"/>
          <w:bCs/>
          <w:iCs/>
        </w:rPr>
        <w:t xml:space="preserve">s associated with zero penalty for members of the former and with positive penalty for countries with the latter. However, the </w:t>
      </w:r>
      <w:r w:rsidR="002275A3" w:rsidRPr="00614418">
        <w:rPr>
          <w:rFonts w:ascii="Garamond" w:hAnsi="Garamond"/>
          <w:bCs/>
          <w:iCs/>
        </w:rPr>
        <w:t xml:space="preserve">inflation advantage of </w:t>
      </w:r>
      <w:r w:rsidR="00D57BEA">
        <w:rPr>
          <w:rFonts w:ascii="Garamond" w:hAnsi="Garamond"/>
          <w:bCs/>
          <w:iCs/>
        </w:rPr>
        <w:t>monetary union</w:t>
      </w:r>
      <w:r w:rsidR="002275A3" w:rsidRPr="00614418">
        <w:rPr>
          <w:rFonts w:ascii="Garamond" w:hAnsi="Garamond"/>
          <w:bCs/>
          <w:iCs/>
        </w:rPr>
        <w:t xml:space="preserve"> wither</w:t>
      </w:r>
      <w:r w:rsidR="005D2FAD">
        <w:rPr>
          <w:rFonts w:ascii="Garamond" w:hAnsi="Garamond"/>
          <w:bCs/>
          <w:iCs/>
        </w:rPr>
        <w:t>ed</w:t>
      </w:r>
      <w:r w:rsidR="002275A3" w:rsidRPr="00614418">
        <w:rPr>
          <w:rFonts w:ascii="Garamond" w:hAnsi="Garamond"/>
          <w:bCs/>
          <w:iCs/>
        </w:rPr>
        <w:t xml:space="preserve"> away towards the end of the period we analyze, when</w:t>
      </w:r>
      <w:r w:rsidR="00120A48">
        <w:rPr>
          <w:rFonts w:ascii="Garamond" w:hAnsi="Garamond"/>
          <w:bCs/>
          <w:iCs/>
        </w:rPr>
        <w:t xml:space="preserve">, </w:t>
      </w:r>
      <w:r w:rsidR="00120A48" w:rsidRPr="00614418">
        <w:rPr>
          <w:rFonts w:ascii="Garamond" w:hAnsi="Garamond"/>
          <w:bCs/>
          <w:iCs/>
        </w:rPr>
        <w:t>independently of the exchange rate regime</w:t>
      </w:r>
      <w:r w:rsidR="00120A48">
        <w:rPr>
          <w:rFonts w:ascii="Garamond" w:hAnsi="Garamond"/>
          <w:bCs/>
          <w:iCs/>
        </w:rPr>
        <w:t>,</w:t>
      </w:r>
      <w:r w:rsidR="002275A3" w:rsidRPr="00614418">
        <w:rPr>
          <w:rFonts w:ascii="Garamond" w:hAnsi="Garamond"/>
          <w:bCs/>
          <w:iCs/>
        </w:rPr>
        <w:t xml:space="preserve"> inflation c</w:t>
      </w:r>
      <w:r w:rsidR="00654F51" w:rsidRPr="00614418">
        <w:rPr>
          <w:rFonts w:ascii="Garamond" w:hAnsi="Garamond"/>
          <w:bCs/>
          <w:iCs/>
        </w:rPr>
        <w:t>ease</w:t>
      </w:r>
      <w:r w:rsidR="00902B37">
        <w:rPr>
          <w:rFonts w:ascii="Garamond" w:hAnsi="Garamond"/>
          <w:bCs/>
          <w:iCs/>
        </w:rPr>
        <w:t>d</w:t>
      </w:r>
      <w:r w:rsidR="00654F51" w:rsidRPr="00614418">
        <w:rPr>
          <w:rFonts w:ascii="Garamond" w:hAnsi="Garamond"/>
          <w:bCs/>
          <w:iCs/>
        </w:rPr>
        <w:t xml:space="preserve"> to affect </w:t>
      </w:r>
      <w:r w:rsidR="002275A3" w:rsidRPr="00614418">
        <w:rPr>
          <w:rFonts w:ascii="Garamond" w:hAnsi="Garamond"/>
          <w:bCs/>
          <w:iCs/>
        </w:rPr>
        <w:t xml:space="preserve">bond yields </w:t>
      </w:r>
      <w:r w:rsidR="00654F51" w:rsidRPr="00614418">
        <w:rPr>
          <w:rFonts w:ascii="Garamond" w:hAnsi="Garamond"/>
          <w:bCs/>
          <w:iCs/>
        </w:rPr>
        <w:t>significantly</w:t>
      </w:r>
      <w:r w:rsidR="002275A3" w:rsidRPr="00614418">
        <w:rPr>
          <w:rFonts w:ascii="Garamond" w:hAnsi="Garamond"/>
          <w:bCs/>
          <w:iCs/>
        </w:rPr>
        <w:t>. Conversely, from the early 2010s</w:t>
      </w:r>
      <w:r w:rsidR="009D2E55">
        <w:rPr>
          <w:rFonts w:ascii="Garamond" w:hAnsi="Garamond"/>
          <w:bCs/>
          <w:iCs/>
        </w:rPr>
        <w:t>,</w:t>
      </w:r>
      <w:r w:rsidR="002275A3" w:rsidRPr="00614418">
        <w:rPr>
          <w:rFonts w:ascii="Garamond" w:hAnsi="Garamond"/>
          <w:bCs/>
          <w:iCs/>
        </w:rPr>
        <w:t xml:space="preserve"> </w:t>
      </w:r>
      <w:r w:rsidR="009D2E55">
        <w:rPr>
          <w:rFonts w:ascii="Garamond" w:hAnsi="Garamond"/>
          <w:bCs/>
          <w:iCs/>
        </w:rPr>
        <w:t>countries in</w:t>
      </w:r>
      <w:r w:rsidR="002275A3" w:rsidRPr="00614418">
        <w:rPr>
          <w:rFonts w:ascii="Garamond" w:hAnsi="Garamond"/>
          <w:bCs/>
          <w:iCs/>
        </w:rPr>
        <w:t xml:space="preserve"> monetary union</w:t>
      </w:r>
      <w:r w:rsidR="00C4648F">
        <w:rPr>
          <w:rFonts w:ascii="Garamond" w:hAnsi="Garamond"/>
          <w:bCs/>
          <w:iCs/>
        </w:rPr>
        <w:t xml:space="preserve"> </w:t>
      </w:r>
      <w:r w:rsidR="002275A3" w:rsidRPr="00614418">
        <w:rPr>
          <w:rFonts w:ascii="Garamond" w:hAnsi="Garamond"/>
          <w:bCs/>
          <w:iCs/>
        </w:rPr>
        <w:t>start</w:t>
      </w:r>
      <w:r w:rsidR="0051151E">
        <w:rPr>
          <w:rFonts w:ascii="Garamond" w:hAnsi="Garamond"/>
          <w:bCs/>
          <w:iCs/>
        </w:rPr>
        <w:t>ed</w:t>
      </w:r>
      <w:r w:rsidR="002275A3" w:rsidRPr="00614418">
        <w:rPr>
          <w:rFonts w:ascii="Garamond" w:hAnsi="Garamond"/>
          <w:bCs/>
          <w:iCs/>
        </w:rPr>
        <w:t xml:space="preserve"> paying a higher price for increases in government debt relative to both floating and fixed exchange rates</w:t>
      </w:r>
      <w:r w:rsidR="00F43A9D">
        <w:rPr>
          <w:rFonts w:ascii="Garamond" w:hAnsi="Garamond"/>
          <w:bCs/>
          <w:iCs/>
        </w:rPr>
        <w:t>, and were</w:t>
      </w:r>
      <w:r w:rsidR="002275A3" w:rsidRPr="00614418">
        <w:rPr>
          <w:rFonts w:ascii="Garamond" w:hAnsi="Garamond"/>
          <w:bCs/>
          <w:iCs/>
        </w:rPr>
        <w:t xml:space="preserve"> punish</w:t>
      </w:r>
      <w:r w:rsidR="0051151E">
        <w:rPr>
          <w:rFonts w:ascii="Garamond" w:hAnsi="Garamond"/>
          <w:bCs/>
          <w:iCs/>
        </w:rPr>
        <w:t>ed</w:t>
      </w:r>
      <w:r w:rsidR="002275A3" w:rsidRPr="00614418">
        <w:rPr>
          <w:rFonts w:ascii="Garamond" w:hAnsi="Garamond"/>
          <w:bCs/>
          <w:iCs/>
        </w:rPr>
        <w:t xml:space="preserve"> </w:t>
      </w:r>
      <w:r w:rsidR="00F43A9D">
        <w:rPr>
          <w:rFonts w:ascii="Garamond" w:hAnsi="Garamond"/>
          <w:bCs/>
          <w:iCs/>
        </w:rPr>
        <w:t xml:space="preserve">for </w:t>
      </w:r>
      <w:r w:rsidR="002275A3" w:rsidRPr="00614418">
        <w:rPr>
          <w:rFonts w:ascii="Garamond" w:hAnsi="Garamond"/>
          <w:bCs/>
          <w:iCs/>
        </w:rPr>
        <w:t xml:space="preserve">increases in </w:t>
      </w:r>
      <w:r w:rsidR="00C4648F">
        <w:rPr>
          <w:rFonts w:ascii="Garamond" w:hAnsi="Garamond"/>
          <w:bCs/>
          <w:iCs/>
        </w:rPr>
        <w:t>entitlement spending</w:t>
      </w:r>
      <w:r w:rsidR="002275A3" w:rsidRPr="00614418">
        <w:rPr>
          <w:rFonts w:ascii="Garamond" w:hAnsi="Garamond"/>
          <w:bCs/>
          <w:iCs/>
        </w:rPr>
        <w:t xml:space="preserve"> </w:t>
      </w:r>
      <w:r w:rsidR="009D2E55">
        <w:rPr>
          <w:rFonts w:ascii="Garamond" w:hAnsi="Garamond"/>
          <w:bCs/>
          <w:iCs/>
        </w:rPr>
        <w:t xml:space="preserve">persistently </w:t>
      </w:r>
      <w:r w:rsidR="00F43A9D">
        <w:rPr>
          <w:rFonts w:ascii="Garamond" w:hAnsi="Garamond"/>
          <w:bCs/>
          <w:iCs/>
        </w:rPr>
        <w:t>(but only</w:t>
      </w:r>
      <w:r w:rsidR="00E1678F" w:rsidRPr="00614418">
        <w:rPr>
          <w:rFonts w:ascii="Garamond" w:hAnsi="Garamond"/>
          <w:bCs/>
          <w:iCs/>
        </w:rPr>
        <w:t xml:space="preserve"> </w:t>
      </w:r>
      <w:r w:rsidR="00F43A9D">
        <w:rPr>
          <w:rFonts w:ascii="Garamond" w:hAnsi="Garamond"/>
          <w:bCs/>
          <w:iCs/>
        </w:rPr>
        <w:t>temporarily</w:t>
      </w:r>
      <w:r w:rsidR="00F43A9D" w:rsidRPr="00614418">
        <w:rPr>
          <w:rFonts w:ascii="Garamond" w:hAnsi="Garamond"/>
          <w:bCs/>
          <w:iCs/>
        </w:rPr>
        <w:t xml:space="preserve"> </w:t>
      </w:r>
      <w:r w:rsidR="00F43A9D">
        <w:rPr>
          <w:rFonts w:ascii="Garamond" w:hAnsi="Garamond"/>
          <w:bCs/>
          <w:iCs/>
        </w:rPr>
        <w:t xml:space="preserve">for </w:t>
      </w:r>
      <w:r w:rsidR="00E1678F" w:rsidRPr="00614418">
        <w:rPr>
          <w:rFonts w:ascii="Garamond" w:hAnsi="Garamond"/>
          <w:bCs/>
          <w:iCs/>
        </w:rPr>
        <w:t xml:space="preserve">social </w:t>
      </w:r>
      <w:r w:rsidR="00981269">
        <w:rPr>
          <w:rFonts w:ascii="Garamond" w:hAnsi="Garamond"/>
          <w:bCs/>
          <w:iCs/>
        </w:rPr>
        <w:t>spending</w:t>
      </w:r>
      <w:r w:rsidR="00F43A9D">
        <w:rPr>
          <w:rFonts w:ascii="Garamond" w:hAnsi="Garamond"/>
          <w:bCs/>
          <w:iCs/>
        </w:rPr>
        <w:t xml:space="preserve"> in general)</w:t>
      </w:r>
      <w:r w:rsidR="00E1678F" w:rsidRPr="00614418">
        <w:rPr>
          <w:rFonts w:ascii="Garamond" w:hAnsi="Garamond"/>
          <w:bCs/>
          <w:iCs/>
        </w:rPr>
        <w:t>.</w:t>
      </w:r>
      <w:r w:rsidR="00F43A9D">
        <w:rPr>
          <w:rFonts w:ascii="Garamond" w:hAnsi="Garamond"/>
          <w:bCs/>
          <w:iCs/>
        </w:rPr>
        <w:t xml:space="preserve"> </w:t>
      </w:r>
      <w:r w:rsidR="00902B37">
        <w:rPr>
          <w:rFonts w:ascii="Garamond" w:hAnsi="Garamond"/>
          <w:bCs/>
          <w:iCs/>
        </w:rPr>
        <w:t>The significance of annual deficits is unclear even in a deflationary environment</w:t>
      </w:r>
      <w:r w:rsidR="00EA63A2">
        <w:rPr>
          <w:rFonts w:ascii="Garamond" w:hAnsi="Garamond"/>
          <w:bCs/>
          <w:iCs/>
        </w:rPr>
        <w:t>. F</w:t>
      </w:r>
      <w:r w:rsidR="00902B37">
        <w:rPr>
          <w:rFonts w:ascii="Garamond" w:hAnsi="Garamond"/>
          <w:bCs/>
          <w:iCs/>
        </w:rPr>
        <w:t xml:space="preserve">iscal deficits trigger no </w:t>
      </w:r>
      <w:r w:rsidR="00EA63A2">
        <w:rPr>
          <w:rFonts w:ascii="Garamond" w:hAnsi="Garamond"/>
          <w:bCs/>
          <w:iCs/>
        </w:rPr>
        <w:t>significant</w:t>
      </w:r>
      <w:r w:rsidR="00902B37">
        <w:rPr>
          <w:rFonts w:ascii="Garamond" w:hAnsi="Garamond"/>
          <w:bCs/>
          <w:iCs/>
        </w:rPr>
        <w:t xml:space="preserve"> penalties under any exchange rate regime</w:t>
      </w:r>
      <w:r w:rsidR="00EA63A2">
        <w:rPr>
          <w:rFonts w:ascii="Garamond" w:hAnsi="Garamond"/>
          <w:bCs/>
          <w:iCs/>
        </w:rPr>
        <w:t xml:space="preserve"> except in a small number of windows and subsamples</w:t>
      </w:r>
      <w:r w:rsidR="00902B37">
        <w:rPr>
          <w:rFonts w:ascii="Garamond" w:hAnsi="Garamond"/>
          <w:bCs/>
          <w:iCs/>
        </w:rPr>
        <w:t>, suggesting that</w:t>
      </w:r>
      <w:r w:rsidR="00EA63A2">
        <w:rPr>
          <w:rFonts w:ascii="Garamond" w:hAnsi="Garamond"/>
          <w:bCs/>
          <w:iCs/>
        </w:rPr>
        <w:t xml:space="preserve"> investors focus on debt </w:t>
      </w:r>
      <w:r w:rsidR="00F43A9D">
        <w:rPr>
          <w:rFonts w:ascii="Garamond" w:hAnsi="Garamond"/>
          <w:bCs/>
          <w:iCs/>
        </w:rPr>
        <w:t>as a longer-term indicator of solvency</w:t>
      </w:r>
      <w:r w:rsidR="006C6126">
        <w:rPr>
          <w:rFonts w:ascii="Garamond" w:hAnsi="Garamond"/>
          <w:bCs/>
          <w:iCs/>
        </w:rPr>
        <w:t xml:space="preserve"> –</w:t>
      </w:r>
      <w:r w:rsidR="00EA63A2">
        <w:rPr>
          <w:rFonts w:ascii="Garamond" w:hAnsi="Garamond"/>
          <w:bCs/>
          <w:iCs/>
        </w:rPr>
        <w:t xml:space="preserve"> rather than on any one year’s borrowing or saving</w:t>
      </w:r>
      <w:r w:rsidR="006C6126">
        <w:rPr>
          <w:rFonts w:ascii="Garamond" w:hAnsi="Garamond"/>
          <w:bCs/>
          <w:iCs/>
        </w:rPr>
        <w:t xml:space="preserve"> –</w:t>
      </w:r>
      <w:r w:rsidR="00EA63A2">
        <w:rPr>
          <w:rFonts w:ascii="Garamond" w:hAnsi="Garamond"/>
          <w:bCs/>
          <w:iCs/>
        </w:rPr>
        <w:t xml:space="preserve"> when setting risk premia.</w:t>
      </w:r>
    </w:p>
    <w:p w14:paraId="551DAE8D" w14:textId="59C090C0" w:rsidR="001A3299" w:rsidRDefault="00A30A3D" w:rsidP="00627D6E">
      <w:pPr>
        <w:spacing w:line="360" w:lineRule="auto"/>
        <w:ind w:firstLine="720"/>
        <w:jc w:val="both"/>
        <w:rPr>
          <w:rFonts w:ascii="Garamond" w:hAnsi="Garamond"/>
          <w:bCs/>
          <w:iCs/>
        </w:rPr>
      </w:pPr>
      <w:r>
        <w:rPr>
          <w:rFonts w:ascii="Garamond" w:hAnsi="Garamond"/>
          <w:bCs/>
          <w:iCs/>
        </w:rPr>
        <w:t>Overall, these</w:t>
      </w:r>
      <w:r w:rsidR="004A6B3C" w:rsidRPr="00614418">
        <w:rPr>
          <w:rFonts w:ascii="Garamond" w:hAnsi="Garamond"/>
          <w:bCs/>
          <w:iCs/>
        </w:rPr>
        <w:t xml:space="preserve"> findings </w:t>
      </w:r>
      <w:r w:rsidR="00120A48">
        <w:rPr>
          <w:rFonts w:ascii="Garamond" w:hAnsi="Garamond" w:cs="Times New Roman"/>
        </w:rPr>
        <w:t xml:space="preserve">qualify and contextualize </w:t>
      </w:r>
      <w:r w:rsidR="004A6B3C" w:rsidRPr="00614418">
        <w:rPr>
          <w:rFonts w:ascii="Garamond" w:hAnsi="Garamond"/>
          <w:bCs/>
          <w:iCs/>
        </w:rPr>
        <w:t>an earlier literature on governments having</w:t>
      </w:r>
      <w:r>
        <w:rPr>
          <w:rFonts w:ascii="Garamond" w:hAnsi="Garamond"/>
          <w:bCs/>
          <w:iCs/>
        </w:rPr>
        <w:t xml:space="preserve"> 'room to move'</w:t>
      </w:r>
      <w:r w:rsidR="004A6B3C" w:rsidRPr="00614418">
        <w:rPr>
          <w:rFonts w:ascii="Garamond" w:hAnsi="Garamond"/>
          <w:bCs/>
          <w:iCs/>
        </w:rPr>
        <w:t xml:space="preserve"> even under conditions of financial globalization and capital mobility</w:t>
      </w:r>
      <w:r w:rsidR="00402E61">
        <w:rPr>
          <w:rFonts w:ascii="Garamond" w:hAnsi="Garamond"/>
          <w:bCs/>
          <w:iCs/>
        </w:rPr>
        <w:t xml:space="preserve"> (Garrett 1998; Mosley 2003)</w:t>
      </w:r>
      <w:r w:rsidR="004A6B3C" w:rsidRPr="00614418">
        <w:rPr>
          <w:rFonts w:ascii="Garamond" w:hAnsi="Garamond"/>
          <w:bCs/>
          <w:iCs/>
        </w:rPr>
        <w:t>.</w:t>
      </w:r>
      <w:r w:rsidR="00D97708" w:rsidRPr="00614418">
        <w:rPr>
          <w:rFonts w:ascii="Garamond" w:hAnsi="Garamond"/>
          <w:bCs/>
          <w:iCs/>
        </w:rPr>
        <w:t xml:space="preserve"> </w:t>
      </w:r>
      <w:r w:rsidR="00614418" w:rsidRPr="00614418">
        <w:rPr>
          <w:rFonts w:ascii="Garamond" w:hAnsi="Garamond"/>
          <w:bCs/>
          <w:iCs/>
        </w:rPr>
        <w:t>Consistent with this literature, we find that</w:t>
      </w:r>
      <w:r w:rsidR="001A3299" w:rsidRPr="00614418">
        <w:rPr>
          <w:rFonts w:ascii="Garamond" w:hAnsi="Garamond"/>
          <w:bCs/>
          <w:iCs/>
        </w:rPr>
        <w:t xml:space="preserve"> markets were </w:t>
      </w:r>
      <w:r w:rsidR="00120A48">
        <w:rPr>
          <w:rFonts w:ascii="Garamond" w:hAnsi="Garamond" w:cs="Times New Roman"/>
        </w:rPr>
        <w:t xml:space="preserve">solely concerned by inflation </w:t>
      </w:r>
      <w:r w:rsidR="00403E0E">
        <w:rPr>
          <w:rFonts w:ascii="Garamond" w:hAnsi="Garamond" w:cs="Times New Roman"/>
        </w:rPr>
        <w:t xml:space="preserve">until the 2000s, and did not penalize fiscal variables (deficits, debt, and social expenditures) once inflation was controlled for. </w:t>
      </w:r>
      <w:r w:rsidR="00403E0E">
        <w:rPr>
          <w:rFonts w:ascii="Garamond" w:hAnsi="Garamond"/>
          <w:bCs/>
          <w:iCs/>
        </w:rPr>
        <w:t xml:space="preserve">For countries in a </w:t>
      </w:r>
      <w:r w:rsidR="00403E0E">
        <w:rPr>
          <w:rFonts w:ascii="Garamond" w:hAnsi="Garamond" w:cs="Times New Roman"/>
        </w:rPr>
        <w:t>monetary union,</w:t>
      </w:r>
      <w:r w:rsidR="00120A48">
        <w:rPr>
          <w:rFonts w:ascii="Garamond" w:hAnsi="Garamond" w:cs="Times New Roman"/>
        </w:rPr>
        <w:t xml:space="preserve"> markets</w:t>
      </w:r>
      <w:r w:rsidR="00403E0E">
        <w:rPr>
          <w:rFonts w:ascii="Garamond" w:hAnsi="Garamond" w:cs="Times New Roman"/>
        </w:rPr>
        <w:t xml:space="preserve"> did</w:t>
      </w:r>
      <w:r w:rsidR="00120A48">
        <w:rPr>
          <w:rFonts w:ascii="Garamond" w:hAnsi="Garamond" w:cs="Times New Roman"/>
        </w:rPr>
        <w:t xml:space="preserve"> not even penalize inflation</w:t>
      </w:r>
      <w:r w:rsidR="00403E0E">
        <w:rPr>
          <w:rFonts w:ascii="Garamond" w:hAnsi="Garamond" w:cs="Times New Roman"/>
        </w:rPr>
        <w:t xml:space="preserve">. </w:t>
      </w:r>
      <w:r w:rsidR="008D1E72">
        <w:rPr>
          <w:rFonts w:ascii="Garamond" w:hAnsi="Garamond" w:cs="Times New Roman"/>
        </w:rPr>
        <w:t xml:space="preserve">The implication is </w:t>
      </w:r>
      <w:r w:rsidR="00403E0E">
        <w:rPr>
          <w:rFonts w:ascii="Garamond" w:hAnsi="Garamond" w:cs="Times New Roman"/>
        </w:rPr>
        <w:t xml:space="preserve">that </w:t>
      </w:r>
      <w:r w:rsidR="001A3299" w:rsidRPr="00614418">
        <w:rPr>
          <w:rFonts w:ascii="Garamond" w:hAnsi="Garamond"/>
          <w:bCs/>
          <w:iCs/>
        </w:rPr>
        <w:t>government</w:t>
      </w:r>
      <w:r>
        <w:rPr>
          <w:rFonts w:ascii="Garamond" w:hAnsi="Garamond"/>
          <w:bCs/>
          <w:iCs/>
        </w:rPr>
        <w:t xml:space="preserve">s that </w:t>
      </w:r>
      <w:r w:rsidR="00EB5ED3">
        <w:rPr>
          <w:rFonts w:ascii="Garamond" w:hAnsi="Garamond"/>
          <w:bCs/>
          <w:iCs/>
        </w:rPr>
        <w:t xml:space="preserve">wanted to avoid the inflation penalty had to </w:t>
      </w:r>
      <w:r w:rsidR="001A3299" w:rsidRPr="00614418">
        <w:rPr>
          <w:rFonts w:ascii="Garamond" w:hAnsi="Garamond"/>
          <w:bCs/>
          <w:iCs/>
        </w:rPr>
        <w:t>reassure markets that they had put in place institutions that ensured the prevention or prompt reabsorption of an inflationary spike.</w:t>
      </w:r>
      <w:r w:rsidR="00EB5ED3">
        <w:rPr>
          <w:rFonts w:ascii="Garamond" w:hAnsi="Garamond"/>
          <w:bCs/>
          <w:iCs/>
        </w:rPr>
        <w:t xml:space="preserve"> This required them to 'tie their hands' i</w:t>
      </w:r>
      <w:r w:rsidR="00403E0E">
        <w:rPr>
          <w:rFonts w:ascii="Garamond" w:hAnsi="Garamond"/>
          <w:bCs/>
          <w:iCs/>
        </w:rPr>
        <w:t>n a</w:t>
      </w:r>
      <w:r w:rsidR="00EB5ED3">
        <w:rPr>
          <w:rFonts w:ascii="Garamond" w:hAnsi="Garamond"/>
          <w:bCs/>
          <w:iCs/>
        </w:rPr>
        <w:t xml:space="preserve"> </w:t>
      </w:r>
      <w:r w:rsidR="00403E0E">
        <w:rPr>
          <w:rFonts w:ascii="Garamond" w:hAnsi="Garamond"/>
          <w:bCs/>
          <w:iCs/>
        </w:rPr>
        <w:t>currency union</w:t>
      </w:r>
      <w:r w:rsidR="00EB5ED3">
        <w:rPr>
          <w:rFonts w:ascii="Garamond" w:hAnsi="Garamond"/>
          <w:bCs/>
          <w:iCs/>
        </w:rPr>
        <w:t>.</w:t>
      </w:r>
      <w:r w:rsidR="001A3299" w:rsidRPr="00614418">
        <w:rPr>
          <w:rFonts w:ascii="Garamond" w:hAnsi="Garamond"/>
          <w:bCs/>
          <w:iCs/>
        </w:rPr>
        <w:t xml:space="preserve"> </w:t>
      </w:r>
      <w:r w:rsidR="00627D6E">
        <w:rPr>
          <w:rFonts w:ascii="Garamond" w:hAnsi="Garamond"/>
          <w:bCs/>
          <w:iCs/>
        </w:rPr>
        <w:t xml:space="preserve"> </w:t>
      </w:r>
      <w:r w:rsidR="00EA63A2">
        <w:rPr>
          <w:rFonts w:ascii="Garamond" w:hAnsi="Garamond"/>
          <w:bCs/>
          <w:iCs/>
        </w:rPr>
        <w:t xml:space="preserve">However, the </w:t>
      </w:r>
      <w:r w:rsidR="00EB5ED3">
        <w:rPr>
          <w:rFonts w:ascii="Garamond" w:hAnsi="Garamond"/>
          <w:bCs/>
          <w:iCs/>
        </w:rPr>
        <w:t xml:space="preserve">outlook </w:t>
      </w:r>
      <w:r w:rsidR="00627D6E">
        <w:rPr>
          <w:rFonts w:ascii="Garamond" w:hAnsi="Garamond"/>
          <w:bCs/>
          <w:iCs/>
        </w:rPr>
        <w:t xml:space="preserve">became </w:t>
      </w:r>
      <w:r w:rsidR="00EB5ED3">
        <w:rPr>
          <w:rFonts w:ascii="Garamond" w:hAnsi="Garamond"/>
          <w:bCs/>
          <w:iCs/>
        </w:rPr>
        <w:t>very different in a deflationary environment</w:t>
      </w:r>
      <w:r w:rsidR="00627D6E">
        <w:rPr>
          <w:rFonts w:ascii="Garamond" w:hAnsi="Garamond"/>
          <w:bCs/>
          <w:iCs/>
        </w:rPr>
        <w:t xml:space="preserve"> whe</w:t>
      </w:r>
      <w:r w:rsidR="001E63F0">
        <w:rPr>
          <w:rFonts w:ascii="Garamond" w:hAnsi="Garamond"/>
          <w:bCs/>
          <w:iCs/>
        </w:rPr>
        <w:t>re</w:t>
      </w:r>
      <w:r w:rsidR="00627D6E">
        <w:rPr>
          <w:rFonts w:ascii="Garamond" w:hAnsi="Garamond"/>
          <w:bCs/>
          <w:iCs/>
        </w:rPr>
        <w:t xml:space="preserve"> inflation risk became negligible</w:t>
      </w:r>
      <w:r w:rsidR="00EB5ED3">
        <w:rPr>
          <w:rFonts w:ascii="Garamond" w:hAnsi="Garamond"/>
          <w:bCs/>
          <w:iCs/>
        </w:rPr>
        <w:t xml:space="preserve">. </w:t>
      </w:r>
      <w:r w:rsidR="00EA63A2">
        <w:rPr>
          <w:rFonts w:ascii="Garamond" w:hAnsi="Garamond"/>
          <w:bCs/>
          <w:iCs/>
        </w:rPr>
        <w:t>N</w:t>
      </w:r>
      <w:r w:rsidR="001A3299" w:rsidRPr="00614418">
        <w:rPr>
          <w:rFonts w:ascii="Garamond" w:hAnsi="Garamond"/>
          <w:bCs/>
          <w:iCs/>
        </w:rPr>
        <w:t xml:space="preserve">o longer concerned about inflation, </w:t>
      </w:r>
      <w:r w:rsidR="00EA63A2">
        <w:rPr>
          <w:rFonts w:ascii="Garamond" w:hAnsi="Garamond"/>
          <w:bCs/>
          <w:iCs/>
        </w:rPr>
        <w:t>financial markets focus on default risk and</w:t>
      </w:r>
      <w:r w:rsidR="00EA63A2" w:rsidRPr="00614418">
        <w:rPr>
          <w:rFonts w:ascii="Garamond" w:hAnsi="Garamond"/>
          <w:bCs/>
          <w:iCs/>
        </w:rPr>
        <w:t xml:space="preserve"> </w:t>
      </w:r>
      <w:r w:rsidR="001A3299" w:rsidRPr="00614418">
        <w:rPr>
          <w:rFonts w:ascii="Garamond" w:hAnsi="Garamond"/>
          <w:bCs/>
          <w:iCs/>
        </w:rPr>
        <w:t>penalize governments for increasing their debt</w:t>
      </w:r>
      <w:r w:rsidR="00EA63A2">
        <w:rPr>
          <w:rFonts w:ascii="Garamond" w:hAnsi="Garamond"/>
          <w:bCs/>
          <w:iCs/>
        </w:rPr>
        <w:t>, but</w:t>
      </w:r>
      <w:r w:rsidR="00B413C5">
        <w:rPr>
          <w:rFonts w:ascii="Garamond" w:hAnsi="Garamond"/>
          <w:bCs/>
          <w:iCs/>
        </w:rPr>
        <w:t xml:space="preserve"> only when governments have </w:t>
      </w:r>
      <w:r w:rsidR="00EB5ED3">
        <w:rPr>
          <w:rFonts w:ascii="Garamond" w:hAnsi="Garamond"/>
          <w:bCs/>
          <w:iCs/>
        </w:rPr>
        <w:t xml:space="preserve">deliberately limited their macroeconomic discretion </w:t>
      </w:r>
      <w:r w:rsidR="00B413C5">
        <w:rPr>
          <w:rFonts w:ascii="Garamond" w:hAnsi="Garamond"/>
          <w:bCs/>
          <w:iCs/>
        </w:rPr>
        <w:t>in a monetary union</w:t>
      </w:r>
      <w:r w:rsidR="00EA63A2">
        <w:rPr>
          <w:rFonts w:ascii="Garamond" w:hAnsi="Garamond"/>
          <w:bCs/>
          <w:iCs/>
        </w:rPr>
        <w:t>. I</w:t>
      </w:r>
      <w:r w:rsidR="00627D6E">
        <w:rPr>
          <w:rFonts w:ascii="Garamond" w:hAnsi="Garamond"/>
          <w:bCs/>
          <w:iCs/>
        </w:rPr>
        <w:t>n this new environment, exchange rate rigidity is a risk itself</w:t>
      </w:r>
      <w:r w:rsidR="00B413C5">
        <w:rPr>
          <w:rFonts w:ascii="Garamond" w:hAnsi="Garamond"/>
          <w:bCs/>
          <w:iCs/>
        </w:rPr>
        <w:t>.</w:t>
      </w:r>
      <w:r w:rsidR="00627D6E">
        <w:rPr>
          <w:rFonts w:ascii="Garamond" w:hAnsi="Garamond"/>
          <w:bCs/>
          <w:iCs/>
        </w:rPr>
        <w:t xml:space="preserve">    </w:t>
      </w:r>
      <w:r w:rsidR="00141CE4">
        <w:rPr>
          <w:rFonts w:ascii="Garamond" w:hAnsi="Garamond"/>
          <w:bCs/>
          <w:iCs/>
        </w:rPr>
        <w:t xml:space="preserve"> </w:t>
      </w:r>
    </w:p>
    <w:p w14:paraId="6A66E073" w14:textId="5F3E6599" w:rsidR="00403E0E" w:rsidRDefault="00403E0E" w:rsidP="00403E0E">
      <w:pPr>
        <w:spacing w:line="360" w:lineRule="auto"/>
        <w:ind w:firstLine="720"/>
        <w:jc w:val="both"/>
        <w:rPr>
          <w:rFonts w:ascii="Garamond" w:hAnsi="Garamond" w:cs="Times New Roman"/>
        </w:rPr>
      </w:pPr>
      <w:r>
        <w:rPr>
          <w:rFonts w:ascii="Garamond" w:hAnsi="Garamond" w:cs="Times New Roman"/>
        </w:rPr>
        <w:t xml:space="preserve">Interestingly, our results </w:t>
      </w:r>
      <w:r w:rsidR="008D1E72">
        <w:rPr>
          <w:rFonts w:ascii="Garamond" w:hAnsi="Garamond" w:cs="Times New Roman"/>
        </w:rPr>
        <w:t xml:space="preserve">also </w:t>
      </w:r>
      <w:r>
        <w:rPr>
          <w:rFonts w:ascii="Garamond" w:hAnsi="Garamond" w:cs="Times New Roman"/>
        </w:rPr>
        <w:t xml:space="preserve">suggest that fixed exchange rates are treated </w:t>
      </w:r>
      <w:r w:rsidR="00404698">
        <w:rPr>
          <w:rFonts w:ascii="Garamond" w:hAnsi="Garamond" w:cs="Times New Roman"/>
        </w:rPr>
        <w:t>similarly</w:t>
      </w:r>
      <w:r>
        <w:rPr>
          <w:rFonts w:ascii="Garamond" w:hAnsi="Garamond" w:cs="Times New Roman"/>
        </w:rPr>
        <w:t xml:space="preserve"> to floating exchange rates under inflationary conditions </w:t>
      </w:r>
      <w:r w:rsidR="00EA63A2">
        <w:rPr>
          <w:rFonts w:ascii="Garamond" w:hAnsi="Garamond" w:cs="Times New Roman"/>
        </w:rPr>
        <w:t>(</w:t>
      </w:r>
      <w:r>
        <w:rPr>
          <w:rFonts w:ascii="Garamond" w:hAnsi="Garamond" w:cs="Times New Roman"/>
        </w:rPr>
        <w:t>increase</w:t>
      </w:r>
      <w:r w:rsidR="00EA63A2">
        <w:rPr>
          <w:rFonts w:ascii="Garamond" w:hAnsi="Garamond" w:cs="Times New Roman"/>
        </w:rPr>
        <w:t>s</w:t>
      </w:r>
      <w:r>
        <w:rPr>
          <w:rFonts w:ascii="Garamond" w:hAnsi="Garamond" w:cs="Times New Roman"/>
        </w:rPr>
        <w:t xml:space="preserve"> in inflation lead to significant increase</w:t>
      </w:r>
      <w:r w:rsidR="00EA63A2">
        <w:rPr>
          <w:rFonts w:ascii="Garamond" w:hAnsi="Garamond" w:cs="Times New Roman"/>
        </w:rPr>
        <w:t>s</w:t>
      </w:r>
      <w:r>
        <w:rPr>
          <w:rFonts w:ascii="Garamond" w:hAnsi="Garamond" w:cs="Times New Roman"/>
        </w:rPr>
        <w:t xml:space="preserve"> in bond </w:t>
      </w:r>
      <w:r>
        <w:rPr>
          <w:rFonts w:ascii="Garamond" w:hAnsi="Garamond" w:cs="Times New Roman"/>
        </w:rPr>
        <w:lastRenderedPageBreak/>
        <w:t>spreads</w:t>
      </w:r>
      <w:r w:rsidR="00EA63A2">
        <w:rPr>
          <w:rFonts w:ascii="Garamond" w:hAnsi="Garamond" w:cs="Times New Roman"/>
        </w:rPr>
        <w:t>)</w:t>
      </w:r>
      <w:r>
        <w:rPr>
          <w:rFonts w:ascii="Garamond" w:hAnsi="Garamond" w:cs="Times New Roman"/>
        </w:rPr>
        <w:t xml:space="preserve"> and similar</w:t>
      </w:r>
      <w:r w:rsidR="00404698">
        <w:rPr>
          <w:rFonts w:ascii="Garamond" w:hAnsi="Garamond" w:cs="Times New Roman"/>
        </w:rPr>
        <w:t>ly</w:t>
      </w:r>
      <w:r>
        <w:rPr>
          <w:rFonts w:ascii="Garamond" w:hAnsi="Garamond" w:cs="Times New Roman"/>
        </w:rPr>
        <w:t xml:space="preserve"> to monetary unions </w:t>
      </w:r>
      <w:r w:rsidR="00404698">
        <w:rPr>
          <w:rFonts w:ascii="Garamond" w:hAnsi="Garamond" w:cs="Times New Roman"/>
        </w:rPr>
        <w:t>under deflationary conditions</w:t>
      </w:r>
      <w:r w:rsidR="00EA63A2">
        <w:rPr>
          <w:rFonts w:ascii="Garamond" w:hAnsi="Garamond" w:cs="Times New Roman"/>
        </w:rPr>
        <w:t xml:space="preserve"> (increases in</w:t>
      </w:r>
      <w:r w:rsidR="008D1E72">
        <w:rPr>
          <w:rFonts w:ascii="Garamond" w:hAnsi="Garamond" w:cs="Times New Roman"/>
        </w:rPr>
        <w:t xml:space="preserve"> public debt and entitlement spending </w:t>
      </w:r>
      <w:r w:rsidR="00EA63A2">
        <w:rPr>
          <w:rFonts w:ascii="Garamond" w:hAnsi="Garamond" w:cs="Times New Roman"/>
        </w:rPr>
        <w:t>drive up</w:t>
      </w:r>
      <w:r>
        <w:rPr>
          <w:rFonts w:ascii="Garamond" w:hAnsi="Garamond" w:cs="Times New Roman"/>
        </w:rPr>
        <w:t xml:space="preserve"> bond yields</w:t>
      </w:r>
      <w:r w:rsidR="00EA63A2">
        <w:rPr>
          <w:rFonts w:ascii="Garamond" w:hAnsi="Garamond" w:cs="Times New Roman"/>
        </w:rPr>
        <w:t>)</w:t>
      </w:r>
      <w:r>
        <w:rPr>
          <w:rFonts w:ascii="Garamond" w:hAnsi="Garamond" w:cs="Times New Roman"/>
        </w:rPr>
        <w:t xml:space="preserve">. </w:t>
      </w:r>
      <w:r w:rsidR="00EA63A2">
        <w:rPr>
          <w:rFonts w:ascii="Garamond" w:hAnsi="Garamond" w:cs="Times New Roman"/>
        </w:rPr>
        <w:t>In other words</w:t>
      </w:r>
      <w:r>
        <w:rPr>
          <w:rFonts w:ascii="Garamond" w:hAnsi="Garamond" w:cs="Times New Roman"/>
        </w:rPr>
        <w:t xml:space="preserve">, </w:t>
      </w:r>
      <w:r w:rsidR="008D1E72">
        <w:rPr>
          <w:rFonts w:ascii="Garamond" w:hAnsi="Garamond" w:cs="Times New Roman"/>
        </w:rPr>
        <w:t>they</w:t>
      </w:r>
      <w:r>
        <w:rPr>
          <w:rFonts w:ascii="Garamond" w:hAnsi="Garamond" w:cs="Times New Roman"/>
        </w:rPr>
        <w:t xml:space="preserve"> seem to combine the downsides of the other two exchange rate regimes and none of the upsides. </w:t>
      </w:r>
      <w:r w:rsidR="00EA63A2">
        <w:rPr>
          <w:rFonts w:ascii="Garamond" w:hAnsi="Garamond" w:cs="Times New Roman"/>
        </w:rPr>
        <w:t>That said</w:t>
      </w:r>
      <w:r>
        <w:rPr>
          <w:rFonts w:ascii="Garamond" w:hAnsi="Garamond" w:cs="Times New Roman"/>
        </w:rPr>
        <w:t xml:space="preserve">, we </w:t>
      </w:r>
      <w:r w:rsidR="0032279E">
        <w:rPr>
          <w:rFonts w:ascii="Garamond" w:hAnsi="Garamond" w:cs="Times New Roman"/>
        </w:rPr>
        <w:t>reiterate</w:t>
      </w:r>
      <w:r>
        <w:rPr>
          <w:rFonts w:ascii="Garamond" w:hAnsi="Garamond" w:cs="Times New Roman"/>
        </w:rPr>
        <w:t xml:space="preserve"> that the results for fixed exchange rate</w:t>
      </w:r>
      <w:r w:rsidR="008D1E72">
        <w:rPr>
          <w:rFonts w:ascii="Garamond" w:hAnsi="Garamond" w:cs="Times New Roman"/>
        </w:rPr>
        <w:t>s</w:t>
      </w:r>
      <w:r>
        <w:rPr>
          <w:rFonts w:ascii="Garamond" w:hAnsi="Garamond" w:cs="Times New Roman"/>
        </w:rPr>
        <w:t xml:space="preserve"> </w:t>
      </w:r>
      <w:r w:rsidR="00EA63A2">
        <w:rPr>
          <w:rFonts w:ascii="Garamond" w:hAnsi="Garamond" w:cs="Times New Roman"/>
        </w:rPr>
        <w:t xml:space="preserve">must be taken with a grain of salt, as they </w:t>
      </w:r>
      <w:r>
        <w:rPr>
          <w:rFonts w:ascii="Garamond" w:hAnsi="Garamond" w:cs="Times New Roman"/>
        </w:rPr>
        <w:t xml:space="preserve">are largely shaped by </w:t>
      </w:r>
      <w:r w:rsidR="00EA63A2">
        <w:rPr>
          <w:rFonts w:ascii="Garamond" w:hAnsi="Garamond" w:cs="Times New Roman"/>
        </w:rPr>
        <w:t>one</w:t>
      </w:r>
      <w:r>
        <w:rPr>
          <w:rFonts w:ascii="Garamond" w:hAnsi="Garamond" w:cs="Times New Roman"/>
        </w:rPr>
        <w:t xml:space="preserve"> country</w:t>
      </w:r>
      <w:r w:rsidR="00EA63A2">
        <w:rPr>
          <w:rFonts w:ascii="Garamond" w:hAnsi="Garamond" w:cs="Times New Roman"/>
        </w:rPr>
        <w:t>, Denmark,</w:t>
      </w:r>
      <w:r>
        <w:rPr>
          <w:rFonts w:ascii="Garamond" w:hAnsi="Garamond" w:cs="Times New Roman"/>
        </w:rPr>
        <w:t xml:space="preserve"> that remained </w:t>
      </w:r>
      <w:r w:rsidR="0032279E">
        <w:rPr>
          <w:rFonts w:ascii="Garamond" w:hAnsi="Garamond" w:cs="Times New Roman"/>
        </w:rPr>
        <w:t xml:space="preserve">the only representative of </w:t>
      </w:r>
      <w:r w:rsidR="008D1E72">
        <w:rPr>
          <w:rFonts w:ascii="Garamond" w:hAnsi="Garamond" w:cs="Times New Roman"/>
        </w:rPr>
        <w:t>this</w:t>
      </w:r>
      <w:r>
        <w:rPr>
          <w:rFonts w:ascii="Garamond" w:hAnsi="Garamond" w:cs="Times New Roman"/>
        </w:rPr>
        <w:t xml:space="preserve"> regime </w:t>
      </w:r>
      <w:r w:rsidR="0032279E">
        <w:rPr>
          <w:rFonts w:ascii="Garamond" w:hAnsi="Garamond" w:cs="Times New Roman"/>
        </w:rPr>
        <w:t xml:space="preserve">in our sample </w:t>
      </w:r>
      <w:r>
        <w:rPr>
          <w:rFonts w:ascii="Garamond" w:hAnsi="Garamond" w:cs="Times New Roman"/>
        </w:rPr>
        <w:t xml:space="preserve">after </w:t>
      </w:r>
      <w:r w:rsidR="00EB3F6B">
        <w:rPr>
          <w:rFonts w:ascii="Garamond" w:hAnsi="Garamond" w:cs="Times New Roman"/>
        </w:rPr>
        <w:t>2000</w:t>
      </w:r>
      <w:r>
        <w:rPr>
          <w:rFonts w:ascii="Garamond" w:hAnsi="Garamond" w:cs="Times New Roman"/>
        </w:rPr>
        <w:t xml:space="preserve">. </w:t>
      </w:r>
    </w:p>
    <w:p w14:paraId="4FA5DFB9" w14:textId="4B7DF9DB" w:rsidR="00314B03" w:rsidRPr="00614418" w:rsidRDefault="00314B03" w:rsidP="00627D6E">
      <w:pPr>
        <w:spacing w:line="360" w:lineRule="auto"/>
        <w:ind w:firstLine="720"/>
        <w:jc w:val="both"/>
        <w:rPr>
          <w:rFonts w:ascii="Garamond" w:hAnsi="Garamond"/>
          <w:bCs/>
          <w:iCs/>
        </w:rPr>
      </w:pPr>
      <w:r>
        <w:rPr>
          <w:rFonts w:ascii="Garamond" w:hAnsi="Garamond"/>
          <w:bCs/>
          <w:iCs/>
        </w:rPr>
        <w:t>Finally, our results also speak to a long debate in political economy – and macroeconomics – about the benefits of hands</w:t>
      </w:r>
      <w:r w:rsidR="001E63F0">
        <w:rPr>
          <w:rFonts w:ascii="Garamond" w:hAnsi="Garamond"/>
          <w:bCs/>
          <w:iCs/>
        </w:rPr>
        <w:t>-</w:t>
      </w:r>
      <w:r>
        <w:rPr>
          <w:rFonts w:ascii="Garamond" w:hAnsi="Garamond"/>
          <w:bCs/>
          <w:iCs/>
        </w:rPr>
        <w:t xml:space="preserve">tying institutional devices. During the 1980s and </w:t>
      </w:r>
      <w:r w:rsidR="00A1236A">
        <w:rPr>
          <w:rFonts w:ascii="Garamond" w:hAnsi="Garamond"/>
          <w:bCs/>
          <w:iCs/>
        </w:rPr>
        <w:t>early 1990s</w:t>
      </w:r>
      <w:r>
        <w:rPr>
          <w:rFonts w:ascii="Garamond" w:hAnsi="Garamond"/>
          <w:bCs/>
          <w:iCs/>
        </w:rPr>
        <w:t xml:space="preserve"> – when inflation </w:t>
      </w:r>
      <w:r w:rsidRPr="00386ACF">
        <w:rPr>
          <w:rFonts w:ascii="Garamond" w:hAnsi="Garamond"/>
          <w:bCs/>
          <w:i/>
        </w:rPr>
        <w:t>was</w:t>
      </w:r>
      <w:r>
        <w:rPr>
          <w:rFonts w:ascii="Garamond" w:hAnsi="Garamond"/>
          <w:bCs/>
          <w:iCs/>
        </w:rPr>
        <w:t xml:space="preserve"> a pivotal risk for investors – prominent macroeconomists extolled the virtue of inflation-minded independent central banks and rigid exchange rate arrangements that removed governments’ capacity to devalue</w:t>
      </w:r>
      <w:r w:rsidR="00A1236A">
        <w:rPr>
          <w:rFonts w:ascii="Garamond" w:hAnsi="Garamond"/>
          <w:bCs/>
          <w:iCs/>
        </w:rPr>
        <w:t xml:space="preserve"> </w:t>
      </w:r>
      <w:r>
        <w:rPr>
          <w:rFonts w:ascii="Garamond" w:hAnsi="Garamond"/>
          <w:bCs/>
          <w:iCs/>
        </w:rPr>
        <w:t>(Barro and Gordon 1983</w:t>
      </w:r>
      <w:r w:rsidR="00EB3F6B">
        <w:rPr>
          <w:rFonts w:ascii="Garamond" w:hAnsi="Garamond"/>
          <w:bCs/>
          <w:iCs/>
        </w:rPr>
        <w:t>,</w:t>
      </w:r>
      <w:r>
        <w:rPr>
          <w:rFonts w:ascii="Garamond" w:hAnsi="Garamond"/>
          <w:bCs/>
          <w:iCs/>
        </w:rPr>
        <w:t xml:space="preserve"> Rogoff 1985</w:t>
      </w:r>
      <w:r w:rsidR="00EB3F6B">
        <w:rPr>
          <w:rFonts w:ascii="Garamond" w:hAnsi="Garamond"/>
          <w:bCs/>
          <w:iCs/>
        </w:rPr>
        <w:t>,</w:t>
      </w:r>
      <w:r w:rsidR="00A1236A">
        <w:rPr>
          <w:rFonts w:ascii="Garamond" w:hAnsi="Garamond"/>
          <w:bCs/>
          <w:iCs/>
        </w:rPr>
        <w:t xml:space="preserve"> </w:t>
      </w:r>
      <w:proofErr w:type="spellStart"/>
      <w:r w:rsidR="00A1236A">
        <w:rPr>
          <w:rFonts w:ascii="Garamond" w:hAnsi="Garamond"/>
          <w:bCs/>
          <w:iCs/>
        </w:rPr>
        <w:t>Grilli</w:t>
      </w:r>
      <w:proofErr w:type="spellEnd"/>
      <w:r w:rsidR="00A1236A">
        <w:rPr>
          <w:rFonts w:ascii="Garamond" w:hAnsi="Garamond"/>
          <w:bCs/>
          <w:iCs/>
        </w:rPr>
        <w:t xml:space="preserve">, </w:t>
      </w:r>
      <w:proofErr w:type="spellStart"/>
      <w:r w:rsidR="00A1236A">
        <w:rPr>
          <w:rFonts w:ascii="Garamond" w:hAnsi="Garamond"/>
          <w:bCs/>
          <w:iCs/>
        </w:rPr>
        <w:t>Masciandaro</w:t>
      </w:r>
      <w:proofErr w:type="spellEnd"/>
      <w:r w:rsidR="00A1236A">
        <w:rPr>
          <w:rFonts w:ascii="Garamond" w:hAnsi="Garamond"/>
          <w:bCs/>
          <w:iCs/>
        </w:rPr>
        <w:t xml:space="preserve"> and </w:t>
      </w:r>
      <w:proofErr w:type="spellStart"/>
      <w:r w:rsidR="00A1236A">
        <w:rPr>
          <w:rFonts w:ascii="Garamond" w:hAnsi="Garamond"/>
          <w:bCs/>
          <w:iCs/>
        </w:rPr>
        <w:t>Tabellini</w:t>
      </w:r>
      <w:proofErr w:type="spellEnd"/>
      <w:r w:rsidR="00A1236A">
        <w:rPr>
          <w:rFonts w:ascii="Garamond" w:hAnsi="Garamond"/>
          <w:bCs/>
          <w:iCs/>
        </w:rPr>
        <w:t xml:space="preserve"> 1991)</w:t>
      </w:r>
      <w:r>
        <w:rPr>
          <w:rFonts w:ascii="Garamond" w:hAnsi="Garamond"/>
          <w:bCs/>
          <w:iCs/>
        </w:rPr>
        <w:t>. These institutions did what they were intended to</w:t>
      </w:r>
      <w:r w:rsidR="00386ACF">
        <w:rPr>
          <w:rFonts w:ascii="Garamond" w:hAnsi="Garamond"/>
          <w:bCs/>
          <w:iCs/>
        </w:rPr>
        <w:t xml:space="preserve">. </w:t>
      </w:r>
      <w:r w:rsidR="0032279E">
        <w:rPr>
          <w:rFonts w:ascii="Garamond" w:hAnsi="Garamond"/>
          <w:bCs/>
          <w:iCs/>
        </w:rPr>
        <w:t xml:space="preserve">In </w:t>
      </w:r>
      <w:r w:rsidR="00A83E66">
        <w:rPr>
          <w:rFonts w:ascii="Garamond" w:hAnsi="Garamond"/>
          <w:bCs/>
          <w:iCs/>
        </w:rPr>
        <w:t>the 1980s</w:t>
      </w:r>
      <w:r w:rsidR="0032279E">
        <w:rPr>
          <w:rFonts w:ascii="Garamond" w:hAnsi="Garamond"/>
          <w:bCs/>
          <w:iCs/>
        </w:rPr>
        <w:t xml:space="preserve"> and especially the 1990s</w:t>
      </w:r>
      <w:r w:rsidR="00A83E66">
        <w:rPr>
          <w:rFonts w:ascii="Garamond" w:hAnsi="Garamond"/>
          <w:bCs/>
          <w:iCs/>
        </w:rPr>
        <w:t xml:space="preserve">, </w:t>
      </w:r>
      <w:r>
        <w:rPr>
          <w:rFonts w:ascii="Garamond" w:hAnsi="Garamond"/>
          <w:bCs/>
          <w:iCs/>
        </w:rPr>
        <w:t xml:space="preserve">there </w:t>
      </w:r>
      <w:r w:rsidR="00A83E66">
        <w:rPr>
          <w:rFonts w:ascii="Garamond" w:hAnsi="Garamond"/>
          <w:bCs/>
          <w:iCs/>
        </w:rPr>
        <w:t>has been</w:t>
      </w:r>
      <w:r>
        <w:rPr>
          <w:rFonts w:ascii="Garamond" w:hAnsi="Garamond"/>
          <w:bCs/>
          <w:iCs/>
        </w:rPr>
        <w:t xml:space="preserve"> significant (and sustained) downward convergence in inflation</w:t>
      </w:r>
      <w:r w:rsidR="00A83E66">
        <w:rPr>
          <w:rFonts w:ascii="Garamond" w:hAnsi="Garamond"/>
          <w:bCs/>
          <w:iCs/>
        </w:rPr>
        <w:t xml:space="preserve"> rates</w:t>
      </w:r>
      <w:r>
        <w:rPr>
          <w:rFonts w:ascii="Garamond" w:hAnsi="Garamond"/>
          <w:bCs/>
          <w:iCs/>
        </w:rPr>
        <w:t xml:space="preserve"> across post-industrial countries.</w:t>
      </w:r>
      <w:r w:rsidR="00A1236A">
        <w:rPr>
          <w:rFonts w:ascii="Garamond" w:hAnsi="Garamond"/>
          <w:bCs/>
          <w:iCs/>
        </w:rPr>
        <w:t xml:space="preserve"> However, little concern was given to </w:t>
      </w:r>
      <w:r w:rsidR="00A83E66">
        <w:rPr>
          <w:rFonts w:ascii="Garamond" w:hAnsi="Garamond"/>
          <w:bCs/>
          <w:iCs/>
        </w:rPr>
        <w:t xml:space="preserve">whether </w:t>
      </w:r>
      <w:r w:rsidR="00A1236A">
        <w:rPr>
          <w:rFonts w:ascii="Garamond" w:hAnsi="Garamond"/>
          <w:bCs/>
          <w:iCs/>
        </w:rPr>
        <w:t xml:space="preserve">these institutions would </w:t>
      </w:r>
      <w:r w:rsidR="00166A72">
        <w:rPr>
          <w:rFonts w:ascii="Garamond" w:hAnsi="Garamond"/>
          <w:bCs/>
          <w:iCs/>
        </w:rPr>
        <w:t>constrain</w:t>
      </w:r>
      <w:r w:rsidR="00A1236A">
        <w:rPr>
          <w:rFonts w:ascii="Garamond" w:hAnsi="Garamond"/>
          <w:bCs/>
          <w:iCs/>
        </w:rPr>
        <w:t xml:space="preserve"> governments</w:t>
      </w:r>
      <w:r w:rsidR="00166A72">
        <w:rPr>
          <w:rFonts w:ascii="Garamond" w:hAnsi="Garamond"/>
          <w:bCs/>
          <w:iCs/>
        </w:rPr>
        <w:t>’ capacity</w:t>
      </w:r>
      <w:r w:rsidR="00A1236A">
        <w:rPr>
          <w:rFonts w:ascii="Garamond" w:hAnsi="Garamond"/>
          <w:bCs/>
          <w:iCs/>
        </w:rPr>
        <w:t xml:space="preserve"> to stave off </w:t>
      </w:r>
      <w:r w:rsidR="001E63F0">
        <w:rPr>
          <w:rFonts w:ascii="Garamond" w:hAnsi="Garamond"/>
          <w:bCs/>
          <w:iCs/>
        </w:rPr>
        <w:t xml:space="preserve">(and recover from) </w:t>
      </w:r>
      <w:r w:rsidR="00A1236A">
        <w:rPr>
          <w:rFonts w:ascii="Garamond" w:hAnsi="Garamond"/>
          <w:bCs/>
          <w:iCs/>
        </w:rPr>
        <w:t>debt crises and sudden stop</w:t>
      </w:r>
      <w:r w:rsidR="00166A72">
        <w:rPr>
          <w:rFonts w:ascii="Garamond" w:hAnsi="Garamond"/>
          <w:bCs/>
          <w:iCs/>
        </w:rPr>
        <w:t>s</w:t>
      </w:r>
      <w:r w:rsidR="00A83E66">
        <w:rPr>
          <w:rFonts w:ascii="Garamond" w:hAnsi="Garamond"/>
          <w:bCs/>
          <w:iCs/>
        </w:rPr>
        <w:t xml:space="preserve">, as the European debt crisis made painfully clear. The past 10 years have demonstrated that the virtues of inflationary commitment devices may not only be </w:t>
      </w:r>
      <w:r w:rsidR="00C838D8">
        <w:rPr>
          <w:rFonts w:ascii="Garamond" w:hAnsi="Garamond"/>
          <w:bCs/>
          <w:iCs/>
        </w:rPr>
        <w:t xml:space="preserve">obsolete in an era of </w:t>
      </w:r>
      <w:r w:rsidR="00DC7948">
        <w:rPr>
          <w:rFonts w:ascii="Garamond" w:hAnsi="Garamond"/>
          <w:bCs/>
          <w:iCs/>
        </w:rPr>
        <w:t>quasi-</w:t>
      </w:r>
      <w:r w:rsidR="00C838D8">
        <w:rPr>
          <w:rFonts w:ascii="Garamond" w:hAnsi="Garamond"/>
          <w:bCs/>
          <w:iCs/>
        </w:rPr>
        <w:t>deflation</w:t>
      </w:r>
      <w:r w:rsidR="00A83E66">
        <w:rPr>
          <w:rFonts w:ascii="Garamond" w:hAnsi="Garamond"/>
          <w:bCs/>
          <w:iCs/>
        </w:rPr>
        <w:t>, but also have t</w:t>
      </w:r>
      <w:r w:rsidR="002271F7">
        <w:rPr>
          <w:rFonts w:ascii="Garamond" w:hAnsi="Garamond"/>
          <w:bCs/>
          <w:iCs/>
        </w:rPr>
        <w:t>ransformed</w:t>
      </w:r>
      <w:r w:rsidR="00A83E66">
        <w:rPr>
          <w:rFonts w:ascii="Garamond" w:hAnsi="Garamond"/>
          <w:bCs/>
          <w:iCs/>
        </w:rPr>
        <w:t xml:space="preserve"> into liabilitie</w:t>
      </w:r>
      <w:r w:rsidR="002271F7">
        <w:rPr>
          <w:rFonts w:ascii="Garamond" w:hAnsi="Garamond"/>
          <w:bCs/>
          <w:iCs/>
        </w:rPr>
        <w:t>s</w:t>
      </w:r>
      <w:r w:rsidR="00A83E66">
        <w:rPr>
          <w:rFonts w:ascii="Garamond" w:hAnsi="Garamond"/>
          <w:bCs/>
          <w:iCs/>
        </w:rPr>
        <w:t xml:space="preserve">.   </w:t>
      </w:r>
    </w:p>
    <w:p w14:paraId="45FA2B4F" w14:textId="77777777" w:rsidR="001B37EC" w:rsidRPr="00614418" w:rsidRDefault="001B37EC" w:rsidP="00E855F7">
      <w:pPr>
        <w:spacing w:line="360" w:lineRule="auto"/>
        <w:jc w:val="both"/>
        <w:rPr>
          <w:rFonts w:ascii="Garamond" w:hAnsi="Garamond"/>
          <w:b/>
          <w:bCs/>
          <w:iCs/>
        </w:rPr>
      </w:pPr>
    </w:p>
    <w:p w14:paraId="42496A19" w14:textId="3FC5C80A" w:rsidR="000E16F7" w:rsidRPr="00614418" w:rsidRDefault="009924F8" w:rsidP="000E16F7">
      <w:pPr>
        <w:spacing w:line="360" w:lineRule="auto"/>
        <w:jc w:val="both"/>
        <w:rPr>
          <w:rFonts w:ascii="Garamond" w:hAnsi="Garamond"/>
          <w:b/>
          <w:bCs/>
        </w:rPr>
      </w:pPr>
      <w:r>
        <w:rPr>
          <w:rFonts w:ascii="Garamond" w:hAnsi="Garamond"/>
          <w:b/>
          <w:bCs/>
        </w:rPr>
        <w:t>References</w:t>
      </w:r>
    </w:p>
    <w:p w14:paraId="064C5F32" w14:textId="77777777" w:rsidR="003711C2" w:rsidRPr="005F61D1" w:rsidRDefault="003711C2" w:rsidP="00973365">
      <w:pPr>
        <w:spacing w:line="360" w:lineRule="auto"/>
        <w:ind w:left="720" w:firstLine="720"/>
        <w:jc w:val="both"/>
        <w:rPr>
          <w:rFonts w:ascii="Garamond" w:hAnsi="Garamond"/>
        </w:rPr>
      </w:pPr>
    </w:p>
    <w:p w14:paraId="3D2F6B8A" w14:textId="795C7110" w:rsidR="00E932DE" w:rsidRPr="00E932DE" w:rsidRDefault="00E932DE" w:rsidP="004C729B">
      <w:pPr>
        <w:ind w:left="720" w:hanging="720"/>
        <w:jc w:val="both"/>
        <w:rPr>
          <w:rFonts w:ascii="Garamond" w:eastAsia="Times New Roman" w:hAnsi="Garamond" w:cs="Times New Roman"/>
        </w:rPr>
      </w:pPr>
      <w:r w:rsidRPr="00E932DE">
        <w:rPr>
          <w:rFonts w:ascii="Garamond" w:eastAsia="Times New Roman" w:hAnsi="Garamond" w:cs="Times New Roman"/>
        </w:rPr>
        <w:t>Ahlquist, J</w:t>
      </w:r>
      <w:r w:rsidRPr="00C92ED7">
        <w:rPr>
          <w:rFonts w:ascii="Garamond" w:eastAsia="Times New Roman" w:hAnsi="Garamond" w:cs="Times New Roman"/>
        </w:rPr>
        <w:t>.</w:t>
      </w:r>
      <w:r w:rsidRPr="00E932DE">
        <w:rPr>
          <w:rFonts w:ascii="Garamond" w:eastAsia="Times New Roman" w:hAnsi="Garamond" w:cs="Times New Roman"/>
        </w:rPr>
        <w:t xml:space="preserve"> (2006). Economic policy, institutions, and capital flows: Portfolio and direct investment flows in developing countries. </w:t>
      </w:r>
      <w:r w:rsidRPr="00E932DE">
        <w:rPr>
          <w:rFonts w:ascii="Garamond" w:eastAsia="Times New Roman" w:hAnsi="Garamond" w:cs="Times New Roman"/>
          <w:i/>
          <w:iCs/>
        </w:rPr>
        <w:t>International Studies Quarterly</w:t>
      </w:r>
      <w:r w:rsidRPr="00E932DE">
        <w:rPr>
          <w:rFonts w:ascii="Garamond" w:eastAsia="Times New Roman" w:hAnsi="Garamond" w:cs="Times New Roman"/>
        </w:rPr>
        <w:t xml:space="preserve">, </w:t>
      </w:r>
      <w:r w:rsidRPr="00E932DE">
        <w:rPr>
          <w:rFonts w:ascii="Garamond" w:eastAsia="Times New Roman" w:hAnsi="Garamond" w:cs="Times New Roman"/>
          <w:i/>
          <w:iCs/>
        </w:rPr>
        <w:t>50</w:t>
      </w:r>
      <w:r w:rsidRPr="00E932DE">
        <w:rPr>
          <w:rFonts w:ascii="Garamond" w:eastAsia="Times New Roman" w:hAnsi="Garamond" w:cs="Times New Roman"/>
        </w:rPr>
        <w:t>(3), 681-704.</w:t>
      </w:r>
    </w:p>
    <w:p w14:paraId="1110C674" w14:textId="77777777" w:rsidR="00E932DE" w:rsidRPr="001E0B20" w:rsidRDefault="00E932DE" w:rsidP="004C729B">
      <w:pPr>
        <w:ind w:left="720" w:hanging="720"/>
        <w:jc w:val="both"/>
        <w:rPr>
          <w:rFonts w:ascii="Garamond" w:hAnsi="Garamond"/>
          <w:lang w:val="de-CH"/>
        </w:rPr>
      </w:pPr>
      <w:proofErr w:type="spellStart"/>
      <w:r w:rsidRPr="00C92ED7">
        <w:rPr>
          <w:rFonts w:ascii="Garamond" w:hAnsi="Garamond"/>
        </w:rPr>
        <w:t>Alesina</w:t>
      </w:r>
      <w:proofErr w:type="spellEnd"/>
      <w:r w:rsidRPr="00C92ED7">
        <w:rPr>
          <w:rFonts w:ascii="Garamond" w:hAnsi="Garamond"/>
        </w:rPr>
        <w:t xml:space="preserve">, A., &amp; </w:t>
      </w:r>
      <w:proofErr w:type="spellStart"/>
      <w:r w:rsidRPr="00C92ED7">
        <w:rPr>
          <w:rFonts w:ascii="Garamond" w:hAnsi="Garamond"/>
        </w:rPr>
        <w:t>Perotti</w:t>
      </w:r>
      <w:proofErr w:type="spellEnd"/>
      <w:r w:rsidRPr="00C92ED7">
        <w:rPr>
          <w:rFonts w:ascii="Garamond" w:hAnsi="Garamond"/>
        </w:rPr>
        <w:t xml:space="preserve">, R. (1995). Fiscal expansions and adjustments in OECD countries. </w:t>
      </w:r>
      <w:r w:rsidRPr="001E0B20">
        <w:rPr>
          <w:rFonts w:ascii="Garamond" w:hAnsi="Garamond"/>
          <w:i/>
          <w:iCs/>
          <w:lang w:val="de-CH"/>
        </w:rPr>
        <w:t>Economic policy</w:t>
      </w:r>
      <w:r w:rsidRPr="001E0B20">
        <w:rPr>
          <w:rFonts w:ascii="Garamond" w:hAnsi="Garamond"/>
          <w:lang w:val="de-CH"/>
        </w:rPr>
        <w:t xml:space="preserve">, </w:t>
      </w:r>
      <w:r w:rsidRPr="001E0B20">
        <w:rPr>
          <w:rFonts w:ascii="Garamond" w:hAnsi="Garamond"/>
          <w:i/>
          <w:iCs/>
          <w:lang w:val="de-CH"/>
        </w:rPr>
        <w:t>10</w:t>
      </w:r>
      <w:r w:rsidRPr="001E0B20">
        <w:rPr>
          <w:rFonts w:ascii="Garamond" w:hAnsi="Garamond"/>
          <w:lang w:val="de-CH"/>
        </w:rPr>
        <w:t>(21), 205-248.</w:t>
      </w:r>
    </w:p>
    <w:p w14:paraId="4888E761" w14:textId="2E1FB288" w:rsidR="00514158" w:rsidRPr="00C92ED7" w:rsidRDefault="00514158" w:rsidP="004C729B">
      <w:pPr>
        <w:ind w:left="720" w:hanging="720"/>
        <w:jc w:val="both"/>
        <w:rPr>
          <w:rFonts w:ascii="Garamond" w:hAnsi="Garamond" w:cs="Times New Roman"/>
        </w:rPr>
      </w:pPr>
      <w:r w:rsidRPr="001E0B20">
        <w:rPr>
          <w:rFonts w:ascii="Garamond" w:hAnsi="Garamond" w:cs="Times New Roman"/>
          <w:lang w:val="de-CH"/>
        </w:rPr>
        <w:t xml:space="preserve">Armingeon, K., Wenger, V., Wiedemeier, F., Isler, C., Knöpfel, L., Weisstanner, D., Engler, S. (2020). </w:t>
      </w:r>
      <w:r w:rsidRPr="00C92ED7">
        <w:rPr>
          <w:rStyle w:val="Emphasis"/>
          <w:rFonts w:ascii="Garamond" w:hAnsi="Garamond" w:cs="Times New Roman"/>
          <w:i w:val="0"/>
        </w:rPr>
        <w:t>Comparative Political Data Set 1960-2018</w:t>
      </w:r>
      <w:r w:rsidRPr="00C92ED7">
        <w:rPr>
          <w:rFonts w:ascii="Garamond" w:hAnsi="Garamond" w:cs="Times New Roman"/>
        </w:rPr>
        <w:t xml:space="preserve">. Zurich: Institute of Political Science, University of Zurich. </w:t>
      </w:r>
      <w:hyperlink r:id="rId13" w:history="1">
        <w:r w:rsidRPr="00C92ED7">
          <w:rPr>
            <w:rStyle w:val="Hyperlink"/>
            <w:rFonts w:ascii="Garamond" w:hAnsi="Garamond" w:cs="Times New Roman"/>
          </w:rPr>
          <w:t>https://www.cpds-data.org/</w:t>
        </w:r>
      </w:hyperlink>
      <w:r w:rsidRPr="00C92ED7">
        <w:rPr>
          <w:rFonts w:ascii="Garamond" w:hAnsi="Garamond" w:cs="Times New Roman"/>
        </w:rPr>
        <w:t xml:space="preserve"> </w:t>
      </w:r>
    </w:p>
    <w:p w14:paraId="28110FC6" w14:textId="238217C3" w:rsidR="003711C2" w:rsidRPr="00C92ED7" w:rsidRDefault="00996E7C" w:rsidP="004C729B">
      <w:pPr>
        <w:ind w:left="720" w:right="28" w:hanging="720"/>
        <w:jc w:val="both"/>
        <w:rPr>
          <w:rFonts w:ascii="Garamond" w:hAnsi="Garamond"/>
        </w:rPr>
      </w:pPr>
      <w:r w:rsidRPr="00C92ED7">
        <w:rPr>
          <w:rFonts w:ascii="Garamond" w:hAnsi="Garamond"/>
          <w:bCs/>
        </w:rPr>
        <w:t xml:space="preserve">Backus, D. and </w:t>
      </w:r>
      <w:proofErr w:type="spellStart"/>
      <w:r w:rsidRPr="00C92ED7">
        <w:rPr>
          <w:rFonts w:ascii="Garamond" w:hAnsi="Garamond"/>
          <w:bCs/>
        </w:rPr>
        <w:t>Driffill</w:t>
      </w:r>
      <w:proofErr w:type="spellEnd"/>
      <w:r w:rsidRPr="00C92ED7">
        <w:rPr>
          <w:rFonts w:ascii="Garamond" w:hAnsi="Garamond"/>
          <w:bCs/>
        </w:rPr>
        <w:t xml:space="preserve">, J. (1985) Inflation and Reputation </w:t>
      </w:r>
      <w:r w:rsidRPr="003E606E">
        <w:rPr>
          <w:rFonts w:ascii="Garamond" w:hAnsi="Garamond"/>
          <w:bCs/>
          <w:i/>
        </w:rPr>
        <w:t>American Economic Review</w:t>
      </w:r>
      <w:r w:rsidRPr="00C92ED7">
        <w:rPr>
          <w:rFonts w:ascii="Garamond" w:hAnsi="Garamond"/>
          <w:bCs/>
        </w:rPr>
        <w:t xml:space="preserve">.  </w:t>
      </w:r>
      <w:r w:rsidRPr="00C92ED7">
        <w:rPr>
          <w:rFonts w:ascii="Garamond" w:hAnsi="Garamond"/>
          <w:b/>
          <w:bCs/>
        </w:rPr>
        <w:t>75</w:t>
      </w:r>
      <w:r w:rsidRPr="00C92ED7">
        <w:rPr>
          <w:rFonts w:ascii="Garamond" w:hAnsi="Garamond"/>
          <w:bCs/>
        </w:rPr>
        <w:t>(3): 530-538.</w:t>
      </w:r>
      <w:r w:rsidRPr="00C92ED7">
        <w:rPr>
          <w:rFonts w:ascii="Garamond" w:hAnsi="Garamond"/>
        </w:rPr>
        <w:t xml:space="preserve"> </w:t>
      </w:r>
    </w:p>
    <w:p w14:paraId="45CDF3F6" w14:textId="0EBF0274" w:rsidR="00181D77" w:rsidRPr="00181D77" w:rsidRDefault="00181D77" w:rsidP="004C729B">
      <w:pPr>
        <w:ind w:left="720" w:hanging="720"/>
        <w:jc w:val="both"/>
        <w:rPr>
          <w:rFonts w:ascii="Garamond" w:eastAsia="Times New Roman" w:hAnsi="Garamond" w:cs="Times New Roman"/>
        </w:rPr>
      </w:pPr>
      <w:r w:rsidRPr="00181D77">
        <w:rPr>
          <w:rFonts w:ascii="Garamond" w:eastAsia="Times New Roman" w:hAnsi="Garamond" w:cs="Times New Roman"/>
        </w:rPr>
        <w:t xml:space="preserve">Barro, R.J., &amp; Gordon, D. B. (1983). Rules, discretion and reputation in a model of monetary policy. </w:t>
      </w:r>
      <w:r w:rsidRPr="00181D77">
        <w:rPr>
          <w:rFonts w:ascii="Garamond" w:eastAsia="Times New Roman" w:hAnsi="Garamond" w:cs="Times New Roman"/>
          <w:i/>
          <w:iCs/>
        </w:rPr>
        <w:t>Journal of monetary economics</w:t>
      </w:r>
      <w:r w:rsidRPr="00181D77">
        <w:rPr>
          <w:rFonts w:ascii="Garamond" w:eastAsia="Times New Roman" w:hAnsi="Garamond" w:cs="Times New Roman"/>
        </w:rPr>
        <w:t xml:space="preserve">, </w:t>
      </w:r>
      <w:r w:rsidRPr="00181D77">
        <w:rPr>
          <w:rFonts w:ascii="Garamond" w:eastAsia="Times New Roman" w:hAnsi="Garamond" w:cs="Times New Roman"/>
          <w:i/>
          <w:iCs/>
        </w:rPr>
        <w:t>12</w:t>
      </w:r>
      <w:r w:rsidRPr="00181D77">
        <w:rPr>
          <w:rFonts w:ascii="Garamond" w:eastAsia="Times New Roman" w:hAnsi="Garamond" w:cs="Times New Roman"/>
        </w:rPr>
        <w:t>(1), 101-121.</w:t>
      </w:r>
    </w:p>
    <w:p w14:paraId="57D5D223" w14:textId="77777777" w:rsidR="00E932DE" w:rsidRPr="00E932DE" w:rsidRDefault="00E932DE" w:rsidP="004C729B">
      <w:pPr>
        <w:ind w:left="720" w:hanging="720"/>
        <w:jc w:val="both"/>
        <w:rPr>
          <w:rFonts w:ascii="Garamond" w:eastAsia="Times New Roman" w:hAnsi="Garamond" w:cs="Times New Roman"/>
        </w:rPr>
      </w:pPr>
      <w:r w:rsidRPr="00E932DE">
        <w:rPr>
          <w:rFonts w:ascii="Garamond" w:eastAsia="Times New Roman" w:hAnsi="Garamond" w:cs="Times New Roman"/>
        </w:rPr>
        <w:t xml:space="preserve">Barta, Z. (2018). </w:t>
      </w:r>
      <w:r w:rsidRPr="00E932DE">
        <w:rPr>
          <w:rFonts w:ascii="Garamond" w:eastAsia="Times New Roman" w:hAnsi="Garamond" w:cs="Times New Roman"/>
          <w:i/>
          <w:iCs/>
        </w:rPr>
        <w:t>In the Red: the politics of public debt accumulation in developed countries</w:t>
      </w:r>
      <w:r w:rsidRPr="00E932DE">
        <w:rPr>
          <w:rFonts w:ascii="Garamond" w:eastAsia="Times New Roman" w:hAnsi="Garamond" w:cs="Times New Roman"/>
        </w:rPr>
        <w:t>. University of Michigan Press.</w:t>
      </w:r>
    </w:p>
    <w:p w14:paraId="200887D5" w14:textId="1703CCBD" w:rsidR="00181D77" w:rsidRPr="00C92ED7" w:rsidRDefault="00E932DE" w:rsidP="004C729B">
      <w:pPr>
        <w:ind w:left="720" w:hanging="720"/>
        <w:jc w:val="both"/>
        <w:rPr>
          <w:rFonts w:ascii="Garamond" w:eastAsia="Times New Roman" w:hAnsi="Garamond" w:cs="Times New Roman"/>
        </w:rPr>
      </w:pPr>
      <w:r w:rsidRPr="00E932DE">
        <w:rPr>
          <w:rFonts w:ascii="Garamond" w:eastAsia="Times New Roman" w:hAnsi="Garamond" w:cs="Times New Roman"/>
        </w:rPr>
        <w:t xml:space="preserve">Barta, Z., &amp; Johnston, A. (2018). Rating politics? Partisan discrimination in credit ratings in developed economies. </w:t>
      </w:r>
      <w:r w:rsidRPr="00E932DE">
        <w:rPr>
          <w:rFonts w:ascii="Garamond" w:eastAsia="Times New Roman" w:hAnsi="Garamond" w:cs="Times New Roman"/>
          <w:i/>
          <w:iCs/>
        </w:rPr>
        <w:t>Comparative Political Studies</w:t>
      </w:r>
      <w:r w:rsidRPr="00E932DE">
        <w:rPr>
          <w:rFonts w:ascii="Garamond" w:eastAsia="Times New Roman" w:hAnsi="Garamond" w:cs="Times New Roman"/>
        </w:rPr>
        <w:t xml:space="preserve">, </w:t>
      </w:r>
      <w:r w:rsidRPr="00E932DE">
        <w:rPr>
          <w:rFonts w:ascii="Garamond" w:eastAsia="Times New Roman" w:hAnsi="Garamond" w:cs="Times New Roman"/>
          <w:i/>
          <w:iCs/>
        </w:rPr>
        <w:t>51</w:t>
      </w:r>
      <w:r w:rsidRPr="00E932DE">
        <w:rPr>
          <w:rFonts w:ascii="Garamond" w:eastAsia="Times New Roman" w:hAnsi="Garamond" w:cs="Times New Roman"/>
        </w:rPr>
        <w:t>(5), 587-620.</w:t>
      </w:r>
    </w:p>
    <w:p w14:paraId="03D38F66" w14:textId="3309032C" w:rsidR="00973365" w:rsidRPr="00626D89" w:rsidRDefault="00514158" w:rsidP="004C729B">
      <w:pPr>
        <w:ind w:left="720" w:hanging="720"/>
        <w:jc w:val="both"/>
        <w:rPr>
          <w:rFonts w:ascii="Garamond" w:eastAsia="Times New Roman" w:hAnsi="Garamond"/>
        </w:rPr>
      </w:pPr>
      <w:r w:rsidRPr="00C92ED7">
        <w:rPr>
          <w:rFonts w:ascii="Garamond" w:eastAsia="Times New Roman" w:hAnsi="Garamond" w:cs="Times New Roman"/>
        </w:rPr>
        <w:t>Barta, Z., &amp; Johnston, A. (202</w:t>
      </w:r>
      <w:r w:rsidR="00626D89">
        <w:rPr>
          <w:rFonts w:ascii="Garamond" w:eastAsia="Times New Roman" w:hAnsi="Garamond" w:cs="Times New Roman"/>
        </w:rPr>
        <w:t>1</w:t>
      </w:r>
      <w:r w:rsidRPr="00C92ED7">
        <w:rPr>
          <w:rFonts w:ascii="Garamond" w:eastAsia="Times New Roman" w:hAnsi="Garamond" w:cs="Times New Roman"/>
        </w:rPr>
        <w:t xml:space="preserve">). Entitlements in the crosshairs: how sovereign credit ratings judge the welfare state in advanced market economies. </w:t>
      </w:r>
      <w:r w:rsidRPr="003E606E">
        <w:rPr>
          <w:rFonts w:ascii="Garamond" w:eastAsia="Times New Roman" w:hAnsi="Garamond" w:cs="Times New Roman"/>
          <w:i/>
          <w:iCs/>
        </w:rPr>
        <w:t>Review of International Political Economy</w:t>
      </w:r>
      <w:r w:rsidRPr="00C92ED7">
        <w:rPr>
          <w:rFonts w:ascii="Garamond" w:eastAsia="Times New Roman" w:hAnsi="Garamond" w:cs="Times New Roman"/>
        </w:rPr>
        <w:t xml:space="preserve">, </w:t>
      </w:r>
      <w:r w:rsidR="00626D89" w:rsidRPr="00626D89">
        <w:rPr>
          <w:rFonts w:ascii="Garamond" w:eastAsia="Times New Roman" w:hAnsi="Garamond"/>
        </w:rPr>
        <w:t xml:space="preserve">28(5): 1169-1195. </w:t>
      </w:r>
    </w:p>
    <w:p w14:paraId="2CF51AC3" w14:textId="77777777" w:rsidR="00BE0DA8" w:rsidRPr="00BE0DA8" w:rsidRDefault="00BE0DA8" w:rsidP="004C729B">
      <w:pPr>
        <w:ind w:left="720" w:hanging="720"/>
        <w:jc w:val="both"/>
        <w:rPr>
          <w:rFonts w:ascii="Garamond" w:eastAsia="Times New Roman" w:hAnsi="Garamond" w:cs="Times New Roman"/>
        </w:rPr>
      </w:pPr>
      <w:r w:rsidRPr="00BE0DA8">
        <w:rPr>
          <w:rFonts w:ascii="Garamond" w:eastAsia="Times New Roman" w:hAnsi="Garamond" w:cs="Times New Roman"/>
        </w:rPr>
        <w:lastRenderedPageBreak/>
        <w:t xml:space="preserve">Beaulieu, E., Cox, G. W., &amp; </w:t>
      </w:r>
      <w:proofErr w:type="spellStart"/>
      <w:r w:rsidRPr="00BE0DA8">
        <w:rPr>
          <w:rFonts w:ascii="Garamond" w:eastAsia="Times New Roman" w:hAnsi="Garamond" w:cs="Times New Roman"/>
        </w:rPr>
        <w:t>Saiegh</w:t>
      </w:r>
      <w:proofErr w:type="spellEnd"/>
      <w:r w:rsidRPr="00BE0DA8">
        <w:rPr>
          <w:rFonts w:ascii="Garamond" w:eastAsia="Times New Roman" w:hAnsi="Garamond" w:cs="Times New Roman"/>
        </w:rPr>
        <w:t xml:space="preserve">, S. (2012). Sovereign debt and regime type: Reconsidering the democratic advantage. </w:t>
      </w:r>
      <w:r w:rsidRPr="00BE0DA8">
        <w:rPr>
          <w:rFonts w:ascii="Garamond" w:eastAsia="Times New Roman" w:hAnsi="Garamond" w:cs="Times New Roman"/>
          <w:i/>
          <w:iCs/>
        </w:rPr>
        <w:t>International Organization</w:t>
      </w:r>
      <w:r w:rsidRPr="00BE0DA8">
        <w:rPr>
          <w:rFonts w:ascii="Garamond" w:eastAsia="Times New Roman" w:hAnsi="Garamond" w:cs="Times New Roman"/>
        </w:rPr>
        <w:t xml:space="preserve">, </w:t>
      </w:r>
      <w:r w:rsidRPr="00BE0DA8">
        <w:rPr>
          <w:rFonts w:ascii="Garamond" w:eastAsia="Times New Roman" w:hAnsi="Garamond" w:cs="Times New Roman"/>
          <w:i/>
          <w:iCs/>
        </w:rPr>
        <w:t>66</w:t>
      </w:r>
      <w:r w:rsidRPr="00BE0DA8">
        <w:rPr>
          <w:rFonts w:ascii="Garamond" w:eastAsia="Times New Roman" w:hAnsi="Garamond" w:cs="Times New Roman"/>
        </w:rPr>
        <w:t>(4), 709-738.</w:t>
      </w:r>
    </w:p>
    <w:p w14:paraId="2AC87973" w14:textId="71E37F6C" w:rsidR="00BE0DA8" w:rsidRDefault="00BE0DA8" w:rsidP="004C729B">
      <w:pPr>
        <w:pStyle w:val="EndNoteBibliography"/>
        <w:ind w:left="720" w:hanging="720"/>
        <w:rPr>
          <w:rFonts w:ascii="Garamond" w:hAnsi="Garamond"/>
        </w:rPr>
      </w:pPr>
      <w:r w:rsidRPr="00C92ED7">
        <w:rPr>
          <w:rFonts w:ascii="Garamond" w:hAnsi="Garamond"/>
        </w:rPr>
        <w:t xml:space="preserve">Bechtel, M. M. (2009). The political sources of systematic investment risk: lessons from a consensus democracy. </w:t>
      </w:r>
      <w:r w:rsidRPr="00C92ED7">
        <w:rPr>
          <w:rFonts w:ascii="Garamond" w:hAnsi="Garamond"/>
          <w:i/>
          <w:iCs/>
        </w:rPr>
        <w:t>The Journal of Politics</w:t>
      </w:r>
      <w:r w:rsidRPr="00C92ED7">
        <w:rPr>
          <w:rFonts w:ascii="Garamond" w:hAnsi="Garamond"/>
        </w:rPr>
        <w:t xml:space="preserve">, </w:t>
      </w:r>
      <w:r w:rsidRPr="00C92ED7">
        <w:rPr>
          <w:rFonts w:ascii="Garamond" w:hAnsi="Garamond"/>
          <w:i/>
          <w:iCs/>
        </w:rPr>
        <w:t>71</w:t>
      </w:r>
      <w:r w:rsidRPr="00C92ED7">
        <w:rPr>
          <w:rFonts w:ascii="Garamond" w:hAnsi="Garamond"/>
        </w:rPr>
        <w:t>(2), 661-677.</w:t>
      </w:r>
    </w:p>
    <w:p w14:paraId="6A0DFB5A" w14:textId="77777777" w:rsidR="00626D89" w:rsidRPr="00F534F3" w:rsidRDefault="00626D89" w:rsidP="004C729B">
      <w:pPr>
        <w:ind w:left="720" w:hanging="720"/>
        <w:jc w:val="both"/>
        <w:rPr>
          <w:rFonts w:ascii="Garamond" w:eastAsia="Times New Roman" w:hAnsi="Garamond" w:cs="Times New Roman"/>
        </w:rPr>
      </w:pPr>
      <w:r w:rsidRPr="00F534F3">
        <w:rPr>
          <w:rFonts w:ascii="Garamond" w:eastAsia="Times New Roman" w:hAnsi="Garamond" w:cs="Times New Roman"/>
        </w:rPr>
        <w:t xml:space="preserve">Bernhard, W. (1998). A political explanation of variations in central bank independence. </w:t>
      </w:r>
      <w:r w:rsidRPr="00F534F3">
        <w:rPr>
          <w:rFonts w:ascii="Garamond" w:eastAsia="Times New Roman" w:hAnsi="Garamond" w:cs="Times New Roman"/>
          <w:i/>
          <w:iCs/>
        </w:rPr>
        <w:t>American Political Science Review</w:t>
      </w:r>
      <w:r w:rsidRPr="00F534F3">
        <w:rPr>
          <w:rFonts w:ascii="Garamond" w:eastAsia="Times New Roman" w:hAnsi="Garamond" w:cs="Times New Roman"/>
        </w:rPr>
        <w:t xml:space="preserve">, </w:t>
      </w:r>
      <w:r w:rsidRPr="00F534F3">
        <w:rPr>
          <w:rFonts w:ascii="Garamond" w:eastAsia="Times New Roman" w:hAnsi="Garamond" w:cs="Times New Roman"/>
          <w:i/>
          <w:iCs/>
        </w:rPr>
        <w:t>92</w:t>
      </w:r>
      <w:r w:rsidRPr="00F534F3">
        <w:rPr>
          <w:rFonts w:ascii="Garamond" w:eastAsia="Times New Roman" w:hAnsi="Garamond" w:cs="Times New Roman"/>
        </w:rPr>
        <w:t>(2), 311-327.</w:t>
      </w:r>
    </w:p>
    <w:p w14:paraId="3570A890" w14:textId="77777777" w:rsidR="00626D89" w:rsidRDefault="00626D89" w:rsidP="004C729B">
      <w:pPr>
        <w:ind w:left="720" w:hanging="720"/>
        <w:jc w:val="both"/>
        <w:rPr>
          <w:rFonts w:ascii="Garamond" w:eastAsia="Times New Roman" w:hAnsi="Garamond" w:cs="Times New Roman"/>
        </w:rPr>
      </w:pPr>
      <w:r w:rsidRPr="00F534F3">
        <w:rPr>
          <w:rFonts w:ascii="Garamond" w:eastAsia="Times New Roman" w:hAnsi="Garamond" w:cs="Times New Roman"/>
        </w:rPr>
        <w:t xml:space="preserve">Bernhard, W., &amp; </w:t>
      </w:r>
      <w:proofErr w:type="spellStart"/>
      <w:r w:rsidRPr="00F534F3">
        <w:rPr>
          <w:rFonts w:ascii="Garamond" w:eastAsia="Times New Roman" w:hAnsi="Garamond" w:cs="Times New Roman"/>
        </w:rPr>
        <w:t>Leblang</w:t>
      </w:r>
      <w:proofErr w:type="spellEnd"/>
      <w:r w:rsidRPr="00F534F3">
        <w:rPr>
          <w:rFonts w:ascii="Garamond" w:eastAsia="Times New Roman" w:hAnsi="Garamond" w:cs="Times New Roman"/>
        </w:rPr>
        <w:t xml:space="preserve">, D. (2002). Democratic processes, political risk, and foreign exchange markets. </w:t>
      </w:r>
      <w:r w:rsidRPr="00F534F3">
        <w:rPr>
          <w:rFonts w:ascii="Garamond" w:eastAsia="Times New Roman" w:hAnsi="Garamond" w:cs="Times New Roman"/>
          <w:i/>
          <w:iCs/>
        </w:rPr>
        <w:t>American Journal of Political Science</w:t>
      </w:r>
      <w:r w:rsidRPr="00F534F3">
        <w:rPr>
          <w:rFonts w:ascii="Garamond" w:eastAsia="Times New Roman" w:hAnsi="Garamond" w:cs="Times New Roman"/>
        </w:rPr>
        <w:t>, 316-333.</w:t>
      </w:r>
    </w:p>
    <w:p w14:paraId="3F9C54AF" w14:textId="25EB1F34" w:rsidR="00626D89" w:rsidRDefault="00626D89" w:rsidP="004C729B">
      <w:pPr>
        <w:ind w:left="720" w:hanging="720"/>
        <w:jc w:val="both"/>
        <w:rPr>
          <w:rFonts w:ascii="Garamond" w:eastAsia="Times New Roman" w:hAnsi="Garamond" w:cs="Times New Roman"/>
        </w:rPr>
      </w:pPr>
      <w:proofErr w:type="spellStart"/>
      <w:r w:rsidRPr="00F534F3">
        <w:rPr>
          <w:rFonts w:ascii="Garamond" w:eastAsia="Times New Roman" w:hAnsi="Garamond" w:cs="Times New Roman"/>
        </w:rPr>
        <w:t>Biglaiser</w:t>
      </w:r>
      <w:proofErr w:type="spellEnd"/>
      <w:r w:rsidRPr="00F534F3">
        <w:rPr>
          <w:rFonts w:ascii="Garamond" w:eastAsia="Times New Roman" w:hAnsi="Garamond" w:cs="Times New Roman"/>
        </w:rPr>
        <w:t xml:space="preserve">, G., &amp; </w:t>
      </w:r>
      <w:proofErr w:type="spellStart"/>
      <w:r w:rsidRPr="00F534F3">
        <w:rPr>
          <w:rFonts w:ascii="Garamond" w:eastAsia="Times New Roman" w:hAnsi="Garamond" w:cs="Times New Roman"/>
        </w:rPr>
        <w:t>Staats</w:t>
      </w:r>
      <w:proofErr w:type="spellEnd"/>
      <w:r w:rsidRPr="00F534F3">
        <w:rPr>
          <w:rFonts w:ascii="Garamond" w:eastAsia="Times New Roman" w:hAnsi="Garamond" w:cs="Times New Roman"/>
        </w:rPr>
        <w:t xml:space="preserve">, J. L. (2012). Finding the “democratic advantage” in sovereign bond ratings: The importance of strong courts, property rights protection, and the rule of law. </w:t>
      </w:r>
      <w:r w:rsidRPr="00F534F3">
        <w:rPr>
          <w:rFonts w:ascii="Garamond" w:eastAsia="Times New Roman" w:hAnsi="Garamond" w:cs="Times New Roman"/>
          <w:i/>
          <w:iCs/>
        </w:rPr>
        <w:t>International Organization</w:t>
      </w:r>
      <w:r w:rsidRPr="00F534F3">
        <w:rPr>
          <w:rFonts w:ascii="Garamond" w:eastAsia="Times New Roman" w:hAnsi="Garamond" w:cs="Times New Roman"/>
        </w:rPr>
        <w:t xml:space="preserve">, </w:t>
      </w:r>
      <w:r w:rsidRPr="00F534F3">
        <w:rPr>
          <w:rFonts w:ascii="Garamond" w:eastAsia="Times New Roman" w:hAnsi="Garamond" w:cs="Times New Roman"/>
          <w:i/>
          <w:iCs/>
        </w:rPr>
        <w:t>66</w:t>
      </w:r>
      <w:r w:rsidRPr="00F534F3">
        <w:rPr>
          <w:rFonts w:ascii="Garamond" w:eastAsia="Times New Roman" w:hAnsi="Garamond" w:cs="Times New Roman"/>
        </w:rPr>
        <w:t>(3), 515-535.</w:t>
      </w:r>
    </w:p>
    <w:p w14:paraId="56AA2C23" w14:textId="77777777" w:rsidR="00EE78DE" w:rsidRDefault="00EE78DE" w:rsidP="00D71C0F">
      <w:pPr>
        <w:pStyle w:val="EndNoteBibliography"/>
        <w:ind w:left="720" w:hanging="720"/>
        <w:rPr>
          <w:rFonts w:ascii="Garamond" w:hAnsi="Garamond"/>
        </w:rPr>
      </w:pPr>
      <w:r w:rsidRPr="00DE6DE1">
        <w:rPr>
          <w:rFonts w:ascii="Garamond" w:hAnsi="Garamond"/>
        </w:rPr>
        <w:fldChar w:fldCharType="begin"/>
      </w:r>
      <w:r w:rsidRPr="00B80CD1">
        <w:rPr>
          <w:rFonts w:ascii="Garamond" w:hAnsi="Garamond"/>
        </w:rPr>
        <w:instrText xml:space="preserve"> ADDIN EN.REFLIST </w:instrText>
      </w:r>
      <w:r w:rsidRPr="00DE6DE1">
        <w:rPr>
          <w:rFonts w:ascii="Garamond" w:hAnsi="Garamond"/>
        </w:rPr>
        <w:fldChar w:fldCharType="separate"/>
      </w:r>
      <w:bookmarkStart w:id="25" w:name="_ENREF_1"/>
      <w:r w:rsidRPr="00F534F3">
        <w:rPr>
          <w:rFonts w:ascii="Garamond" w:hAnsi="Garamond"/>
        </w:rPr>
        <w:t xml:space="preserve">Blyth, Mark. 2013. </w:t>
      </w:r>
      <w:r w:rsidRPr="00F534F3">
        <w:rPr>
          <w:rFonts w:ascii="Garamond" w:hAnsi="Garamond"/>
          <w:i/>
        </w:rPr>
        <w:t>Austerity: The History of a Dangerous Idea</w:t>
      </w:r>
      <w:r w:rsidRPr="00F534F3">
        <w:rPr>
          <w:rFonts w:ascii="Garamond" w:hAnsi="Garamond"/>
        </w:rPr>
        <w:t>. Oxford: Oxford University Press.</w:t>
      </w:r>
      <w:bookmarkEnd w:id="25"/>
    </w:p>
    <w:p w14:paraId="596C2D47" w14:textId="77777777" w:rsidR="00EE78DE" w:rsidRPr="00F534F3" w:rsidRDefault="00EE78DE" w:rsidP="00D71C0F">
      <w:pPr>
        <w:ind w:left="720" w:hanging="720"/>
        <w:jc w:val="both"/>
        <w:rPr>
          <w:rFonts w:ascii="Garamond" w:eastAsia="Times New Roman" w:hAnsi="Garamond" w:cs="Times New Roman"/>
        </w:rPr>
      </w:pPr>
      <w:r w:rsidRPr="00F534F3">
        <w:rPr>
          <w:rFonts w:ascii="Garamond" w:eastAsia="Times New Roman" w:hAnsi="Garamond" w:cs="Times New Roman"/>
        </w:rPr>
        <w:t xml:space="preserve">Blyth, M., &amp; Matthijs, M. (2017). Black Swans, Lame Ducks, and the mystery of IPE's missing macroeconomy. </w:t>
      </w:r>
      <w:r w:rsidRPr="00F534F3">
        <w:rPr>
          <w:rFonts w:ascii="Garamond" w:eastAsia="Times New Roman" w:hAnsi="Garamond" w:cs="Times New Roman"/>
          <w:i/>
          <w:iCs/>
        </w:rPr>
        <w:t>Review of international political economy</w:t>
      </w:r>
      <w:r w:rsidRPr="00F534F3">
        <w:rPr>
          <w:rFonts w:ascii="Garamond" w:eastAsia="Times New Roman" w:hAnsi="Garamond" w:cs="Times New Roman"/>
        </w:rPr>
        <w:t xml:space="preserve">, </w:t>
      </w:r>
      <w:r w:rsidRPr="00F534F3">
        <w:rPr>
          <w:rFonts w:ascii="Garamond" w:eastAsia="Times New Roman" w:hAnsi="Garamond" w:cs="Times New Roman"/>
          <w:i/>
          <w:iCs/>
        </w:rPr>
        <w:t>24</w:t>
      </w:r>
      <w:r w:rsidRPr="00F534F3">
        <w:rPr>
          <w:rFonts w:ascii="Garamond" w:eastAsia="Times New Roman" w:hAnsi="Garamond" w:cs="Times New Roman"/>
        </w:rPr>
        <w:t>(2), 203-231.</w:t>
      </w:r>
    </w:p>
    <w:p w14:paraId="2611F295" w14:textId="77777777" w:rsidR="00EE78DE" w:rsidRPr="00F534F3" w:rsidRDefault="00EE78DE" w:rsidP="00D71C0F">
      <w:pPr>
        <w:ind w:left="720" w:hanging="720"/>
        <w:jc w:val="both"/>
        <w:rPr>
          <w:rFonts w:ascii="Garamond" w:eastAsia="Times New Roman" w:hAnsi="Garamond" w:cs="Times New Roman"/>
        </w:rPr>
      </w:pPr>
      <w:r w:rsidRPr="00F534F3">
        <w:rPr>
          <w:rFonts w:ascii="Garamond" w:eastAsia="Times New Roman" w:hAnsi="Garamond" w:cs="Times New Roman"/>
        </w:rPr>
        <w:t xml:space="preserve">Bodea, C., &amp; Hicks, R. (2015). Price stability and central bank independence: Discipline, credibility, and democratic institutions. </w:t>
      </w:r>
      <w:r w:rsidRPr="00F534F3">
        <w:rPr>
          <w:rFonts w:ascii="Garamond" w:eastAsia="Times New Roman" w:hAnsi="Garamond" w:cs="Times New Roman"/>
          <w:i/>
          <w:iCs/>
        </w:rPr>
        <w:t>International Organization</w:t>
      </w:r>
      <w:r w:rsidRPr="00F534F3">
        <w:rPr>
          <w:rFonts w:ascii="Garamond" w:eastAsia="Times New Roman" w:hAnsi="Garamond" w:cs="Times New Roman"/>
        </w:rPr>
        <w:t xml:space="preserve">, </w:t>
      </w:r>
      <w:r w:rsidRPr="00F534F3">
        <w:rPr>
          <w:rFonts w:ascii="Garamond" w:eastAsia="Times New Roman" w:hAnsi="Garamond" w:cs="Times New Roman"/>
          <w:i/>
          <w:iCs/>
        </w:rPr>
        <w:t>69</w:t>
      </w:r>
      <w:r w:rsidRPr="00F534F3">
        <w:rPr>
          <w:rFonts w:ascii="Garamond" w:eastAsia="Times New Roman" w:hAnsi="Garamond" w:cs="Times New Roman"/>
        </w:rPr>
        <w:t>(1), 35-61.</w:t>
      </w:r>
    </w:p>
    <w:p w14:paraId="1994064A" w14:textId="77777777" w:rsidR="00EE78DE" w:rsidRPr="00F534F3" w:rsidRDefault="00EE78DE" w:rsidP="00D71C0F">
      <w:pPr>
        <w:ind w:left="720" w:hanging="720"/>
        <w:jc w:val="both"/>
        <w:rPr>
          <w:rFonts w:ascii="Garamond" w:eastAsia="Times New Roman" w:hAnsi="Garamond" w:cs="Times New Roman"/>
        </w:rPr>
      </w:pPr>
      <w:r w:rsidRPr="00F534F3">
        <w:rPr>
          <w:rFonts w:ascii="Garamond" w:eastAsia="Times New Roman" w:hAnsi="Garamond" w:cs="Times New Roman"/>
        </w:rPr>
        <w:t xml:space="preserve">Boix, C. (2000). Partisan governments, the international economy, and macroeconomic policies in advanced nations, 1960–93. </w:t>
      </w:r>
      <w:r w:rsidRPr="00F534F3">
        <w:rPr>
          <w:rFonts w:ascii="Garamond" w:eastAsia="Times New Roman" w:hAnsi="Garamond" w:cs="Times New Roman"/>
          <w:i/>
          <w:iCs/>
        </w:rPr>
        <w:t>World politics</w:t>
      </w:r>
      <w:r w:rsidRPr="00F534F3">
        <w:rPr>
          <w:rFonts w:ascii="Garamond" w:eastAsia="Times New Roman" w:hAnsi="Garamond" w:cs="Times New Roman"/>
        </w:rPr>
        <w:t xml:space="preserve">, </w:t>
      </w:r>
      <w:r w:rsidRPr="00F534F3">
        <w:rPr>
          <w:rFonts w:ascii="Garamond" w:eastAsia="Times New Roman" w:hAnsi="Garamond" w:cs="Times New Roman"/>
          <w:i/>
          <w:iCs/>
        </w:rPr>
        <w:t>53</w:t>
      </w:r>
      <w:r w:rsidRPr="00F534F3">
        <w:rPr>
          <w:rFonts w:ascii="Garamond" w:eastAsia="Times New Roman" w:hAnsi="Garamond" w:cs="Times New Roman"/>
        </w:rPr>
        <w:t>(1), 38-73.</w:t>
      </w:r>
    </w:p>
    <w:p w14:paraId="5EC1F549" w14:textId="77777777" w:rsidR="00EE78DE" w:rsidRPr="00F534F3" w:rsidRDefault="00EE78DE" w:rsidP="00D71C0F">
      <w:pPr>
        <w:ind w:left="720" w:hanging="720"/>
        <w:jc w:val="both"/>
        <w:rPr>
          <w:rFonts w:ascii="Garamond" w:eastAsia="Times New Roman" w:hAnsi="Garamond" w:cs="Times New Roman"/>
        </w:rPr>
      </w:pPr>
      <w:r w:rsidRPr="00F534F3">
        <w:rPr>
          <w:rFonts w:ascii="Garamond" w:eastAsia="Times New Roman" w:hAnsi="Garamond" w:cs="Times New Roman"/>
        </w:rPr>
        <w:t xml:space="preserve">Breen, M., &amp; McMenamin, I. (2013). Political institutions, credible commitment, and sovereign debt in advanced economies. </w:t>
      </w:r>
      <w:r w:rsidRPr="00F534F3">
        <w:rPr>
          <w:rFonts w:ascii="Garamond" w:eastAsia="Times New Roman" w:hAnsi="Garamond" w:cs="Times New Roman"/>
          <w:i/>
          <w:iCs/>
        </w:rPr>
        <w:t>International Studies Quarterly</w:t>
      </w:r>
      <w:r w:rsidRPr="00F534F3">
        <w:rPr>
          <w:rFonts w:ascii="Garamond" w:eastAsia="Times New Roman" w:hAnsi="Garamond" w:cs="Times New Roman"/>
        </w:rPr>
        <w:t xml:space="preserve">, </w:t>
      </w:r>
      <w:r w:rsidRPr="00F534F3">
        <w:rPr>
          <w:rFonts w:ascii="Garamond" w:eastAsia="Times New Roman" w:hAnsi="Garamond" w:cs="Times New Roman"/>
          <w:i/>
          <w:iCs/>
        </w:rPr>
        <w:t>57</w:t>
      </w:r>
      <w:r w:rsidRPr="00F534F3">
        <w:rPr>
          <w:rFonts w:ascii="Garamond" w:eastAsia="Times New Roman" w:hAnsi="Garamond" w:cs="Times New Roman"/>
        </w:rPr>
        <w:t>(4), 842-854.</w:t>
      </w:r>
    </w:p>
    <w:p w14:paraId="51EBD865" w14:textId="77777777" w:rsidR="00EE78DE" w:rsidRPr="00F534F3" w:rsidRDefault="00EE78DE" w:rsidP="00D71C0F">
      <w:pPr>
        <w:ind w:left="720" w:hanging="720"/>
        <w:jc w:val="both"/>
        <w:rPr>
          <w:rFonts w:ascii="Garamond" w:eastAsia="Times New Roman" w:hAnsi="Garamond" w:cs="Times New Roman"/>
        </w:rPr>
      </w:pPr>
      <w:r w:rsidRPr="00F534F3">
        <w:rPr>
          <w:rFonts w:ascii="Garamond" w:eastAsia="Times New Roman" w:hAnsi="Garamond" w:cs="Times New Roman"/>
        </w:rPr>
        <w:t xml:space="preserve">Brooks, S. M., Cunha, R., &amp; Mosley, L. (2015). Categories, creditworthiness, and contagion: how investors' shortcuts affect sovereign debt markets. </w:t>
      </w:r>
      <w:r w:rsidRPr="00F534F3">
        <w:rPr>
          <w:rFonts w:ascii="Garamond" w:eastAsia="Times New Roman" w:hAnsi="Garamond" w:cs="Times New Roman"/>
          <w:i/>
          <w:iCs/>
        </w:rPr>
        <w:t>International studies quarterly</w:t>
      </w:r>
      <w:r w:rsidRPr="00F534F3">
        <w:rPr>
          <w:rFonts w:ascii="Garamond" w:eastAsia="Times New Roman" w:hAnsi="Garamond" w:cs="Times New Roman"/>
        </w:rPr>
        <w:t xml:space="preserve">, </w:t>
      </w:r>
      <w:r w:rsidRPr="00F534F3">
        <w:rPr>
          <w:rFonts w:ascii="Garamond" w:eastAsia="Times New Roman" w:hAnsi="Garamond" w:cs="Times New Roman"/>
          <w:i/>
          <w:iCs/>
        </w:rPr>
        <w:t>59</w:t>
      </w:r>
      <w:r w:rsidRPr="00F534F3">
        <w:rPr>
          <w:rFonts w:ascii="Garamond" w:eastAsia="Times New Roman" w:hAnsi="Garamond" w:cs="Times New Roman"/>
        </w:rPr>
        <w:t>(3), 587-601.</w:t>
      </w:r>
    </w:p>
    <w:p w14:paraId="5FD98397" w14:textId="77777777" w:rsidR="00EE78DE" w:rsidRPr="00F534F3" w:rsidRDefault="00EE78DE" w:rsidP="00D71C0F">
      <w:pPr>
        <w:ind w:left="720" w:hanging="720"/>
        <w:jc w:val="both"/>
        <w:rPr>
          <w:rFonts w:ascii="Garamond" w:hAnsi="Garamond"/>
        </w:rPr>
      </w:pPr>
      <w:r w:rsidRPr="00F534F3">
        <w:rPr>
          <w:rFonts w:ascii="Garamond" w:hAnsi="Garamond"/>
        </w:rPr>
        <w:t xml:space="preserve">Broz, J. L. (2002). Political system transparency and monetary commitment regimes. </w:t>
      </w:r>
      <w:r w:rsidRPr="00F534F3">
        <w:rPr>
          <w:rFonts w:ascii="Garamond" w:hAnsi="Garamond"/>
          <w:i/>
          <w:iCs/>
        </w:rPr>
        <w:t>International Organization</w:t>
      </w:r>
      <w:r w:rsidRPr="00F534F3">
        <w:rPr>
          <w:rFonts w:ascii="Garamond" w:hAnsi="Garamond"/>
        </w:rPr>
        <w:t xml:space="preserve">, </w:t>
      </w:r>
      <w:r w:rsidRPr="00F534F3">
        <w:rPr>
          <w:rFonts w:ascii="Garamond" w:hAnsi="Garamond"/>
          <w:i/>
          <w:iCs/>
        </w:rPr>
        <w:t>56</w:t>
      </w:r>
      <w:r w:rsidRPr="00F534F3">
        <w:rPr>
          <w:rFonts w:ascii="Garamond" w:hAnsi="Garamond"/>
        </w:rPr>
        <w:t>(4), 861-887.</w:t>
      </w:r>
    </w:p>
    <w:p w14:paraId="369A1D16" w14:textId="77777777" w:rsidR="00EE78DE" w:rsidRPr="00E9330D" w:rsidRDefault="00EE78DE" w:rsidP="00D71C0F">
      <w:pPr>
        <w:ind w:left="720" w:hanging="720"/>
        <w:jc w:val="both"/>
        <w:rPr>
          <w:rFonts w:ascii="Garamond" w:eastAsia="Times New Roman" w:hAnsi="Garamond" w:cs="Times New Roman"/>
        </w:rPr>
      </w:pPr>
      <w:r w:rsidRPr="00F534F3">
        <w:rPr>
          <w:rFonts w:ascii="Garamond" w:eastAsia="Times New Roman" w:hAnsi="Garamond" w:cs="Times New Roman"/>
        </w:rPr>
        <w:t>Bubula, A., &amp; Otker-Robe, I. (2002). The evolution of exchange rate regimes since 1990 evidence from de facto policies. IMF Working Paper No. 02/15</w:t>
      </w:r>
      <w:r>
        <w:rPr>
          <w:rFonts w:ascii="Garamond" w:eastAsia="Times New Roman" w:hAnsi="Garamond" w:cs="Times New Roman"/>
        </w:rPr>
        <w:t>5</w:t>
      </w:r>
    </w:p>
    <w:p w14:paraId="515A97AD" w14:textId="77777777" w:rsidR="00EE78DE" w:rsidRPr="00E9330D" w:rsidRDefault="00EE78DE" w:rsidP="00D71C0F">
      <w:pPr>
        <w:pStyle w:val="EndNoteBibliography"/>
        <w:ind w:left="720" w:hanging="720"/>
        <w:rPr>
          <w:rFonts w:ascii="Garamond" w:hAnsi="Garamond"/>
        </w:rPr>
      </w:pPr>
      <w:bookmarkStart w:id="26" w:name="_ENREF_2"/>
      <w:r w:rsidRPr="00E9330D">
        <w:rPr>
          <w:rFonts w:ascii="Garamond" w:hAnsi="Garamond"/>
        </w:rPr>
        <w:t xml:space="preserve">Caballero, Ricardo J., Emmanuel Farhi and Pierre-Olivier Gourinchas. 2017. The Safe Assets Shortage Conundrum. </w:t>
      </w:r>
      <w:r w:rsidRPr="00E9330D">
        <w:rPr>
          <w:rFonts w:ascii="Garamond" w:hAnsi="Garamond"/>
          <w:i/>
        </w:rPr>
        <w:t>Journal of Economic Perspectives</w:t>
      </w:r>
      <w:r w:rsidRPr="00E9330D">
        <w:rPr>
          <w:rFonts w:ascii="Garamond" w:hAnsi="Garamond"/>
        </w:rPr>
        <w:t xml:space="preserve"> 31(3):29-46. doi: 10.1257/jep.31.3.29.</w:t>
      </w:r>
      <w:bookmarkEnd w:id="26"/>
    </w:p>
    <w:p w14:paraId="1B79BB04" w14:textId="77777777" w:rsidR="00EE78DE" w:rsidRDefault="00EE78DE" w:rsidP="00D71C0F">
      <w:pPr>
        <w:pStyle w:val="EndNoteBibliography"/>
        <w:ind w:left="720" w:hanging="720"/>
        <w:rPr>
          <w:rFonts w:ascii="Garamond" w:hAnsi="Garamond"/>
        </w:rPr>
      </w:pPr>
      <w:bookmarkStart w:id="27" w:name="_ENREF_3"/>
      <w:r>
        <w:rPr>
          <w:rFonts w:ascii="Garamond" w:hAnsi="Garamond"/>
        </w:rPr>
        <w:t xml:space="preserve">Chinn, M., and Ito, H. (2021) The Chinn-Ito Index: A de jure measure of financial openness. </w:t>
      </w:r>
      <w:r w:rsidRPr="00E9330D">
        <w:rPr>
          <w:rFonts w:ascii="Garamond" w:hAnsi="Garamond"/>
        </w:rPr>
        <w:t>http://web.pdx.edu/~ito/Chinn-Ito_website.htm</w:t>
      </w:r>
      <w:r>
        <w:rPr>
          <w:rFonts w:ascii="Garamond" w:hAnsi="Garamond"/>
        </w:rPr>
        <w:t xml:space="preserve"> </w:t>
      </w:r>
    </w:p>
    <w:p w14:paraId="44B0C893" w14:textId="77777777" w:rsidR="00EE78DE" w:rsidRPr="00F25832" w:rsidRDefault="00EE78DE" w:rsidP="00D71C0F">
      <w:pPr>
        <w:ind w:left="720" w:hanging="720"/>
        <w:jc w:val="both"/>
        <w:rPr>
          <w:rFonts w:ascii="Garamond" w:hAnsi="Garamond"/>
        </w:rPr>
      </w:pPr>
      <w:bookmarkStart w:id="28" w:name="_ENREF_5"/>
      <w:bookmarkEnd w:id="27"/>
      <w:r w:rsidRPr="00F25832">
        <w:rPr>
          <w:rFonts w:ascii="Garamond" w:hAnsi="Garamond" w:cs="Times New Roman"/>
        </w:rPr>
        <w:t>European Commission (2020) Annual Macroeconomic Database.  https://ec.europa.eu/info/business-economy-euro/indicators-statistics/economic-databases/macro-economic-database-ameco/ameco-database_en</w:t>
      </w:r>
    </w:p>
    <w:p w14:paraId="4D0B7A1B" w14:textId="77777777" w:rsidR="00EE78DE" w:rsidRPr="00F534F3" w:rsidRDefault="00EE78DE" w:rsidP="00D71C0F">
      <w:pPr>
        <w:ind w:left="720" w:hanging="720"/>
        <w:jc w:val="both"/>
        <w:rPr>
          <w:rFonts w:ascii="Garamond" w:eastAsia="Times New Roman" w:hAnsi="Garamond" w:cs="Times New Roman"/>
        </w:rPr>
      </w:pPr>
      <w:r w:rsidRPr="00F534F3">
        <w:rPr>
          <w:rFonts w:ascii="Garamond" w:eastAsia="Times New Roman" w:hAnsi="Garamond" w:cs="Times New Roman"/>
        </w:rPr>
        <w:t xml:space="preserve">Fowler, J. H. (2006). Elections and markets: The effect of partisanship, policy risk, and electoral margins on the economy. </w:t>
      </w:r>
      <w:r w:rsidRPr="00F534F3">
        <w:rPr>
          <w:rFonts w:ascii="Garamond" w:eastAsia="Times New Roman" w:hAnsi="Garamond" w:cs="Times New Roman"/>
          <w:i/>
          <w:iCs/>
        </w:rPr>
        <w:t>The Journal of Politics</w:t>
      </w:r>
      <w:r w:rsidRPr="00F534F3">
        <w:rPr>
          <w:rFonts w:ascii="Garamond" w:eastAsia="Times New Roman" w:hAnsi="Garamond" w:cs="Times New Roman"/>
        </w:rPr>
        <w:t xml:space="preserve">, </w:t>
      </w:r>
      <w:r w:rsidRPr="00F534F3">
        <w:rPr>
          <w:rFonts w:ascii="Garamond" w:eastAsia="Times New Roman" w:hAnsi="Garamond" w:cs="Times New Roman"/>
          <w:i/>
          <w:iCs/>
        </w:rPr>
        <w:t>68</w:t>
      </w:r>
      <w:r w:rsidRPr="00F534F3">
        <w:rPr>
          <w:rFonts w:ascii="Garamond" w:eastAsia="Times New Roman" w:hAnsi="Garamond" w:cs="Times New Roman"/>
        </w:rPr>
        <w:t>(1), 89-103.</w:t>
      </w:r>
    </w:p>
    <w:p w14:paraId="4C583B52" w14:textId="77777777" w:rsidR="00EE78DE" w:rsidRPr="00F25832" w:rsidRDefault="00EE78DE" w:rsidP="00D71C0F">
      <w:pPr>
        <w:ind w:left="720" w:hanging="720"/>
        <w:jc w:val="both"/>
        <w:rPr>
          <w:rFonts w:ascii="Garamond" w:eastAsia="Times New Roman" w:hAnsi="Garamond" w:cs="Times New Roman"/>
        </w:rPr>
      </w:pPr>
      <w:r w:rsidRPr="00F534F3">
        <w:rPr>
          <w:rFonts w:ascii="Garamond" w:eastAsia="Times New Roman" w:hAnsi="Garamond" w:cs="Times New Roman"/>
        </w:rPr>
        <w:t xml:space="preserve">Fratianni, M., &amp; Von Hagen, J. (2019). </w:t>
      </w:r>
      <w:r w:rsidRPr="00F534F3">
        <w:rPr>
          <w:rFonts w:ascii="Garamond" w:eastAsia="Times New Roman" w:hAnsi="Garamond" w:cs="Times New Roman"/>
          <w:i/>
          <w:iCs/>
        </w:rPr>
        <w:t>The European monetary system and European monetary union</w:t>
      </w:r>
      <w:r w:rsidRPr="00F534F3">
        <w:rPr>
          <w:rFonts w:ascii="Garamond" w:eastAsia="Times New Roman" w:hAnsi="Garamond" w:cs="Times New Roman"/>
        </w:rPr>
        <w:t>. Routledge.</w:t>
      </w:r>
    </w:p>
    <w:p w14:paraId="6FE886A3" w14:textId="77777777" w:rsidR="00EE78DE" w:rsidRPr="00E9330D" w:rsidRDefault="00EE78DE" w:rsidP="00D71C0F">
      <w:pPr>
        <w:pStyle w:val="EndNoteBibliography"/>
        <w:ind w:left="720" w:hanging="720"/>
        <w:rPr>
          <w:rFonts w:ascii="Garamond" w:hAnsi="Garamond"/>
        </w:rPr>
      </w:pPr>
      <w:r w:rsidRPr="00E9330D">
        <w:rPr>
          <w:rFonts w:ascii="Garamond" w:hAnsi="Garamond"/>
        </w:rPr>
        <w:t xml:space="preserve">Garrett, Geoffrey. 1998. </w:t>
      </w:r>
      <w:r w:rsidRPr="00E9330D">
        <w:rPr>
          <w:rFonts w:ascii="Garamond" w:hAnsi="Garamond"/>
          <w:i/>
        </w:rPr>
        <w:t>Partisan Politics in the Global Economy</w:t>
      </w:r>
      <w:r w:rsidRPr="00E9330D">
        <w:rPr>
          <w:rFonts w:ascii="Garamond" w:hAnsi="Garamond"/>
        </w:rPr>
        <w:t>. Cambridge: Cambridge University Press.</w:t>
      </w:r>
      <w:bookmarkEnd w:id="28"/>
    </w:p>
    <w:p w14:paraId="468210DA" w14:textId="77777777" w:rsidR="00EE78DE" w:rsidRDefault="00EE78DE" w:rsidP="00D71C0F">
      <w:pPr>
        <w:pStyle w:val="EndNoteBibliography"/>
        <w:ind w:left="720" w:hanging="720"/>
        <w:rPr>
          <w:rFonts w:ascii="Garamond" w:hAnsi="Garamond"/>
        </w:rPr>
      </w:pPr>
      <w:bookmarkStart w:id="29" w:name="_ENREF_7"/>
      <w:r w:rsidRPr="00E9330D">
        <w:rPr>
          <w:rFonts w:ascii="Garamond" w:hAnsi="Garamond"/>
        </w:rPr>
        <w:t xml:space="preserve">Giavazzi, Francesco and Marco Pagano. 1988. The Advantage of Tying One's Hands: Ems Discipline and Central Bank Credibility. </w:t>
      </w:r>
      <w:r w:rsidRPr="00E9330D">
        <w:rPr>
          <w:rFonts w:ascii="Garamond" w:hAnsi="Garamond"/>
          <w:i/>
        </w:rPr>
        <w:t>European Economic Review</w:t>
      </w:r>
      <w:r w:rsidRPr="00E9330D">
        <w:rPr>
          <w:rFonts w:ascii="Garamond" w:hAnsi="Garamond"/>
        </w:rPr>
        <w:t xml:space="preserve"> 32(5):1055-75. doi: https://doi.org/10.1016/0014-2921(88)90065-7.</w:t>
      </w:r>
      <w:bookmarkEnd w:id="29"/>
    </w:p>
    <w:p w14:paraId="19F0BF16" w14:textId="77777777" w:rsidR="00BE153C" w:rsidRPr="00E9330D" w:rsidRDefault="00BE153C" w:rsidP="00BE153C">
      <w:pPr>
        <w:pStyle w:val="EndNoteBibliography"/>
        <w:ind w:left="720" w:hanging="720"/>
        <w:rPr>
          <w:rFonts w:ascii="Garamond" w:hAnsi="Garamond"/>
        </w:rPr>
      </w:pPr>
      <w:r w:rsidRPr="00E9330D">
        <w:rPr>
          <w:rFonts w:ascii="Garamond" w:hAnsi="Garamond"/>
        </w:rPr>
        <w:t xml:space="preserve">De Grauwe, Paul. 2011. The Governance of a Fragile Eurozone. </w:t>
      </w:r>
      <w:r w:rsidRPr="00E9330D">
        <w:rPr>
          <w:rFonts w:ascii="Garamond" w:hAnsi="Garamond"/>
          <w:i/>
        </w:rPr>
        <w:t>Unpublished Manuscript: University of Leuven</w:t>
      </w:r>
      <w:r w:rsidRPr="00E9330D">
        <w:rPr>
          <w:rFonts w:ascii="Garamond" w:hAnsi="Garamond"/>
        </w:rPr>
        <w:t>.</w:t>
      </w:r>
    </w:p>
    <w:p w14:paraId="43DF6B29" w14:textId="77777777" w:rsidR="00BE153C" w:rsidRPr="00E9330D" w:rsidRDefault="00BE153C" w:rsidP="00BE153C">
      <w:pPr>
        <w:pStyle w:val="EndNoteBibliography"/>
        <w:ind w:left="720" w:hanging="720"/>
        <w:rPr>
          <w:rFonts w:ascii="Garamond" w:hAnsi="Garamond"/>
        </w:rPr>
      </w:pPr>
      <w:bookmarkStart w:id="30" w:name="_ENREF_4"/>
      <w:r w:rsidRPr="00E9330D">
        <w:rPr>
          <w:rFonts w:ascii="Garamond" w:hAnsi="Garamond"/>
        </w:rPr>
        <w:t xml:space="preserve">De Grauwe, Paul. 2013. The Political Economy of the Euro. </w:t>
      </w:r>
      <w:r w:rsidRPr="00E9330D">
        <w:rPr>
          <w:rFonts w:ascii="Garamond" w:hAnsi="Garamond"/>
          <w:i/>
        </w:rPr>
        <w:t>Annual Review of Political Science</w:t>
      </w:r>
      <w:r w:rsidRPr="00E9330D">
        <w:rPr>
          <w:rFonts w:ascii="Garamond" w:hAnsi="Garamond"/>
        </w:rPr>
        <w:t xml:space="preserve"> 16(1):153-70. doi: 10.1146/annurev-polisci-060911-085923.</w:t>
      </w:r>
      <w:bookmarkEnd w:id="30"/>
    </w:p>
    <w:p w14:paraId="06CD5BEE" w14:textId="77777777" w:rsidR="00EE78DE" w:rsidRPr="00F534F3" w:rsidRDefault="00EE78DE" w:rsidP="00D71C0F">
      <w:pPr>
        <w:ind w:left="720" w:hanging="720"/>
        <w:jc w:val="both"/>
        <w:rPr>
          <w:rFonts w:ascii="Garamond" w:hAnsi="Garamond"/>
        </w:rPr>
      </w:pPr>
      <w:r w:rsidRPr="00F534F3">
        <w:rPr>
          <w:rFonts w:ascii="Garamond" w:hAnsi="Garamond"/>
        </w:rPr>
        <w:t xml:space="preserve">Gray, J. (2013). </w:t>
      </w:r>
      <w:r w:rsidRPr="00F534F3">
        <w:rPr>
          <w:rFonts w:ascii="Garamond" w:hAnsi="Garamond"/>
          <w:i/>
          <w:iCs/>
        </w:rPr>
        <w:t>The company states keep: International economic organizations and investor perceptions</w:t>
      </w:r>
      <w:r w:rsidRPr="00F534F3">
        <w:rPr>
          <w:rFonts w:ascii="Garamond" w:hAnsi="Garamond"/>
        </w:rPr>
        <w:t>. Cambridge University Press</w:t>
      </w:r>
    </w:p>
    <w:p w14:paraId="0F4C800C" w14:textId="77777777" w:rsidR="00EE78DE" w:rsidRPr="00F25832" w:rsidRDefault="00EE78DE" w:rsidP="00D71C0F">
      <w:pPr>
        <w:pStyle w:val="EndNoteBibliography"/>
        <w:ind w:left="720" w:hanging="720"/>
        <w:rPr>
          <w:rFonts w:ascii="Garamond" w:hAnsi="Garamond"/>
        </w:rPr>
      </w:pPr>
      <w:r w:rsidRPr="00F534F3">
        <w:rPr>
          <w:rFonts w:ascii="Garamond" w:hAnsi="Garamond"/>
        </w:rPr>
        <w:lastRenderedPageBreak/>
        <w:t xml:space="preserve">Grilli, V., Masciandaro, D., &amp; Tabellini, G. (1991). Political and monetary institutions and public financial policies in the industrial countries. </w:t>
      </w:r>
      <w:r w:rsidRPr="00F534F3">
        <w:rPr>
          <w:rFonts w:ascii="Garamond" w:hAnsi="Garamond"/>
          <w:i/>
          <w:iCs/>
        </w:rPr>
        <w:t>Economic policy</w:t>
      </w:r>
      <w:r w:rsidRPr="00F534F3">
        <w:rPr>
          <w:rFonts w:ascii="Garamond" w:hAnsi="Garamond"/>
        </w:rPr>
        <w:t xml:space="preserve">, </w:t>
      </w:r>
      <w:r w:rsidRPr="00F534F3">
        <w:rPr>
          <w:rFonts w:ascii="Garamond" w:hAnsi="Garamond"/>
          <w:i/>
          <w:iCs/>
        </w:rPr>
        <w:t>6</w:t>
      </w:r>
      <w:r w:rsidRPr="00F534F3">
        <w:rPr>
          <w:rFonts w:ascii="Garamond" w:hAnsi="Garamond"/>
        </w:rPr>
        <w:t>(13), 341-392</w:t>
      </w:r>
    </w:p>
    <w:p w14:paraId="04D903E3" w14:textId="77777777" w:rsidR="00EE78DE" w:rsidRPr="00E9330D" w:rsidRDefault="00EE78DE" w:rsidP="00D71C0F">
      <w:pPr>
        <w:pStyle w:val="EndNoteBibliography"/>
        <w:ind w:left="720" w:hanging="720"/>
        <w:rPr>
          <w:rFonts w:ascii="Garamond" w:hAnsi="Garamond"/>
        </w:rPr>
      </w:pPr>
      <w:bookmarkStart w:id="31" w:name="_ENREF_8"/>
      <w:r w:rsidRPr="00E9330D">
        <w:rPr>
          <w:rFonts w:ascii="Garamond" w:hAnsi="Garamond"/>
        </w:rPr>
        <w:t xml:space="preserve">Guajardo, Jaime, Daniel Leigh and Andrea Pescatori. 2011. Expansionary Austerity: New International Evidence. </w:t>
      </w:r>
      <w:r w:rsidRPr="00E9330D">
        <w:rPr>
          <w:rFonts w:ascii="Garamond" w:hAnsi="Garamond"/>
          <w:i/>
        </w:rPr>
        <w:t>IMF Working Paper WP/11/158</w:t>
      </w:r>
      <w:r w:rsidRPr="00E9330D">
        <w:rPr>
          <w:rFonts w:ascii="Garamond" w:hAnsi="Garamond"/>
        </w:rPr>
        <w:t>.</w:t>
      </w:r>
      <w:bookmarkEnd w:id="31"/>
    </w:p>
    <w:p w14:paraId="1476BF6F" w14:textId="77777777" w:rsidR="00EE78DE" w:rsidRPr="00F534F3" w:rsidRDefault="00EE78DE" w:rsidP="00D71C0F">
      <w:pPr>
        <w:ind w:left="720" w:hanging="720"/>
        <w:jc w:val="both"/>
        <w:rPr>
          <w:rFonts w:ascii="Garamond" w:eastAsia="Times New Roman" w:hAnsi="Garamond" w:cs="Times New Roman"/>
        </w:rPr>
      </w:pPr>
      <w:bookmarkStart w:id="32" w:name="_ENREF_9"/>
      <w:r w:rsidRPr="00F534F3">
        <w:rPr>
          <w:rFonts w:ascii="Garamond" w:eastAsia="Times New Roman" w:hAnsi="Garamond" w:cs="Times New Roman"/>
        </w:rPr>
        <w:t xml:space="preserve">Hall, P. A. (1994). Central bank independence and coordinated wage bargaining: their interaction in Germany and Europe. </w:t>
      </w:r>
      <w:r w:rsidRPr="00F534F3">
        <w:rPr>
          <w:rFonts w:ascii="Garamond" w:eastAsia="Times New Roman" w:hAnsi="Garamond" w:cs="Times New Roman"/>
          <w:i/>
          <w:iCs/>
        </w:rPr>
        <w:t>German Politics &amp; Society</w:t>
      </w:r>
      <w:r w:rsidRPr="00F534F3">
        <w:rPr>
          <w:rFonts w:ascii="Garamond" w:eastAsia="Times New Roman" w:hAnsi="Garamond" w:cs="Times New Roman"/>
        </w:rPr>
        <w:t>, 1-23.</w:t>
      </w:r>
    </w:p>
    <w:p w14:paraId="2A9ABFFF" w14:textId="77777777" w:rsidR="00EE78DE" w:rsidRPr="00F534F3" w:rsidRDefault="00EE78DE" w:rsidP="00D71C0F">
      <w:pPr>
        <w:ind w:left="720" w:hanging="720"/>
        <w:jc w:val="both"/>
        <w:rPr>
          <w:rFonts w:ascii="Garamond" w:hAnsi="Garamond"/>
        </w:rPr>
      </w:pPr>
      <w:r w:rsidRPr="00F534F3">
        <w:rPr>
          <w:rFonts w:ascii="Garamond" w:hAnsi="Garamond"/>
        </w:rPr>
        <w:t xml:space="preserve">Hall, P. A., &amp; Franzese, R. J. (1998). Mixed signals: central bank independence, coordinated wage bargaining, and European Monetary Union. </w:t>
      </w:r>
      <w:r w:rsidRPr="00F534F3">
        <w:rPr>
          <w:rFonts w:ascii="Garamond" w:hAnsi="Garamond"/>
          <w:i/>
          <w:iCs/>
        </w:rPr>
        <w:t>International organization</w:t>
      </w:r>
      <w:r w:rsidRPr="00F534F3">
        <w:rPr>
          <w:rFonts w:ascii="Garamond" w:hAnsi="Garamond"/>
        </w:rPr>
        <w:t xml:space="preserve">, </w:t>
      </w:r>
      <w:r w:rsidRPr="00F534F3">
        <w:rPr>
          <w:rFonts w:ascii="Garamond" w:hAnsi="Garamond"/>
          <w:i/>
          <w:iCs/>
        </w:rPr>
        <w:t>52</w:t>
      </w:r>
      <w:r w:rsidRPr="00F534F3">
        <w:rPr>
          <w:rFonts w:ascii="Garamond" w:hAnsi="Garamond"/>
        </w:rPr>
        <w:t>(3), 505-535.</w:t>
      </w:r>
    </w:p>
    <w:p w14:paraId="356A6A23" w14:textId="0C58652B" w:rsidR="00EE78DE" w:rsidRPr="00EE78DE" w:rsidRDefault="00EE78DE" w:rsidP="00D71C0F">
      <w:pPr>
        <w:ind w:left="720" w:hanging="720"/>
        <w:jc w:val="both"/>
        <w:rPr>
          <w:rFonts w:ascii="Garamond" w:eastAsia="Times New Roman" w:hAnsi="Garamond" w:cs="Times New Roman"/>
        </w:rPr>
      </w:pPr>
      <w:r w:rsidRPr="00EE78DE">
        <w:rPr>
          <w:rFonts w:ascii="Garamond" w:eastAsia="Times New Roman" w:hAnsi="Garamond" w:cs="Times New Roman"/>
        </w:rPr>
        <w:t xml:space="preserve">Hallerberg, M., &amp; Wolff, G. B. (2008). Fiscal Institutions, Fiscal Policy and Sovereign Risk Premia in EMU. </w:t>
      </w:r>
      <w:r w:rsidRPr="00EE78DE">
        <w:rPr>
          <w:rFonts w:ascii="Garamond" w:eastAsia="Times New Roman" w:hAnsi="Garamond" w:cs="Times New Roman"/>
          <w:i/>
          <w:iCs/>
        </w:rPr>
        <w:t>Public Choice</w:t>
      </w:r>
      <w:r w:rsidRPr="00EE78DE">
        <w:rPr>
          <w:rFonts w:ascii="Garamond" w:eastAsia="Times New Roman" w:hAnsi="Garamond" w:cs="Times New Roman"/>
        </w:rPr>
        <w:t xml:space="preserve">, </w:t>
      </w:r>
      <w:r w:rsidRPr="00EE78DE">
        <w:rPr>
          <w:rFonts w:ascii="Garamond" w:eastAsia="Times New Roman" w:hAnsi="Garamond" w:cs="Times New Roman"/>
          <w:i/>
          <w:iCs/>
        </w:rPr>
        <w:t>136</w:t>
      </w:r>
      <w:r w:rsidRPr="00EE78DE">
        <w:rPr>
          <w:rFonts w:ascii="Garamond" w:eastAsia="Times New Roman" w:hAnsi="Garamond" w:cs="Times New Roman"/>
        </w:rPr>
        <w:t>(3/4), 379–396.</w:t>
      </w:r>
    </w:p>
    <w:p w14:paraId="4019B456" w14:textId="77777777" w:rsidR="00EE78DE" w:rsidRPr="009C01DA" w:rsidRDefault="00EE78DE" w:rsidP="00D71C0F">
      <w:pPr>
        <w:ind w:left="720" w:hanging="720"/>
        <w:jc w:val="both"/>
        <w:rPr>
          <w:rFonts w:ascii="Garamond" w:hAnsi="Garamond" w:cs="Times New Roman"/>
        </w:rPr>
      </w:pPr>
      <w:r w:rsidRPr="00F534F3">
        <w:rPr>
          <w:rFonts w:ascii="Garamond" w:hAnsi="Garamond"/>
        </w:rPr>
        <w:t xml:space="preserve">Höpner, M., &amp; Spielau, A. (2018). Better than the euro? the European monetary system (1979–1998). </w:t>
      </w:r>
      <w:r w:rsidRPr="00F534F3">
        <w:rPr>
          <w:rFonts w:ascii="Garamond" w:hAnsi="Garamond"/>
          <w:i/>
          <w:iCs/>
        </w:rPr>
        <w:t>New Political Economy</w:t>
      </w:r>
      <w:r w:rsidRPr="00F534F3">
        <w:rPr>
          <w:rFonts w:ascii="Garamond" w:hAnsi="Garamond"/>
        </w:rPr>
        <w:t xml:space="preserve">, </w:t>
      </w:r>
      <w:r w:rsidRPr="00F534F3">
        <w:rPr>
          <w:rFonts w:ascii="Garamond" w:hAnsi="Garamond"/>
          <w:i/>
          <w:iCs/>
        </w:rPr>
        <w:t>23</w:t>
      </w:r>
      <w:r w:rsidRPr="00F534F3">
        <w:rPr>
          <w:rFonts w:ascii="Garamond" w:hAnsi="Garamond"/>
        </w:rPr>
        <w:t>(2), 160-173.</w:t>
      </w:r>
    </w:p>
    <w:p w14:paraId="35281312" w14:textId="77777777" w:rsidR="00EE78DE" w:rsidRDefault="00EE78DE" w:rsidP="00D71C0F">
      <w:pPr>
        <w:ind w:left="720" w:hanging="720"/>
        <w:jc w:val="both"/>
        <w:rPr>
          <w:rFonts w:ascii="Garamond" w:hAnsi="Garamond"/>
        </w:rPr>
      </w:pPr>
      <w:r w:rsidRPr="009C01DA">
        <w:rPr>
          <w:rFonts w:ascii="Garamond" w:hAnsi="Garamond"/>
        </w:rPr>
        <w:t xml:space="preserve">IMF (2012) Annual Report on Exchange Arrangements and Exchange Restrictions, 2012, </w:t>
      </w:r>
      <w:hyperlink r:id="rId14" w:history="1">
        <w:r w:rsidRPr="009C01DA">
          <w:rPr>
            <w:rStyle w:val="Hyperlink"/>
            <w:rFonts w:ascii="Garamond" w:hAnsi="Garamond"/>
          </w:rPr>
          <w:t>https://www.imf.org/external/pubs/nft/2012/eaer/ar2012.pdf</w:t>
        </w:r>
      </w:hyperlink>
      <w:r w:rsidRPr="009C01DA">
        <w:rPr>
          <w:rFonts w:ascii="Garamond" w:hAnsi="Garamond"/>
        </w:rPr>
        <w:t xml:space="preserve"> </w:t>
      </w:r>
    </w:p>
    <w:p w14:paraId="5D706C7C" w14:textId="77777777" w:rsidR="00EE78DE" w:rsidRPr="009C01DA" w:rsidRDefault="00EE78DE" w:rsidP="00D71C0F">
      <w:pPr>
        <w:ind w:left="720" w:hanging="720"/>
        <w:jc w:val="both"/>
        <w:rPr>
          <w:rFonts w:ascii="Garamond" w:hAnsi="Garamond"/>
        </w:rPr>
      </w:pPr>
      <w:r w:rsidRPr="009C01DA">
        <w:rPr>
          <w:rFonts w:ascii="Garamond" w:hAnsi="Garamond"/>
        </w:rPr>
        <w:t xml:space="preserve">IMF (2014) Annual Report on Exchange Arrangements and Exchange Restrictions, 2014, </w:t>
      </w:r>
      <w:hyperlink r:id="rId15" w:history="1">
        <w:r w:rsidRPr="009C01DA">
          <w:rPr>
            <w:rStyle w:val="Hyperlink"/>
            <w:rFonts w:ascii="Garamond" w:hAnsi="Garamond"/>
          </w:rPr>
          <w:t>https://www.imf.org/external/pubs/nft/2014/areaers/ar2014.pdf</w:t>
        </w:r>
      </w:hyperlink>
      <w:r w:rsidRPr="009C01DA">
        <w:rPr>
          <w:rFonts w:ascii="Garamond" w:hAnsi="Garamond"/>
        </w:rPr>
        <w:t xml:space="preserve"> </w:t>
      </w:r>
    </w:p>
    <w:p w14:paraId="3CFEADCF" w14:textId="77777777" w:rsidR="00EE78DE" w:rsidRDefault="00EE78DE" w:rsidP="00D71C0F">
      <w:pPr>
        <w:ind w:left="720" w:hanging="720"/>
        <w:jc w:val="both"/>
        <w:rPr>
          <w:rStyle w:val="Hyperlink"/>
          <w:rFonts w:ascii="Garamond" w:hAnsi="Garamond"/>
        </w:rPr>
      </w:pPr>
      <w:r w:rsidRPr="009C01DA">
        <w:rPr>
          <w:rFonts w:ascii="Garamond" w:hAnsi="Garamond"/>
        </w:rPr>
        <w:t xml:space="preserve">IMF (2016) Annual Report on Exchange Arrangements and Exchange Restrictions, 2016, </w:t>
      </w:r>
      <w:hyperlink r:id="rId16" w:history="1">
        <w:r w:rsidRPr="009C01DA">
          <w:rPr>
            <w:rStyle w:val="Hyperlink"/>
            <w:rFonts w:ascii="Garamond" w:hAnsi="Garamond"/>
          </w:rPr>
          <w:t>https://www.imf.org/en/Publications/Annual-Report-on-Exchange-Arrangements-and-Exchange-Restrictions/Issues/2017/01/25/Annual-Report-on-Exchange-Arrangements-and-Exchange-Restrictions-2016-43741</w:t>
        </w:r>
      </w:hyperlink>
    </w:p>
    <w:p w14:paraId="115EB319" w14:textId="77777777" w:rsidR="00EE78DE" w:rsidRPr="00F534F3" w:rsidRDefault="00EE78DE" w:rsidP="00D71C0F">
      <w:pPr>
        <w:ind w:left="720" w:hanging="720"/>
        <w:jc w:val="both"/>
        <w:rPr>
          <w:rFonts w:ascii="Garamond" w:hAnsi="Garamond"/>
        </w:rPr>
      </w:pPr>
      <w:r w:rsidRPr="00F534F3">
        <w:rPr>
          <w:rFonts w:ascii="Garamond" w:hAnsi="Garamond"/>
        </w:rPr>
        <w:t xml:space="preserve">Iversen, T. (1998). Wage bargaining, central bank independence, and the real effects of money. </w:t>
      </w:r>
      <w:r w:rsidRPr="00F534F3">
        <w:rPr>
          <w:rFonts w:ascii="Garamond" w:hAnsi="Garamond"/>
          <w:i/>
          <w:iCs/>
        </w:rPr>
        <w:t>International Organization</w:t>
      </w:r>
      <w:r w:rsidRPr="00F534F3">
        <w:rPr>
          <w:rFonts w:ascii="Garamond" w:hAnsi="Garamond"/>
        </w:rPr>
        <w:t xml:space="preserve">, </w:t>
      </w:r>
      <w:r w:rsidRPr="00F534F3">
        <w:rPr>
          <w:rFonts w:ascii="Garamond" w:hAnsi="Garamond"/>
          <w:i/>
          <w:iCs/>
        </w:rPr>
        <w:t>52</w:t>
      </w:r>
      <w:r w:rsidRPr="00F534F3">
        <w:rPr>
          <w:rFonts w:ascii="Garamond" w:hAnsi="Garamond"/>
        </w:rPr>
        <w:t>(3), 469-504.</w:t>
      </w:r>
    </w:p>
    <w:p w14:paraId="790971D6" w14:textId="77777777" w:rsidR="00EE78DE" w:rsidRPr="00F534F3" w:rsidRDefault="00EE78DE" w:rsidP="00D71C0F">
      <w:pPr>
        <w:ind w:left="720" w:hanging="720"/>
        <w:jc w:val="both"/>
        <w:rPr>
          <w:rFonts w:ascii="Garamond" w:eastAsia="Times New Roman" w:hAnsi="Garamond" w:cs="Times New Roman"/>
        </w:rPr>
      </w:pPr>
      <w:r w:rsidRPr="00F534F3">
        <w:rPr>
          <w:rFonts w:ascii="Garamond" w:eastAsia="Times New Roman" w:hAnsi="Garamond" w:cs="Times New Roman"/>
        </w:rPr>
        <w:t xml:space="preserve">Johnston, A. (2012). European Economic and Monetary Union’s perverse effects on sectoral wage inflation: Negative feedback effects from institutional change?. </w:t>
      </w:r>
      <w:r w:rsidRPr="00F534F3">
        <w:rPr>
          <w:rFonts w:ascii="Garamond" w:eastAsia="Times New Roman" w:hAnsi="Garamond" w:cs="Times New Roman"/>
          <w:i/>
          <w:iCs/>
        </w:rPr>
        <w:t>European Union Politics</w:t>
      </w:r>
      <w:r w:rsidRPr="00F534F3">
        <w:rPr>
          <w:rFonts w:ascii="Garamond" w:eastAsia="Times New Roman" w:hAnsi="Garamond" w:cs="Times New Roman"/>
        </w:rPr>
        <w:t xml:space="preserve">, </w:t>
      </w:r>
      <w:r w:rsidRPr="00F534F3">
        <w:rPr>
          <w:rFonts w:ascii="Garamond" w:eastAsia="Times New Roman" w:hAnsi="Garamond" w:cs="Times New Roman"/>
          <w:i/>
          <w:iCs/>
        </w:rPr>
        <w:t>13</w:t>
      </w:r>
      <w:r w:rsidRPr="00F534F3">
        <w:rPr>
          <w:rFonts w:ascii="Garamond" w:eastAsia="Times New Roman" w:hAnsi="Garamond" w:cs="Times New Roman"/>
        </w:rPr>
        <w:t>(3), 345-366.</w:t>
      </w:r>
    </w:p>
    <w:p w14:paraId="7A6121F0" w14:textId="77777777" w:rsidR="00EE78DE" w:rsidRPr="00F534F3" w:rsidRDefault="00EE78DE" w:rsidP="00D71C0F">
      <w:pPr>
        <w:jc w:val="both"/>
        <w:rPr>
          <w:rFonts w:ascii="Garamond" w:hAnsi="Garamond"/>
        </w:rPr>
      </w:pPr>
      <w:r w:rsidRPr="00F534F3">
        <w:rPr>
          <w:rFonts w:ascii="Garamond" w:hAnsi="Garamond"/>
        </w:rPr>
        <w:t xml:space="preserve">Johnston, A. (2016). </w:t>
      </w:r>
      <w:r w:rsidRPr="00F534F3">
        <w:rPr>
          <w:rFonts w:ascii="Garamond" w:hAnsi="Garamond"/>
          <w:i/>
          <w:iCs/>
        </w:rPr>
        <w:t>From convergence to crisis</w:t>
      </w:r>
      <w:r w:rsidRPr="00F534F3">
        <w:rPr>
          <w:rFonts w:ascii="Garamond" w:hAnsi="Garamond"/>
        </w:rPr>
        <w:t>. Cornell University Press.</w:t>
      </w:r>
    </w:p>
    <w:p w14:paraId="7B5FF67C" w14:textId="77777777" w:rsidR="00EE78DE" w:rsidRPr="009C01DA" w:rsidRDefault="00EE78DE" w:rsidP="00D71C0F">
      <w:pPr>
        <w:pStyle w:val="EndNoteBibliography"/>
        <w:ind w:left="720" w:hanging="720"/>
        <w:rPr>
          <w:rFonts w:ascii="Garamond" w:hAnsi="Garamond"/>
        </w:rPr>
      </w:pPr>
      <w:r w:rsidRPr="00F534F3">
        <w:rPr>
          <w:rFonts w:ascii="Garamond" w:hAnsi="Garamond"/>
        </w:rPr>
        <w:t xml:space="preserve">Klein, M. W., &amp; Shambaugh, J. C. (2012). </w:t>
      </w:r>
      <w:r w:rsidRPr="00F534F3">
        <w:rPr>
          <w:rFonts w:ascii="Garamond" w:hAnsi="Garamond"/>
          <w:i/>
          <w:iCs/>
        </w:rPr>
        <w:t>Exchange rate regimes in the modern era</w:t>
      </w:r>
      <w:r w:rsidRPr="00F534F3">
        <w:rPr>
          <w:rFonts w:ascii="Garamond" w:hAnsi="Garamond"/>
        </w:rPr>
        <w:t>. MIT press.</w:t>
      </w:r>
    </w:p>
    <w:p w14:paraId="2B7FEE75" w14:textId="77777777" w:rsidR="00EE78DE" w:rsidRPr="00E9330D" w:rsidRDefault="00EE78DE" w:rsidP="00D71C0F">
      <w:pPr>
        <w:pStyle w:val="EndNoteBibliography"/>
        <w:ind w:left="720" w:hanging="720"/>
        <w:rPr>
          <w:rFonts w:ascii="Garamond" w:hAnsi="Garamond"/>
        </w:rPr>
      </w:pPr>
      <w:r w:rsidRPr="00E9330D">
        <w:rPr>
          <w:rFonts w:ascii="Garamond" w:hAnsi="Garamond"/>
        </w:rPr>
        <w:t xml:space="preserve">Korpi, Walter and Joakim Palme. 2003. New Politics and Class Politics in the Context of Austerity and Globalization: Welfare State Regress in 18 Countries, 1975-95. </w:t>
      </w:r>
      <w:r w:rsidRPr="00E9330D">
        <w:rPr>
          <w:rFonts w:ascii="Garamond" w:hAnsi="Garamond"/>
          <w:i/>
        </w:rPr>
        <w:t>American Political Science Review</w:t>
      </w:r>
      <w:r w:rsidRPr="00E9330D">
        <w:rPr>
          <w:rFonts w:ascii="Garamond" w:hAnsi="Garamond"/>
        </w:rPr>
        <w:t xml:space="preserve"> 97(3):425-46.</w:t>
      </w:r>
      <w:bookmarkEnd w:id="32"/>
    </w:p>
    <w:p w14:paraId="42D567A0" w14:textId="77777777" w:rsidR="00AA6545" w:rsidRPr="00AA6545" w:rsidRDefault="00AA6545" w:rsidP="00AA6545">
      <w:pPr>
        <w:rPr>
          <w:rFonts w:ascii="Garamond" w:eastAsia="Times New Roman" w:hAnsi="Garamond" w:cs="Times New Roman"/>
        </w:rPr>
      </w:pPr>
      <w:bookmarkStart w:id="33" w:name="_ENREF_10"/>
      <w:r w:rsidRPr="00AA6545">
        <w:rPr>
          <w:rFonts w:ascii="Garamond" w:eastAsia="Times New Roman" w:hAnsi="Garamond" w:cs="Times New Roman"/>
        </w:rPr>
        <w:t xml:space="preserve">Lall, Ranjit. 2017. "How Multiple Imputation Makes a Difference." </w:t>
      </w:r>
      <w:r w:rsidRPr="00AA6545">
        <w:rPr>
          <w:rFonts w:ascii="Garamond" w:eastAsia="Times New Roman" w:hAnsi="Garamond" w:cs="Times New Roman"/>
          <w:i/>
          <w:iCs/>
        </w:rPr>
        <w:t>Political Analysis</w:t>
      </w:r>
      <w:r w:rsidRPr="00AA6545">
        <w:rPr>
          <w:rFonts w:ascii="Garamond" w:eastAsia="Times New Roman" w:hAnsi="Garamond" w:cs="Times New Roman"/>
        </w:rPr>
        <w:t xml:space="preserve"> 24(4):414-33.</w:t>
      </w:r>
    </w:p>
    <w:p w14:paraId="1F0930FF" w14:textId="77777777" w:rsidR="00EE78DE" w:rsidRPr="00F534F3" w:rsidRDefault="00EE78DE" w:rsidP="00D71C0F">
      <w:pPr>
        <w:ind w:left="720" w:hanging="720"/>
        <w:jc w:val="both"/>
        <w:rPr>
          <w:rFonts w:ascii="Garamond" w:eastAsia="Times New Roman" w:hAnsi="Garamond" w:cs="Times New Roman"/>
        </w:rPr>
      </w:pPr>
      <w:r w:rsidRPr="00F534F3">
        <w:rPr>
          <w:rFonts w:ascii="Garamond" w:eastAsia="Times New Roman" w:hAnsi="Garamond" w:cs="Times New Roman"/>
        </w:rPr>
        <w:t xml:space="preserve">Lijphart, A. (1999). </w:t>
      </w:r>
      <w:r w:rsidRPr="00F534F3">
        <w:rPr>
          <w:rFonts w:ascii="Garamond" w:eastAsia="Times New Roman" w:hAnsi="Garamond" w:cs="Times New Roman"/>
          <w:i/>
          <w:iCs/>
        </w:rPr>
        <w:t>Patterns of democracy</w:t>
      </w:r>
      <w:r w:rsidRPr="00F534F3">
        <w:rPr>
          <w:rFonts w:ascii="Garamond" w:eastAsia="Times New Roman" w:hAnsi="Garamond" w:cs="Times New Roman"/>
        </w:rPr>
        <w:t>. Yale university press.</w:t>
      </w:r>
    </w:p>
    <w:p w14:paraId="3EA958C4" w14:textId="77777777" w:rsidR="00EE78DE" w:rsidRPr="00F534F3" w:rsidRDefault="00EE78DE" w:rsidP="00D71C0F">
      <w:pPr>
        <w:ind w:left="720" w:hanging="720"/>
        <w:jc w:val="both"/>
        <w:rPr>
          <w:rFonts w:ascii="Garamond" w:hAnsi="Garamond"/>
        </w:rPr>
      </w:pPr>
      <w:r w:rsidRPr="00F534F3">
        <w:rPr>
          <w:rFonts w:ascii="Garamond" w:hAnsi="Garamond"/>
        </w:rPr>
        <w:t xml:space="preserve">McNamara, K. R. (1999). Consensus and constraint: Ideas and capital mobility in European monetary integration. </w:t>
      </w:r>
      <w:r w:rsidRPr="00F534F3">
        <w:rPr>
          <w:rFonts w:ascii="Garamond" w:hAnsi="Garamond"/>
          <w:i/>
          <w:iCs/>
        </w:rPr>
        <w:t>JCMS: Journal of Common Market Studies</w:t>
      </w:r>
      <w:r w:rsidRPr="00F534F3">
        <w:rPr>
          <w:rFonts w:ascii="Garamond" w:hAnsi="Garamond"/>
        </w:rPr>
        <w:t xml:space="preserve">, </w:t>
      </w:r>
      <w:r w:rsidRPr="00F534F3">
        <w:rPr>
          <w:rFonts w:ascii="Garamond" w:hAnsi="Garamond"/>
          <w:i/>
          <w:iCs/>
        </w:rPr>
        <w:t>37</w:t>
      </w:r>
      <w:r w:rsidRPr="00F534F3">
        <w:rPr>
          <w:rFonts w:ascii="Garamond" w:hAnsi="Garamond"/>
        </w:rPr>
        <w:t>(3), 455-47</w:t>
      </w:r>
    </w:p>
    <w:p w14:paraId="01BF1E8A" w14:textId="77777777" w:rsidR="00EE78DE" w:rsidRPr="00F534F3" w:rsidRDefault="00EE78DE" w:rsidP="00D71C0F">
      <w:pPr>
        <w:ind w:left="720" w:hanging="720"/>
        <w:jc w:val="both"/>
        <w:rPr>
          <w:rFonts w:ascii="Garamond" w:eastAsia="Times New Roman" w:hAnsi="Garamond" w:cs="Times New Roman"/>
          <w:color w:val="000000"/>
        </w:rPr>
      </w:pPr>
      <w:r w:rsidRPr="00F534F3">
        <w:rPr>
          <w:rFonts w:ascii="Garamond" w:hAnsi="Garamond"/>
        </w:rPr>
        <w:t xml:space="preserve">Melitz, J. (1988). </w:t>
      </w:r>
      <w:r w:rsidRPr="00F534F3">
        <w:rPr>
          <w:rFonts w:ascii="Garamond" w:hAnsi="Garamond"/>
          <w:i/>
          <w:iCs/>
        </w:rPr>
        <w:t>Monetary discipline and cooperation in the European Monetary System: A synthesis</w:t>
      </w:r>
      <w:r w:rsidRPr="00F534F3">
        <w:rPr>
          <w:rFonts w:ascii="Garamond" w:hAnsi="Garamond"/>
        </w:rPr>
        <w:t xml:space="preserve"> (No. 219). CEPR Discussion Papers.</w:t>
      </w:r>
    </w:p>
    <w:p w14:paraId="1C03449D" w14:textId="77777777" w:rsidR="00EE78DE" w:rsidRPr="00E9330D" w:rsidRDefault="00EE78DE" w:rsidP="00D71C0F">
      <w:pPr>
        <w:pStyle w:val="EndNoteBibliography"/>
        <w:ind w:left="720" w:hanging="720"/>
        <w:rPr>
          <w:rFonts w:ascii="Garamond" w:hAnsi="Garamond"/>
        </w:rPr>
      </w:pPr>
      <w:r w:rsidRPr="00E9330D">
        <w:rPr>
          <w:rFonts w:ascii="Garamond" w:hAnsi="Garamond"/>
        </w:rPr>
        <w:t xml:space="preserve">Mody, Ashoka. 2018. </w:t>
      </w:r>
      <w:r w:rsidRPr="00E9330D">
        <w:rPr>
          <w:rFonts w:ascii="Garamond" w:hAnsi="Garamond"/>
          <w:i/>
        </w:rPr>
        <w:t>Eurotragedy: A Drama in Nine Acts</w:t>
      </w:r>
      <w:r w:rsidRPr="00E9330D">
        <w:rPr>
          <w:rFonts w:ascii="Garamond" w:hAnsi="Garamond"/>
        </w:rPr>
        <w:t>. New York: Oxford University Press.</w:t>
      </w:r>
      <w:bookmarkEnd w:id="33"/>
    </w:p>
    <w:p w14:paraId="446C0285" w14:textId="77777777" w:rsidR="00EE78DE" w:rsidRPr="00E9330D" w:rsidRDefault="00EE78DE" w:rsidP="00D71C0F">
      <w:pPr>
        <w:pStyle w:val="EndNoteBibliography"/>
        <w:ind w:left="720" w:hanging="720"/>
        <w:rPr>
          <w:rFonts w:ascii="Garamond" w:hAnsi="Garamond"/>
        </w:rPr>
      </w:pPr>
      <w:bookmarkStart w:id="34" w:name="_ENREF_11"/>
      <w:r w:rsidRPr="00E9330D">
        <w:rPr>
          <w:rFonts w:ascii="Garamond" w:hAnsi="Garamond"/>
        </w:rPr>
        <w:t xml:space="preserve">Mosley, Layna. 2003. Room to Move: International Financial Markets and National Welfare States. </w:t>
      </w:r>
      <w:r w:rsidRPr="00E9330D">
        <w:rPr>
          <w:rFonts w:ascii="Garamond" w:hAnsi="Garamond"/>
          <w:i/>
        </w:rPr>
        <w:t>International Organization</w:t>
      </w:r>
      <w:r w:rsidRPr="00E9330D">
        <w:rPr>
          <w:rFonts w:ascii="Garamond" w:hAnsi="Garamond"/>
        </w:rPr>
        <w:t xml:space="preserve"> 54(4):737-73. doi: 10.1162/002081800551352.</w:t>
      </w:r>
      <w:bookmarkEnd w:id="34"/>
    </w:p>
    <w:p w14:paraId="7EA97DBB" w14:textId="77777777" w:rsidR="00EE78DE" w:rsidRDefault="00EE78DE" w:rsidP="00D71C0F">
      <w:pPr>
        <w:ind w:left="720" w:hanging="720"/>
        <w:jc w:val="both"/>
        <w:rPr>
          <w:rFonts w:ascii="Garamond" w:hAnsi="Garamond" w:cs="Times New Roman"/>
        </w:rPr>
      </w:pPr>
      <w:bookmarkStart w:id="35" w:name="_ENREF_12"/>
      <w:r>
        <w:rPr>
          <w:rFonts w:ascii="Garamond" w:hAnsi="Garamond" w:cs="Times New Roman"/>
        </w:rPr>
        <w:t xml:space="preserve">OECD (2019) Gross Domestic Product, OECD.Stat </w:t>
      </w:r>
      <w:r w:rsidRPr="004E389B">
        <w:rPr>
          <w:rFonts w:ascii="Garamond" w:hAnsi="Garamond" w:cs="Times New Roman"/>
        </w:rPr>
        <w:t>https://stats.oecd.org/index.aspx?queryid=60702</w:t>
      </w:r>
      <w:r>
        <w:rPr>
          <w:rFonts w:ascii="Garamond" w:hAnsi="Garamond" w:cs="Times New Roman"/>
        </w:rPr>
        <w:t xml:space="preserve"> </w:t>
      </w:r>
    </w:p>
    <w:p w14:paraId="474971D5" w14:textId="77777777" w:rsidR="00EE78DE" w:rsidRDefault="00EE78DE" w:rsidP="00D71C0F">
      <w:pPr>
        <w:ind w:left="720" w:hanging="720"/>
        <w:jc w:val="both"/>
        <w:rPr>
          <w:rFonts w:ascii="Garamond" w:hAnsi="Garamond" w:cs="Times New Roman"/>
        </w:rPr>
      </w:pPr>
      <w:r w:rsidRPr="00C4597D">
        <w:rPr>
          <w:rFonts w:ascii="Garamond" w:hAnsi="Garamond" w:cs="Times New Roman"/>
        </w:rPr>
        <w:t>OECD (2020a</w:t>
      </w:r>
      <w:r>
        <w:rPr>
          <w:rFonts w:ascii="Garamond" w:hAnsi="Garamond" w:cs="Times New Roman"/>
        </w:rPr>
        <w:t xml:space="preserve">) Long Term Interest Rates. </w:t>
      </w:r>
      <w:r w:rsidRPr="004E389B">
        <w:rPr>
          <w:rFonts w:ascii="Garamond" w:hAnsi="Garamond" w:cs="Times New Roman"/>
        </w:rPr>
        <w:t>https://data.oecd.org/interest/long-term-interest-rates.htm</w:t>
      </w:r>
    </w:p>
    <w:p w14:paraId="67A0DECE" w14:textId="77777777" w:rsidR="00EE78DE" w:rsidRDefault="00EE78DE" w:rsidP="00D71C0F">
      <w:pPr>
        <w:tabs>
          <w:tab w:val="left" w:pos="2700"/>
        </w:tabs>
        <w:jc w:val="both"/>
        <w:rPr>
          <w:rFonts w:ascii="Garamond" w:eastAsiaTheme="minorEastAsia" w:hAnsi="Garamond" w:cs="Times New Roman"/>
        </w:rPr>
      </w:pPr>
      <w:r w:rsidRPr="00614418">
        <w:rPr>
          <w:rFonts w:ascii="Garamond" w:eastAsiaTheme="minorEastAsia" w:hAnsi="Garamond" w:cs="Times New Roman"/>
        </w:rPr>
        <w:t>OECD (2020</w:t>
      </w:r>
      <w:r>
        <w:rPr>
          <w:rFonts w:ascii="Garamond" w:eastAsiaTheme="minorEastAsia" w:hAnsi="Garamond" w:cs="Times New Roman"/>
        </w:rPr>
        <w:t>b</w:t>
      </w:r>
      <w:r w:rsidRPr="00614418">
        <w:rPr>
          <w:rFonts w:ascii="Garamond" w:eastAsiaTheme="minorEastAsia" w:hAnsi="Garamond" w:cs="Times New Roman"/>
        </w:rPr>
        <w:t>).</w:t>
      </w:r>
      <w:r>
        <w:rPr>
          <w:rFonts w:ascii="Garamond" w:eastAsiaTheme="minorEastAsia" w:hAnsi="Garamond" w:cs="Times New Roman"/>
        </w:rPr>
        <w:t xml:space="preserve"> Inflation (CPI). </w:t>
      </w:r>
      <w:r w:rsidRPr="004E389B">
        <w:rPr>
          <w:rFonts w:ascii="Garamond" w:eastAsiaTheme="minorEastAsia" w:hAnsi="Garamond" w:cs="Times New Roman"/>
        </w:rPr>
        <w:t>https://data.oecd.org/price/inflation-cpi.htm</w:t>
      </w:r>
    </w:p>
    <w:p w14:paraId="21906A4B" w14:textId="77777777" w:rsidR="00EE78DE" w:rsidRDefault="00EE78DE" w:rsidP="00D71C0F">
      <w:pPr>
        <w:tabs>
          <w:tab w:val="left" w:pos="2700"/>
        </w:tabs>
        <w:jc w:val="both"/>
        <w:rPr>
          <w:rFonts w:ascii="Garamond" w:eastAsiaTheme="minorEastAsia" w:hAnsi="Garamond" w:cs="Times New Roman"/>
        </w:rPr>
      </w:pPr>
      <w:r w:rsidRPr="00C4597D">
        <w:rPr>
          <w:rFonts w:ascii="Garamond" w:hAnsi="Garamond" w:cs="Times New Roman"/>
        </w:rPr>
        <w:t>OECD (2020</w:t>
      </w:r>
      <w:r>
        <w:rPr>
          <w:rFonts w:ascii="Garamond" w:hAnsi="Garamond" w:cs="Times New Roman"/>
        </w:rPr>
        <w:t>c</w:t>
      </w:r>
      <w:r w:rsidRPr="00C4597D">
        <w:rPr>
          <w:rFonts w:ascii="Garamond" w:hAnsi="Garamond" w:cs="Times New Roman"/>
        </w:rPr>
        <w:t>).</w:t>
      </w:r>
      <w:r>
        <w:rPr>
          <w:rFonts w:ascii="Garamond" w:hAnsi="Garamond" w:cs="Times New Roman"/>
        </w:rPr>
        <w:t xml:space="preserve"> Current account balance. </w:t>
      </w:r>
      <w:r w:rsidRPr="004E389B">
        <w:rPr>
          <w:rFonts w:ascii="Garamond" w:hAnsi="Garamond" w:cs="Times New Roman"/>
        </w:rPr>
        <w:t>https://data.oecd.org/trade/current-account-balance.htm</w:t>
      </w:r>
    </w:p>
    <w:p w14:paraId="3C4A7079" w14:textId="77777777" w:rsidR="00EE78DE" w:rsidRPr="004E389B" w:rsidRDefault="00EE78DE" w:rsidP="00D71C0F">
      <w:pPr>
        <w:tabs>
          <w:tab w:val="left" w:pos="2700"/>
        </w:tabs>
        <w:jc w:val="both"/>
      </w:pPr>
      <w:r w:rsidRPr="00614418">
        <w:rPr>
          <w:rFonts w:ascii="Garamond" w:eastAsiaTheme="minorEastAsia" w:hAnsi="Garamond" w:cs="Times New Roman"/>
        </w:rPr>
        <w:t>OECD (2021)</w:t>
      </w:r>
      <w:r>
        <w:rPr>
          <w:rFonts w:ascii="Garamond" w:eastAsiaTheme="minorEastAsia" w:hAnsi="Garamond" w:cs="Times New Roman"/>
        </w:rPr>
        <w:t xml:space="preserve">. Social Spending. </w:t>
      </w:r>
      <w:r w:rsidRPr="004E389B">
        <w:rPr>
          <w:rFonts w:ascii="Garamond" w:eastAsiaTheme="minorEastAsia" w:hAnsi="Garamond" w:cs="Times New Roman"/>
        </w:rPr>
        <w:t>https://data.oecd.org/socialexp/social-spending.htm</w:t>
      </w:r>
    </w:p>
    <w:p w14:paraId="0EC9B8C3" w14:textId="77777777" w:rsidR="00EE78DE" w:rsidRPr="00AC7D48" w:rsidRDefault="00EE78DE" w:rsidP="00D71C0F">
      <w:pPr>
        <w:pStyle w:val="EndNoteBibliography"/>
        <w:ind w:left="720" w:hanging="720"/>
        <w:rPr>
          <w:rFonts w:ascii="Garamond" w:hAnsi="Garamond"/>
        </w:rPr>
      </w:pPr>
      <w:r w:rsidRPr="00E9330D">
        <w:rPr>
          <w:rFonts w:ascii="Garamond" w:hAnsi="Garamond"/>
        </w:rPr>
        <w:t>Pierson, Paul. 1996.</w:t>
      </w:r>
      <w:r>
        <w:rPr>
          <w:rFonts w:ascii="Garamond" w:hAnsi="Garamond"/>
        </w:rPr>
        <w:t xml:space="preserve"> </w:t>
      </w:r>
      <w:r w:rsidRPr="00AC7D48">
        <w:rPr>
          <w:rFonts w:ascii="Garamond" w:hAnsi="Garamond"/>
        </w:rPr>
        <w:t xml:space="preserve">The New Politics of the Welfare State. </w:t>
      </w:r>
      <w:r w:rsidRPr="00AC7D48">
        <w:rPr>
          <w:rFonts w:ascii="Garamond" w:hAnsi="Garamond"/>
          <w:i/>
        </w:rPr>
        <w:t>World Politics</w:t>
      </w:r>
      <w:r w:rsidRPr="00AC7D48">
        <w:rPr>
          <w:rFonts w:ascii="Garamond" w:hAnsi="Garamond"/>
        </w:rPr>
        <w:t xml:space="preserve"> 48(2):143-79.</w:t>
      </w:r>
      <w:bookmarkEnd w:id="35"/>
    </w:p>
    <w:p w14:paraId="6BC1CC68" w14:textId="77777777" w:rsidR="00EE78DE" w:rsidRPr="004E389B" w:rsidRDefault="00EE78DE" w:rsidP="00D71C0F">
      <w:pPr>
        <w:jc w:val="both"/>
        <w:rPr>
          <w:rFonts w:ascii="Garamond" w:eastAsia="Times New Roman" w:hAnsi="Garamond" w:cs="Times New Roman"/>
        </w:rPr>
      </w:pPr>
      <w:bookmarkStart w:id="36" w:name="_ENREF_13"/>
      <w:r w:rsidRPr="004E389B">
        <w:rPr>
          <w:rFonts w:ascii="Garamond" w:eastAsia="Times New Roman" w:hAnsi="Garamond" w:cs="Times New Roman"/>
        </w:rPr>
        <w:t xml:space="preserve">Polanyi, K. (1944). </w:t>
      </w:r>
      <w:r w:rsidRPr="004E389B">
        <w:rPr>
          <w:rFonts w:ascii="Garamond" w:eastAsia="Times New Roman" w:hAnsi="Garamond" w:cs="Times New Roman"/>
          <w:i/>
          <w:iCs/>
        </w:rPr>
        <w:t>The great transformation</w:t>
      </w:r>
      <w:r w:rsidRPr="004E389B">
        <w:rPr>
          <w:rFonts w:ascii="Garamond" w:eastAsia="Times New Roman" w:hAnsi="Garamond" w:cs="Times New Roman"/>
        </w:rPr>
        <w:t xml:space="preserve">. </w:t>
      </w:r>
      <w:r w:rsidRPr="004E389B">
        <w:rPr>
          <w:rFonts w:ascii="Garamond" w:eastAsia="Times New Roman" w:hAnsi="Garamond" w:cs="Times New Roman"/>
          <w:i/>
          <w:iCs/>
        </w:rPr>
        <w:t>Boston: Beacon</w:t>
      </w:r>
      <w:r w:rsidRPr="004E389B">
        <w:rPr>
          <w:rFonts w:ascii="Garamond" w:eastAsia="Times New Roman" w:hAnsi="Garamond" w:cs="Times New Roman"/>
        </w:rPr>
        <w:t>.</w:t>
      </w:r>
    </w:p>
    <w:p w14:paraId="04CB9B22" w14:textId="77777777" w:rsidR="00EE78DE" w:rsidRPr="00AC7D48" w:rsidRDefault="00EE78DE" w:rsidP="00D71C0F">
      <w:pPr>
        <w:pStyle w:val="EndNoteBibliography"/>
        <w:ind w:left="720" w:hanging="720"/>
        <w:rPr>
          <w:rFonts w:ascii="Garamond" w:hAnsi="Garamond"/>
        </w:rPr>
      </w:pPr>
      <w:r w:rsidRPr="00AC7D48">
        <w:rPr>
          <w:rFonts w:ascii="Garamond" w:hAnsi="Garamond"/>
        </w:rPr>
        <w:lastRenderedPageBreak/>
        <w:t xml:space="preserve">Pontusson, Jonas. 2005. </w:t>
      </w:r>
      <w:r w:rsidRPr="00AC7D48">
        <w:rPr>
          <w:rFonts w:ascii="Garamond" w:hAnsi="Garamond"/>
          <w:i/>
        </w:rPr>
        <w:t>Inequality and Prosperity : Social Europe Vs. Liberal America</w:t>
      </w:r>
      <w:r w:rsidRPr="00AC7D48">
        <w:rPr>
          <w:rFonts w:ascii="Garamond" w:hAnsi="Garamond"/>
        </w:rPr>
        <w:t>. Ithaca, N.Y.: Cornell University Press.</w:t>
      </w:r>
      <w:bookmarkEnd w:id="36"/>
    </w:p>
    <w:p w14:paraId="120B29D1" w14:textId="77777777" w:rsidR="00EE78DE" w:rsidRPr="00AE712D" w:rsidRDefault="00EE78DE" w:rsidP="00D71C0F">
      <w:pPr>
        <w:ind w:left="720" w:hanging="720"/>
        <w:jc w:val="both"/>
        <w:rPr>
          <w:rFonts w:ascii="Garamond" w:hAnsi="Garamond"/>
        </w:rPr>
      </w:pPr>
      <w:bookmarkStart w:id="37" w:name="_ENREF_14"/>
      <w:r w:rsidRPr="00AE712D">
        <w:rPr>
          <w:rFonts w:ascii="Garamond" w:hAnsi="Garamond"/>
        </w:rPr>
        <w:t xml:space="preserve">Poterba, J., &amp; Reuben, K. (1999). Fiscal Rules and Bond Yields: Do Tax Limits Raise the State’s Borrowing Costs. </w:t>
      </w:r>
      <w:r w:rsidRPr="00AE712D">
        <w:rPr>
          <w:rFonts w:ascii="Garamond" w:hAnsi="Garamond"/>
          <w:i/>
          <w:iCs/>
        </w:rPr>
        <w:t>Public Policy Institute of California</w:t>
      </w:r>
      <w:r w:rsidRPr="00AE712D">
        <w:rPr>
          <w:rFonts w:ascii="Garamond" w:hAnsi="Garamond"/>
        </w:rPr>
        <w:t xml:space="preserve">, </w:t>
      </w:r>
      <w:r w:rsidRPr="00AE712D">
        <w:rPr>
          <w:rFonts w:ascii="Garamond" w:hAnsi="Garamond"/>
          <w:i/>
          <w:iCs/>
        </w:rPr>
        <w:t>7</w:t>
      </w:r>
      <w:r w:rsidRPr="00AE712D">
        <w:rPr>
          <w:rFonts w:ascii="Garamond" w:hAnsi="Garamond"/>
        </w:rPr>
        <w:t>.</w:t>
      </w:r>
    </w:p>
    <w:p w14:paraId="514FEED2" w14:textId="77777777" w:rsidR="00EE78DE" w:rsidRPr="00AE712D" w:rsidRDefault="00EE78DE" w:rsidP="00D71C0F">
      <w:pPr>
        <w:ind w:left="720" w:hanging="720"/>
        <w:jc w:val="both"/>
        <w:rPr>
          <w:rFonts w:ascii="Garamond" w:eastAsia="Times New Roman" w:hAnsi="Garamond" w:cs="Times New Roman"/>
        </w:rPr>
      </w:pPr>
      <w:r w:rsidRPr="00AE712D">
        <w:rPr>
          <w:rFonts w:ascii="Garamond" w:eastAsia="Times New Roman" w:hAnsi="Garamond" w:cs="Times New Roman"/>
        </w:rPr>
        <w:t xml:space="preserve">Rodrik, D. (2000). How far will international economic integration go?. </w:t>
      </w:r>
      <w:r w:rsidRPr="00AE712D">
        <w:rPr>
          <w:rFonts w:ascii="Garamond" w:eastAsia="Times New Roman" w:hAnsi="Garamond" w:cs="Times New Roman"/>
          <w:i/>
          <w:iCs/>
        </w:rPr>
        <w:t>Journal of economic perspectives</w:t>
      </w:r>
      <w:r w:rsidRPr="00AE712D">
        <w:rPr>
          <w:rFonts w:ascii="Garamond" w:eastAsia="Times New Roman" w:hAnsi="Garamond" w:cs="Times New Roman"/>
        </w:rPr>
        <w:t xml:space="preserve">, </w:t>
      </w:r>
      <w:r w:rsidRPr="00AE712D">
        <w:rPr>
          <w:rFonts w:ascii="Garamond" w:eastAsia="Times New Roman" w:hAnsi="Garamond" w:cs="Times New Roman"/>
          <w:i/>
          <w:iCs/>
        </w:rPr>
        <w:t>14</w:t>
      </w:r>
      <w:r w:rsidRPr="00AE712D">
        <w:rPr>
          <w:rFonts w:ascii="Garamond" w:eastAsia="Times New Roman" w:hAnsi="Garamond" w:cs="Times New Roman"/>
        </w:rPr>
        <w:t>(1), 177-186.</w:t>
      </w:r>
    </w:p>
    <w:p w14:paraId="0289DB77" w14:textId="77777777" w:rsidR="00EE78DE" w:rsidRPr="00AE712D" w:rsidRDefault="00EE78DE" w:rsidP="00D71C0F">
      <w:pPr>
        <w:ind w:left="720" w:hanging="720"/>
        <w:jc w:val="both"/>
        <w:rPr>
          <w:rFonts w:ascii="Garamond" w:eastAsia="Times New Roman" w:hAnsi="Garamond" w:cs="Times New Roman"/>
        </w:rPr>
      </w:pPr>
      <w:r w:rsidRPr="00AE712D">
        <w:rPr>
          <w:rFonts w:ascii="Garamond" w:eastAsia="Times New Roman" w:hAnsi="Garamond" w:cs="Times New Roman"/>
        </w:rPr>
        <w:t xml:space="preserve">Rodrik, D. (2011). </w:t>
      </w:r>
      <w:r w:rsidRPr="00AE712D">
        <w:rPr>
          <w:rFonts w:ascii="Garamond" w:eastAsia="Times New Roman" w:hAnsi="Garamond" w:cs="Times New Roman"/>
          <w:i/>
          <w:iCs/>
        </w:rPr>
        <w:t>The globalization paradox: why global markets, states, and democracy can't coexist</w:t>
      </w:r>
      <w:r w:rsidRPr="00AE712D">
        <w:rPr>
          <w:rFonts w:ascii="Garamond" w:eastAsia="Times New Roman" w:hAnsi="Garamond" w:cs="Times New Roman"/>
        </w:rPr>
        <w:t>. Oxford University Press.</w:t>
      </w:r>
    </w:p>
    <w:p w14:paraId="7DB50A4A" w14:textId="77777777" w:rsidR="00EE78DE" w:rsidRPr="00AE712D" w:rsidRDefault="00EE78DE" w:rsidP="00D71C0F">
      <w:pPr>
        <w:ind w:left="720" w:hanging="720"/>
        <w:jc w:val="both"/>
        <w:rPr>
          <w:rFonts w:ascii="Garamond" w:hAnsi="Garamond"/>
        </w:rPr>
      </w:pPr>
      <w:r w:rsidRPr="00AE712D">
        <w:rPr>
          <w:rFonts w:ascii="Garamond" w:hAnsi="Garamond"/>
        </w:rPr>
        <w:t xml:space="preserve">Rogoff, K. (1985). The optimal degree of commitment to an intermediate monetary target. </w:t>
      </w:r>
      <w:r w:rsidRPr="00AE712D">
        <w:rPr>
          <w:rFonts w:ascii="Garamond" w:hAnsi="Garamond"/>
          <w:i/>
          <w:iCs/>
        </w:rPr>
        <w:t>The quarterly journal of economics</w:t>
      </w:r>
      <w:r w:rsidRPr="00AE712D">
        <w:rPr>
          <w:rFonts w:ascii="Garamond" w:hAnsi="Garamond"/>
        </w:rPr>
        <w:t xml:space="preserve">, </w:t>
      </w:r>
      <w:r w:rsidRPr="00AE712D">
        <w:rPr>
          <w:rFonts w:ascii="Garamond" w:hAnsi="Garamond"/>
          <w:i/>
          <w:iCs/>
        </w:rPr>
        <w:t>100</w:t>
      </w:r>
      <w:r w:rsidRPr="00AE712D">
        <w:rPr>
          <w:rFonts w:ascii="Garamond" w:hAnsi="Garamond"/>
        </w:rPr>
        <w:t>(4), 1169-1189.</w:t>
      </w:r>
    </w:p>
    <w:p w14:paraId="2558C394" w14:textId="77777777" w:rsidR="00EE78DE" w:rsidRPr="00AE712D" w:rsidRDefault="00EE78DE" w:rsidP="00D71C0F">
      <w:pPr>
        <w:ind w:left="720" w:hanging="720"/>
        <w:jc w:val="both"/>
        <w:rPr>
          <w:rStyle w:val="nlmstring-name"/>
          <w:rFonts w:ascii="Garamond" w:eastAsia="Times New Roman" w:hAnsi="Garamond" w:cs="Times New Roman"/>
        </w:rPr>
      </w:pPr>
      <w:r w:rsidRPr="00AE712D">
        <w:rPr>
          <w:rFonts w:ascii="Garamond" w:eastAsia="Times New Roman" w:hAnsi="Garamond" w:cs="Times New Roman"/>
        </w:rPr>
        <w:t xml:space="preserve">Romer, D. (1993). Openness and inflation: theory and evidence. </w:t>
      </w:r>
      <w:r w:rsidRPr="00AE712D">
        <w:rPr>
          <w:rFonts w:ascii="Garamond" w:eastAsia="Times New Roman" w:hAnsi="Garamond" w:cs="Times New Roman"/>
          <w:i/>
          <w:iCs/>
        </w:rPr>
        <w:t>The quarterly journal of economics</w:t>
      </w:r>
      <w:r w:rsidRPr="00AE712D">
        <w:rPr>
          <w:rFonts w:ascii="Garamond" w:eastAsia="Times New Roman" w:hAnsi="Garamond" w:cs="Times New Roman"/>
        </w:rPr>
        <w:t xml:space="preserve">, </w:t>
      </w:r>
      <w:r w:rsidRPr="00AE712D">
        <w:rPr>
          <w:rFonts w:ascii="Garamond" w:eastAsia="Times New Roman" w:hAnsi="Garamond" w:cs="Times New Roman"/>
          <w:i/>
          <w:iCs/>
        </w:rPr>
        <w:t>108</w:t>
      </w:r>
      <w:r w:rsidRPr="00AE712D">
        <w:rPr>
          <w:rFonts w:ascii="Garamond" w:eastAsia="Times New Roman" w:hAnsi="Garamond" w:cs="Times New Roman"/>
        </w:rPr>
        <w:t>(4), 869-903.</w:t>
      </w:r>
    </w:p>
    <w:p w14:paraId="5953D78F" w14:textId="77777777" w:rsidR="00EE78DE" w:rsidRDefault="00EE78DE" w:rsidP="00D71C0F">
      <w:pPr>
        <w:pStyle w:val="EndNoteBibliography"/>
        <w:ind w:left="720" w:hanging="720"/>
        <w:rPr>
          <w:rFonts w:ascii="Garamond" w:hAnsi="Garamond"/>
        </w:rPr>
      </w:pPr>
      <w:r w:rsidRPr="00AC7D48">
        <w:rPr>
          <w:rStyle w:val="nlmstring-name"/>
          <w:rFonts w:ascii="Garamond" w:hAnsi="Garamond"/>
        </w:rPr>
        <w:t xml:space="preserve">Sattler, T. (2013). </w:t>
      </w:r>
      <w:r w:rsidRPr="004E389B">
        <w:rPr>
          <w:rFonts w:ascii="Garamond" w:hAnsi="Garamond"/>
        </w:rPr>
        <w:t>Do Markets Punish Left Governments?</w:t>
      </w:r>
      <w:r w:rsidRPr="00AC7D48">
        <w:rPr>
          <w:rFonts w:ascii="Garamond" w:hAnsi="Garamond"/>
        </w:rPr>
        <w:t xml:space="preserve"> </w:t>
      </w:r>
      <w:r w:rsidRPr="00AC7D48">
        <w:rPr>
          <w:rStyle w:val="journalname"/>
          <w:rFonts w:ascii="Garamond" w:hAnsi="Garamond"/>
          <w:i/>
        </w:rPr>
        <w:t>The Journal of Politics</w:t>
      </w:r>
      <w:r w:rsidRPr="00AC7D48">
        <w:rPr>
          <w:rFonts w:ascii="Garamond" w:hAnsi="Garamond"/>
        </w:rPr>
        <w:t xml:space="preserve"> </w:t>
      </w:r>
      <w:r w:rsidRPr="00AC7D48">
        <w:rPr>
          <w:rStyle w:val="year"/>
          <w:rFonts w:ascii="Garamond" w:hAnsi="Garamond"/>
        </w:rPr>
        <w:t>2013</w:t>
      </w:r>
      <w:r w:rsidRPr="00AC7D48">
        <w:rPr>
          <w:rFonts w:ascii="Garamond" w:hAnsi="Garamond"/>
        </w:rPr>
        <w:t xml:space="preserve"> </w:t>
      </w:r>
      <w:r w:rsidRPr="00AC7D48">
        <w:rPr>
          <w:rStyle w:val="volume"/>
          <w:rFonts w:ascii="Garamond" w:hAnsi="Garamond"/>
        </w:rPr>
        <w:t>75</w:t>
      </w:r>
      <w:r w:rsidRPr="00AC7D48">
        <w:rPr>
          <w:rFonts w:ascii="Garamond" w:hAnsi="Garamond"/>
        </w:rPr>
        <w:t>:</w:t>
      </w:r>
      <w:r w:rsidRPr="00AC7D48">
        <w:rPr>
          <w:rStyle w:val="issue"/>
          <w:rFonts w:ascii="Garamond" w:hAnsi="Garamond"/>
        </w:rPr>
        <w:t>2</w:t>
      </w:r>
      <w:r w:rsidRPr="00AC7D48">
        <w:rPr>
          <w:rFonts w:ascii="Garamond" w:hAnsi="Garamond"/>
        </w:rPr>
        <w:t xml:space="preserve">, </w:t>
      </w:r>
      <w:r w:rsidRPr="00AC7D48">
        <w:rPr>
          <w:rStyle w:val="page"/>
          <w:rFonts w:ascii="Garamond" w:hAnsi="Garamond"/>
        </w:rPr>
        <w:t>343-356</w:t>
      </w:r>
    </w:p>
    <w:p w14:paraId="00817E24" w14:textId="77777777" w:rsidR="00EE78DE" w:rsidRPr="00AE712D" w:rsidRDefault="00EE78DE" w:rsidP="00D71C0F">
      <w:pPr>
        <w:ind w:left="720" w:hanging="720"/>
        <w:jc w:val="both"/>
        <w:rPr>
          <w:rFonts w:ascii="Garamond" w:eastAsia="Times New Roman" w:hAnsi="Garamond" w:cs="Times New Roman"/>
        </w:rPr>
      </w:pPr>
      <w:r w:rsidRPr="00AE712D">
        <w:rPr>
          <w:rFonts w:ascii="Garamond" w:eastAsia="Times New Roman" w:hAnsi="Garamond" w:cs="Times New Roman"/>
        </w:rPr>
        <w:t xml:space="preserve">Strange, S. (1996). </w:t>
      </w:r>
      <w:r w:rsidRPr="00AE712D">
        <w:rPr>
          <w:rFonts w:ascii="Garamond" w:eastAsia="Times New Roman" w:hAnsi="Garamond" w:cs="Times New Roman"/>
          <w:i/>
          <w:iCs/>
        </w:rPr>
        <w:t>The retreat of the state: The diffusion of power in the world economy</w:t>
      </w:r>
      <w:r w:rsidRPr="00AE712D">
        <w:rPr>
          <w:rFonts w:ascii="Garamond" w:eastAsia="Times New Roman" w:hAnsi="Garamond" w:cs="Times New Roman"/>
        </w:rPr>
        <w:t>. Cambridge university press.</w:t>
      </w:r>
    </w:p>
    <w:p w14:paraId="02D0E1DB" w14:textId="77777777" w:rsidR="00EE78DE" w:rsidRDefault="00EE78DE" w:rsidP="00D71C0F">
      <w:pPr>
        <w:jc w:val="both"/>
        <w:rPr>
          <w:rFonts w:ascii="Garamond" w:eastAsia="Times New Roman" w:hAnsi="Garamond" w:cs="Times New Roman"/>
        </w:rPr>
      </w:pPr>
      <w:r w:rsidRPr="00032923">
        <w:rPr>
          <w:rFonts w:ascii="Garamond" w:eastAsia="Times New Roman" w:hAnsi="Garamond" w:cs="Times New Roman"/>
        </w:rPr>
        <w:t xml:space="preserve">Streeck, W. (2014). </w:t>
      </w:r>
      <w:r w:rsidRPr="00032923">
        <w:rPr>
          <w:rFonts w:ascii="Garamond" w:eastAsia="Times New Roman" w:hAnsi="Garamond" w:cs="Times New Roman"/>
          <w:i/>
          <w:iCs/>
        </w:rPr>
        <w:t>Buying time: The delayed crisis of democratic capitalism</w:t>
      </w:r>
      <w:r w:rsidRPr="00032923">
        <w:rPr>
          <w:rFonts w:ascii="Garamond" w:eastAsia="Times New Roman" w:hAnsi="Garamond" w:cs="Times New Roman"/>
        </w:rPr>
        <w:t>. Verso Books.</w:t>
      </w:r>
    </w:p>
    <w:p w14:paraId="22753992" w14:textId="77777777" w:rsidR="00EE78DE" w:rsidRPr="00AC7D48" w:rsidRDefault="00EE78DE" w:rsidP="00D71C0F">
      <w:pPr>
        <w:pStyle w:val="EndNoteBibliography"/>
        <w:ind w:left="720" w:hanging="720"/>
        <w:rPr>
          <w:rFonts w:ascii="Garamond" w:hAnsi="Garamond"/>
        </w:rPr>
      </w:pPr>
      <w:r w:rsidRPr="00AC7D48">
        <w:rPr>
          <w:rFonts w:ascii="Garamond" w:hAnsi="Garamond"/>
        </w:rPr>
        <w:t xml:space="preserve">Summers, H. Lawrence. 2014. U.S. Economic Prospects: Secular Stagnation, Hysteresis, and the Zero Lower Bound. </w:t>
      </w:r>
      <w:r w:rsidRPr="00AC7D48">
        <w:rPr>
          <w:rFonts w:ascii="Garamond" w:hAnsi="Garamond"/>
          <w:i/>
        </w:rPr>
        <w:t>Business Economics</w:t>
      </w:r>
      <w:r w:rsidRPr="00AC7D48">
        <w:rPr>
          <w:rFonts w:ascii="Garamond" w:hAnsi="Garamond"/>
        </w:rPr>
        <w:t xml:space="preserve"> 49(2):65-73. doi: 10.1057/be.2014.13.</w:t>
      </w:r>
      <w:bookmarkEnd w:id="37"/>
    </w:p>
    <w:p w14:paraId="062E5F0F" w14:textId="77777777" w:rsidR="00EE78DE" w:rsidRPr="00AC7D48" w:rsidRDefault="00EE78DE" w:rsidP="00D71C0F">
      <w:pPr>
        <w:pStyle w:val="EndNoteBibliography"/>
        <w:ind w:left="720" w:hanging="720"/>
        <w:rPr>
          <w:rFonts w:ascii="Garamond" w:hAnsi="Garamond"/>
        </w:rPr>
      </w:pPr>
      <w:bookmarkStart w:id="38" w:name="_ENREF_15"/>
      <w:r w:rsidRPr="00AC7D48">
        <w:rPr>
          <w:rFonts w:ascii="Garamond" w:hAnsi="Garamond"/>
        </w:rPr>
        <w:t xml:space="preserve">Teulings, Coen and Richard Baldwin, eds. 2014. </w:t>
      </w:r>
      <w:r w:rsidRPr="00AC7D48">
        <w:rPr>
          <w:rFonts w:ascii="Garamond" w:hAnsi="Garamond"/>
          <w:i/>
        </w:rPr>
        <w:t>Secular Stagnation: Facts, Causes and Cures</w:t>
      </w:r>
      <w:r w:rsidRPr="00AC7D48">
        <w:rPr>
          <w:rFonts w:ascii="Garamond" w:hAnsi="Garamond"/>
        </w:rPr>
        <w:t>. London: CEPR Book.</w:t>
      </w:r>
      <w:bookmarkEnd w:id="38"/>
    </w:p>
    <w:p w14:paraId="1E902CC9" w14:textId="6ECA6E3D" w:rsidR="00EE78DE" w:rsidRPr="00C92ED7" w:rsidRDefault="00EE78DE" w:rsidP="00D71C0F">
      <w:pPr>
        <w:jc w:val="both"/>
        <w:rPr>
          <w:rFonts w:ascii="Garamond" w:hAnsi="Garamond"/>
        </w:rPr>
      </w:pPr>
      <w:r w:rsidRPr="00DE6DE1">
        <w:rPr>
          <w:rFonts w:ascii="Garamond" w:hAnsi="Garamond"/>
        </w:rPr>
        <w:fldChar w:fldCharType="end"/>
      </w:r>
      <w:proofErr w:type="spellStart"/>
      <w:r w:rsidRPr="00C92ED7">
        <w:rPr>
          <w:rFonts w:ascii="Garamond" w:hAnsi="Garamond"/>
        </w:rPr>
        <w:t>Teulings</w:t>
      </w:r>
      <w:proofErr w:type="spellEnd"/>
      <w:r w:rsidRPr="00C92ED7">
        <w:rPr>
          <w:rFonts w:ascii="Garamond" w:hAnsi="Garamond"/>
        </w:rPr>
        <w:t xml:space="preserve">, Coen and Richard Baldwin, eds. 2014. </w:t>
      </w:r>
      <w:r w:rsidRPr="00C92ED7">
        <w:rPr>
          <w:rFonts w:ascii="Garamond" w:hAnsi="Garamond"/>
          <w:i/>
        </w:rPr>
        <w:t>Secular Stagnation: Facts, Causes and Cures</w:t>
      </w:r>
      <w:r w:rsidRPr="00C92ED7">
        <w:rPr>
          <w:rFonts w:ascii="Garamond" w:hAnsi="Garamond"/>
        </w:rPr>
        <w:t>. London: CEPR Book</w:t>
      </w:r>
    </w:p>
    <w:p w14:paraId="1C12E101" w14:textId="77777777" w:rsidR="00EE78DE" w:rsidRPr="00C92ED7" w:rsidRDefault="00EE78DE" w:rsidP="00D71C0F">
      <w:pPr>
        <w:ind w:left="720" w:right="29" w:hanging="720"/>
        <w:jc w:val="both"/>
        <w:rPr>
          <w:rFonts w:ascii="Garamond" w:hAnsi="Garamond"/>
          <w:lang w:val="en"/>
        </w:rPr>
      </w:pPr>
      <w:r w:rsidRPr="00C92ED7">
        <w:rPr>
          <w:rFonts w:ascii="Garamond" w:hAnsi="Garamond"/>
        </w:rPr>
        <w:t xml:space="preserve">Weber, A. (1991) Reputation and Credibility in the European Monetary System. </w:t>
      </w:r>
      <w:r w:rsidRPr="00C92ED7">
        <w:rPr>
          <w:rFonts w:ascii="Garamond" w:hAnsi="Garamond"/>
          <w:i/>
          <w:iCs/>
        </w:rPr>
        <w:t>Economic Policy</w:t>
      </w:r>
      <w:r w:rsidRPr="00C92ED7">
        <w:rPr>
          <w:rFonts w:ascii="Garamond" w:hAnsi="Garamond"/>
        </w:rPr>
        <w:t xml:space="preserve">. </w:t>
      </w:r>
      <w:r w:rsidRPr="00C92ED7">
        <w:rPr>
          <w:rFonts w:ascii="Garamond" w:hAnsi="Garamond"/>
          <w:b/>
          <w:bCs/>
        </w:rPr>
        <w:t>6</w:t>
      </w:r>
      <w:r w:rsidRPr="00C92ED7">
        <w:rPr>
          <w:rFonts w:ascii="Garamond" w:hAnsi="Garamond"/>
        </w:rPr>
        <w:t xml:space="preserve">(12):57-102.  </w:t>
      </w:r>
    </w:p>
    <w:p w14:paraId="1B4EAFDE" w14:textId="77777777" w:rsidR="00EE78DE" w:rsidRPr="00904144" w:rsidRDefault="00EE78DE" w:rsidP="00D71C0F">
      <w:pPr>
        <w:pStyle w:val="EndNoteBibliography"/>
        <w:ind w:left="720" w:hanging="720"/>
        <w:rPr>
          <w:rFonts w:ascii="Garamond" w:hAnsi="Garamond"/>
        </w:rPr>
      </w:pPr>
      <w:r w:rsidRPr="00B56316">
        <w:rPr>
          <w:rFonts w:ascii="Garamond" w:hAnsi="Garamond"/>
        </w:rPr>
        <w:t>World Bank (2021) Domestic credit to private sector (% of GDP)</w:t>
      </w:r>
    </w:p>
    <w:p w14:paraId="2F73128D" w14:textId="02808CD1" w:rsidR="00F912AE" w:rsidRDefault="00EE78DE" w:rsidP="00D71C0F">
      <w:pPr>
        <w:ind w:left="720" w:hanging="720"/>
        <w:jc w:val="both"/>
        <w:rPr>
          <w:rFonts w:ascii="Garamond" w:hAnsi="Garamond"/>
          <w:iCs/>
        </w:rPr>
      </w:pPr>
      <w:proofErr w:type="spellStart"/>
      <w:r w:rsidRPr="00C92ED7">
        <w:rPr>
          <w:rFonts w:ascii="Garamond" w:hAnsi="Garamond" w:cs="Times New Roman"/>
        </w:rPr>
        <w:t>Yardeni</w:t>
      </w:r>
      <w:proofErr w:type="spellEnd"/>
      <w:r>
        <w:rPr>
          <w:rFonts w:ascii="Garamond" w:hAnsi="Garamond" w:cs="Times New Roman"/>
        </w:rPr>
        <w:t>, E.</w:t>
      </w:r>
      <w:r w:rsidRPr="00C92ED7">
        <w:rPr>
          <w:rFonts w:ascii="Garamond" w:hAnsi="Garamond" w:cs="Times New Roman"/>
        </w:rPr>
        <w:t xml:space="preserve"> </w:t>
      </w:r>
      <w:r w:rsidRPr="003A54DF">
        <w:rPr>
          <w:rFonts w:ascii="Garamond" w:hAnsi="Garamond"/>
          <w:i/>
          <w:iCs/>
        </w:rPr>
        <w:t>Bond Investors Are the Economy’s Vigilantes</w:t>
      </w:r>
      <w:r>
        <w:rPr>
          <w:rFonts w:ascii="Garamond" w:hAnsi="Garamond"/>
          <w:i/>
          <w:iCs/>
        </w:rPr>
        <w:t xml:space="preserve">. </w:t>
      </w:r>
      <w:r>
        <w:rPr>
          <w:rFonts w:ascii="Garamond" w:hAnsi="Garamond"/>
          <w:iCs/>
        </w:rPr>
        <w:t>July 27, 1983 (independent commentary, accessed at</w:t>
      </w:r>
      <w:r w:rsidRPr="003A54DF">
        <w:t xml:space="preserve"> </w:t>
      </w:r>
      <w:hyperlink r:id="rId17" w:history="1">
        <w:r w:rsidRPr="00497FF0">
          <w:rPr>
            <w:rStyle w:val="Hyperlink"/>
            <w:rFonts w:ascii="Garamond" w:hAnsi="Garamond"/>
            <w:iCs/>
          </w:rPr>
          <w:t>http://blog.yardeni.com/</w:t>
        </w:r>
      </w:hyperlink>
      <w:r>
        <w:rPr>
          <w:rFonts w:ascii="Garamond" w:hAnsi="Garamond"/>
          <w:iCs/>
        </w:rPr>
        <w:t xml:space="preserve"> in January 2021)</w:t>
      </w:r>
    </w:p>
    <w:p w14:paraId="18A6CFCC" w14:textId="527E7C7C" w:rsidR="003E7B0A" w:rsidRDefault="003E7B0A" w:rsidP="00D71C0F">
      <w:pPr>
        <w:ind w:left="720" w:hanging="720"/>
        <w:jc w:val="both"/>
        <w:rPr>
          <w:rFonts w:ascii="Times New Roman" w:eastAsia="Times New Roman" w:hAnsi="Times New Roman" w:cs="Times New Roman"/>
        </w:rPr>
      </w:pPr>
    </w:p>
    <w:p w14:paraId="597A7471" w14:textId="49D1F342" w:rsidR="003E7B0A" w:rsidRDefault="003E7B0A" w:rsidP="00D71C0F">
      <w:pPr>
        <w:ind w:left="720" w:hanging="720"/>
        <w:jc w:val="both"/>
        <w:rPr>
          <w:rFonts w:ascii="Times New Roman" w:eastAsia="Times New Roman" w:hAnsi="Times New Roman" w:cs="Times New Roman"/>
        </w:rPr>
      </w:pPr>
    </w:p>
    <w:p w14:paraId="166E0D83" w14:textId="17090899" w:rsidR="003E7B0A" w:rsidRPr="00ED5674" w:rsidRDefault="003E7B0A">
      <w:pPr>
        <w:rPr>
          <w:rFonts w:ascii="Times New Roman" w:eastAsia="Times New Roman" w:hAnsi="Times New Roman" w:cs="Times New Roman"/>
        </w:rPr>
      </w:pPr>
      <w:r>
        <w:rPr>
          <w:rFonts w:ascii="Times New Roman" w:eastAsia="Times New Roman" w:hAnsi="Times New Roman" w:cs="Times New Roman"/>
        </w:rPr>
        <w:br w:type="page"/>
      </w:r>
    </w:p>
    <w:p w14:paraId="17E160CF" w14:textId="77777777" w:rsidR="0080462C" w:rsidRPr="005E1A83" w:rsidRDefault="0080462C" w:rsidP="0080462C">
      <w:pPr>
        <w:rPr>
          <w:rFonts w:ascii="Garamond" w:hAnsi="Garamond"/>
          <w:b/>
          <w:bCs/>
          <w:sz w:val="28"/>
          <w:szCs w:val="28"/>
        </w:rPr>
      </w:pPr>
      <w:r w:rsidRPr="005E1A83">
        <w:rPr>
          <w:rFonts w:ascii="Garamond" w:hAnsi="Garamond"/>
          <w:b/>
          <w:bCs/>
          <w:sz w:val="28"/>
          <w:szCs w:val="28"/>
        </w:rPr>
        <w:lastRenderedPageBreak/>
        <w:t>Appendix A:</w:t>
      </w:r>
      <w:r>
        <w:rPr>
          <w:rFonts w:ascii="Garamond" w:hAnsi="Garamond"/>
          <w:b/>
          <w:bCs/>
          <w:sz w:val="28"/>
          <w:szCs w:val="28"/>
        </w:rPr>
        <w:t xml:space="preserve"> Sources used for identifying sample countries’ exchange rate regimes over time </w:t>
      </w:r>
    </w:p>
    <w:p w14:paraId="3C4B9BBF" w14:textId="77777777" w:rsidR="0080462C" w:rsidRDefault="0080462C" w:rsidP="0080462C">
      <w:pPr>
        <w:ind w:left="720" w:hanging="720"/>
        <w:rPr>
          <w:rFonts w:ascii="Garamond" w:hAnsi="Garamond"/>
        </w:rPr>
      </w:pPr>
    </w:p>
    <w:p w14:paraId="3BA2D138" w14:textId="77777777" w:rsidR="0080462C" w:rsidRPr="00702740" w:rsidRDefault="0080462C" w:rsidP="0080462C">
      <w:pPr>
        <w:spacing w:after="120"/>
        <w:rPr>
          <w:rStyle w:val="cf01"/>
          <w:rFonts w:ascii="Garamond" w:hAnsi="Garamond"/>
          <w:sz w:val="24"/>
          <w:szCs w:val="24"/>
        </w:rPr>
      </w:pPr>
      <w:r w:rsidRPr="00702740">
        <w:rPr>
          <w:rFonts w:ascii="Garamond" w:hAnsi="Garamond"/>
          <w:b/>
          <w:bCs/>
        </w:rPr>
        <w:t xml:space="preserve">1980-1989 (Australia): </w:t>
      </w:r>
      <w:r w:rsidRPr="00702740">
        <w:rPr>
          <w:rFonts w:ascii="Garamond" w:hAnsi="Garamond"/>
        </w:rPr>
        <w:t xml:space="preserve">Data from the Reserve Bank of Australia (2020) “The exchange rate and the Reserve Bank’s role in the foreign exchange market”, </w:t>
      </w:r>
      <w:hyperlink r:id="rId18" w:history="1">
        <w:r w:rsidRPr="00702740">
          <w:rPr>
            <w:rStyle w:val="Hyperlink"/>
            <w:rFonts w:ascii="Garamond" w:hAnsi="Garamond" w:cs="Segoe UI"/>
          </w:rPr>
          <w:t>https://www.rba.gov.au/mkt-operations/ex-rate-rba-role-fx-mkt.html</w:t>
        </w:r>
      </w:hyperlink>
      <w:r w:rsidRPr="00702740">
        <w:rPr>
          <w:rStyle w:val="cf01"/>
          <w:rFonts w:ascii="Garamond" w:hAnsi="Garamond"/>
          <w:sz w:val="24"/>
          <w:szCs w:val="24"/>
        </w:rPr>
        <w:t xml:space="preserve"> </w:t>
      </w:r>
    </w:p>
    <w:p w14:paraId="70411B38" w14:textId="77777777" w:rsidR="0080462C" w:rsidRPr="00702740" w:rsidRDefault="0080462C" w:rsidP="0080462C">
      <w:pPr>
        <w:spacing w:after="120"/>
        <w:rPr>
          <w:rStyle w:val="cf01"/>
          <w:rFonts w:ascii="Garamond" w:hAnsi="Garamond"/>
          <w:sz w:val="24"/>
          <w:szCs w:val="24"/>
        </w:rPr>
      </w:pPr>
      <w:r w:rsidRPr="00702740">
        <w:rPr>
          <w:rStyle w:val="cf01"/>
          <w:rFonts w:ascii="Garamond" w:hAnsi="Garamond"/>
          <w:b/>
          <w:sz w:val="24"/>
          <w:szCs w:val="24"/>
        </w:rPr>
        <w:t>1980-1989 (Austria):</w:t>
      </w:r>
      <w:r w:rsidRPr="00702740">
        <w:rPr>
          <w:rStyle w:val="cf01"/>
          <w:rFonts w:ascii="Garamond" w:hAnsi="Garamond"/>
          <w:sz w:val="24"/>
          <w:szCs w:val="24"/>
        </w:rPr>
        <w:t xml:space="preserve"> Data from </w:t>
      </w:r>
      <w:proofErr w:type="spellStart"/>
      <w:r w:rsidRPr="00702740">
        <w:rPr>
          <w:rStyle w:val="cf01"/>
          <w:rFonts w:ascii="Garamond" w:hAnsi="Garamond"/>
          <w:sz w:val="24"/>
          <w:szCs w:val="24"/>
        </w:rPr>
        <w:t>Hochreiter</w:t>
      </w:r>
      <w:proofErr w:type="spellEnd"/>
      <w:r w:rsidRPr="00702740">
        <w:rPr>
          <w:rStyle w:val="cf01"/>
          <w:rFonts w:ascii="Garamond" w:hAnsi="Garamond"/>
          <w:sz w:val="24"/>
          <w:szCs w:val="24"/>
        </w:rPr>
        <w:t xml:space="preserve">, E. and </w:t>
      </w:r>
      <w:proofErr w:type="spellStart"/>
      <w:r w:rsidRPr="00702740">
        <w:rPr>
          <w:rStyle w:val="cf01"/>
          <w:rFonts w:ascii="Garamond" w:hAnsi="Garamond"/>
          <w:sz w:val="24"/>
          <w:szCs w:val="24"/>
        </w:rPr>
        <w:t>Winckler</w:t>
      </w:r>
      <w:proofErr w:type="spellEnd"/>
      <w:r w:rsidRPr="00702740">
        <w:rPr>
          <w:rStyle w:val="cf01"/>
          <w:rFonts w:ascii="Garamond" w:hAnsi="Garamond"/>
          <w:sz w:val="24"/>
          <w:szCs w:val="24"/>
        </w:rPr>
        <w:t>, G. (1995), “The advantages of tying Austria’s hands: The success of the hard currency strategy”, European Journal of Political Economy, 11(1): 83-111.</w:t>
      </w:r>
    </w:p>
    <w:p w14:paraId="0CBE374C" w14:textId="77777777" w:rsidR="0080462C" w:rsidRPr="00702740" w:rsidRDefault="0080462C" w:rsidP="0080462C">
      <w:pPr>
        <w:spacing w:after="120"/>
        <w:rPr>
          <w:rStyle w:val="cf01"/>
          <w:rFonts w:ascii="Garamond" w:hAnsi="Garamond"/>
          <w:sz w:val="24"/>
          <w:szCs w:val="24"/>
        </w:rPr>
      </w:pPr>
      <w:r w:rsidRPr="00702740">
        <w:rPr>
          <w:rStyle w:val="cf01"/>
          <w:rFonts w:ascii="Garamond" w:hAnsi="Garamond"/>
          <w:b/>
          <w:sz w:val="24"/>
          <w:szCs w:val="24"/>
        </w:rPr>
        <w:t>1980-1989 (Belgium):</w:t>
      </w:r>
      <w:r w:rsidRPr="00702740">
        <w:rPr>
          <w:rStyle w:val="cf01"/>
          <w:rFonts w:ascii="Garamond" w:hAnsi="Garamond"/>
          <w:sz w:val="24"/>
          <w:szCs w:val="24"/>
        </w:rPr>
        <w:t xml:space="preserve"> Data from </w:t>
      </w:r>
      <w:proofErr w:type="spellStart"/>
      <w:r w:rsidRPr="00702740">
        <w:rPr>
          <w:rStyle w:val="cf01"/>
          <w:rFonts w:ascii="Garamond" w:hAnsi="Garamond"/>
          <w:sz w:val="24"/>
          <w:szCs w:val="24"/>
        </w:rPr>
        <w:t>Maes</w:t>
      </w:r>
      <w:proofErr w:type="spellEnd"/>
      <w:r w:rsidRPr="00702740">
        <w:rPr>
          <w:rStyle w:val="cf01"/>
          <w:rFonts w:ascii="Garamond" w:hAnsi="Garamond"/>
          <w:sz w:val="24"/>
          <w:szCs w:val="24"/>
        </w:rPr>
        <w:t xml:space="preserve">, I. and Quaglia, L. (2003) “The process of European monetary integration: A comparison of the Belgian and Italian approaches”, National Bank of Belgium Working Paper No. 40 (August 2003). </w:t>
      </w:r>
      <w:hyperlink r:id="rId19" w:history="1">
        <w:r w:rsidRPr="00702740">
          <w:rPr>
            <w:rStyle w:val="Hyperlink"/>
            <w:rFonts w:ascii="Garamond" w:hAnsi="Garamond" w:cs="Segoe UI"/>
          </w:rPr>
          <w:t>http://aei.pitt.edu/770/1/WP40.pdf</w:t>
        </w:r>
      </w:hyperlink>
      <w:r w:rsidRPr="00702740">
        <w:rPr>
          <w:rStyle w:val="cf01"/>
          <w:rFonts w:ascii="Garamond" w:hAnsi="Garamond"/>
          <w:sz w:val="24"/>
          <w:szCs w:val="24"/>
        </w:rPr>
        <w:t xml:space="preserve"> </w:t>
      </w:r>
    </w:p>
    <w:p w14:paraId="785C0D23" w14:textId="77777777" w:rsidR="0080462C" w:rsidRPr="00702740" w:rsidRDefault="0080462C" w:rsidP="0080462C">
      <w:pPr>
        <w:spacing w:after="120"/>
        <w:rPr>
          <w:rStyle w:val="cf01"/>
          <w:rFonts w:ascii="Garamond" w:hAnsi="Garamond"/>
          <w:sz w:val="24"/>
          <w:szCs w:val="24"/>
        </w:rPr>
      </w:pPr>
      <w:r w:rsidRPr="00702740">
        <w:rPr>
          <w:rStyle w:val="cf01"/>
          <w:rFonts w:ascii="Garamond" w:hAnsi="Garamond"/>
          <w:b/>
          <w:sz w:val="24"/>
          <w:szCs w:val="24"/>
        </w:rPr>
        <w:t>1980-1989 (Canada):</w:t>
      </w:r>
      <w:r w:rsidRPr="00702740">
        <w:rPr>
          <w:rStyle w:val="cf01"/>
          <w:rFonts w:ascii="Garamond" w:hAnsi="Garamond"/>
          <w:sz w:val="24"/>
          <w:szCs w:val="24"/>
        </w:rPr>
        <w:t xml:space="preserve"> Data from </w:t>
      </w:r>
      <w:proofErr w:type="spellStart"/>
      <w:r w:rsidRPr="00702740">
        <w:rPr>
          <w:rStyle w:val="cf01"/>
          <w:rFonts w:ascii="Garamond" w:hAnsi="Garamond"/>
          <w:sz w:val="24"/>
          <w:szCs w:val="24"/>
        </w:rPr>
        <w:t>Laidler</w:t>
      </w:r>
      <w:proofErr w:type="spellEnd"/>
      <w:r w:rsidRPr="00702740">
        <w:rPr>
          <w:rStyle w:val="cf01"/>
          <w:rFonts w:ascii="Garamond" w:hAnsi="Garamond"/>
          <w:sz w:val="24"/>
          <w:szCs w:val="24"/>
        </w:rPr>
        <w:t xml:space="preserve">, D. (1999) “The exchange rate regime and Canada’s monetary order”, Bank of Canada Working Paper 99-7.  </w:t>
      </w:r>
      <w:hyperlink r:id="rId20" w:history="1">
        <w:r w:rsidRPr="00702740">
          <w:rPr>
            <w:rStyle w:val="Hyperlink"/>
            <w:rFonts w:ascii="Garamond" w:hAnsi="Garamond" w:cs="Segoe UI"/>
          </w:rPr>
          <w:t>https://www.semanticscholar.org/paper/The-Exchange-Rate-Regime-and-Canada%27s-Monetary-Laidler/00ca86a0d4d99b513b88f2216faaf903141fde9c?p2df</w:t>
        </w:r>
      </w:hyperlink>
      <w:r w:rsidRPr="00702740">
        <w:rPr>
          <w:rStyle w:val="cf01"/>
          <w:rFonts w:ascii="Garamond" w:hAnsi="Garamond"/>
          <w:sz w:val="24"/>
          <w:szCs w:val="24"/>
        </w:rPr>
        <w:t xml:space="preserve"> </w:t>
      </w:r>
    </w:p>
    <w:p w14:paraId="7E70F032" w14:textId="77777777" w:rsidR="0080462C" w:rsidRPr="00702740" w:rsidRDefault="0080462C" w:rsidP="0080462C">
      <w:pPr>
        <w:spacing w:after="120"/>
        <w:rPr>
          <w:rStyle w:val="cf01"/>
          <w:rFonts w:ascii="Garamond" w:hAnsi="Garamond"/>
          <w:sz w:val="24"/>
          <w:szCs w:val="24"/>
        </w:rPr>
      </w:pPr>
      <w:r w:rsidRPr="00702740">
        <w:rPr>
          <w:rStyle w:val="cf01"/>
          <w:rFonts w:ascii="Garamond" w:hAnsi="Garamond"/>
          <w:b/>
          <w:sz w:val="24"/>
          <w:szCs w:val="24"/>
        </w:rPr>
        <w:t>1980-1989 (Denmark):</w:t>
      </w:r>
      <w:r w:rsidRPr="00702740">
        <w:rPr>
          <w:rStyle w:val="cf01"/>
          <w:rFonts w:ascii="Garamond" w:hAnsi="Garamond"/>
          <w:sz w:val="24"/>
          <w:szCs w:val="24"/>
        </w:rPr>
        <w:t xml:space="preserve"> Data from </w:t>
      </w:r>
      <w:proofErr w:type="spellStart"/>
      <w:r w:rsidRPr="00702740">
        <w:rPr>
          <w:rStyle w:val="cf01"/>
          <w:rFonts w:ascii="Garamond" w:hAnsi="Garamond"/>
          <w:sz w:val="24"/>
          <w:szCs w:val="24"/>
        </w:rPr>
        <w:t>Abildgren</w:t>
      </w:r>
      <w:proofErr w:type="spellEnd"/>
      <w:r w:rsidRPr="00702740">
        <w:rPr>
          <w:rStyle w:val="cf01"/>
          <w:rFonts w:ascii="Garamond" w:hAnsi="Garamond"/>
          <w:sz w:val="24"/>
          <w:szCs w:val="24"/>
        </w:rPr>
        <w:t xml:space="preserve">, K. (2010).  </w:t>
      </w:r>
      <w:r w:rsidRPr="00702740">
        <w:rPr>
          <w:rStyle w:val="cf01"/>
          <w:rFonts w:ascii="Garamond" w:hAnsi="Garamond"/>
          <w:i/>
          <w:iCs/>
          <w:sz w:val="24"/>
          <w:szCs w:val="24"/>
        </w:rPr>
        <w:t>Monetary History of Denmark, 1990-2005</w:t>
      </w:r>
      <w:r w:rsidRPr="00702740">
        <w:rPr>
          <w:rStyle w:val="cf01"/>
          <w:rFonts w:ascii="Garamond" w:hAnsi="Garamond"/>
          <w:sz w:val="24"/>
          <w:szCs w:val="24"/>
        </w:rPr>
        <w:t xml:space="preserve">. </w:t>
      </w:r>
      <w:proofErr w:type="spellStart"/>
      <w:r w:rsidRPr="00702740">
        <w:rPr>
          <w:rStyle w:val="cf01"/>
          <w:rFonts w:ascii="Garamond" w:hAnsi="Garamond"/>
          <w:sz w:val="24"/>
          <w:szCs w:val="24"/>
        </w:rPr>
        <w:t>Danmarks</w:t>
      </w:r>
      <w:proofErr w:type="spellEnd"/>
      <w:r w:rsidRPr="00702740">
        <w:rPr>
          <w:rStyle w:val="cf01"/>
          <w:rFonts w:ascii="Garamond" w:hAnsi="Garamond"/>
          <w:sz w:val="24"/>
          <w:szCs w:val="24"/>
        </w:rPr>
        <w:t xml:space="preserve"> </w:t>
      </w:r>
      <w:proofErr w:type="spellStart"/>
      <w:r w:rsidRPr="00702740">
        <w:rPr>
          <w:rStyle w:val="cf01"/>
          <w:rFonts w:ascii="Garamond" w:hAnsi="Garamond"/>
          <w:sz w:val="24"/>
          <w:szCs w:val="24"/>
        </w:rPr>
        <w:t>Nationalbank</w:t>
      </w:r>
      <w:proofErr w:type="spellEnd"/>
      <w:r w:rsidRPr="00702740">
        <w:rPr>
          <w:rStyle w:val="cf01"/>
          <w:rFonts w:ascii="Garamond" w:hAnsi="Garamond"/>
          <w:sz w:val="24"/>
          <w:szCs w:val="24"/>
        </w:rPr>
        <w:t xml:space="preserve">. </w:t>
      </w:r>
      <w:hyperlink r:id="rId21" w:history="1">
        <w:r w:rsidRPr="00702740">
          <w:rPr>
            <w:rStyle w:val="Hyperlink"/>
            <w:rFonts w:ascii="Garamond" w:hAnsi="Garamond" w:cs="Segoe UI"/>
          </w:rPr>
          <w:t>https://www.nationalbanken.dk/en/publications/Documents/2010/12/Monetary_History_Denmark_web.pdf</w:t>
        </w:r>
      </w:hyperlink>
      <w:r w:rsidRPr="00702740">
        <w:rPr>
          <w:rStyle w:val="cf01"/>
          <w:rFonts w:ascii="Garamond" w:hAnsi="Garamond"/>
          <w:sz w:val="24"/>
          <w:szCs w:val="24"/>
        </w:rPr>
        <w:t xml:space="preserve"> </w:t>
      </w:r>
    </w:p>
    <w:p w14:paraId="4DBBB15D" w14:textId="77777777" w:rsidR="0080462C" w:rsidRPr="00702740" w:rsidRDefault="0080462C" w:rsidP="0080462C">
      <w:pPr>
        <w:spacing w:after="120"/>
        <w:rPr>
          <w:rStyle w:val="cf01"/>
          <w:rFonts w:ascii="Garamond" w:hAnsi="Garamond"/>
          <w:sz w:val="24"/>
          <w:szCs w:val="24"/>
        </w:rPr>
      </w:pPr>
      <w:r w:rsidRPr="00702740">
        <w:rPr>
          <w:rStyle w:val="cf01"/>
          <w:rFonts w:ascii="Garamond" w:hAnsi="Garamond"/>
          <w:b/>
          <w:sz w:val="24"/>
          <w:szCs w:val="24"/>
        </w:rPr>
        <w:t>1980-1989 (Finland):</w:t>
      </w:r>
      <w:r w:rsidRPr="00702740">
        <w:rPr>
          <w:rStyle w:val="cf01"/>
          <w:rFonts w:ascii="Garamond" w:hAnsi="Garamond"/>
          <w:sz w:val="24"/>
          <w:szCs w:val="24"/>
        </w:rPr>
        <w:t xml:space="preserve">  Data from Korhonen, T. (2003) “Finnish monetary policy and foreign exchange policy on the way towards the Euro”, </w:t>
      </w:r>
      <w:r w:rsidRPr="00702740">
        <w:rPr>
          <w:rStyle w:val="cf01"/>
          <w:rFonts w:ascii="Garamond" w:hAnsi="Garamond"/>
          <w:i/>
          <w:iCs/>
          <w:sz w:val="24"/>
          <w:szCs w:val="24"/>
        </w:rPr>
        <w:t>Czech Journal of Economics and Finance</w:t>
      </w:r>
      <w:r w:rsidRPr="00702740">
        <w:rPr>
          <w:rStyle w:val="cf01"/>
          <w:rFonts w:ascii="Garamond" w:hAnsi="Garamond"/>
          <w:sz w:val="24"/>
          <w:szCs w:val="24"/>
        </w:rPr>
        <w:t>, 53(2003): 430-448</w:t>
      </w:r>
    </w:p>
    <w:p w14:paraId="349018B9" w14:textId="77777777" w:rsidR="0080462C" w:rsidRPr="00702740" w:rsidRDefault="0080462C" w:rsidP="0080462C">
      <w:pPr>
        <w:spacing w:after="120"/>
        <w:rPr>
          <w:rStyle w:val="cf01"/>
          <w:rFonts w:ascii="Garamond" w:hAnsi="Garamond"/>
          <w:sz w:val="24"/>
          <w:szCs w:val="24"/>
        </w:rPr>
      </w:pPr>
      <w:r w:rsidRPr="00702740">
        <w:rPr>
          <w:rStyle w:val="cf01"/>
          <w:rFonts w:ascii="Garamond" w:hAnsi="Garamond"/>
          <w:b/>
          <w:sz w:val="24"/>
          <w:szCs w:val="24"/>
        </w:rPr>
        <w:t>1980-1989 (France)</w:t>
      </w:r>
      <w:r w:rsidRPr="00702740">
        <w:rPr>
          <w:rStyle w:val="cf01"/>
          <w:rFonts w:ascii="Garamond" w:hAnsi="Garamond"/>
          <w:sz w:val="24"/>
          <w:szCs w:val="24"/>
        </w:rPr>
        <w:t xml:space="preserve">: Data from </w:t>
      </w:r>
      <w:proofErr w:type="spellStart"/>
      <w:r w:rsidRPr="00702740">
        <w:rPr>
          <w:rStyle w:val="cf01"/>
          <w:rFonts w:ascii="Garamond" w:hAnsi="Garamond"/>
          <w:sz w:val="24"/>
          <w:szCs w:val="24"/>
        </w:rPr>
        <w:t>Drumetz</w:t>
      </w:r>
      <w:proofErr w:type="spellEnd"/>
      <w:r w:rsidRPr="00702740">
        <w:rPr>
          <w:rStyle w:val="cf01"/>
          <w:rFonts w:ascii="Garamond" w:hAnsi="Garamond"/>
          <w:sz w:val="24"/>
          <w:szCs w:val="24"/>
        </w:rPr>
        <w:t xml:space="preserve">, F. (n.d.) “France’s experience of exchange controls and liberalization”, Bank of International Settlements Working Paper No. 15. </w:t>
      </w:r>
      <w:hyperlink r:id="rId22" w:history="1">
        <w:r w:rsidRPr="00702740">
          <w:rPr>
            <w:rStyle w:val="Hyperlink"/>
            <w:rFonts w:ascii="Garamond" w:hAnsi="Garamond" w:cs="Segoe UI"/>
          </w:rPr>
          <w:t>https://www.bis.org/publ/bppdf/bispap15m.pdf</w:t>
        </w:r>
      </w:hyperlink>
      <w:r w:rsidRPr="00702740">
        <w:rPr>
          <w:rStyle w:val="cf01"/>
          <w:rFonts w:ascii="Garamond" w:hAnsi="Garamond"/>
          <w:sz w:val="24"/>
          <w:szCs w:val="24"/>
        </w:rPr>
        <w:t xml:space="preserve"> </w:t>
      </w:r>
    </w:p>
    <w:p w14:paraId="1711462E" w14:textId="77777777" w:rsidR="0080462C" w:rsidRPr="00702740" w:rsidRDefault="0080462C" w:rsidP="0080462C">
      <w:pPr>
        <w:spacing w:after="120"/>
        <w:rPr>
          <w:rStyle w:val="cf01"/>
          <w:rFonts w:ascii="Garamond" w:hAnsi="Garamond"/>
          <w:sz w:val="24"/>
          <w:szCs w:val="24"/>
        </w:rPr>
      </w:pPr>
      <w:r w:rsidRPr="00702740">
        <w:rPr>
          <w:rStyle w:val="cf01"/>
          <w:rFonts w:ascii="Garamond" w:hAnsi="Garamond"/>
          <w:b/>
          <w:sz w:val="24"/>
          <w:szCs w:val="24"/>
        </w:rPr>
        <w:t xml:space="preserve">1980-1989 (Germany): </w:t>
      </w:r>
      <w:r w:rsidRPr="00702740">
        <w:rPr>
          <w:rStyle w:val="cf01"/>
          <w:rFonts w:ascii="Garamond" w:hAnsi="Garamond"/>
          <w:sz w:val="24"/>
          <w:szCs w:val="24"/>
        </w:rPr>
        <w:t>Data from McNamara, K. (1998</w:t>
      </w:r>
      <w:r w:rsidRPr="00702740">
        <w:rPr>
          <w:rStyle w:val="cf01"/>
          <w:rFonts w:ascii="Garamond" w:hAnsi="Garamond"/>
          <w:i/>
          <w:iCs/>
          <w:sz w:val="24"/>
          <w:szCs w:val="24"/>
        </w:rPr>
        <w:t>) The Currency of Ideas: Monetary Politics in the European Union</w:t>
      </w:r>
      <w:r w:rsidRPr="00702740">
        <w:rPr>
          <w:rStyle w:val="cf01"/>
          <w:rFonts w:ascii="Garamond" w:hAnsi="Garamond"/>
          <w:sz w:val="24"/>
          <w:szCs w:val="24"/>
        </w:rPr>
        <w:t>, Cornell University Press, Ithaca, NY.</w:t>
      </w:r>
    </w:p>
    <w:p w14:paraId="0CBE0571" w14:textId="77777777" w:rsidR="0080462C" w:rsidRPr="00702740" w:rsidRDefault="0080462C" w:rsidP="0080462C">
      <w:pPr>
        <w:spacing w:after="120"/>
        <w:rPr>
          <w:rStyle w:val="cf01"/>
          <w:rFonts w:ascii="Garamond" w:hAnsi="Garamond"/>
          <w:sz w:val="24"/>
          <w:szCs w:val="24"/>
        </w:rPr>
      </w:pPr>
      <w:r w:rsidRPr="00702740">
        <w:rPr>
          <w:rStyle w:val="cf01"/>
          <w:rFonts w:ascii="Garamond" w:hAnsi="Garamond"/>
          <w:b/>
          <w:sz w:val="24"/>
          <w:szCs w:val="24"/>
        </w:rPr>
        <w:t>1980-1989 (Greece):</w:t>
      </w:r>
      <w:r w:rsidRPr="00702740">
        <w:rPr>
          <w:rStyle w:val="cf01"/>
          <w:rFonts w:ascii="Garamond" w:hAnsi="Garamond"/>
          <w:sz w:val="24"/>
          <w:szCs w:val="24"/>
        </w:rPr>
        <w:t xml:space="preserve"> Data from </w:t>
      </w:r>
      <w:proofErr w:type="spellStart"/>
      <w:r w:rsidRPr="00702740">
        <w:rPr>
          <w:rStyle w:val="cf01"/>
          <w:rFonts w:ascii="Garamond" w:hAnsi="Garamond"/>
          <w:sz w:val="24"/>
          <w:szCs w:val="24"/>
        </w:rPr>
        <w:t>Alogoskoufis</w:t>
      </w:r>
      <w:proofErr w:type="spellEnd"/>
      <w:r w:rsidRPr="00702740">
        <w:rPr>
          <w:rStyle w:val="cf01"/>
          <w:rFonts w:ascii="Garamond" w:hAnsi="Garamond"/>
          <w:sz w:val="24"/>
          <w:szCs w:val="24"/>
        </w:rPr>
        <w:t xml:space="preserve">, A. (1992) “Fiscal policies, devaluations and exchange rate regimes: The Stabilization </w:t>
      </w:r>
      <w:proofErr w:type="spellStart"/>
      <w:r w:rsidRPr="00702740">
        <w:rPr>
          <w:rStyle w:val="cf01"/>
          <w:rFonts w:ascii="Garamond" w:hAnsi="Garamond"/>
          <w:sz w:val="24"/>
          <w:szCs w:val="24"/>
        </w:rPr>
        <w:t>Programmes</w:t>
      </w:r>
      <w:proofErr w:type="spellEnd"/>
      <w:r w:rsidRPr="00702740">
        <w:rPr>
          <w:rStyle w:val="cf01"/>
          <w:rFonts w:ascii="Garamond" w:hAnsi="Garamond"/>
          <w:sz w:val="24"/>
          <w:szCs w:val="24"/>
        </w:rPr>
        <w:t xml:space="preserve"> of Ireland and Greece”, </w:t>
      </w:r>
      <w:r w:rsidRPr="00702740">
        <w:rPr>
          <w:rStyle w:val="cf01"/>
          <w:rFonts w:ascii="Garamond" w:hAnsi="Garamond"/>
          <w:i/>
          <w:iCs/>
          <w:sz w:val="24"/>
          <w:szCs w:val="24"/>
        </w:rPr>
        <w:t>The Economic and Social Review</w:t>
      </w:r>
      <w:r w:rsidRPr="00702740">
        <w:rPr>
          <w:rStyle w:val="cf01"/>
          <w:rFonts w:ascii="Garamond" w:hAnsi="Garamond"/>
          <w:sz w:val="24"/>
          <w:szCs w:val="24"/>
        </w:rPr>
        <w:t>, 23(3): 225-246.</w:t>
      </w:r>
    </w:p>
    <w:p w14:paraId="70E37266" w14:textId="77777777" w:rsidR="0080462C" w:rsidRPr="00702740" w:rsidRDefault="0080462C" w:rsidP="0080462C">
      <w:pPr>
        <w:spacing w:after="120"/>
        <w:rPr>
          <w:rStyle w:val="cf01"/>
          <w:rFonts w:ascii="Garamond" w:hAnsi="Garamond"/>
          <w:sz w:val="24"/>
          <w:szCs w:val="24"/>
        </w:rPr>
      </w:pPr>
      <w:r w:rsidRPr="00702740">
        <w:rPr>
          <w:rStyle w:val="cf01"/>
          <w:rFonts w:ascii="Garamond" w:hAnsi="Garamond"/>
          <w:b/>
          <w:sz w:val="24"/>
          <w:szCs w:val="24"/>
        </w:rPr>
        <w:t>1980-1989 (Iceland):</w:t>
      </w:r>
      <w:r w:rsidRPr="00702740">
        <w:rPr>
          <w:rStyle w:val="cf01"/>
          <w:rFonts w:ascii="Garamond" w:hAnsi="Garamond"/>
          <w:sz w:val="24"/>
          <w:szCs w:val="24"/>
        </w:rPr>
        <w:t xml:space="preserve"> Data from </w:t>
      </w:r>
      <w:proofErr w:type="spellStart"/>
      <w:r w:rsidRPr="00702740">
        <w:rPr>
          <w:rStyle w:val="cf01"/>
          <w:rFonts w:ascii="Garamond" w:hAnsi="Garamond"/>
          <w:sz w:val="24"/>
          <w:szCs w:val="24"/>
        </w:rPr>
        <w:t>Guomundsson</w:t>
      </w:r>
      <w:proofErr w:type="spellEnd"/>
      <w:r w:rsidRPr="00702740">
        <w:rPr>
          <w:rStyle w:val="cf01"/>
          <w:rFonts w:ascii="Garamond" w:hAnsi="Garamond"/>
          <w:sz w:val="24"/>
          <w:szCs w:val="24"/>
        </w:rPr>
        <w:t xml:space="preserve">, M., </w:t>
      </w:r>
      <w:proofErr w:type="spellStart"/>
      <w:r w:rsidRPr="00702740">
        <w:rPr>
          <w:rStyle w:val="cf01"/>
          <w:rFonts w:ascii="Garamond" w:hAnsi="Garamond"/>
          <w:sz w:val="24"/>
          <w:szCs w:val="24"/>
        </w:rPr>
        <w:t>Petursson</w:t>
      </w:r>
      <w:proofErr w:type="spellEnd"/>
      <w:r w:rsidRPr="00702740">
        <w:rPr>
          <w:rStyle w:val="cf01"/>
          <w:rFonts w:ascii="Garamond" w:hAnsi="Garamond"/>
          <w:sz w:val="24"/>
          <w:szCs w:val="24"/>
        </w:rPr>
        <w:t xml:space="preserve">, T. and </w:t>
      </w:r>
      <w:proofErr w:type="spellStart"/>
      <w:r w:rsidRPr="00702740">
        <w:rPr>
          <w:rStyle w:val="cf01"/>
          <w:rFonts w:ascii="Garamond" w:hAnsi="Garamond"/>
          <w:sz w:val="24"/>
          <w:szCs w:val="24"/>
        </w:rPr>
        <w:t>Sighvatsson</w:t>
      </w:r>
      <w:proofErr w:type="spellEnd"/>
      <w:r w:rsidRPr="00702740">
        <w:rPr>
          <w:rStyle w:val="cf01"/>
          <w:rFonts w:ascii="Garamond" w:hAnsi="Garamond"/>
          <w:sz w:val="24"/>
          <w:szCs w:val="24"/>
        </w:rPr>
        <w:t xml:space="preserve">, A. (2000) “Optimal exchange rate policy: The case of Iceland”, Central Bank of Iceland Working Paper No. 8 (2000). </w:t>
      </w:r>
      <w:hyperlink r:id="rId23" w:history="1">
        <w:r w:rsidRPr="00702740">
          <w:rPr>
            <w:rStyle w:val="Hyperlink"/>
            <w:rFonts w:ascii="Garamond" w:hAnsi="Garamond" w:cs="Segoe UI"/>
          </w:rPr>
          <w:t>https://pdfs.semanticscholar.org/7a5d/f5b070bd1b0bef12d514e4fdae05f96b90e5.pdf</w:t>
        </w:r>
      </w:hyperlink>
      <w:r w:rsidRPr="00702740">
        <w:rPr>
          <w:rStyle w:val="cf01"/>
          <w:rFonts w:ascii="Garamond" w:hAnsi="Garamond"/>
          <w:sz w:val="24"/>
          <w:szCs w:val="24"/>
        </w:rPr>
        <w:t xml:space="preserve"> </w:t>
      </w:r>
    </w:p>
    <w:p w14:paraId="60A8B5A7" w14:textId="77777777" w:rsidR="0080462C" w:rsidRPr="00702740" w:rsidRDefault="0080462C" w:rsidP="0080462C">
      <w:pPr>
        <w:spacing w:after="120"/>
        <w:rPr>
          <w:rStyle w:val="cf01"/>
          <w:rFonts w:ascii="Garamond" w:hAnsi="Garamond"/>
          <w:sz w:val="24"/>
          <w:szCs w:val="24"/>
        </w:rPr>
      </w:pPr>
      <w:r w:rsidRPr="00702740">
        <w:rPr>
          <w:rStyle w:val="cf01"/>
          <w:rFonts w:ascii="Garamond" w:hAnsi="Garamond"/>
          <w:b/>
          <w:sz w:val="24"/>
          <w:szCs w:val="24"/>
        </w:rPr>
        <w:t>1980-1989 (Ireland):</w:t>
      </w:r>
      <w:r w:rsidRPr="00702740">
        <w:rPr>
          <w:rStyle w:val="cf01"/>
          <w:rFonts w:ascii="Garamond" w:hAnsi="Garamond"/>
          <w:sz w:val="24"/>
          <w:szCs w:val="24"/>
        </w:rPr>
        <w:t xml:space="preserve"> Data from </w:t>
      </w:r>
      <w:proofErr w:type="spellStart"/>
      <w:r w:rsidRPr="00702740">
        <w:rPr>
          <w:rStyle w:val="cf01"/>
          <w:rFonts w:ascii="Garamond" w:hAnsi="Garamond"/>
          <w:sz w:val="24"/>
          <w:szCs w:val="24"/>
        </w:rPr>
        <w:t>Honohan</w:t>
      </w:r>
      <w:proofErr w:type="spellEnd"/>
      <w:r w:rsidRPr="00702740">
        <w:rPr>
          <w:rStyle w:val="cf01"/>
          <w:rFonts w:ascii="Garamond" w:hAnsi="Garamond"/>
          <w:sz w:val="24"/>
          <w:szCs w:val="24"/>
        </w:rPr>
        <w:t xml:space="preserve">, P. (2015) “Currency choices in Ireland past and present”, Speech provided by the Governor of the Central Bank of Ireland (Patrick </w:t>
      </w:r>
      <w:proofErr w:type="spellStart"/>
      <w:r w:rsidRPr="00702740">
        <w:rPr>
          <w:rStyle w:val="cf01"/>
          <w:rFonts w:ascii="Garamond" w:hAnsi="Garamond"/>
          <w:sz w:val="24"/>
          <w:szCs w:val="24"/>
        </w:rPr>
        <w:t>Honohan</w:t>
      </w:r>
      <w:proofErr w:type="spellEnd"/>
      <w:r w:rsidRPr="00702740">
        <w:rPr>
          <w:rStyle w:val="cf01"/>
          <w:rFonts w:ascii="Garamond" w:hAnsi="Garamond"/>
          <w:sz w:val="24"/>
          <w:szCs w:val="24"/>
        </w:rPr>
        <w:t>) at Queen’s University, Belfast, March 31</w:t>
      </w:r>
      <w:r w:rsidRPr="00702740">
        <w:rPr>
          <w:rStyle w:val="cf01"/>
          <w:rFonts w:ascii="Garamond" w:hAnsi="Garamond"/>
          <w:sz w:val="24"/>
          <w:szCs w:val="24"/>
          <w:vertAlign w:val="superscript"/>
        </w:rPr>
        <w:t>st</w:t>
      </w:r>
      <w:r w:rsidRPr="00702740">
        <w:rPr>
          <w:rStyle w:val="cf01"/>
          <w:rFonts w:ascii="Garamond" w:hAnsi="Garamond"/>
          <w:sz w:val="24"/>
          <w:szCs w:val="24"/>
        </w:rPr>
        <w:t xml:space="preserve">, 2015. </w:t>
      </w:r>
      <w:hyperlink r:id="rId24" w:history="1">
        <w:r w:rsidRPr="00702740">
          <w:rPr>
            <w:rStyle w:val="Hyperlink"/>
            <w:rFonts w:ascii="Garamond" w:hAnsi="Garamond" w:cs="Segoe UI"/>
          </w:rPr>
          <w:t>https://www.bis.org/review/r150401c.pdf</w:t>
        </w:r>
      </w:hyperlink>
      <w:r w:rsidRPr="00702740">
        <w:rPr>
          <w:rStyle w:val="cf01"/>
          <w:rFonts w:ascii="Garamond" w:hAnsi="Garamond"/>
          <w:sz w:val="24"/>
          <w:szCs w:val="24"/>
        </w:rPr>
        <w:t xml:space="preserve"> </w:t>
      </w:r>
    </w:p>
    <w:p w14:paraId="434DB896" w14:textId="77777777" w:rsidR="0080462C" w:rsidRPr="00702740" w:rsidRDefault="0080462C" w:rsidP="0080462C">
      <w:pPr>
        <w:spacing w:after="120"/>
        <w:rPr>
          <w:rStyle w:val="cf01"/>
          <w:rFonts w:ascii="Garamond" w:hAnsi="Garamond"/>
          <w:sz w:val="24"/>
          <w:szCs w:val="24"/>
        </w:rPr>
      </w:pPr>
      <w:r w:rsidRPr="00702740">
        <w:rPr>
          <w:rStyle w:val="cf01"/>
          <w:rFonts w:ascii="Garamond" w:hAnsi="Garamond"/>
          <w:b/>
          <w:sz w:val="24"/>
          <w:szCs w:val="24"/>
        </w:rPr>
        <w:t>1980-1989 (Italy):</w:t>
      </w:r>
      <w:r w:rsidRPr="00702740">
        <w:rPr>
          <w:rStyle w:val="cf01"/>
          <w:rFonts w:ascii="Garamond" w:hAnsi="Garamond"/>
          <w:sz w:val="24"/>
          <w:szCs w:val="24"/>
        </w:rPr>
        <w:t xml:space="preserve"> Data from </w:t>
      </w:r>
      <w:proofErr w:type="spellStart"/>
      <w:r w:rsidRPr="00702740">
        <w:rPr>
          <w:rStyle w:val="cf01"/>
          <w:rFonts w:ascii="Garamond" w:hAnsi="Garamond"/>
          <w:sz w:val="24"/>
          <w:szCs w:val="24"/>
        </w:rPr>
        <w:t>Maes</w:t>
      </w:r>
      <w:proofErr w:type="spellEnd"/>
      <w:r w:rsidRPr="00702740">
        <w:rPr>
          <w:rStyle w:val="cf01"/>
          <w:rFonts w:ascii="Garamond" w:hAnsi="Garamond"/>
          <w:sz w:val="24"/>
          <w:szCs w:val="24"/>
        </w:rPr>
        <w:t xml:space="preserve">, I. and Quaglia, L. (2003) “The process of European monetary integration: A comparison of the Belgian and Italian approaches”, National Bank of Belgium Working Paper No. 40 (August 2003). </w:t>
      </w:r>
      <w:hyperlink r:id="rId25" w:history="1">
        <w:r w:rsidRPr="00702740">
          <w:rPr>
            <w:rStyle w:val="Hyperlink"/>
            <w:rFonts w:ascii="Garamond" w:hAnsi="Garamond" w:cs="Segoe UI"/>
          </w:rPr>
          <w:t>http://aei.pitt.edu/770/1/WP40.pdf</w:t>
        </w:r>
      </w:hyperlink>
    </w:p>
    <w:p w14:paraId="17AF2212" w14:textId="77777777" w:rsidR="0080462C" w:rsidRPr="00702740" w:rsidRDefault="0080462C" w:rsidP="0080462C">
      <w:pPr>
        <w:spacing w:after="120"/>
        <w:rPr>
          <w:rStyle w:val="cf01"/>
          <w:rFonts w:ascii="Garamond" w:hAnsi="Garamond"/>
          <w:sz w:val="24"/>
          <w:szCs w:val="24"/>
        </w:rPr>
      </w:pPr>
      <w:r w:rsidRPr="00702740">
        <w:rPr>
          <w:rStyle w:val="cf01"/>
          <w:rFonts w:ascii="Garamond" w:hAnsi="Garamond"/>
          <w:b/>
          <w:sz w:val="24"/>
          <w:szCs w:val="24"/>
        </w:rPr>
        <w:t>1980-1989 (Japan)</w:t>
      </w:r>
      <w:r w:rsidRPr="00702740">
        <w:rPr>
          <w:rStyle w:val="cf01"/>
          <w:rFonts w:ascii="Garamond" w:hAnsi="Garamond"/>
          <w:sz w:val="24"/>
          <w:szCs w:val="24"/>
        </w:rPr>
        <w:t xml:space="preserve">: Data from </w:t>
      </w:r>
      <w:proofErr w:type="spellStart"/>
      <w:r w:rsidRPr="00702740">
        <w:rPr>
          <w:rStyle w:val="cf01"/>
          <w:rFonts w:ascii="Garamond" w:hAnsi="Garamond"/>
          <w:sz w:val="24"/>
          <w:szCs w:val="24"/>
        </w:rPr>
        <w:t>Obstefeld</w:t>
      </w:r>
      <w:proofErr w:type="spellEnd"/>
      <w:r w:rsidRPr="00702740">
        <w:rPr>
          <w:rStyle w:val="cf01"/>
          <w:rFonts w:ascii="Garamond" w:hAnsi="Garamond"/>
          <w:sz w:val="24"/>
          <w:szCs w:val="24"/>
        </w:rPr>
        <w:t>, M. (1985) “Floating exchange rates: Experience and Prospects”, Brookings Papers on Economic Activity. Vol 2: 369-464.</w:t>
      </w:r>
    </w:p>
    <w:p w14:paraId="34BABC45" w14:textId="77777777" w:rsidR="0080462C" w:rsidRPr="00702740" w:rsidRDefault="0080462C" w:rsidP="0080462C">
      <w:pPr>
        <w:spacing w:after="120"/>
        <w:rPr>
          <w:rStyle w:val="cf01"/>
          <w:rFonts w:ascii="Garamond" w:hAnsi="Garamond"/>
          <w:sz w:val="24"/>
          <w:szCs w:val="24"/>
        </w:rPr>
      </w:pPr>
      <w:r w:rsidRPr="00702740">
        <w:rPr>
          <w:rStyle w:val="cf01"/>
          <w:rFonts w:ascii="Garamond" w:hAnsi="Garamond"/>
          <w:b/>
          <w:sz w:val="24"/>
          <w:szCs w:val="24"/>
        </w:rPr>
        <w:lastRenderedPageBreak/>
        <w:t>1980-1989 (Luxembourg):</w:t>
      </w:r>
      <w:r w:rsidRPr="00702740">
        <w:rPr>
          <w:rStyle w:val="cf01"/>
          <w:rFonts w:ascii="Garamond" w:hAnsi="Garamond"/>
          <w:sz w:val="24"/>
          <w:szCs w:val="24"/>
        </w:rPr>
        <w:t xml:space="preserve"> Data from IMF (2000) “Exchange rate regimes in an increasingly integrated world economy” Appendix II: Exchange rate arrangements of small economies: </w:t>
      </w:r>
      <w:hyperlink r:id="rId26" w:history="1">
        <w:r w:rsidRPr="00702740">
          <w:rPr>
            <w:rStyle w:val="Hyperlink"/>
            <w:rFonts w:ascii="Garamond" w:hAnsi="Garamond" w:cs="Segoe UI"/>
          </w:rPr>
          <w:t>https://www.imf.org/external/pubs/ft/op/193/Append.pdf</w:t>
        </w:r>
      </w:hyperlink>
      <w:r w:rsidRPr="00702740">
        <w:rPr>
          <w:rStyle w:val="cf01"/>
          <w:rFonts w:ascii="Garamond" w:hAnsi="Garamond"/>
          <w:sz w:val="24"/>
          <w:szCs w:val="24"/>
        </w:rPr>
        <w:t xml:space="preserve"> </w:t>
      </w:r>
    </w:p>
    <w:p w14:paraId="7AD57197" w14:textId="77777777" w:rsidR="0080462C" w:rsidRPr="00702740" w:rsidRDefault="0080462C" w:rsidP="0080462C">
      <w:pPr>
        <w:spacing w:after="120"/>
        <w:rPr>
          <w:rFonts w:ascii="Garamond" w:hAnsi="Garamond"/>
        </w:rPr>
      </w:pPr>
      <w:r w:rsidRPr="00702740">
        <w:rPr>
          <w:rFonts w:ascii="Garamond" w:hAnsi="Garamond"/>
          <w:b/>
          <w:bCs/>
        </w:rPr>
        <w:t xml:space="preserve">1980-1989 (Netherlands): </w:t>
      </w:r>
      <w:r w:rsidRPr="00702740">
        <w:rPr>
          <w:rFonts w:ascii="Garamond" w:hAnsi="Garamond"/>
          <w:bCs/>
        </w:rPr>
        <w:t>Data from</w:t>
      </w:r>
      <w:r w:rsidRPr="00702740">
        <w:rPr>
          <w:rFonts w:ascii="Garamond" w:hAnsi="Garamond"/>
          <w:b/>
          <w:bCs/>
        </w:rPr>
        <w:t xml:space="preserve"> </w:t>
      </w:r>
      <w:r w:rsidRPr="00702740">
        <w:rPr>
          <w:rFonts w:ascii="Garamond" w:hAnsi="Garamond"/>
        </w:rPr>
        <w:t>Lothian, J. and Devereux, J. (2011) “Exchange rates and prices in the Netherlands and Britain over the past four centuries”, Bank of Greece Working Paper 135 (July, 2011).</w:t>
      </w:r>
    </w:p>
    <w:p w14:paraId="6973957B" w14:textId="77777777" w:rsidR="0080462C" w:rsidRPr="00702740" w:rsidRDefault="0080462C" w:rsidP="0080462C">
      <w:pPr>
        <w:spacing w:after="120"/>
        <w:rPr>
          <w:rFonts w:ascii="Garamond" w:hAnsi="Garamond"/>
          <w:b/>
          <w:bCs/>
        </w:rPr>
      </w:pPr>
      <w:r w:rsidRPr="00702740">
        <w:rPr>
          <w:rFonts w:ascii="Garamond" w:hAnsi="Garamond"/>
          <w:b/>
        </w:rPr>
        <w:t>1980-1989 (New Zealand):</w:t>
      </w:r>
      <w:r w:rsidRPr="00702740">
        <w:rPr>
          <w:rFonts w:ascii="Garamond" w:hAnsi="Garamond"/>
        </w:rPr>
        <w:t xml:space="preserve"> Data from Sullivan, R. (2013) “New Zealand History of Monetary and Exchange Rate Regimes”, Reserve Bank of New Zealand. </w:t>
      </w:r>
      <w:hyperlink r:id="rId27" w:history="1">
        <w:r w:rsidRPr="00702740">
          <w:rPr>
            <w:rStyle w:val="Hyperlink"/>
            <w:rFonts w:ascii="Garamond" w:hAnsi="Garamond" w:cs="Segoe UI"/>
          </w:rPr>
          <w:t>https://www.rbnz.govt.nz/-/media/ReserveBank/Files/Publications/Seminars%20and%20workshops/Mar2013/5200816.pdf</w:t>
        </w:r>
      </w:hyperlink>
      <w:r w:rsidRPr="00702740">
        <w:rPr>
          <w:rStyle w:val="cf01"/>
          <w:rFonts w:ascii="Garamond" w:hAnsi="Garamond"/>
          <w:sz w:val="24"/>
          <w:szCs w:val="24"/>
        </w:rPr>
        <w:t xml:space="preserve"> </w:t>
      </w:r>
    </w:p>
    <w:p w14:paraId="123A719E" w14:textId="77777777" w:rsidR="0080462C" w:rsidRPr="00702740" w:rsidRDefault="0080462C" w:rsidP="0080462C">
      <w:pPr>
        <w:spacing w:after="120"/>
        <w:rPr>
          <w:rFonts w:ascii="Garamond" w:hAnsi="Garamond"/>
          <w:b/>
          <w:bCs/>
        </w:rPr>
      </w:pPr>
      <w:r w:rsidRPr="00702740">
        <w:rPr>
          <w:rFonts w:ascii="Garamond" w:hAnsi="Garamond"/>
          <w:b/>
          <w:bCs/>
        </w:rPr>
        <w:t xml:space="preserve">1980-1989 (Norway): </w:t>
      </w:r>
      <w:r w:rsidRPr="00702740">
        <w:rPr>
          <w:rFonts w:ascii="Garamond" w:hAnsi="Garamond"/>
          <w:bCs/>
        </w:rPr>
        <w:t>Data from</w:t>
      </w:r>
      <w:r w:rsidRPr="00702740">
        <w:rPr>
          <w:rFonts w:ascii="Garamond" w:hAnsi="Garamond"/>
          <w:b/>
          <w:bCs/>
        </w:rPr>
        <w:t xml:space="preserve"> </w:t>
      </w:r>
      <w:proofErr w:type="spellStart"/>
      <w:r w:rsidRPr="00702740">
        <w:rPr>
          <w:rFonts w:ascii="Garamond" w:hAnsi="Garamond" w:cs="Arial"/>
        </w:rPr>
        <w:t>Alstadheim</w:t>
      </w:r>
      <w:proofErr w:type="spellEnd"/>
      <w:r w:rsidRPr="00702740">
        <w:rPr>
          <w:rFonts w:ascii="Garamond" w:hAnsi="Garamond" w:cs="Arial"/>
        </w:rPr>
        <w:t xml:space="preserve">, </w:t>
      </w:r>
      <w:proofErr w:type="spellStart"/>
      <w:r w:rsidRPr="00702740">
        <w:rPr>
          <w:rFonts w:ascii="Garamond" w:hAnsi="Garamond" w:cs="Arial"/>
        </w:rPr>
        <w:t>Ragna</w:t>
      </w:r>
      <w:proofErr w:type="spellEnd"/>
      <w:r w:rsidRPr="00702740">
        <w:rPr>
          <w:rFonts w:ascii="Garamond" w:hAnsi="Garamond" w:cs="Arial"/>
        </w:rPr>
        <w:t xml:space="preserve"> (2016</w:t>
      </w:r>
      <w:proofErr w:type="gramStart"/>
      <w:r w:rsidRPr="00702740">
        <w:rPr>
          <w:rFonts w:ascii="Garamond" w:hAnsi="Garamond" w:cs="Arial"/>
        </w:rPr>
        <w:t>) :</w:t>
      </w:r>
      <w:proofErr w:type="gramEnd"/>
      <w:r w:rsidRPr="00702740">
        <w:rPr>
          <w:rFonts w:ascii="Garamond" w:hAnsi="Garamond" w:cs="Arial"/>
        </w:rPr>
        <w:t xml:space="preserve"> Exchange Rate Regimes in Norway, 1816-2016, Staff Memo, No. 15/2016, ISBN 978-82-7553-931-9, </w:t>
      </w:r>
      <w:proofErr w:type="spellStart"/>
      <w:r w:rsidRPr="00702740">
        <w:rPr>
          <w:rFonts w:ascii="Garamond" w:hAnsi="Garamond" w:cs="Arial"/>
        </w:rPr>
        <w:t>Norges</w:t>
      </w:r>
      <w:proofErr w:type="spellEnd"/>
      <w:r w:rsidRPr="00702740">
        <w:rPr>
          <w:rFonts w:ascii="Garamond" w:hAnsi="Garamond" w:cs="Arial"/>
        </w:rPr>
        <w:t xml:space="preserve"> Bank, Oslo,</w:t>
      </w:r>
      <w:r w:rsidRPr="00702740">
        <w:rPr>
          <w:rFonts w:ascii="Garamond" w:hAnsi="Garamond"/>
        </w:rPr>
        <w:t xml:space="preserve"> </w:t>
      </w:r>
      <w:hyperlink r:id="rId28" w:history="1">
        <w:r w:rsidRPr="00702740">
          <w:rPr>
            <w:rStyle w:val="Hyperlink"/>
            <w:rFonts w:ascii="Garamond" w:hAnsi="Garamond" w:cs="Arial"/>
          </w:rPr>
          <w:t>http://hdl.handle.net/11250/2506533</w:t>
        </w:r>
      </w:hyperlink>
      <w:r w:rsidRPr="00702740">
        <w:rPr>
          <w:rFonts w:ascii="Garamond" w:hAnsi="Garamond"/>
          <w:b/>
          <w:bCs/>
        </w:rPr>
        <w:t xml:space="preserve"> </w:t>
      </w:r>
    </w:p>
    <w:p w14:paraId="67257D62" w14:textId="77777777" w:rsidR="0080462C" w:rsidRPr="00702740" w:rsidRDefault="0080462C" w:rsidP="0080462C">
      <w:pPr>
        <w:spacing w:after="120"/>
        <w:rPr>
          <w:rStyle w:val="cf01"/>
          <w:rFonts w:ascii="Garamond" w:hAnsi="Garamond"/>
          <w:sz w:val="24"/>
          <w:szCs w:val="24"/>
        </w:rPr>
      </w:pPr>
      <w:r w:rsidRPr="00702740">
        <w:rPr>
          <w:rFonts w:ascii="Garamond" w:hAnsi="Garamond"/>
          <w:b/>
          <w:bCs/>
        </w:rPr>
        <w:t xml:space="preserve">1980-1989 (Portugal): </w:t>
      </w:r>
      <w:r w:rsidRPr="00702740">
        <w:rPr>
          <w:rFonts w:ascii="Garamond" w:hAnsi="Garamond"/>
          <w:bCs/>
        </w:rPr>
        <w:t>Data from Abreu, M. (2005) “Inflation and monetary policy in Portugal: Before the Euro”, Bank of Portugal, Economic Bulletin, Spring 2005: 73-87</w:t>
      </w:r>
      <w:r w:rsidRPr="00702740">
        <w:rPr>
          <w:rFonts w:ascii="Garamond" w:hAnsi="Garamond"/>
          <w:b/>
          <w:bCs/>
        </w:rPr>
        <w:t xml:space="preserve">. </w:t>
      </w:r>
      <w:hyperlink r:id="rId29" w:history="1">
        <w:r w:rsidRPr="00702740">
          <w:rPr>
            <w:rStyle w:val="Hyperlink"/>
            <w:rFonts w:ascii="Garamond" w:hAnsi="Garamond" w:cs="Segoe UI"/>
          </w:rPr>
          <w:t>https://citeseerx.ist.psu.edu/viewdoc/download?doi=10.1.1.960.8164&amp;rep=rep1&amp;type=pdf</w:t>
        </w:r>
      </w:hyperlink>
      <w:r w:rsidRPr="00702740">
        <w:rPr>
          <w:rStyle w:val="cf01"/>
          <w:rFonts w:ascii="Garamond" w:hAnsi="Garamond"/>
          <w:sz w:val="24"/>
          <w:szCs w:val="24"/>
        </w:rPr>
        <w:t xml:space="preserve"> </w:t>
      </w:r>
    </w:p>
    <w:p w14:paraId="24480147" w14:textId="77777777" w:rsidR="0080462C" w:rsidRPr="00702740" w:rsidRDefault="0080462C" w:rsidP="0080462C">
      <w:pPr>
        <w:spacing w:after="120"/>
        <w:rPr>
          <w:rFonts w:ascii="Garamond" w:eastAsia="Times New Roman" w:hAnsi="Garamond" w:cs="Times New Roman"/>
        </w:rPr>
      </w:pPr>
      <w:r w:rsidRPr="00702740">
        <w:rPr>
          <w:rStyle w:val="cf01"/>
          <w:rFonts w:ascii="Garamond" w:hAnsi="Garamond"/>
          <w:b/>
          <w:sz w:val="24"/>
          <w:szCs w:val="24"/>
        </w:rPr>
        <w:t>1980-1989 (Spain):</w:t>
      </w:r>
      <w:r w:rsidRPr="00702740">
        <w:rPr>
          <w:rStyle w:val="cf01"/>
          <w:rFonts w:ascii="Garamond" w:hAnsi="Garamond"/>
          <w:sz w:val="24"/>
          <w:szCs w:val="24"/>
        </w:rPr>
        <w:t xml:space="preserve"> Data from </w:t>
      </w:r>
      <w:proofErr w:type="spellStart"/>
      <w:r w:rsidRPr="00702740">
        <w:rPr>
          <w:rFonts w:ascii="Garamond" w:eastAsia="Times New Roman" w:hAnsi="Garamond" w:cs="Times New Roman"/>
        </w:rPr>
        <w:t>Bacchetta</w:t>
      </w:r>
      <w:proofErr w:type="spellEnd"/>
      <w:r w:rsidRPr="00702740">
        <w:rPr>
          <w:rFonts w:ascii="Garamond" w:eastAsia="Times New Roman" w:hAnsi="Garamond" w:cs="Times New Roman"/>
        </w:rPr>
        <w:t xml:space="preserve">, P. (1997). Exchange rate policy and disinflation: the Spanish experience in the ERM. </w:t>
      </w:r>
      <w:r w:rsidRPr="00702740">
        <w:rPr>
          <w:rFonts w:ascii="Garamond" w:eastAsia="Times New Roman" w:hAnsi="Garamond" w:cs="Times New Roman"/>
          <w:i/>
          <w:iCs/>
        </w:rPr>
        <w:t>World Economy</w:t>
      </w:r>
      <w:r w:rsidRPr="00702740">
        <w:rPr>
          <w:rFonts w:ascii="Garamond" w:eastAsia="Times New Roman" w:hAnsi="Garamond" w:cs="Times New Roman"/>
        </w:rPr>
        <w:t xml:space="preserve">, </w:t>
      </w:r>
      <w:r w:rsidRPr="00702740">
        <w:rPr>
          <w:rFonts w:ascii="Garamond" w:eastAsia="Times New Roman" w:hAnsi="Garamond" w:cs="Times New Roman"/>
          <w:i/>
          <w:iCs/>
        </w:rPr>
        <w:t>20</w:t>
      </w:r>
      <w:r w:rsidRPr="00702740">
        <w:rPr>
          <w:rFonts w:ascii="Garamond" w:eastAsia="Times New Roman" w:hAnsi="Garamond" w:cs="Times New Roman"/>
        </w:rPr>
        <w:t>(2), 221-238.</w:t>
      </w:r>
    </w:p>
    <w:p w14:paraId="7965D11D" w14:textId="77777777" w:rsidR="0080462C" w:rsidRPr="00702740" w:rsidRDefault="0080462C" w:rsidP="0080462C">
      <w:pPr>
        <w:spacing w:after="120"/>
        <w:rPr>
          <w:rStyle w:val="cf01"/>
          <w:rFonts w:ascii="Garamond" w:hAnsi="Garamond"/>
          <w:sz w:val="24"/>
          <w:szCs w:val="24"/>
        </w:rPr>
      </w:pPr>
      <w:r w:rsidRPr="00702740">
        <w:rPr>
          <w:rFonts w:ascii="Garamond" w:hAnsi="Garamond"/>
          <w:b/>
          <w:bCs/>
        </w:rPr>
        <w:t xml:space="preserve">1980-1989 (Sweden): </w:t>
      </w:r>
      <w:r w:rsidRPr="00702740">
        <w:rPr>
          <w:rFonts w:ascii="Garamond" w:hAnsi="Garamond"/>
        </w:rPr>
        <w:t>Data from</w:t>
      </w:r>
      <w:r w:rsidRPr="00702740">
        <w:rPr>
          <w:rFonts w:ascii="Garamond" w:hAnsi="Garamond"/>
          <w:b/>
          <w:bCs/>
        </w:rPr>
        <w:t xml:space="preserve"> </w:t>
      </w:r>
      <w:proofErr w:type="spellStart"/>
      <w:r w:rsidRPr="00702740">
        <w:rPr>
          <w:rFonts w:ascii="Cambria" w:hAnsi="Cambria" w:cs="Cambria"/>
        </w:rPr>
        <w:t>Ӧ</w:t>
      </w:r>
      <w:r w:rsidRPr="00702740">
        <w:rPr>
          <w:rFonts w:ascii="Garamond" w:hAnsi="Garamond"/>
        </w:rPr>
        <w:t>berg</w:t>
      </w:r>
      <w:proofErr w:type="spellEnd"/>
      <w:r w:rsidRPr="00702740">
        <w:rPr>
          <w:rFonts w:ascii="Garamond" w:hAnsi="Garamond"/>
        </w:rPr>
        <w:t xml:space="preserve">, S. (2006) “Sweden – a low inflation economy”, Speech by Svante </w:t>
      </w:r>
      <w:proofErr w:type="spellStart"/>
      <w:r w:rsidRPr="00702740">
        <w:rPr>
          <w:rFonts w:ascii="Cambria" w:hAnsi="Cambria" w:cs="Cambria"/>
        </w:rPr>
        <w:t>Ӧ</w:t>
      </w:r>
      <w:r w:rsidRPr="00702740">
        <w:rPr>
          <w:rFonts w:ascii="Garamond" w:hAnsi="Garamond"/>
        </w:rPr>
        <w:t>berg</w:t>
      </w:r>
      <w:proofErr w:type="spellEnd"/>
      <w:r w:rsidRPr="00702740">
        <w:rPr>
          <w:rFonts w:ascii="Garamond" w:hAnsi="Garamond"/>
        </w:rPr>
        <w:t xml:space="preserve">, Deputy Governor of </w:t>
      </w:r>
      <w:proofErr w:type="spellStart"/>
      <w:r w:rsidRPr="00702740">
        <w:rPr>
          <w:rFonts w:ascii="Garamond" w:hAnsi="Garamond"/>
        </w:rPr>
        <w:t>Sveriges</w:t>
      </w:r>
      <w:proofErr w:type="spellEnd"/>
      <w:r w:rsidRPr="00702740">
        <w:rPr>
          <w:rFonts w:ascii="Garamond" w:hAnsi="Garamond"/>
        </w:rPr>
        <w:t xml:space="preserve"> </w:t>
      </w:r>
      <w:proofErr w:type="spellStart"/>
      <w:r w:rsidRPr="00702740">
        <w:rPr>
          <w:rFonts w:ascii="Garamond" w:hAnsi="Garamond"/>
        </w:rPr>
        <w:t>Riksbank</w:t>
      </w:r>
      <w:proofErr w:type="spellEnd"/>
      <w:r w:rsidRPr="00702740">
        <w:rPr>
          <w:rFonts w:ascii="Garamond" w:hAnsi="Garamond"/>
        </w:rPr>
        <w:t>, Stockholm University.  March 21</w:t>
      </w:r>
      <w:r w:rsidRPr="00702740">
        <w:rPr>
          <w:rFonts w:ascii="Garamond" w:hAnsi="Garamond"/>
          <w:vertAlign w:val="superscript"/>
        </w:rPr>
        <w:t>st</w:t>
      </w:r>
      <w:r w:rsidRPr="00702740">
        <w:rPr>
          <w:rFonts w:ascii="Garamond" w:hAnsi="Garamond"/>
        </w:rPr>
        <w:t xml:space="preserve">, 2006. </w:t>
      </w:r>
      <w:hyperlink r:id="rId30" w:history="1">
        <w:r w:rsidRPr="00702740">
          <w:rPr>
            <w:rStyle w:val="Hyperlink"/>
            <w:rFonts w:ascii="Garamond" w:hAnsi="Garamond" w:cs="Segoe UI"/>
          </w:rPr>
          <w:t>https://www.bis.org/review/r060324e.pdf</w:t>
        </w:r>
      </w:hyperlink>
      <w:r w:rsidRPr="00702740">
        <w:rPr>
          <w:rStyle w:val="cf01"/>
          <w:rFonts w:ascii="Garamond" w:hAnsi="Garamond"/>
          <w:sz w:val="24"/>
          <w:szCs w:val="24"/>
        </w:rPr>
        <w:t xml:space="preserve"> </w:t>
      </w:r>
    </w:p>
    <w:p w14:paraId="52143AF2" w14:textId="77777777" w:rsidR="0080462C" w:rsidRPr="00702740" w:rsidRDefault="0080462C" w:rsidP="0080462C">
      <w:pPr>
        <w:spacing w:after="120"/>
        <w:rPr>
          <w:rFonts w:ascii="Garamond" w:eastAsia="Times New Roman" w:hAnsi="Garamond" w:cs="Times New Roman"/>
        </w:rPr>
      </w:pPr>
      <w:r w:rsidRPr="00702740">
        <w:rPr>
          <w:rStyle w:val="cf01"/>
          <w:rFonts w:ascii="Garamond" w:hAnsi="Garamond"/>
          <w:b/>
          <w:sz w:val="24"/>
          <w:szCs w:val="24"/>
        </w:rPr>
        <w:t>1980-1989 (Switzerland):</w:t>
      </w:r>
      <w:r w:rsidRPr="00702740">
        <w:rPr>
          <w:rStyle w:val="cf01"/>
          <w:rFonts w:ascii="Garamond" w:hAnsi="Garamond"/>
          <w:sz w:val="24"/>
          <w:szCs w:val="24"/>
        </w:rPr>
        <w:t xml:space="preserve"> Data from </w:t>
      </w:r>
      <w:proofErr w:type="spellStart"/>
      <w:r w:rsidRPr="00702740">
        <w:rPr>
          <w:rFonts w:ascii="Garamond" w:eastAsia="Times New Roman" w:hAnsi="Garamond" w:cs="Times New Roman"/>
        </w:rPr>
        <w:t>Peytrignet</w:t>
      </w:r>
      <w:proofErr w:type="spellEnd"/>
      <w:r w:rsidRPr="00702740">
        <w:rPr>
          <w:rFonts w:ascii="Garamond" w:eastAsia="Times New Roman" w:hAnsi="Garamond" w:cs="Times New Roman"/>
        </w:rPr>
        <w:t xml:space="preserve">, M. (1999). “Swiss monetary policy under a flexible exchange rate regime: Monetary targets in practice” </w:t>
      </w:r>
      <w:r w:rsidRPr="00702740">
        <w:rPr>
          <w:rFonts w:ascii="Garamond" w:eastAsia="Times New Roman" w:hAnsi="Garamond" w:cs="Times New Roman"/>
          <w:i/>
          <w:iCs/>
        </w:rPr>
        <w:t>Bank of Canada, Money, monetary policy, and transmission mechanisms</w:t>
      </w:r>
      <w:r w:rsidRPr="00702740">
        <w:rPr>
          <w:rFonts w:ascii="Garamond" w:eastAsia="Times New Roman" w:hAnsi="Garamond" w:cs="Times New Roman"/>
        </w:rPr>
        <w:t>, 193-219.</w:t>
      </w:r>
    </w:p>
    <w:p w14:paraId="6D264807" w14:textId="77777777" w:rsidR="0080462C" w:rsidRPr="00702740" w:rsidRDefault="0080462C" w:rsidP="0080462C">
      <w:pPr>
        <w:spacing w:after="120"/>
        <w:rPr>
          <w:rStyle w:val="cf01"/>
          <w:rFonts w:ascii="Garamond" w:hAnsi="Garamond"/>
          <w:sz w:val="24"/>
          <w:szCs w:val="24"/>
        </w:rPr>
      </w:pPr>
      <w:r w:rsidRPr="00702740">
        <w:rPr>
          <w:rFonts w:ascii="Garamond" w:eastAsia="Times New Roman" w:hAnsi="Garamond" w:cs="Times New Roman"/>
          <w:b/>
        </w:rPr>
        <w:t>1980-1989 (United Kingdom):</w:t>
      </w:r>
      <w:r w:rsidRPr="00702740">
        <w:rPr>
          <w:rFonts w:ascii="Garamond" w:eastAsia="Times New Roman" w:hAnsi="Garamond" w:cs="Times New Roman"/>
        </w:rPr>
        <w:t xml:space="preserve"> Data </w:t>
      </w:r>
      <w:r w:rsidRPr="00702740">
        <w:rPr>
          <w:rStyle w:val="cf01"/>
          <w:rFonts w:ascii="Garamond" w:hAnsi="Garamond"/>
          <w:sz w:val="24"/>
          <w:szCs w:val="24"/>
        </w:rPr>
        <w:t>from McNamara, K. (1998</w:t>
      </w:r>
      <w:r w:rsidRPr="00702740">
        <w:rPr>
          <w:rStyle w:val="cf01"/>
          <w:rFonts w:ascii="Garamond" w:hAnsi="Garamond"/>
          <w:i/>
          <w:iCs/>
          <w:sz w:val="24"/>
          <w:szCs w:val="24"/>
        </w:rPr>
        <w:t>) The Currency of Ideas: Monetary Politics in the European Union</w:t>
      </w:r>
      <w:r w:rsidRPr="00702740">
        <w:rPr>
          <w:rStyle w:val="cf01"/>
          <w:rFonts w:ascii="Garamond" w:hAnsi="Garamond"/>
          <w:sz w:val="24"/>
          <w:szCs w:val="24"/>
        </w:rPr>
        <w:t>, Cornell University Press, Ithaca, NY.</w:t>
      </w:r>
    </w:p>
    <w:p w14:paraId="70A626E2" w14:textId="77777777" w:rsidR="0080462C" w:rsidRPr="00702740" w:rsidRDefault="0080462C" w:rsidP="0080462C">
      <w:pPr>
        <w:spacing w:after="120"/>
        <w:rPr>
          <w:rFonts w:ascii="Garamond" w:eastAsia="Times New Roman" w:hAnsi="Garamond" w:cs="Times New Roman"/>
        </w:rPr>
      </w:pPr>
      <w:r w:rsidRPr="00702740">
        <w:rPr>
          <w:rStyle w:val="cf01"/>
          <w:rFonts w:ascii="Garamond" w:hAnsi="Garamond"/>
          <w:b/>
          <w:sz w:val="24"/>
          <w:szCs w:val="24"/>
        </w:rPr>
        <w:t>1980-1989 (United States):</w:t>
      </w:r>
      <w:r w:rsidRPr="00702740">
        <w:rPr>
          <w:rStyle w:val="cf01"/>
          <w:rFonts w:ascii="Garamond" w:hAnsi="Garamond"/>
          <w:sz w:val="24"/>
          <w:szCs w:val="24"/>
        </w:rPr>
        <w:t xml:space="preserve"> </w:t>
      </w:r>
      <w:r w:rsidRPr="00702740">
        <w:rPr>
          <w:rFonts w:ascii="Garamond" w:hAnsi="Garamond"/>
        </w:rPr>
        <w:t xml:space="preserve">Lothian, J. R. (1998). Some new stylized facts of floating exchange rates. </w:t>
      </w:r>
      <w:r w:rsidRPr="00702740">
        <w:rPr>
          <w:rFonts w:ascii="Garamond" w:hAnsi="Garamond"/>
          <w:i/>
          <w:iCs/>
        </w:rPr>
        <w:t>Journal of International Money and Finance</w:t>
      </w:r>
      <w:r w:rsidRPr="00702740">
        <w:rPr>
          <w:rFonts w:ascii="Garamond" w:hAnsi="Garamond"/>
        </w:rPr>
        <w:t xml:space="preserve">, </w:t>
      </w:r>
      <w:r w:rsidRPr="00702740">
        <w:rPr>
          <w:rFonts w:ascii="Garamond" w:hAnsi="Garamond"/>
          <w:i/>
          <w:iCs/>
        </w:rPr>
        <w:t>17</w:t>
      </w:r>
      <w:r w:rsidRPr="00702740">
        <w:rPr>
          <w:rFonts w:ascii="Garamond" w:hAnsi="Garamond"/>
        </w:rPr>
        <w:t xml:space="preserve">(1), 29-39. </w:t>
      </w:r>
    </w:p>
    <w:p w14:paraId="312E8D23" w14:textId="77777777" w:rsidR="0080462C" w:rsidRPr="00702740" w:rsidRDefault="0080462C" w:rsidP="0080462C">
      <w:pPr>
        <w:spacing w:after="120"/>
        <w:rPr>
          <w:rFonts w:ascii="Garamond" w:hAnsi="Garamond" w:cs="Times New Roman"/>
        </w:rPr>
      </w:pPr>
      <w:r w:rsidRPr="00702740">
        <w:rPr>
          <w:rFonts w:ascii="Garamond" w:hAnsi="Garamond"/>
          <w:b/>
          <w:bCs/>
        </w:rPr>
        <w:t>1990-2001 (all countries)</w:t>
      </w:r>
      <w:r w:rsidRPr="00702740">
        <w:rPr>
          <w:rFonts w:ascii="Garamond" w:hAnsi="Garamond"/>
        </w:rPr>
        <w:t xml:space="preserve">: Data from </w:t>
      </w:r>
      <w:proofErr w:type="spellStart"/>
      <w:r w:rsidRPr="00702740">
        <w:rPr>
          <w:rFonts w:ascii="Garamond" w:hAnsi="Garamond" w:cs="Times New Roman"/>
        </w:rPr>
        <w:t>Bubula</w:t>
      </w:r>
      <w:proofErr w:type="spellEnd"/>
      <w:r w:rsidRPr="00702740">
        <w:rPr>
          <w:rFonts w:ascii="Garamond" w:hAnsi="Garamond" w:cs="Times New Roman"/>
        </w:rPr>
        <w:t xml:space="preserve">, A., and </w:t>
      </w:r>
      <w:proofErr w:type="spellStart"/>
      <w:r w:rsidRPr="00702740">
        <w:rPr>
          <w:rFonts w:ascii="Cambria" w:hAnsi="Cambria" w:cs="Cambria"/>
        </w:rPr>
        <w:t>Ӧ</w:t>
      </w:r>
      <w:r w:rsidRPr="00702740">
        <w:rPr>
          <w:rFonts w:ascii="Garamond" w:hAnsi="Garamond" w:cs="Times New Roman"/>
        </w:rPr>
        <w:t>tker</w:t>
      </w:r>
      <w:proofErr w:type="spellEnd"/>
      <w:r w:rsidRPr="00702740">
        <w:rPr>
          <w:rFonts w:ascii="Garamond" w:hAnsi="Garamond" w:cs="Times New Roman"/>
        </w:rPr>
        <w:t xml:space="preserve">-Robe, İ (2002), “The evolution of exchange rate regimes since 1990: Evidence from De Facto Policies”, IMF Working paper WP/02/155.  </w:t>
      </w:r>
    </w:p>
    <w:p w14:paraId="61E933E1" w14:textId="77777777" w:rsidR="0080462C" w:rsidRPr="00702740" w:rsidRDefault="0080462C" w:rsidP="0080462C">
      <w:pPr>
        <w:spacing w:after="120"/>
        <w:rPr>
          <w:rFonts w:ascii="Garamond" w:hAnsi="Garamond" w:cs="Times New Roman"/>
        </w:rPr>
      </w:pPr>
      <w:r w:rsidRPr="00702740">
        <w:rPr>
          <w:rFonts w:ascii="Garamond" w:hAnsi="Garamond" w:cs="Times New Roman"/>
          <w:b/>
          <w:bCs/>
        </w:rPr>
        <w:t>2002-2004 (all countries):</w:t>
      </w:r>
      <w:r w:rsidRPr="00702740">
        <w:rPr>
          <w:rFonts w:ascii="Garamond" w:hAnsi="Garamond" w:cs="Times New Roman"/>
        </w:rPr>
        <w:t xml:space="preserve"> Data from IMF (2004) “Classification of exchange rate arrangements and monetary policy frameworks”, </w:t>
      </w:r>
      <w:hyperlink r:id="rId31" w:history="1">
        <w:r w:rsidRPr="00702740">
          <w:rPr>
            <w:rStyle w:val="Hyperlink"/>
            <w:rFonts w:ascii="Garamond" w:hAnsi="Garamond" w:cs="Times New Roman"/>
          </w:rPr>
          <w:t>https://www.imf.org/external/np/mfd/er/2004/eng/0604.htm</w:t>
        </w:r>
      </w:hyperlink>
    </w:p>
    <w:p w14:paraId="4A783978" w14:textId="77777777" w:rsidR="0080462C" w:rsidRPr="00702740" w:rsidRDefault="0080462C" w:rsidP="0080462C">
      <w:pPr>
        <w:spacing w:after="120"/>
        <w:rPr>
          <w:rFonts w:ascii="Garamond" w:hAnsi="Garamond"/>
        </w:rPr>
      </w:pPr>
      <w:r w:rsidRPr="00702740">
        <w:rPr>
          <w:rFonts w:ascii="Garamond" w:hAnsi="Garamond"/>
          <w:b/>
          <w:bCs/>
        </w:rPr>
        <w:t>2005-2006 (all countries)</w:t>
      </w:r>
      <w:r w:rsidRPr="00702740">
        <w:rPr>
          <w:rFonts w:ascii="Garamond" w:hAnsi="Garamond"/>
        </w:rPr>
        <w:t xml:space="preserve">: Data from IMF (2006) </w:t>
      </w:r>
      <w:r w:rsidRPr="00702740">
        <w:rPr>
          <w:rFonts w:ascii="Garamond" w:hAnsi="Garamond" w:cs="Times New Roman"/>
        </w:rPr>
        <w:t xml:space="preserve">“De facto classification of exchange rate regimes and monetary policy frameworks”, </w:t>
      </w:r>
      <w:hyperlink r:id="rId32" w:history="1">
        <w:r w:rsidRPr="00702740">
          <w:rPr>
            <w:rStyle w:val="Hyperlink"/>
            <w:rFonts w:ascii="Garamond" w:hAnsi="Garamond" w:cs="Times New Roman"/>
          </w:rPr>
          <w:t>https://www.imf.org/external/np/mfd/er/2006/eng/0706.htm</w:t>
        </w:r>
      </w:hyperlink>
    </w:p>
    <w:p w14:paraId="01419EAB" w14:textId="77777777" w:rsidR="0080462C" w:rsidRPr="00702740" w:rsidRDefault="0080462C" w:rsidP="0080462C">
      <w:pPr>
        <w:spacing w:after="120"/>
        <w:rPr>
          <w:rFonts w:ascii="Garamond" w:hAnsi="Garamond" w:cs="Times New Roman"/>
        </w:rPr>
      </w:pPr>
      <w:r w:rsidRPr="00702740">
        <w:rPr>
          <w:rFonts w:ascii="Garamond" w:hAnsi="Garamond" w:cs="Times New Roman"/>
          <w:b/>
          <w:bCs/>
        </w:rPr>
        <w:t>2007-2008 (all countries)</w:t>
      </w:r>
      <w:r w:rsidRPr="00702740">
        <w:rPr>
          <w:rFonts w:ascii="Garamond" w:hAnsi="Garamond" w:cs="Times New Roman"/>
        </w:rPr>
        <w:t xml:space="preserve">: Data from IMF (2008) “De facto classification of exchange rate regimes and monetary policy frameworks”, </w:t>
      </w:r>
      <w:hyperlink r:id="rId33" w:history="1">
        <w:r w:rsidRPr="00702740">
          <w:rPr>
            <w:rStyle w:val="Hyperlink"/>
            <w:rFonts w:ascii="Garamond" w:hAnsi="Garamond" w:cs="Times New Roman"/>
          </w:rPr>
          <w:t>https://www.imf.org/external/np/mfd/er/2008/eng/0408.htm</w:t>
        </w:r>
      </w:hyperlink>
    </w:p>
    <w:p w14:paraId="4D70B314" w14:textId="77777777" w:rsidR="0080462C" w:rsidRPr="00702740" w:rsidRDefault="0080462C" w:rsidP="0080462C">
      <w:pPr>
        <w:spacing w:after="120"/>
        <w:rPr>
          <w:rFonts w:ascii="Garamond" w:hAnsi="Garamond"/>
        </w:rPr>
      </w:pPr>
      <w:r w:rsidRPr="00702740">
        <w:rPr>
          <w:rFonts w:ascii="Garamond" w:hAnsi="Garamond" w:cs="Times New Roman"/>
          <w:b/>
          <w:bCs/>
        </w:rPr>
        <w:t>2009-2012 (all countries)</w:t>
      </w:r>
      <w:r w:rsidRPr="00702740">
        <w:rPr>
          <w:rFonts w:ascii="Garamond" w:hAnsi="Garamond" w:cs="Times New Roman"/>
        </w:rPr>
        <w:t xml:space="preserve">: Data from </w:t>
      </w:r>
      <w:r w:rsidRPr="00702740">
        <w:rPr>
          <w:rFonts w:ascii="Garamond" w:hAnsi="Garamond"/>
        </w:rPr>
        <w:t xml:space="preserve">IMF (2012) “Annual Report on Exchange Arrangements and Exchange Restrictions, 2012”, </w:t>
      </w:r>
      <w:hyperlink r:id="rId34" w:history="1">
        <w:r w:rsidRPr="00702740">
          <w:rPr>
            <w:rStyle w:val="Hyperlink"/>
            <w:rFonts w:ascii="Garamond" w:hAnsi="Garamond"/>
          </w:rPr>
          <w:t>https://www.imf.org/external/pubs/nft/2012/eaer/ar2012.pdf</w:t>
        </w:r>
      </w:hyperlink>
      <w:r w:rsidRPr="00702740">
        <w:rPr>
          <w:rFonts w:ascii="Garamond" w:hAnsi="Garamond"/>
        </w:rPr>
        <w:t xml:space="preserve"> </w:t>
      </w:r>
    </w:p>
    <w:p w14:paraId="7792DF81" w14:textId="77777777" w:rsidR="0080462C" w:rsidRPr="00702740" w:rsidRDefault="0080462C" w:rsidP="0080462C">
      <w:pPr>
        <w:spacing w:after="120"/>
        <w:rPr>
          <w:rFonts w:ascii="Garamond" w:hAnsi="Garamond"/>
        </w:rPr>
      </w:pPr>
      <w:r w:rsidRPr="00702740">
        <w:rPr>
          <w:rFonts w:ascii="Garamond" w:hAnsi="Garamond"/>
          <w:b/>
          <w:bCs/>
        </w:rPr>
        <w:t>2013-2014 (all countries)</w:t>
      </w:r>
      <w:r w:rsidRPr="00702740">
        <w:rPr>
          <w:rFonts w:ascii="Garamond" w:hAnsi="Garamond"/>
        </w:rPr>
        <w:t xml:space="preserve">: Data from IMF (2014) “Annual Report on Exchange Arrangements and Exchange Restrictions, 2014”, </w:t>
      </w:r>
      <w:hyperlink r:id="rId35" w:history="1">
        <w:r w:rsidRPr="00702740">
          <w:rPr>
            <w:rStyle w:val="Hyperlink"/>
            <w:rFonts w:ascii="Garamond" w:hAnsi="Garamond"/>
          </w:rPr>
          <w:t>https://www.imf.org/external/pubs/nft/2014/areaers/ar2014.pdf</w:t>
        </w:r>
      </w:hyperlink>
      <w:r w:rsidRPr="00702740">
        <w:rPr>
          <w:rFonts w:ascii="Garamond" w:hAnsi="Garamond"/>
        </w:rPr>
        <w:t xml:space="preserve"> </w:t>
      </w:r>
    </w:p>
    <w:p w14:paraId="589549FA" w14:textId="77777777" w:rsidR="0080462C" w:rsidRPr="00702740" w:rsidRDefault="0080462C" w:rsidP="0080462C">
      <w:pPr>
        <w:spacing w:after="120"/>
        <w:rPr>
          <w:rFonts w:ascii="Garamond" w:hAnsi="Garamond"/>
        </w:rPr>
      </w:pPr>
      <w:r w:rsidRPr="00702740">
        <w:rPr>
          <w:rFonts w:ascii="Garamond" w:hAnsi="Garamond"/>
          <w:b/>
          <w:bCs/>
        </w:rPr>
        <w:lastRenderedPageBreak/>
        <w:t>2015-2016 (all countries):</w:t>
      </w:r>
      <w:r w:rsidRPr="00702740">
        <w:rPr>
          <w:rFonts w:ascii="Garamond" w:hAnsi="Garamond"/>
        </w:rPr>
        <w:t xml:space="preserve"> Data from IMF (2016) “Annual Report on Exchange Arrangements and Exchange Restrictions, 2016”, </w:t>
      </w:r>
      <w:hyperlink r:id="rId36" w:history="1">
        <w:r w:rsidRPr="00702740">
          <w:rPr>
            <w:rStyle w:val="Hyperlink"/>
            <w:rFonts w:ascii="Garamond" w:hAnsi="Garamond"/>
          </w:rPr>
          <w:t>https://www.imf.org/en/Publications/Annual-Report-on-Exchange-Arrangements-and-Exchange-Restrictions/Issues/2017/01/25/Annual-Report-on-Exchange-Arrangements-and-Exchange-Restrictions-2016-43741</w:t>
        </w:r>
      </w:hyperlink>
    </w:p>
    <w:p w14:paraId="7243EE3C" w14:textId="77777777" w:rsidR="0080462C" w:rsidRPr="00702740" w:rsidRDefault="0080462C" w:rsidP="0080462C">
      <w:pPr>
        <w:spacing w:after="120"/>
        <w:rPr>
          <w:rFonts w:ascii="Garamond" w:hAnsi="Garamond"/>
        </w:rPr>
      </w:pPr>
      <w:r w:rsidRPr="00702740">
        <w:rPr>
          <w:rFonts w:ascii="Garamond" w:hAnsi="Garamond"/>
          <w:b/>
          <w:bCs/>
        </w:rPr>
        <w:t>2017-2018 (all countries)</w:t>
      </w:r>
      <w:r w:rsidRPr="00702740">
        <w:rPr>
          <w:rFonts w:ascii="Garamond" w:hAnsi="Garamond"/>
        </w:rPr>
        <w:t xml:space="preserve">: Data from IMF (2018) “Annual Report on Exchange Arrangements and Exchange Restrictions, 2018”, </w:t>
      </w:r>
      <w:hyperlink r:id="rId37" w:history="1">
        <w:r w:rsidRPr="00702740">
          <w:rPr>
            <w:rStyle w:val="Hyperlink"/>
            <w:rFonts w:ascii="Garamond" w:hAnsi="Garamond"/>
          </w:rPr>
          <w:t>https://www.imf.org/en/Publications/Annual-Report-on-Exchange-Arrangements-and-Exchange-Restrictions/Issues/2019/04/24/Annual-Report-on-Exchange-Arrangements-and-Exchange-Restrictions-2018-46162</w:t>
        </w:r>
      </w:hyperlink>
      <w:r w:rsidRPr="00702740">
        <w:rPr>
          <w:rFonts w:ascii="Garamond" w:hAnsi="Garamond"/>
        </w:rPr>
        <w:t xml:space="preserve"> </w:t>
      </w:r>
    </w:p>
    <w:p w14:paraId="33175BA6" w14:textId="77777777" w:rsidR="0080462C" w:rsidRDefault="0080462C" w:rsidP="0080462C">
      <w:pPr>
        <w:rPr>
          <w:rFonts w:ascii="Garamond" w:hAnsi="Garamond"/>
        </w:rPr>
      </w:pPr>
    </w:p>
    <w:p w14:paraId="2223BFDB" w14:textId="77777777" w:rsidR="0080462C" w:rsidRDefault="0080462C" w:rsidP="0080462C">
      <w:pPr>
        <w:rPr>
          <w:rFonts w:ascii="Garamond" w:hAnsi="Garamond"/>
        </w:rPr>
      </w:pPr>
    </w:p>
    <w:p w14:paraId="5083F226" w14:textId="77777777" w:rsidR="0080462C" w:rsidRDefault="0080462C" w:rsidP="0080462C">
      <w:pPr>
        <w:rPr>
          <w:rFonts w:ascii="Garamond" w:hAnsi="Garamond"/>
        </w:rPr>
      </w:pPr>
    </w:p>
    <w:p w14:paraId="5CEF2F87" w14:textId="77777777" w:rsidR="0080462C" w:rsidRDefault="0080462C">
      <w:pPr>
        <w:rPr>
          <w:rFonts w:ascii="Garamond" w:hAnsi="Garamond"/>
          <w:b/>
          <w:bCs/>
          <w:sz w:val="28"/>
          <w:szCs w:val="28"/>
        </w:rPr>
      </w:pPr>
      <w:r>
        <w:rPr>
          <w:rFonts w:ascii="Garamond" w:hAnsi="Garamond"/>
          <w:b/>
          <w:bCs/>
          <w:sz w:val="28"/>
          <w:szCs w:val="28"/>
        </w:rPr>
        <w:br w:type="page"/>
      </w:r>
    </w:p>
    <w:p w14:paraId="0BEE1EA4" w14:textId="162678A6" w:rsidR="0080462C" w:rsidRPr="005E1A83" w:rsidRDefault="0080462C" w:rsidP="0080462C">
      <w:pPr>
        <w:spacing w:before="120" w:after="120"/>
        <w:rPr>
          <w:rFonts w:ascii="Garamond" w:hAnsi="Garamond"/>
          <w:b/>
          <w:bCs/>
          <w:sz w:val="28"/>
          <w:szCs w:val="28"/>
        </w:rPr>
      </w:pPr>
      <w:r w:rsidRPr="005E1A83">
        <w:rPr>
          <w:rFonts w:ascii="Garamond" w:hAnsi="Garamond"/>
          <w:b/>
          <w:bCs/>
          <w:sz w:val="28"/>
          <w:szCs w:val="28"/>
        </w:rPr>
        <w:lastRenderedPageBreak/>
        <w:t>Appendix B: Results controlling for capital mobility (measured via the Chinn-Ito capital account openness index)</w:t>
      </w:r>
    </w:p>
    <w:p w14:paraId="491A2D21" w14:textId="77777777" w:rsidR="0080462C" w:rsidRPr="00C47646" w:rsidRDefault="0080462C" w:rsidP="0080462C">
      <w:pPr>
        <w:spacing w:before="120" w:after="120"/>
        <w:jc w:val="center"/>
        <w:rPr>
          <w:rFonts w:ascii="Garamond" w:hAnsi="Garamond" w:cs="Times New Roman"/>
          <w:b/>
          <w:bCs/>
        </w:rPr>
      </w:pPr>
      <w:r w:rsidRPr="00C47646">
        <w:rPr>
          <w:rFonts w:ascii="Garamond" w:hAnsi="Garamond" w:cs="Times New Roman"/>
          <w:b/>
          <w:bCs/>
        </w:rPr>
        <w:t>Figure B.1: The impact of inflation on bond yields</w:t>
      </w:r>
      <w:r>
        <w:rPr>
          <w:rFonts w:ascii="Garamond" w:hAnsi="Garamond" w:cs="Times New Roman"/>
          <w:b/>
          <w:bCs/>
        </w:rPr>
        <w:t xml:space="preserve"> by exchange rate regime</w:t>
      </w:r>
      <w:r w:rsidRPr="00C47646">
        <w:rPr>
          <w:rFonts w:ascii="Garamond" w:hAnsi="Garamond" w:cs="Times New Roman"/>
          <w:b/>
          <w:bCs/>
        </w:rPr>
        <w:t xml:space="preserve"> </w:t>
      </w:r>
    </w:p>
    <w:p w14:paraId="0C4223A2" w14:textId="77777777" w:rsidR="0080462C" w:rsidRDefault="0080462C" w:rsidP="0080462C">
      <w:pPr>
        <w:spacing w:before="120" w:after="120"/>
        <w:jc w:val="center"/>
        <w:rPr>
          <w:rFonts w:ascii="Garamond" w:hAnsi="Garamond"/>
          <w:b/>
          <w:bCs/>
          <w:sz w:val="32"/>
          <w:szCs w:val="32"/>
        </w:rPr>
      </w:pPr>
      <w:r w:rsidRPr="0006363B">
        <w:rPr>
          <w:rFonts w:ascii="Garamond" w:hAnsi="Garamond"/>
          <w:b/>
          <w:bCs/>
          <w:noProof/>
          <w:sz w:val="32"/>
          <w:szCs w:val="32"/>
        </w:rPr>
        <w:drawing>
          <wp:inline distT="0" distB="0" distL="0" distR="0" wp14:anchorId="0BA072D9" wp14:editId="25629A84">
            <wp:extent cx="4895215" cy="3166476"/>
            <wp:effectExtent l="0" t="0" r="63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917238" cy="3180722"/>
                    </a:xfrm>
                    <a:prstGeom prst="rect">
                      <a:avLst/>
                    </a:prstGeom>
                    <a:noFill/>
                    <a:ln>
                      <a:noFill/>
                    </a:ln>
                  </pic:spPr>
                </pic:pic>
              </a:graphicData>
            </a:graphic>
          </wp:inline>
        </w:drawing>
      </w:r>
    </w:p>
    <w:p w14:paraId="605DACC1" w14:textId="77777777" w:rsidR="0080462C" w:rsidRDefault="0080462C" w:rsidP="0080462C">
      <w:pPr>
        <w:spacing w:before="120" w:after="120"/>
        <w:jc w:val="center"/>
        <w:rPr>
          <w:rFonts w:ascii="Garamond" w:hAnsi="Garamond"/>
          <w:b/>
          <w:bCs/>
          <w:sz w:val="32"/>
          <w:szCs w:val="32"/>
        </w:rPr>
      </w:pPr>
    </w:p>
    <w:p w14:paraId="04B95D15" w14:textId="77777777" w:rsidR="0080462C" w:rsidRPr="005E1A83" w:rsidRDefault="0080462C" w:rsidP="0080462C">
      <w:pPr>
        <w:spacing w:before="120" w:after="120"/>
        <w:jc w:val="center"/>
        <w:rPr>
          <w:rFonts w:ascii="Garamond" w:hAnsi="Garamond" w:cs="Times New Roman"/>
          <w:b/>
          <w:bCs/>
        </w:rPr>
      </w:pPr>
      <w:r w:rsidRPr="005E1A83">
        <w:rPr>
          <w:rFonts w:ascii="Garamond" w:hAnsi="Garamond" w:cs="Times New Roman"/>
          <w:b/>
          <w:bCs/>
        </w:rPr>
        <w:t xml:space="preserve">Figure B.2: The impact of government debt on bond yields </w:t>
      </w:r>
      <w:r>
        <w:rPr>
          <w:rFonts w:ascii="Garamond" w:hAnsi="Garamond" w:cs="Times New Roman"/>
          <w:b/>
          <w:bCs/>
        </w:rPr>
        <w:t>by exchange rate regime</w:t>
      </w:r>
    </w:p>
    <w:p w14:paraId="5634907F" w14:textId="77777777" w:rsidR="0080462C" w:rsidRDefault="0080462C" w:rsidP="0080462C">
      <w:pPr>
        <w:spacing w:before="120" w:after="120"/>
        <w:jc w:val="center"/>
        <w:rPr>
          <w:rFonts w:ascii="Garamond" w:hAnsi="Garamond"/>
          <w:b/>
          <w:bCs/>
          <w:sz w:val="32"/>
          <w:szCs w:val="32"/>
        </w:rPr>
      </w:pPr>
      <w:r w:rsidRPr="005E1A83">
        <w:rPr>
          <w:rFonts w:ascii="Garamond" w:hAnsi="Garamond"/>
          <w:b/>
          <w:bCs/>
          <w:noProof/>
          <w:sz w:val="32"/>
          <w:szCs w:val="32"/>
        </w:rPr>
        <w:drawing>
          <wp:inline distT="0" distB="0" distL="0" distR="0" wp14:anchorId="52CE8FD2" wp14:editId="59704B45">
            <wp:extent cx="4837430" cy="3093396"/>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837430" cy="3093396"/>
                    </a:xfrm>
                    <a:prstGeom prst="rect">
                      <a:avLst/>
                    </a:prstGeom>
                    <a:noFill/>
                    <a:ln>
                      <a:noFill/>
                    </a:ln>
                  </pic:spPr>
                </pic:pic>
              </a:graphicData>
            </a:graphic>
          </wp:inline>
        </w:drawing>
      </w:r>
    </w:p>
    <w:p w14:paraId="399835DF" w14:textId="77777777" w:rsidR="0080462C" w:rsidRDefault="0080462C" w:rsidP="0080462C">
      <w:pPr>
        <w:spacing w:before="120" w:after="120"/>
        <w:jc w:val="center"/>
        <w:rPr>
          <w:rFonts w:ascii="Garamond" w:hAnsi="Garamond" w:cs="Times New Roman"/>
          <w:b/>
          <w:bCs/>
        </w:rPr>
      </w:pPr>
    </w:p>
    <w:p w14:paraId="7CE9436F" w14:textId="77777777" w:rsidR="0080462C" w:rsidRDefault="0080462C" w:rsidP="0080462C">
      <w:pPr>
        <w:spacing w:before="120" w:after="120"/>
        <w:jc w:val="center"/>
        <w:rPr>
          <w:rFonts w:ascii="Garamond" w:hAnsi="Garamond" w:cs="Times New Roman"/>
          <w:b/>
          <w:bCs/>
        </w:rPr>
      </w:pPr>
    </w:p>
    <w:p w14:paraId="1F578EC5" w14:textId="5EFF22DC" w:rsidR="0080462C" w:rsidRDefault="0080462C" w:rsidP="0080462C">
      <w:pPr>
        <w:spacing w:before="120" w:after="120"/>
        <w:jc w:val="center"/>
        <w:rPr>
          <w:rFonts w:ascii="Garamond" w:hAnsi="Garamond" w:cs="Times New Roman"/>
          <w:b/>
          <w:bCs/>
        </w:rPr>
      </w:pPr>
      <w:r w:rsidRPr="00B05D04">
        <w:rPr>
          <w:rFonts w:ascii="Garamond" w:hAnsi="Garamond" w:cs="Times New Roman"/>
          <w:b/>
          <w:bCs/>
        </w:rPr>
        <w:lastRenderedPageBreak/>
        <w:t xml:space="preserve">Figure </w:t>
      </w:r>
      <w:r>
        <w:rPr>
          <w:rFonts w:ascii="Garamond" w:hAnsi="Garamond" w:cs="Times New Roman"/>
          <w:b/>
          <w:bCs/>
        </w:rPr>
        <w:t>B</w:t>
      </w:r>
      <w:r w:rsidRPr="00B05D04">
        <w:rPr>
          <w:rFonts w:ascii="Garamond" w:hAnsi="Garamond" w:cs="Times New Roman"/>
          <w:b/>
          <w:bCs/>
        </w:rPr>
        <w:t xml:space="preserve">.3: The impact of fiscal deficits on bond yields </w:t>
      </w:r>
      <w:r>
        <w:rPr>
          <w:rFonts w:ascii="Garamond" w:hAnsi="Garamond" w:cs="Times New Roman"/>
          <w:b/>
          <w:bCs/>
        </w:rPr>
        <w:t>by exchange rate regime</w:t>
      </w:r>
    </w:p>
    <w:p w14:paraId="7D0CDE79" w14:textId="77777777" w:rsidR="0080462C" w:rsidRDefault="0080462C" w:rsidP="0080462C">
      <w:pPr>
        <w:spacing w:before="120" w:after="120"/>
        <w:jc w:val="center"/>
        <w:rPr>
          <w:rFonts w:ascii="Garamond" w:hAnsi="Garamond" w:cs="Times New Roman"/>
        </w:rPr>
      </w:pPr>
      <w:r w:rsidRPr="00B97349">
        <w:rPr>
          <w:rFonts w:ascii="Garamond" w:hAnsi="Garamond" w:cs="Times New Roman"/>
          <w:noProof/>
        </w:rPr>
        <w:drawing>
          <wp:inline distT="0" distB="0" distL="0" distR="0" wp14:anchorId="44048A0E" wp14:editId="7D311BD1">
            <wp:extent cx="4818856" cy="3504623"/>
            <wp:effectExtent l="0" t="0" r="127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827387" cy="3510827"/>
                    </a:xfrm>
                    <a:prstGeom prst="rect">
                      <a:avLst/>
                    </a:prstGeom>
                    <a:noFill/>
                    <a:ln>
                      <a:noFill/>
                    </a:ln>
                  </pic:spPr>
                </pic:pic>
              </a:graphicData>
            </a:graphic>
          </wp:inline>
        </w:drawing>
      </w:r>
    </w:p>
    <w:p w14:paraId="71BFD006" w14:textId="77777777" w:rsidR="0080462C" w:rsidRPr="00B05D04" w:rsidRDefault="0080462C" w:rsidP="0080462C">
      <w:pPr>
        <w:spacing w:before="120" w:after="120"/>
        <w:jc w:val="center"/>
        <w:rPr>
          <w:rFonts w:ascii="Garamond" w:hAnsi="Garamond" w:cs="Times New Roman"/>
        </w:rPr>
      </w:pPr>
    </w:p>
    <w:p w14:paraId="669C70FC" w14:textId="77777777" w:rsidR="0080462C" w:rsidRPr="00075BDB" w:rsidRDefault="0080462C" w:rsidP="0080462C">
      <w:pPr>
        <w:spacing w:before="120" w:after="120"/>
        <w:jc w:val="center"/>
        <w:rPr>
          <w:rFonts w:ascii="Garamond" w:hAnsi="Garamond" w:cs="Times New Roman"/>
          <w:b/>
          <w:bCs/>
        </w:rPr>
      </w:pPr>
      <w:r w:rsidRPr="00075BDB">
        <w:rPr>
          <w:rFonts w:ascii="Garamond" w:hAnsi="Garamond" w:cs="Times New Roman"/>
          <w:b/>
          <w:bCs/>
        </w:rPr>
        <w:t xml:space="preserve">Figure B.4: The impact of social spending on bond yields </w:t>
      </w:r>
      <w:r>
        <w:rPr>
          <w:rFonts w:ascii="Garamond" w:hAnsi="Garamond" w:cs="Times New Roman"/>
          <w:b/>
          <w:bCs/>
        </w:rPr>
        <w:t>by exchange rate regime</w:t>
      </w:r>
    </w:p>
    <w:p w14:paraId="1AA768AA" w14:textId="77777777" w:rsidR="0080462C" w:rsidRDefault="0080462C" w:rsidP="0080462C">
      <w:pPr>
        <w:spacing w:before="120" w:after="120"/>
        <w:jc w:val="center"/>
        <w:rPr>
          <w:rFonts w:ascii="Garamond" w:hAnsi="Garamond"/>
          <w:b/>
          <w:bCs/>
          <w:sz w:val="32"/>
          <w:szCs w:val="32"/>
        </w:rPr>
      </w:pPr>
      <w:r w:rsidRPr="00075BDB">
        <w:rPr>
          <w:rFonts w:ascii="Garamond" w:hAnsi="Garamond"/>
          <w:b/>
          <w:bCs/>
          <w:noProof/>
          <w:sz w:val="32"/>
          <w:szCs w:val="32"/>
        </w:rPr>
        <w:drawing>
          <wp:inline distT="0" distB="0" distL="0" distR="0" wp14:anchorId="60050DDF" wp14:editId="3CF2020C">
            <wp:extent cx="4866800" cy="3326860"/>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866960" cy="3326969"/>
                    </a:xfrm>
                    <a:prstGeom prst="rect">
                      <a:avLst/>
                    </a:prstGeom>
                    <a:noFill/>
                    <a:ln>
                      <a:noFill/>
                    </a:ln>
                  </pic:spPr>
                </pic:pic>
              </a:graphicData>
            </a:graphic>
          </wp:inline>
        </w:drawing>
      </w:r>
    </w:p>
    <w:p w14:paraId="2366F190" w14:textId="77777777" w:rsidR="0080462C" w:rsidRDefault="0080462C" w:rsidP="0080462C">
      <w:pPr>
        <w:spacing w:before="120" w:after="120"/>
        <w:jc w:val="center"/>
        <w:rPr>
          <w:rFonts w:ascii="Garamond" w:hAnsi="Garamond" w:cs="Times New Roman"/>
          <w:b/>
          <w:bCs/>
        </w:rPr>
      </w:pPr>
    </w:p>
    <w:p w14:paraId="229E9595" w14:textId="77777777" w:rsidR="0080462C" w:rsidRDefault="0080462C" w:rsidP="0080462C">
      <w:pPr>
        <w:spacing w:before="120" w:after="120"/>
        <w:jc w:val="center"/>
        <w:rPr>
          <w:rFonts w:ascii="Garamond" w:hAnsi="Garamond" w:cs="Times New Roman"/>
          <w:b/>
          <w:bCs/>
        </w:rPr>
      </w:pPr>
    </w:p>
    <w:p w14:paraId="3F4DF6CE" w14:textId="1BCD00A6" w:rsidR="0080462C" w:rsidRPr="00970B75" w:rsidRDefault="0080462C" w:rsidP="0080462C">
      <w:pPr>
        <w:spacing w:before="120" w:after="120"/>
        <w:jc w:val="center"/>
        <w:rPr>
          <w:rFonts w:ascii="Garamond" w:hAnsi="Garamond" w:cs="Times New Roman"/>
          <w:b/>
          <w:bCs/>
        </w:rPr>
      </w:pPr>
      <w:r w:rsidRPr="00075BDB">
        <w:rPr>
          <w:rFonts w:ascii="Garamond" w:hAnsi="Garamond" w:cs="Times New Roman"/>
          <w:b/>
          <w:bCs/>
        </w:rPr>
        <w:lastRenderedPageBreak/>
        <w:t>Figure B.</w:t>
      </w:r>
      <w:r>
        <w:rPr>
          <w:rFonts w:ascii="Garamond" w:hAnsi="Garamond" w:cs="Times New Roman"/>
          <w:b/>
          <w:bCs/>
        </w:rPr>
        <w:t>5</w:t>
      </w:r>
      <w:r w:rsidRPr="00075BDB">
        <w:rPr>
          <w:rFonts w:ascii="Garamond" w:hAnsi="Garamond" w:cs="Times New Roman"/>
          <w:b/>
          <w:bCs/>
        </w:rPr>
        <w:t xml:space="preserve">: The impact of </w:t>
      </w:r>
      <w:r>
        <w:rPr>
          <w:rFonts w:ascii="Garamond" w:hAnsi="Garamond" w:cs="Times New Roman"/>
          <w:b/>
          <w:bCs/>
        </w:rPr>
        <w:t>entitlement spending</w:t>
      </w:r>
      <w:r w:rsidRPr="00075BDB">
        <w:rPr>
          <w:rFonts w:ascii="Garamond" w:hAnsi="Garamond" w:cs="Times New Roman"/>
          <w:b/>
          <w:bCs/>
        </w:rPr>
        <w:t xml:space="preserve"> on bond yields</w:t>
      </w:r>
      <w:r>
        <w:rPr>
          <w:rFonts w:ascii="Garamond" w:hAnsi="Garamond" w:cs="Times New Roman"/>
          <w:b/>
          <w:bCs/>
        </w:rPr>
        <w:t xml:space="preserve"> by exchange rate regime</w:t>
      </w:r>
    </w:p>
    <w:p w14:paraId="2D022058" w14:textId="77777777" w:rsidR="0080462C" w:rsidRDefault="0080462C" w:rsidP="0080462C">
      <w:pPr>
        <w:spacing w:before="120" w:after="120"/>
        <w:jc w:val="center"/>
        <w:rPr>
          <w:rFonts w:ascii="Garamond" w:hAnsi="Garamond"/>
          <w:b/>
          <w:bCs/>
          <w:sz w:val="32"/>
          <w:szCs w:val="32"/>
        </w:rPr>
      </w:pPr>
      <w:r w:rsidRPr="00970B75">
        <w:rPr>
          <w:rFonts w:ascii="Garamond" w:hAnsi="Garamond"/>
          <w:b/>
          <w:bCs/>
          <w:noProof/>
          <w:sz w:val="32"/>
          <w:szCs w:val="32"/>
        </w:rPr>
        <w:drawing>
          <wp:inline distT="0" distB="0" distL="0" distR="0" wp14:anchorId="2B455EA0" wp14:editId="1F4BF8EB">
            <wp:extent cx="4980940" cy="35433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983957" cy="3545446"/>
                    </a:xfrm>
                    <a:prstGeom prst="rect">
                      <a:avLst/>
                    </a:prstGeom>
                    <a:noFill/>
                    <a:ln>
                      <a:noFill/>
                    </a:ln>
                  </pic:spPr>
                </pic:pic>
              </a:graphicData>
            </a:graphic>
          </wp:inline>
        </w:drawing>
      </w:r>
    </w:p>
    <w:p w14:paraId="459F8BD6" w14:textId="77777777" w:rsidR="0080462C" w:rsidRDefault="0080462C" w:rsidP="0080462C">
      <w:pPr>
        <w:spacing w:before="120" w:after="120"/>
        <w:jc w:val="center"/>
        <w:rPr>
          <w:rFonts w:ascii="Garamond" w:hAnsi="Garamond"/>
          <w:b/>
          <w:bCs/>
          <w:sz w:val="32"/>
          <w:szCs w:val="32"/>
        </w:rPr>
      </w:pPr>
    </w:p>
    <w:p w14:paraId="14C46F9B" w14:textId="77777777" w:rsidR="0080462C" w:rsidRDefault="0080462C" w:rsidP="0080462C">
      <w:pPr>
        <w:spacing w:before="120" w:after="120"/>
        <w:jc w:val="center"/>
        <w:rPr>
          <w:rFonts w:ascii="Garamond" w:hAnsi="Garamond"/>
          <w:b/>
          <w:bCs/>
          <w:sz w:val="32"/>
          <w:szCs w:val="32"/>
        </w:rPr>
      </w:pPr>
    </w:p>
    <w:p w14:paraId="4EFA3F23" w14:textId="77777777" w:rsidR="0080462C" w:rsidRDefault="0080462C" w:rsidP="0080462C">
      <w:pPr>
        <w:spacing w:before="120" w:after="120"/>
        <w:jc w:val="center"/>
        <w:rPr>
          <w:rFonts w:ascii="Garamond" w:hAnsi="Garamond"/>
          <w:b/>
          <w:bCs/>
          <w:sz w:val="32"/>
          <w:szCs w:val="32"/>
        </w:rPr>
      </w:pPr>
    </w:p>
    <w:p w14:paraId="7154F389" w14:textId="77777777" w:rsidR="0080462C" w:rsidRDefault="0080462C" w:rsidP="0080462C">
      <w:pPr>
        <w:spacing w:before="120" w:after="120"/>
        <w:jc w:val="center"/>
        <w:rPr>
          <w:rFonts w:ascii="Garamond" w:hAnsi="Garamond"/>
          <w:b/>
          <w:bCs/>
          <w:sz w:val="32"/>
          <w:szCs w:val="32"/>
        </w:rPr>
      </w:pPr>
    </w:p>
    <w:p w14:paraId="630FB618" w14:textId="77777777" w:rsidR="0080462C" w:rsidRDefault="0080462C" w:rsidP="0080462C">
      <w:pPr>
        <w:spacing w:before="120" w:after="120"/>
        <w:jc w:val="center"/>
        <w:rPr>
          <w:rFonts w:ascii="Garamond" w:hAnsi="Garamond"/>
          <w:b/>
          <w:bCs/>
          <w:sz w:val="32"/>
          <w:szCs w:val="32"/>
        </w:rPr>
      </w:pPr>
    </w:p>
    <w:p w14:paraId="6CC9A323" w14:textId="77777777" w:rsidR="0080462C" w:rsidRDefault="0080462C" w:rsidP="0080462C">
      <w:pPr>
        <w:spacing w:before="120" w:after="120"/>
        <w:jc w:val="center"/>
        <w:rPr>
          <w:rFonts w:ascii="Garamond" w:hAnsi="Garamond"/>
          <w:b/>
          <w:bCs/>
          <w:sz w:val="32"/>
          <w:szCs w:val="32"/>
        </w:rPr>
      </w:pPr>
    </w:p>
    <w:p w14:paraId="0E846F8D" w14:textId="77777777" w:rsidR="0080462C" w:rsidRDefault="0080462C" w:rsidP="0080462C">
      <w:pPr>
        <w:spacing w:before="120" w:after="120"/>
        <w:jc w:val="center"/>
        <w:rPr>
          <w:rFonts w:ascii="Garamond" w:hAnsi="Garamond"/>
          <w:b/>
          <w:bCs/>
          <w:sz w:val="32"/>
          <w:szCs w:val="32"/>
        </w:rPr>
      </w:pPr>
    </w:p>
    <w:p w14:paraId="09B83530" w14:textId="77777777" w:rsidR="0080462C" w:rsidRDefault="0080462C" w:rsidP="0080462C">
      <w:pPr>
        <w:spacing w:before="120" w:after="120"/>
        <w:jc w:val="center"/>
        <w:rPr>
          <w:rFonts w:ascii="Garamond" w:hAnsi="Garamond"/>
          <w:b/>
          <w:bCs/>
          <w:sz w:val="32"/>
          <w:szCs w:val="32"/>
        </w:rPr>
      </w:pPr>
    </w:p>
    <w:p w14:paraId="7ADD386B" w14:textId="77777777" w:rsidR="0080462C" w:rsidRDefault="0080462C" w:rsidP="0080462C">
      <w:pPr>
        <w:spacing w:before="120" w:after="120"/>
        <w:jc w:val="center"/>
        <w:rPr>
          <w:rFonts w:ascii="Garamond" w:hAnsi="Garamond"/>
          <w:b/>
          <w:bCs/>
          <w:sz w:val="32"/>
          <w:szCs w:val="32"/>
        </w:rPr>
      </w:pPr>
    </w:p>
    <w:p w14:paraId="13CA53BD" w14:textId="77777777" w:rsidR="0080462C" w:rsidRDefault="0080462C" w:rsidP="0080462C">
      <w:pPr>
        <w:spacing w:before="120" w:after="120"/>
        <w:jc w:val="center"/>
        <w:rPr>
          <w:rFonts w:ascii="Garamond" w:hAnsi="Garamond"/>
          <w:b/>
          <w:bCs/>
          <w:sz w:val="32"/>
          <w:szCs w:val="32"/>
        </w:rPr>
      </w:pPr>
    </w:p>
    <w:p w14:paraId="53FB3EAB" w14:textId="77777777" w:rsidR="0080462C" w:rsidRDefault="0080462C" w:rsidP="0080462C">
      <w:pPr>
        <w:spacing w:before="120" w:after="120"/>
        <w:jc w:val="center"/>
        <w:rPr>
          <w:rFonts w:ascii="Garamond" w:hAnsi="Garamond"/>
          <w:b/>
          <w:bCs/>
          <w:sz w:val="32"/>
          <w:szCs w:val="32"/>
        </w:rPr>
      </w:pPr>
    </w:p>
    <w:p w14:paraId="68A00B1F" w14:textId="77777777" w:rsidR="0080462C" w:rsidRDefault="0080462C" w:rsidP="0080462C">
      <w:pPr>
        <w:spacing w:before="120" w:after="120"/>
        <w:jc w:val="center"/>
        <w:rPr>
          <w:rFonts w:ascii="Garamond" w:hAnsi="Garamond"/>
          <w:b/>
          <w:bCs/>
          <w:sz w:val="32"/>
          <w:szCs w:val="32"/>
        </w:rPr>
      </w:pPr>
    </w:p>
    <w:p w14:paraId="18432A49" w14:textId="77777777" w:rsidR="0080462C" w:rsidRDefault="0080462C">
      <w:pPr>
        <w:rPr>
          <w:rFonts w:ascii="Garamond" w:hAnsi="Garamond"/>
          <w:b/>
          <w:bCs/>
          <w:sz w:val="32"/>
          <w:szCs w:val="32"/>
        </w:rPr>
      </w:pPr>
      <w:r>
        <w:rPr>
          <w:rFonts w:ascii="Garamond" w:hAnsi="Garamond"/>
          <w:b/>
          <w:bCs/>
          <w:sz w:val="32"/>
          <w:szCs w:val="32"/>
        </w:rPr>
        <w:br w:type="page"/>
      </w:r>
    </w:p>
    <w:p w14:paraId="3C22EC70" w14:textId="32A439B1" w:rsidR="00D821FE" w:rsidRDefault="0080462C" w:rsidP="0080462C">
      <w:pPr>
        <w:spacing w:before="120" w:after="120"/>
        <w:rPr>
          <w:rFonts w:ascii="Garamond" w:hAnsi="Garamond"/>
          <w:b/>
          <w:bCs/>
          <w:sz w:val="32"/>
          <w:szCs w:val="32"/>
        </w:rPr>
      </w:pPr>
      <w:r w:rsidRPr="00C47646">
        <w:rPr>
          <w:rFonts w:ascii="Garamond" w:hAnsi="Garamond"/>
          <w:b/>
          <w:bCs/>
          <w:sz w:val="32"/>
          <w:szCs w:val="32"/>
        </w:rPr>
        <w:lastRenderedPageBreak/>
        <w:t xml:space="preserve">Appendix </w:t>
      </w:r>
      <w:r>
        <w:rPr>
          <w:rFonts w:ascii="Garamond" w:hAnsi="Garamond"/>
          <w:b/>
          <w:bCs/>
          <w:sz w:val="32"/>
          <w:szCs w:val="32"/>
        </w:rPr>
        <w:t>C</w:t>
      </w:r>
      <w:r w:rsidRPr="00C47646">
        <w:rPr>
          <w:rFonts w:ascii="Garamond" w:hAnsi="Garamond"/>
          <w:b/>
          <w:bCs/>
          <w:sz w:val="32"/>
          <w:szCs w:val="32"/>
        </w:rPr>
        <w:t xml:space="preserve">: </w:t>
      </w:r>
      <w:r w:rsidR="00D821FE">
        <w:rPr>
          <w:rFonts w:ascii="Garamond" w:hAnsi="Garamond"/>
          <w:b/>
          <w:bCs/>
          <w:sz w:val="32"/>
          <w:szCs w:val="32"/>
        </w:rPr>
        <w:t>Results excluding countries with a greater share of foreign-currency denominated debt than 2% (Canada and Sweden)</w:t>
      </w:r>
    </w:p>
    <w:p w14:paraId="6E7C0884" w14:textId="44306282" w:rsidR="00A76124" w:rsidRDefault="00A76124" w:rsidP="00A76124">
      <w:pPr>
        <w:jc w:val="center"/>
        <w:rPr>
          <w:rFonts w:ascii="Garamond" w:hAnsi="Garamond" w:cs="Times New Roman"/>
          <w:b/>
          <w:bCs/>
        </w:rPr>
      </w:pPr>
      <w:r>
        <w:rPr>
          <w:rFonts w:ascii="Garamond" w:hAnsi="Garamond" w:cs="Times New Roman"/>
          <w:b/>
          <w:bCs/>
        </w:rPr>
        <w:t xml:space="preserve">Figure C.1: The impact of inflation on bond yields by exchange rate regime </w:t>
      </w:r>
    </w:p>
    <w:p w14:paraId="6E250D65" w14:textId="77777777" w:rsidR="00A76124" w:rsidRDefault="00A76124" w:rsidP="00A76124">
      <w:pPr>
        <w:jc w:val="center"/>
        <w:rPr>
          <w:rFonts w:ascii="Garamond" w:hAnsi="Garamond" w:cs="Times New Roman"/>
          <w:b/>
          <w:bCs/>
        </w:rPr>
      </w:pPr>
    </w:p>
    <w:p w14:paraId="275FA7FD" w14:textId="1E7FC977" w:rsidR="00A76124" w:rsidRDefault="00A76124" w:rsidP="00A76124">
      <w:pPr>
        <w:jc w:val="center"/>
      </w:pPr>
      <w:r w:rsidRPr="00643FE1">
        <w:rPr>
          <w:noProof/>
        </w:rPr>
        <w:drawing>
          <wp:inline distT="0" distB="0" distL="0" distR="0" wp14:anchorId="3C4AD3FC" wp14:editId="2A60100D">
            <wp:extent cx="4675586" cy="340042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683384" cy="3406096"/>
                    </a:xfrm>
                    <a:prstGeom prst="rect">
                      <a:avLst/>
                    </a:prstGeom>
                    <a:noFill/>
                    <a:ln>
                      <a:noFill/>
                    </a:ln>
                  </pic:spPr>
                </pic:pic>
              </a:graphicData>
            </a:graphic>
          </wp:inline>
        </w:drawing>
      </w:r>
    </w:p>
    <w:p w14:paraId="276091C1" w14:textId="77777777" w:rsidR="00A76124" w:rsidRDefault="00A76124" w:rsidP="00A76124">
      <w:pPr>
        <w:jc w:val="center"/>
      </w:pPr>
    </w:p>
    <w:p w14:paraId="1BBC6E74" w14:textId="20844AB7" w:rsidR="00A76124" w:rsidRDefault="00A76124" w:rsidP="00A76124">
      <w:pPr>
        <w:jc w:val="center"/>
        <w:rPr>
          <w:rFonts w:ascii="Garamond" w:hAnsi="Garamond" w:cs="Times New Roman"/>
          <w:b/>
          <w:bCs/>
        </w:rPr>
      </w:pPr>
      <w:r>
        <w:rPr>
          <w:rFonts w:ascii="Garamond" w:hAnsi="Garamond" w:cs="Times New Roman"/>
          <w:b/>
          <w:bCs/>
        </w:rPr>
        <w:t>Figure C.2: The impact of government debt on bond yields by exchange rate regime</w:t>
      </w:r>
    </w:p>
    <w:p w14:paraId="0FA3D7F6" w14:textId="77777777" w:rsidR="00A76124" w:rsidRDefault="00A76124" w:rsidP="00A76124">
      <w:pPr>
        <w:jc w:val="center"/>
        <w:rPr>
          <w:rFonts w:ascii="Garamond" w:hAnsi="Garamond" w:cs="Times New Roman"/>
          <w:b/>
          <w:bCs/>
        </w:rPr>
      </w:pPr>
    </w:p>
    <w:p w14:paraId="26E60DF1" w14:textId="77777777" w:rsidR="00A76124" w:rsidRDefault="00A76124" w:rsidP="00A76124">
      <w:pPr>
        <w:jc w:val="center"/>
      </w:pPr>
      <w:r w:rsidRPr="00421884">
        <w:rPr>
          <w:noProof/>
        </w:rPr>
        <w:drawing>
          <wp:inline distT="0" distB="0" distL="0" distR="0" wp14:anchorId="7F3F938F" wp14:editId="67B68B67">
            <wp:extent cx="4695825" cy="3415146"/>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700261" cy="3418372"/>
                    </a:xfrm>
                    <a:prstGeom prst="rect">
                      <a:avLst/>
                    </a:prstGeom>
                    <a:noFill/>
                    <a:ln>
                      <a:noFill/>
                    </a:ln>
                  </pic:spPr>
                </pic:pic>
              </a:graphicData>
            </a:graphic>
          </wp:inline>
        </w:drawing>
      </w:r>
    </w:p>
    <w:p w14:paraId="62B19A0F" w14:textId="58968661" w:rsidR="00A76124" w:rsidRDefault="00A76124" w:rsidP="00A76124">
      <w:pPr>
        <w:jc w:val="center"/>
        <w:rPr>
          <w:rFonts w:ascii="Garamond" w:hAnsi="Garamond" w:cs="Times New Roman"/>
          <w:b/>
          <w:bCs/>
        </w:rPr>
      </w:pPr>
      <w:r w:rsidRPr="00B05D04">
        <w:rPr>
          <w:rFonts w:ascii="Garamond" w:hAnsi="Garamond" w:cs="Times New Roman"/>
          <w:b/>
          <w:bCs/>
        </w:rPr>
        <w:lastRenderedPageBreak/>
        <w:t xml:space="preserve">Figure </w:t>
      </w:r>
      <w:r>
        <w:rPr>
          <w:rFonts w:ascii="Garamond" w:hAnsi="Garamond" w:cs="Times New Roman"/>
          <w:b/>
          <w:bCs/>
        </w:rPr>
        <w:t>C.</w:t>
      </w:r>
      <w:r w:rsidRPr="00B05D04">
        <w:rPr>
          <w:rFonts w:ascii="Garamond" w:hAnsi="Garamond" w:cs="Times New Roman"/>
          <w:b/>
          <w:bCs/>
        </w:rPr>
        <w:t xml:space="preserve">3: The impact of fiscal deficits on bond yields </w:t>
      </w:r>
      <w:r>
        <w:rPr>
          <w:rFonts w:ascii="Garamond" w:hAnsi="Garamond" w:cs="Times New Roman"/>
          <w:b/>
          <w:bCs/>
        </w:rPr>
        <w:t>by exchange rate regime</w:t>
      </w:r>
    </w:p>
    <w:p w14:paraId="23D3B802" w14:textId="77777777" w:rsidR="00A76124" w:rsidRDefault="00A76124" w:rsidP="00A76124">
      <w:pPr>
        <w:jc w:val="center"/>
        <w:rPr>
          <w:rFonts w:ascii="Garamond" w:hAnsi="Garamond" w:cs="Times New Roman"/>
          <w:b/>
          <w:bCs/>
        </w:rPr>
      </w:pPr>
    </w:p>
    <w:p w14:paraId="5270248A" w14:textId="0C46E70B" w:rsidR="00A76124" w:rsidRDefault="00A76124" w:rsidP="00A76124">
      <w:pPr>
        <w:jc w:val="center"/>
      </w:pPr>
      <w:r w:rsidRPr="00FF0CCD">
        <w:rPr>
          <w:noProof/>
        </w:rPr>
        <w:drawing>
          <wp:inline distT="0" distB="0" distL="0" distR="0" wp14:anchorId="178DF406" wp14:editId="3BD75542">
            <wp:extent cx="5029200" cy="36576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029200" cy="3657600"/>
                    </a:xfrm>
                    <a:prstGeom prst="rect">
                      <a:avLst/>
                    </a:prstGeom>
                    <a:noFill/>
                    <a:ln>
                      <a:noFill/>
                    </a:ln>
                  </pic:spPr>
                </pic:pic>
              </a:graphicData>
            </a:graphic>
          </wp:inline>
        </w:drawing>
      </w:r>
    </w:p>
    <w:p w14:paraId="171A3AF5" w14:textId="77777777" w:rsidR="00A76124" w:rsidRDefault="00A76124" w:rsidP="00A76124">
      <w:pPr>
        <w:jc w:val="center"/>
      </w:pPr>
    </w:p>
    <w:p w14:paraId="33369BF9" w14:textId="2DC67E75" w:rsidR="00A76124" w:rsidRDefault="00A76124" w:rsidP="00A76124">
      <w:pPr>
        <w:jc w:val="center"/>
        <w:rPr>
          <w:rFonts w:ascii="Garamond" w:hAnsi="Garamond" w:cs="Times New Roman"/>
          <w:b/>
          <w:bCs/>
        </w:rPr>
      </w:pPr>
      <w:r w:rsidRPr="00075BDB">
        <w:rPr>
          <w:rFonts w:ascii="Garamond" w:hAnsi="Garamond" w:cs="Times New Roman"/>
          <w:b/>
          <w:bCs/>
        </w:rPr>
        <w:t xml:space="preserve">Figure </w:t>
      </w:r>
      <w:r>
        <w:rPr>
          <w:rFonts w:ascii="Garamond" w:hAnsi="Garamond" w:cs="Times New Roman"/>
          <w:b/>
          <w:bCs/>
        </w:rPr>
        <w:t>C.</w:t>
      </w:r>
      <w:r w:rsidRPr="00075BDB">
        <w:rPr>
          <w:rFonts w:ascii="Garamond" w:hAnsi="Garamond" w:cs="Times New Roman"/>
          <w:b/>
          <w:bCs/>
        </w:rPr>
        <w:t xml:space="preserve">4: The impact of social spending on bond yields </w:t>
      </w:r>
      <w:r>
        <w:rPr>
          <w:rFonts w:ascii="Garamond" w:hAnsi="Garamond" w:cs="Times New Roman"/>
          <w:b/>
          <w:bCs/>
        </w:rPr>
        <w:t>by exchange rate regime</w:t>
      </w:r>
    </w:p>
    <w:p w14:paraId="637903E8" w14:textId="77777777" w:rsidR="00A76124" w:rsidRDefault="00A76124" w:rsidP="00A76124">
      <w:pPr>
        <w:jc w:val="center"/>
        <w:rPr>
          <w:rFonts w:ascii="Garamond" w:hAnsi="Garamond" w:cs="Times New Roman"/>
          <w:b/>
          <w:bCs/>
        </w:rPr>
      </w:pPr>
    </w:p>
    <w:p w14:paraId="510A7121" w14:textId="77777777" w:rsidR="00A76124" w:rsidRDefault="00A76124" w:rsidP="00A76124">
      <w:pPr>
        <w:jc w:val="center"/>
      </w:pPr>
      <w:r w:rsidRPr="00FF0CCD">
        <w:rPr>
          <w:noProof/>
        </w:rPr>
        <w:drawing>
          <wp:inline distT="0" distB="0" distL="0" distR="0" wp14:anchorId="4EEE9EF7" wp14:editId="33554957">
            <wp:extent cx="5029200" cy="36576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029200" cy="3657600"/>
                    </a:xfrm>
                    <a:prstGeom prst="rect">
                      <a:avLst/>
                    </a:prstGeom>
                    <a:noFill/>
                    <a:ln>
                      <a:noFill/>
                    </a:ln>
                  </pic:spPr>
                </pic:pic>
              </a:graphicData>
            </a:graphic>
          </wp:inline>
        </w:drawing>
      </w:r>
    </w:p>
    <w:p w14:paraId="18A2D861" w14:textId="1A4BEE8D" w:rsidR="00A76124" w:rsidRDefault="00A76124" w:rsidP="00A76124">
      <w:pPr>
        <w:jc w:val="center"/>
        <w:rPr>
          <w:rFonts w:ascii="Garamond" w:hAnsi="Garamond" w:cs="Times New Roman"/>
          <w:b/>
          <w:bCs/>
        </w:rPr>
      </w:pPr>
      <w:r w:rsidRPr="00075BDB">
        <w:rPr>
          <w:rFonts w:ascii="Garamond" w:hAnsi="Garamond" w:cs="Times New Roman"/>
          <w:b/>
          <w:bCs/>
        </w:rPr>
        <w:lastRenderedPageBreak/>
        <w:t xml:space="preserve">Figure </w:t>
      </w:r>
      <w:r>
        <w:rPr>
          <w:rFonts w:ascii="Garamond" w:hAnsi="Garamond" w:cs="Times New Roman"/>
          <w:b/>
          <w:bCs/>
        </w:rPr>
        <w:t>C.5</w:t>
      </w:r>
      <w:r w:rsidRPr="00075BDB">
        <w:rPr>
          <w:rFonts w:ascii="Garamond" w:hAnsi="Garamond" w:cs="Times New Roman"/>
          <w:b/>
          <w:bCs/>
        </w:rPr>
        <w:t xml:space="preserve">: The impact of </w:t>
      </w:r>
      <w:r>
        <w:rPr>
          <w:rFonts w:ascii="Garamond" w:hAnsi="Garamond" w:cs="Times New Roman"/>
          <w:b/>
          <w:bCs/>
        </w:rPr>
        <w:t>entitlement spending</w:t>
      </w:r>
      <w:r w:rsidRPr="00075BDB">
        <w:rPr>
          <w:rFonts w:ascii="Garamond" w:hAnsi="Garamond" w:cs="Times New Roman"/>
          <w:b/>
          <w:bCs/>
        </w:rPr>
        <w:t xml:space="preserve"> on bond yields</w:t>
      </w:r>
      <w:r>
        <w:rPr>
          <w:rFonts w:ascii="Garamond" w:hAnsi="Garamond" w:cs="Times New Roman"/>
          <w:b/>
          <w:bCs/>
        </w:rPr>
        <w:t xml:space="preserve"> by exchange rate regime</w:t>
      </w:r>
    </w:p>
    <w:p w14:paraId="79739C4F" w14:textId="77777777" w:rsidR="00A76124" w:rsidRPr="00970B75" w:rsidRDefault="00A76124" w:rsidP="00A76124">
      <w:pPr>
        <w:jc w:val="center"/>
        <w:rPr>
          <w:rFonts w:ascii="Garamond" w:hAnsi="Garamond" w:cs="Times New Roman"/>
          <w:b/>
          <w:bCs/>
        </w:rPr>
      </w:pPr>
    </w:p>
    <w:p w14:paraId="3A53CF77" w14:textId="77777777" w:rsidR="00A76124" w:rsidRDefault="00A76124" w:rsidP="00A76124">
      <w:pPr>
        <w:jc w:val="center"/>
      </w:pPr>
      <w:r w:rsidRPr="00483360">
        <w:rPr>
          <w:noProof/>
        </w:rPr>
        <w:drawing>
          <wp:inline distT="0" distB="0" distL="0" distR="0" wp14:anchorId="69EB5FC0" wp14:editId="05C53E17">
            <wp:extent cx="5029200" cy="36576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029200" cy="3657600"/>
                    </a:xfrm>
                    <a:prstGeom prst="rect">
                      <a:avLst/>
                    </a:prstGeom>
                    <a:noFill/>
                    <a:ln>
                      <a:noFill/>
                    </a:ln>
                  </pic:spPr>
                </pic:pic>
              </a:graphicData>
            </a:graphic>
          </wp:inline>
        </w:drawing>
      </w:r>
    </w:p>
    <w:p w14:paraId="6C144FAE" w14:textId="634081ED" w:rsidR="00D821FE" w:rsidRDefault="00D821FE" w:rsidP="0080462C">
      <w:pPr>
        <w:spacing w:before="120" w:after="120"/>
        <w:rPr>
          <w:rFonts w:ascii="Garamond" w:hAnsi="Garamond"/>
          <w:b/>
          <w:bCs/>
          <w:sz w:val="32"/>
          <w:szCs w:val="32"/>
        </w:rPr>
      </w:pPr>
    </w:p>
    <w:p w14:paraId="3CC54B6C" w14:textId="77EB3E68" w:rsidR="00A76124" w:rsidRDefault="00A76124" w:rsidP="0080462C">
      <w:pPr>
        <w:spacing w:before="120" w:after="120"/>
        <w:rPr>
          <w:rFonts w:ascii="Garamond" w:hAnsi="Garamond"/>
          <w:b/>
          <w:bCs/>
          <w:sz w:val="32"/>
          <w:szCs w:val="32"/>
        </w:rPr>
      </w:pPr>
    </w:p>
    <w:p w14:paraId="16C60343" w14:textId="4577CEF9" w:rsidR="00A76124" w:rsidRDefault="00A76124" w:rsidP="0080462C">
      <w:pPr>
        <w:spacing w:before="120" w:after="120"/>
        <w:rPr>
          <w:rFonts w:ascii="Garamond" w:hAnsi="Garamond"/>
          <w:b/>
          <w:bCs/>
          <w:sz w:val="32"/>
          <w:szCs w:val="32"/>
        </w:rPr>
      </w:pPr>
    </w:p>
    <w:p w14:paraId="204BF1B0" w14:textId="1C83AE81" w:rsidR="00A76124" w:rsidRDefault="00A76124" w:rsidP="0080462C">
      <w:pPr>
        <w:spacing w:before="120" w:after="120"/>
        <w:rPr>
          <w:rFonts w:ascii="Garamond" w:hAnsi="Garamond"/>
          <w:b/>
          <w:bCs/>
          <w:sz w:val="32"/>
          <w:szCs w:val="32"/>
        </w:rPr>
      </w:pPr>
    </w:p>
    <w:p w14:paraId="02CA3BDF" w14:textId="2367858C" w:rsidR="00A76124" w:rsidRDefault="00A76124" w:rsidP="0080462C">
      <w:pPr>
        <w:spacing w:before="120" w:after="120"/>
        <w:rPr>
          <w:rFonts w:ascii="Garamond" w:hAnsi="Garamond"/>
          <w:b/>
          <w:bCs/>
          <w:sz w:val="32"/>
          <w:szCs w:val="32"/>
        </w:rPr>
      </w:pPr>
    </w:p>
    <w:p w14:paraId="557B13CB" w14:textId="6DB32B9C" w:rsidR="00A76124" w:rsidRDefault="00A76124" w:rsidP="0080462C">
      <w:pPr>
        <w:spacing w:before="120" w:after="120"/>
        <w:rPr>
          <w:rFonts w:ascii="Garamond" w:hAnsi="Garamond"/>
          <w:b/>
          <w:bCs/>
          <w:sz w:val="32"/>
          <w:szCs w:val="32"/>
        </w:rPr>
      </w:pPr>
    </w:p>
    <w:p w14:paraId="0D9CE9D9" w14:textId="57C3EC24" w:rsidR="00A76124" w:rsidRDefault="00A76124" w:rsidP="0080462C">
      <w:pPr>
        <w:spacing w:before="120" w:after="120"/>
        <w:rPr>
          <w:rFonts w:ascii="Garamond" w:hAnsi="Garamond"/>
          <w:b/>
          <w:bCs/>
          <w:sz w:val="32"/>
          <w:szCs w:val="32"/>
        </w:rPr>
      </w:pPr>
    </w:p>
    <w:p w14:paraId="124717C5" w14:textId="4C678941" w:rsidR="00A76124" w:rsidRDefault="00A76124" w:rsidP="0080462C">
      <w:pPr>
        <w:spacing w:before="120" w:after="120"/>
        <w:rPr>
          <w:rFonts w:ascii="Garamond" w:hAnsi="Garamond"/>
          <w:b/>
          <w:bCs/>
          <w:sz w:val="32"/>
          <w:szCs w:val="32"/>
        </w:rPr>
      </w:pPr>
    </w:p>
    <w:p w14:paraId="3B094E4B" w14:textId="6F0D5841" w:rsidR="00A76124" w:rsidRDefault="00A76124" w:rsidP="0080462C">
      <w:pPr>
        <w:spacing w:before="120" w:after="120"/>
        <w:rPr>
          <w:rFonts w:ascii="Garamond" w:hAnsi="Garamond"/>
          <w:b/>
          <w:bCs/>
          <w:sz w:val="32"/>
          <w:szCs w:val="32"/>
        </w:rPr>
      </w:pPr>
    </w:p>
    <w:p w14:paraId="6DFF9A9D" w14:textId="01DB738C" w:rsidR="00A76124" w:rsidRDefault="00A76124" w:rsidP="0080462C">
      <w:pPr>
        <w:spacing w:before="120" w:after="120"/>
        <w:rPr>
          <w:rFonts w:ascii="Garamond" w:hAnsi="Garamond"/>
          <w:b/>
          <w:bCs/>
          <w:sz w:val="32"/>
          <w:szCs w:val="32"/>
        </w:rPr>
      </w:pPr>
    </w:p>
    <w:p w14:paraId="5AEC74BC" w14:textId="3C4736F4" w:rsidR="00A76124" w:rsidRDefault="00A76124" w:rsidP="0080462C">
      <w:pPr>
        <w:spacing w:before="120" w:after="120"/>
        <w:rPr>
          <w:rFonts w:ascii="Garamond" w:hAnsi="Garamond"/>
          <w:b/>
          <w:bCs/>
          <w:sz w:val="32"/>
          <w:szCs w:val="32"/>
        </w:rPr>
      </w:pPr>
    </w:p>
    <w:p w14:paraId="1313F347" w14:textId="7F68ACF3" w:rsidR="00A76124" w:rsidRDefault="00A76124" w:rsidP="0080462C">
      <w:pPr>
        <w:spacing w:before="120" w:after="120"/>
        <w:rPr>
          <w:rFonts w:ascii="Garamond" w:hAnsi="Garamond"/>
          <w:b/>
          <w:bCs/>
          <w:sz w:val="32"/>
          <w:szCs w:val="32"/>
        </w:rPr>
      </w:pPr>
    </w:p>
    <w:p w14:paraId="6DBFF563" w14:textId="77777777" w:rsidR="00A76124" w:rsidRDefault="00A76124" w:rsidP="0080462C">
      <w:pPr>
        <w:spacing w:before="120" w:after="120"/>
        <w:rPr>
          <w:rFonts w:ascii="Garamond" w:hAnsi="Garamond"/>
          <w:b/>
          <w:bCs/>
          <w:sz w:val="32"/>
          <w:szCs w:val="32"/>
        </w:rPr>
      </w:pPr>
    </w:p>
    <w:p w14:paraId="5ED79EC5" w14:textId="3A84F355" w:rsidR="0080462C" w:rsidRDefault="00D821FE" w:rsidP="0080462C">
      <w:pPr>
        <w:spacing w:before="120" w:after="120"/>
        <w:rPr>
          <w:rFonts w:ascii="Garamond" w:hAnsi="Garamond"/>
          <w:b/>
          <w:bCs/>
          <w:sz w:val="32"/>
          <w:szCs w:val="32"/>
        </w:rPr>
      </w:pPr>
      <w:r w:rsidRPr="00C47646">
        <w:rPr>
          <w:rFonts w:ascii="Garamond" w:hAnsi="Garamond"/>
          <w:b/>
          <w:bCs/>
          <w:sz w:val="32"/>
          <w:szCs w:val="32"/>
        </w:rPr>
        <w:lastRenderedPageBreak/>
        <w:t xml:space="preserve">Appendix </w:t>
      </w:r>
      <w:r>
        <w:rPr>
          <w:rFonts w:ascii="Garamond" w:hAnsi="Garamond"/>
          <w:b/>
          <w:bCs/>
          <w:sz w:val="32"/>
          <w:szCs w:val="32"/>
        </w:rPr>
        <w:t>D</w:t>
      </w:r>
      <w:r w:rsidRPr="00C47646">
        <w:rPr>
          <w:rFonts w:ascii="Garamond" w:hAnsi="Garamond"/>
          <w:b/>
          <w:bCs/>
          <w:sz w:val="32"/>
          <w:szCs w:val="32"/>
        </w:rPr>
        <w:t xml:space="preserve">: </w:t>
      </w:r>
      <w:r w:rsidR="0080462C" w:rsidRPr="00C47646">
        <w:rPr>
          <w:rFonts w:ascii="Garamond" w:hAnsi="Garamond"/>
          <w:b/>
          <w:bCs/>
          <w:sz w:val="32"/>
          <w:szCs w:val="32"/>
        </w:rPr>
        <w:t xml:space="preserve">Results for </w:t>
      </w:r>
      <w:r w:rsidR="0080462C">
        <w:rPr>
          <w:rFonts w:ascii="Garamond" w:hAnsi="Garamond"/>
          <w:b/>
          <w:bCs/>
          <w:sz w:val="32"/>
          <w:szCs w:val="32"/>
        </w:rPr>
        <w:t>crawling peg exchange rate regime</w:t>
      </w:r>
    </w:p>
    <w:p w14:paraId="10F2C4BC" w14:textId="46C6D274" w:rsidR="0080462C" w:rsidRPr="00C47646" w:rsidRDefault="0080462C" w:rsidP="0080462C">
      <w:pPr>
        <w:spacing w:before="120" w:after="120"/>
        <w:jc w:val="center"/>
        <w:rPr>
          <w:rFonts w:ascii="Garamond" w:hAnsi="Garamond" w:cs="Times New Roman"/>
          <w:b/>
          <w:bCs/>
        </w:rPr>
      </w:pPr>
      <w:r w:rsidRPr="00C47646">
        <w:rPr>
          <w:rFonts w:ascii="Garamond" w:hAnsi="Garamond" w:cs="Times New Roman"/>
          <w:b/>
          <w:bCs/>
        </w:rPr>
        <w:t xml:space="preserve">Figure </w:t>
      </w:r>
      <w:r w:rsidR="00A76124">
        <w:rPr>
          <w:rFonts w:ascii="Garamond" w:hAnsi="Garamond" w:cs="Times New Roman"/>
          <w:b/>
          <w:bCs/>
        </w:rPr>
        <w:t>D</w:t>
      </w:r>
      <w:r w:rsidRPr="00C47646">
        <w:rPr>
          <w:rFonts w:ascii="Garamond" w:hAnsi="Garamond" w:cs="Times New Roman"/>
          <w:b/>
          <w:bCs/>
        </w:rPr>
        <w:t>.1: The impact of inflation on bond yields</w:t>
      </w:r>
      <w:r>
        <w:rPr>
          <w:rFonts w:ascii="Garamond" w:hAnsi="Garamond" w:cs="Times New Roman"/>
          <w:b/>
          <w:bCs/>
        </w:rPr>
        <w:t xml:space="preserve"> for countries in</w:t>
      </w:r>
      <w:r w:rsidRPr="008B7CBE">
        <w:rPr>
          <w:rFonts w:ascii="Garamond" w:hAnsi="Garamond" w:cs="Times New Roman"/>
          <w:b/>
          <w:bCs/>
        </w:rPr>
        <w:t xml:space="preserve"> crawling peg</w:t>
      </w:r>
      <w:r>
        <w:rPr>
          <w:rFonts w:ascii="Garamond" w:hAnsi="Garamond" w:cs="Times New Roman"/>
          <w:b/>
          <w:bCs/>
        </w:rPr>
        <w:t>s</w:t>
      </w:r>
    </w:p>
    <w:p w14:paraId="4C72199E" w14:textId="77777777" w:rsidR="0080462C" w:rsidRDefault="0080462C" w:rsidP="0080462C">
      <w:pPr>
        <w:spacing w:before="120" w:after="120"/>
        <w:jc w:val="center"/>
        <w:rPr>
          <w:rFonts w:ascii="Garamond" w:hAnsi="Garamond"/>
          <w:b/>
          <w:bCs/>
          <w:sz w:val="32"/>
          <w:szCs w:val="32"/>
        </w:rPr>
      </w:pPr>
      <w:r w:rsidRPr="0006363B">
        <w:rPr>
          <w:rFonts w:ascii="Garamond" w:hAnsi="Garamond"/>
          <w:b/>
          <w:bCs/>
          <w:noProof/>
          <w:sz w:val="32"/>
          <w:szCs w:val="32"/>
        </w:rPr>
        <w:drawing>
          <wp:inline distT="0" distB="0" distL="0" distR="0" wp14:anchorId="40990C37" wp14:editId="4A766056">
            <wp:extent cx="4209415" cy="2971238"/>
            <wp:effectExtent l="0" t="0" r="635" b="63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4220255" cy="2978889"/>
                    </a:xfrm>
                    <a:prstGeom prst="rect">
                      <a:avLst/>
                    </a:prstGeom>
                    <a:noFill/>
                    <a:ln>
                      <a:noFill/>
                    </a:ln>
                  </pic:spPr>
                </pic:pic>
              </a:graphicData>
            </a:graphic>
          </wp:inline>
        </w:drawing>
      </w:r>
    </w:p>
    <w:p w14:paraId="504D9A83" w14:textId="77777777" w:rsidR="0080462C" w:rsidRDefault="0080462C" w:rsidP="0080462C">
      <w:pPr>
        <w:spacing w:before="120" w:after="120"/>
        <w:jc w:val="center"/>
        <w:rPr>
          <w:rFonts w:ascii="Garamond" w:hAnsi="Garamond"/>
          <w:b/>
          <w:bCs/>
          <w:sz w:val="32"/>
          <w:szCs w:val="32"/>
        </w:rPr>
      </w:pPr>
    </w:p>
    <w:p w14:paraId="4C2D84CE" w14:textId="78BEDAC1" w:rsidR="0080462C" w:rsidRPr="005E1A83" w:rsidRDefault="0080462C" w:rsidP="0080462C">
      <w:pPr>
        <w:spacing w:before="120" w:after="120"/>
        <w:jc w:val="center"/>
        <w:rPr>
          <w:rFonts w:ascii="Garamond" w:hAnsi="Garamond" w:cs="Times New Roman"/>
          <w:b/>
          <w:bCs/>
        </w:rPr>
      </w:pPr>
      <w:r w:rsidRPr="005E1A83">
        <w:rPr>
          <w:rFonts w:ascii="Garamond" w:hAnsi="Garamond" w:cs="Times New Roman"/>
          <w:b/>
          <w:bCs/>
        </w:rPr>
        <w:t xml:space="preserve">Figure </w:t>
      </w:r>
      <w:r w:rsidR="00A76124">
        <w:rPr>
          <w:rFonts w:ascii="Garamond" w:hAnsi="Garamond" w:cs="Times New Roman"/>
          <w:b/>
          <w:bCs/>
        </w:rPr>
        <w:t>D</w:t>
      </w:r>
      <w:r>
        <w:rPr>
          <w:rFonts w:ascii="Garamond" w:hAnsi="Garamond" w:cs="Times New Roman"/>
          <w:b/>
          <w:bCs/>
        </w:rPr>
        <w:t>.</w:t>
      </w:r>
      <w:r w:rsidRPr="005E1A83">
        <w:rPr>
          <w:rFonts w:ascii="Garamond" w:hAnsi="Garamond" w:cs="Times New Roman"/>
          <w:b/>
          <w:bCs/>
        </w:rPr>
        <w:t xml:space="preserve">2: The impact of government debt on bond yields </w:t>
      </w:r>
      <w:r>
        <w:rPr>
          <w:rFonts w:ascii="Garamond" w:hAnsi="Garamond" w:cs="Times New Roman"/>
          <w:b/>
          <w:bCs/>
        </w:rPr>
        <w:t>for countries in</w:t>
      </w:r>
      <w:r w:rsidRPr="008B7CBE">
        <w:rPr>
          <w:rFonts w:ascii="Garamond" w:hAnsi="Garamond" w:cs="Times New Roman"/>
          <w:b/>
          <w:bCs/>
        </w:rPr>
        <w:t xml:space="preserve"> crawling peg</w:t>
      </w:r>
      <w:r>
        <w:rPr>
          <w:rFonts w:ascii="Garamond" w:hAnsi="Garamond" w:cs="Times New Roman"/>
          <w:b/>
          <w:bCs/>
        </w:rPr>
        <w:t>s</w:t>
      </w:r>
    </w:p>
    <w:p w14:paraId="094CBE49" w14:textId="77777777" w:rsidR="0080462C" w:rsidRDefault="0080462C" w:rsidP="0080462C">
      <w:pPr>
        <w:spacing w:before="120" w:after="120"/>
        <w:jc w:val="center"/>
        <w:rPr>
          <w:rFonts w:ascii="Garamond" w:hAnsi="Garamond"/>
          <w:b/>
          <w:bCs/>
          <w:sz w:val="32"/>
          <w:szCs w:val="32"/>
        </w:rPr>
      </w:pPr>
      <w:r w:rsidRPr="005E1A83">
        <w:rPr>
          <w:rFonts w:ascii="Garamond" w:hAnsi="Garamond"/>
          <w:b/>
          <w:bCs/>
          <w:noProof/>
          <w:sz w:val="32"/>
          <w:szCs w:val="32"/>
        </w:rPr>
        <w:drawing>
          <wp:inline distT="0" distB="0" distL="0" distR="0" wp14:anchorId="3A5AB296" wp14:editId="4481FB2F">
            <wp:extent cx="4467225" cy="3248891"/>
            <wp:effectExtent l="0" t="0" r="0" b="889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473894" cy="3253741"/>
                    </a:xfrm>
                    <a:prstGeom prst="rect">
                      <a:avLst/>
                    </a:prstGeom>
                    <a:noFill/>
                    <a:ln>
                      <a:noFill/>
                    </a:ln>
                  </pic:spPr>
                </pic:pic>
              </a:graphicData>
            </a:graphic>
          </wp:inline>
        </w:drawing>
      </w:r>
    </w:p>
    <w:p w14:paraId="602CBC20" w14:textId="77777777" w:rsidR="0080462C" w:rsidRDefault="0080462C" w:rsidP="0080462C">
      <w:pPr>
        <w:spacing w:before="120" w:after="120"/>
        <w:jc w:val="center"/>
        <w:rPr>
          <w:rFonts w:ascii="Garamond" w:hAnsi="Garamond" w:cs="Times New Roman"/>
          <w:b/>
          <w:bCs/>
        </w:rPr>
      </w:pPr>
    </w:p>
    <w:p w14:paraId="2F3A0E03" w14:textId="77777777" w:rsidR="0080462C" w:rsidRDefault="0080462C" w:rsidP="0080462C">
      <w:pPr>
        <w:spacing w:before="120" w:after="120"/>
        <w:jc w:val="center"/>
        <w:rPr>
          <w:rFonts w:ascii="Garamond" w:hAnsi="Garamond" w:cs="Times New Roman"/>
          <w:b/>
          <w:bCs/>
        </w:rPr>
      </w:pPr>
    </w:p>
    <w:p w14:paraId="6D549DD5" w14:textId="77777777" w:rsidR="0080462C" w:rsidRDefault="0080462C" w:rsidP="0080462C">
      <w:pPr>
        <w:spacing w:before="120" w:after="120"/>
        <w:jc w:val="center"/>
        <w:rPr>
          <w:rFonts w:ascii="Garamond" w:hAnsi="Garamond" w:cs="Times New Roman"/>
          <w:b/>
          <w:bCs/>
        </w:rPr>
      </w:pPr>
    </w:p>
    <w:p w14:paraId="613862A1" w14:textId="094FC768" w:rsidR="0080462C" w:rsidRPr="00B05D04" w:rsidRDefault="0080462C" w:rsidP="0080462C">
      <w:pPr>
        <w:spacing w:before="120" w:after="120"/>
        <w:jc w:val="center"/>
        <w:rPr>
          <w:rFonts w:ascii="Garamond" w:hAnsi="Garamond" w:cs="Times New Roman"/>
        </w:rPr>
      </w:pPr>
      <w:r w:rsidRPr="00B05D04">
        <w:rPr>
          <w:rFonts w:ascii="Garamond" w:hAnsi="Garamond" w:cs="Times New Roman"/>
          <w:b/>
          <w:bCs/>
        </w:rPr>
        <w:lastRenderedPageBreak/>
        <w:t xml:space="preserve">Figure </w:t>
      </w:r>
      <w:r w:rsidR="00A76124">
        <w:rPr>
          <w:rFonts w:ascii="Garamond" w:hAnsi="Garamond" w:cs="Times New Roman"/>
          <w:b/>
          <w:bCs/>
        </w:rPr>
        <w:t>D</w:t>
      </w:r>
      <w:r w:rsidRPr="00B05D04">
        <w:rPr>
          <w:rFonts w:ascii="Garamond" w:hAnsi="Garamond" w:cs="Times New Roman"/>
          <w:b/>
          <w:bCs/>
        </w:rPr>
        <w:t xml:space="preserve">.3: The impact of fiscal deficits on bond yields </w:t>
      </w:r>
      <w:r>
        <w:rPr>
          <w:rFonts w:ascii="Garamond" w:hAnsi="Garamond" w:cs="Times New Roman"/>
          <w:b/>
          <w:bCs/>
        </w:rPr>
        <w:t>for countries in</w:t>
      </w:r>
      <w:r w:rsidRPr="008B7CBE">
        <w:rPr>
          <w:rFonts w:ascii="Garamond" w:hAnsi="Garamond" w:cs="Times New Roman"/>
          <w:b/>
          <w:bCs/>
        </w:rPr>
        <w:t xml:space="preserve"> crawling peg</w:t>
      </w:r>
      <w:r>
        <w:rPr>
          <w:rFonts w:ascii="Garamond" w:hAnsi="Garamond" w:cs="Times New Roman"/>
          <w:b/>
          <w:bCs/>
        </w:rPr>
        <w:t>s</w:t>
      </w:r>
    </w:p>
    <w:p w14:paraId="4B2C96A6" w14:textId="77777777" w:rsidR="0080462C" w:rsidRDefault="0080462C" w:rsidP="0080462C">
      <w:pPr>
        <w:spacing w:before="120" w:after="120"/>
        <w:jc w:val="center"/>
        <w:rPr>
          <w:rFonts w:ascii="Garamond" w:hAnsi="Garamond"/>
          <w:b/>
          <w:bCs/>
          <w:sz w:val="32"/>
          <w:szCs w:val="32"/>
        </w:rPr>
      </w:pPr>
      <w:r w:rsidRPr="00B05D04">
        <w:rPr>
          <w:rFonts w:ascii="Garamond" w:hAnsi="Garamond"/>
          <w:b/>
          <w:bCs/>
          <w:noProof/>
          <w:sz w:val="32"/>
          <w:szCs w:val="32"/>
        </w:rPr>
        <w:drawing>
          <wp:inline distT="0" distB="0" distL="0" distR="0" wp14:anchorId="498E19FB" wp14:editId="6B879F34">
            <wp:extent cx="4666615" cy="3111493"/>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4673202" cy="3115885"/>
                    </a:xfrm>
                    <a:prstGeom prst="rect">
                      <a:avLst/>
                    </a:prstGeom>
                    <a:noFill/>
                    <a:ln>
                      <a:noFill/>
                    </a:ln>
                  </pic:spPr>
                </pic:pic>
              </a:graphicData>
            </a:graphic>
          </wp:inline>
        </w:drawing>
      </w:r>
    </w:p>
    <w:p w14:paraId="089C482F" w14:textId="77777777" w:rsidR="0080462C" w:rsidRDefault="0080462C" w:rsidP="0080462C">
      <w:pPr>
        <w:spacing w:before="120" w:after="120"/>
        <w:jc w:val="center"/>
        <w:rPr>
          <w:rFonts w:ascii="Garamond" w:hAnsi="Garamond"/>
          <w:b/>
          <w:bCs/>
          <w:sz w:val="32"/>
          <w:szCs w:val="32"/>
        </w:rPr>
      </w:pPr>
    </w:p>
    <w:p w14:paraId="6E89D96F" w14:textId="553A5FBA" w:rsidR="0080462C" w:rsidRPr="008B7CBE" w:rsidRDefault="0080462C" w:rsidP="0080462C">
      <w:pPr>
        <w:spacing w:before="120" w:after="120"/>
        <w:jc w:val="center"/>
        <w:rPr>
          <w:rFonts w:ascii="Garamond" w:hAnsi="Garamond" w:cs="Times New Roman"/>
          <w:b/>
          <w:bCs/>
        </w:rPr>
      </w:pPr>
      <w:r w:rsidRPr="008B7CBE">
        <w:rPr>
          <w:rFonts w:ascii="Garamond" w:hAnsi="Garamond" w:cs="Times New Roman"/>
          <w:b/>
          <w:bCs/>
        </w:rPr>
        <w:t xml:space="preserve">Figure </w:t>
      </w:r>
      <w:r w:rsidR="00A76124">
        <w:rPr>
          <w:rFonts w:ascii="Garamond" w:hAnsi="Garamond" w:cs="Times New Roman"/>
          <w:b/>
          <w:bCs/>
        </w:rPr>
        <w:t>D</w:t>
      </w:r>
      <w:r w:rsidRPr="008B7CBE">
        <w:rPr>
          <w:rFonts w:ascii="Garamond" w:hAnsi="Garamond" w:cs="Times New Roman"/>
          <w:b/>
          <w:bCs/>
        </w:rPr>
        <w:t xml:space="preserve">.4: </w:t>
      </w:r>
      <w:r w:rsidRPr="00075BDB">
        <w:rPr>
          <w:rFonts w:ascii="Garamond" w:hAnsi="Garamond" w:cs="Times New Roman"/>
          <w:b/>
          <w:bCs/>
        </w:rPr>
        <w:t xml:space="preserve">The impact of social spending on bond yields </w:t>
      </w:r>
      <w:r>
        <w:rPr>
          <w:rFonts w:ascii="Garamond" w:hAnsi="Garamond" w:cs="Times New Roman"/>
          <w:b/>
          <w:bCs/>
        </w:rPr>
        <w:t>for countries in</w:t>
      </w:r>
      <w:r w:rsidRPr="008B7CBE">
        <w:rPr>
          <w:rFonts w:ascii="Garamond" w:hAnsi="Garamond" w:cs="Times New Roman"/>
          <w:b/>
          <w:bCs/>
        </w:rPr>
        <w:t xml:space="preserve"> crawling peg</w:t>
      </w:r>
      <w:r>
        <w:rPr>
          <w:rFonts w:ascii="Garamond" w:hAnsi="Garamond" w:cs="Times New Roman"/>
          <w:b/>
          <w:bCs/>
        </w:rPr>
        <w:t>s</w:t>
      </w:r>
    </w:p>
    <w:p w14:paraId="39677787" w14:textId="77777777" w:rsidR="0080462C" w:rsidRDefault="0080462C" w:rsidP="0080462C">
      <w:pPr>
        <w:spacing w:before="120" w:after="120"/>
        <w:jc w:val="center"/>
        <w:rPr>
          <w:rFonts w:ascii="Garamond" w:hAnsi="Garamond"/>
          <w:b/>
          <w:bCs/>
          <w:sz w:val="32"/>
          <w:szCs w:val="32"/>
        </w:rPr>
      </w:pPr>
      <w:r w:rsidRPr="008B7CBE">
        <w:rPr>
          <w:rFonts w:ascii="Garamond" w:hAnsi="Garamond"/>
          <w:b/>
          <w:bCs/>
          <w:noProof/>
          <w:sz w:val="32"/>
          <w:szCs w:val="32"/>
        </w:rPr>
        <w:drawing>
          <wp:inline distT="0" distB="0" distL="0" distR="0" wp14:anchorId="4CF372BE" wp14:editId="3285CFBF">
            <wp:extent cx="4552315" cy="3310775"/>
            <wp:effectExtent l="0" t="0" r="635" b="444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4563231" cy="3318714"/>
                    </a:xfrm>
                    <a:prstGeom prst="rect">
                      <a:avLst/>
                    </a:prstGeom>
                    <a:noFill/>
                    <a:ln>
                      <a:noFill/>
                    </a:ln>
                  </pic:spPr>
                </pic:pic>
              </a:graphicData>
            </a:graphic>
          </wp:inline>
        </w:drawing>
      </w:r>
    </w:p>
    <w:p w14:paraId="516147CA" w14:textId="77777777" w:rsidR="0080462C" w:rsidRDefault="0080462C" w:rsidP="0080462C">
      <w:pPr>
        <w:spacing w:before="120" w:after="120"/>
        <w:jc w:val="center"/>
        <w:rPr>
          <w:rFonts w:ascii="Garamond" w:hAnsi="Garamond"/>
          <w:b/>
          <w:bCs/>
          <w:sz w:val="32"/>
          <w:szCs w:val="32"/>
        </w:rPr>
      </w:pPr>
    </w:p>
    <w:p w14:paraId="163BFAA3" w14:textId="77777777" w:rsidR="0080462C" w:rsidRDefault="0080462C" w:rsidP="0080462C">
      <w:pPr>
        <w:spacing w:before="120" w:after="120"/>
        <w:jc w:val="center"/>
        <w:rPr>
          <w:rFonts w:ascii="Garamond" w:hAnsi="Garamond" w:cs="Times New Roman"/>
          <w:b/>
          <w:bCs/>
        </w:rPr>
      </w:pPr>
    </w:p>
    <w:p w14:paraId="1C0BF0BE" w14:textId="688BF75B" w:rsidR="0080462C" w:rsidRPr="00701003" w:rsidRDefault="0080462C" w:rsidP="0080462C">
      <w:pPr>
        <w:spacing w:before="120" w:after="120"/>
        <w:jc w:val="center"/>
        <w:rPr>
          <w:rFonts w:ascii="Garamond" w:hAnsi="Garamond" w:cs="Times New Roman"/>
          <w:b/>
          <w:bCs/>
        </w:rPr>
      </w:pPr>
      <w:r w:rsidRPr="00701003">
        <w:rPr>
          <w:rFonts w:ascii="Garamond" w:hAnsi="Garamond" w:cs="Times New Roman"/>
          <w:b/>
          <w:bCs/>
        </w:rPr>
        <w:lastRenderedPageBreak/>
        <w:t xml:space="preserve">Figure </w:t>
      </w:r>
      <w:r w:rsidR="00A76124">
        <w:rPr>
          <w:rFonts w:ascii="Garamond" w:hAnsi="Garamond" w:cs="Times New Roman"/>
          <w:b/>
          <w:bCs/>
        </w:rPr>
        <w:t>D</w:t>
      </w:r>
      <w:r>
        <w:rPr>
          <w:rFonts w:ascii="Garamond" w:hAnsi="Garamond" w:cs="Times New Roman"/>
          <w:b/>
          <w:bCs/>
        </w:rPr>
        <w:t>.</w:t>
      </w:r>
      <w:r w:rsidRPr="00701003">
        <w:rPr>
          <w:rFonts w:ascii="Garamond" w:hAnsi="Garamond" w:cs="Times New Roman"/>
          <w:b/>
          <w:bCs/>
        </w:rPr>
        <w:t xml:space="preserve">5: </w:t>
      </w:r>
      <w:r w:rsidRPr="00075BDB">
        <w:rPr>
          <w:rFonts w:ascii="Garamond" w:hAnsi="Garamond" w:cs="Times New Roman"/>
          <w:b/>
          <w:bCs/>
        </w:rPr>
        <w:t xml:space="preserve">The impact of </w:t>
      </w:r>
      <w:r>
        <w:rPr>
          <w:rFonts w:ascii="Garamond" w:hAnsi="Garamond" w:cs="Times New Roman"/>
          <w:b/>
          <w:bCs/>
        </w:rPr>
        <w:t>entitlement spending</w:t>
      </w:r>
      <w:r w:rsidRPr="00075BDB">
        <w:rPr>
          <w:rFonts w:ascii="Garamond" w:hAnsi="Garamond" w:cs="Times New Roman"/>
          <w:b/>
          <w:bCs/>
        </w:rPr>
        <w:t xml:space="preserve"> on bond yields</w:t>
      </w:r>
      <w:r>
        <w:rPr>
          <w:rFonts w:ascii="Garamond" w:hAnsi="Garamond" w:cs="Times New Roman"/>
          <w:b/>
          <w:bCs/>
        </w:rPr>
        <w:t xml:space="preserve"> for countries in crawling pegs</w:t>
      </w:r>
    </w:p>
    <w:p w14:paraId="111F7321" w14:textId="77777777" w:rsidR="0080462C" w:rsidRDefault="0080462C" w:rsidP="0080462C">
      <w:pPr>
        <w:spacing w:before="120" w:after="120"/>
        <w:jc w:val="center"/>
        <w:rPr>
          <w:rFonts w:ascii="Garamond" w:hAnsi="Garamond"/>
          <w:b/>
          <w:bCs/>
          <w:sz w:val="32"/>
          <w:szCs w:val="32"/>
        </w:rPr>
      </w:pPr>
      <w:r w:rsidRPr="00701003">
        <w:rPr>
          <w:rFonts w:ascii="Garamond" w:hAnsi="Garamond"/>
          <w:b/>
          <w:bCs/>
          <w:noProof/>
          <w:sz w:val="32"/>
          <w:szCs w:val="32"/>
        </w:rPr>
        <w:drawing>
          <wp:inline distT="0" distB="0" distL="0" distR="0" wp14:anchorId="527F9B5E" wp14:editId="04783BD8">
            <wp:extent cx="4494847" cy="3133725"/>
            <wp:effectExtent l="0" t="0" r="127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4504103" cy="3140178"/>
                    </a:xfrm>
                    <a:prstGeom prst="rect">
                      <a:avLst/>
                    </a:prstGeom>
                    <a:noFill/>
                    <a:ln>
                      <a:noFill/>
                    </a:ln>
                  </pic:spPr>
                </pic:pic>
              </a:graphicData>
            </a:graphic>
          </wp:inline>
        </w:drawing>
      </w:r>
    </w:p>
    <w:p w14:paraId="7E90851D" w14:textId="77777777" w:rsidR="0080462C" w:rsidRDefault="0080462C" w:rsidP="0080462C">
      <w:pPr>
        <w:spacing w:before="120" w:after="120"/>
        <w:rPr>
          <w:rFonts w:ascii="Garamond" w:hAnsi="Garamond"/>
          <w:b/>
          <w:bCs/>
          <w:sz w:val="32"/>
          <w:szCs w:val="32"/>
        </w:rPr>
      </w:pPr>
    </w:p>
    <w:p w14:paraId="094F985C" w14:textId="77777777" w:rsidR="0080462C" w:rsidRDefault="0080462C" w:rsidP="0080462C">
      <w:pPr>
        <w:spacing w:before="120" w:after="120"/>
        <w:rPr>
          <w:rFonts w:ascii="Garamond" w:hAnsi="Garamond"/>
          <w:b/>
          <w:bCs/>
          <w:sz w:val="32"/>
          <w:szCs w:val="32"/>
        </w:rPr>
      </w:pPr>
    </w:p>
    <w:p w14:paraId="4D94A769" w14:textId="77777777" w:rsidR="0080462C" w:rsidRDefault="0080462C" w:rsidP="0080462C">
      <w:pPr>
        <w:spacing w:before="120" w:after="120"/>
        <w:rPr>
          <w:rFonts w:ascii="Garamond" w:hAnsi="Garamond"/>
          <w:b/>
          <w:bCs/>
          <w:sz w:val="32"/>
          <w:szCs w:val="32"/>
        </w:rPr>
      </w:pPr>
    </w:p>
    <w:p w14:paraId="5AE74481" w14:textId="77777777" w:rsidR="0080462C" w:rsidRDefault="0080462C" w:rsidP="0080462C">
      <w:pPr>
        <w:spacing w:before="120" w:after="120"/>
        <w:rPr>
          <w:rFonts w:ascii="Garamond" w:hAnsi="Garamond"/>
          <w:b/>
          <w:bCs/>
          <w:sz w:val="32"/>
          <w:szCs w:val="32"/>
        </w:rPr>
      </w:pPr>
    </w:p>
    <w:p w14:paraId="753BEF23" w14:textId="77777777" w:rsidR="0080462C" w:rsidRDefault="0080462C" w:rsidP="0080462C">
      <w:pPr>
        <w:spacing w:before="120" w:after="120"/>
        <w:rPr>
          <w:rFonts w:ascii="Garamond" w:hAnsi="Garamond"/>
          <w:b/>
          <w:bCs/>
          <w:sz w:val="32"/>
          <w:szCs w:val="32"/>
        </w:rPr>
      </w:pPr>
    </w:p>
    <w:p w14:paraId="17520F99" w14:textId="77777777" w:rsidR="0080462C" w:rsidRDefault="0080462C" w:rsidP="0080462C">
      <w:pPr>
        <w:spacing w:before="120" w:after="120"/>
        <w:rPr>
          <w:rFonts w:ascii="Garamond" w:hAnsi="Garamond"/>
          <w:b/>
          <w:bCs/>
          <w:sz w:val="32"/>
          <w:szCs w:val="32"/>
        </w:rPr>
      </w:pPr>
    </w:p>
    <w:p w14:paraId="422D1A0D" w14:textId="77777777" w:rsidR="0080462C" w:rsidRDefault="0080462C" w:rsidP="0080462C">
      <w:pPr>
        <w:spacing w:before="120" w:after="120"/>
        <w:rPr>
          <w:rFonts w:ascii="Garamond" w:hAnsi="Garamond"/>
          <w:b/>
          <w:bCs/>
          <w:sz w:val="32"/>
          <w:szCs w:val="32"/>
        </w:rPr>
      </w:pPr>
    </w:p>
    <w:p w14:paraId="574D4AC6" w14:textId="77777777" w:rsidR="0080462C" w:rsidRDefault="0080462C" w:rsidP="0080462C">
      <w:pPr>
        <w:spacing w:before="120" w:after="120"/>
        <w:rPr>
          <w:rFonts w:ascii="Garamond" w:hAnsi="Garamond"/>
          <w:b/>
          <w:bCs/>
          <w:sz w:val="32"/>
          <w:szCs w:val="32"/>
        </w:rPr>
      </w:pPr>
    </w:p>
    <w:p w14:paraId="4B3A76E7" w14:textId="77777777" w:rsidR="0080462C" w:rsidRDefault="0080462C" w:rsidP="0080462C">
      <w:pPr>
        <w:spacing w:before="120" w:after="120"/>
        <w:rPr>
          <w:rFonts w:ascii="Garamond" w:hAnsi="Garamond"/>
          <w:b/>
          <w:bCs/>
          <w:sz w:val="32"/>
          <w:szCs w:val="32"/>
        </w:rPr>
      </w:pPr>
    </w:p>
    <w:p w14:paraId="1CF0681E" w14:textId="77777777" w:rsidR="0080462C" w:rsidRDefault="0080462C" w:rsidP="0080462C">
      <w:pPr>
        <w:spacing w:before="120" w:after="120"/>
        <w:rPr>
          <w:rFonts w:ascii="Garamond" w:hAnsi="Garamond"/>
          <w:b/>
          <w:bCs/>
          <w:sz w:val="32"/>
          <w:szCs w:val="32"/>
        </w:rPr>
      </w:pPr>
    </w:p>
    <w:p w14:paraId="4DD70577" w14:textId="77777777" w:rsidR="0080462C" w:rsidRDefault="0080462C" w:rsidP="0080462C">
      <w:pPr>
        <w:spacing w:before="120" w:after="120"/>
        <w:rPr>
          <w:rFonts w:ascii="Garamond" w:hAnsi="Garamond"/>
          <w:b/>
          <w:bCs/>
          <w:sz w:val="32"/>
          <w:szCs w:val="32"/>
        </w:rPr>
      </w:pPr>
    </w:p>
    <w:p w14:paraId="4CF97368" w14:textId="77777777" w:rsidR="0080462C" w:rsidRDefault="0080462C" w:rsidP="0080462C">
      <w:pPr>
        <w:spacing w:before="120" w:after="120"/>
        <w:rPr>
          <w:rFonts w:ascii="Garamond" w:hAnsi="Garamond"/>
          <w:b/>
          <w:bCs/>
          <w:sz w:val="32"/>
          <w:szCs w:val="32"/>
        </w:rPr>
      </w:pPr>
    </w:p>
    <w:p w14:paraId="3E40D423" w14:textId="77777777" w:rsidR="0080462C" w:rsidRDefault="0080462C">
      <w:pPr>
        <w:rPr>
          <w:rFonts w:ascii="Garamond" w:hAnsi="Garamond"/>
          <w:b/>
          <w:bCs/>
          <w:sz w:val="28"/>
          <w:szCs w:val="28"/>
        </w:rPr>
      </w:pPr>
      <w:r>
        <w:rPr>
          <w:rFonts w:ascii="Garamond" w:hAnsi="Garamond"/>
          <w:b/>
          <w:bCs/>
          <w:sz w:val="28"/>
          <w:szCs w:val="28"/>
        </w:rPr>
        <w:br w:type="page"/>
      </w:r>
    </w:p>
    <w:p w14:paraId="18CD3A12" w14:textId="1BE86582" w:rsidR="0080462C" w:rsidRPr="005E1A83" w:rsidRDefault="0080462C" w:rsidP="0080462C">
      <w:pPr>
        <w:spacing w:before="120" w:after="120"/>
        <w:rPr>
          <w:rFonts w:ascii="Garamond" w:hAnsi="Garamond"/>
          <w:b/>
          <w:bCs/>
          <w:sz w:val="28"/>
          <w:szCs w:val="28"/>
        </w:rPr>
      </w:pPr>
      <w:r w:rsidRPr="005E1A83">
        <w:rPr>
          <w:rFonts w:ascii="Garamond" w:hAnsi="Garamond"/>
          <w:b/>
          <w:bCs/>
          <w:sz w:val="28"/>
          <w:szCs w:val="28"/>
        </w:rPr>
        <w:lastRenderedPageBreak/>
        <w:t xml:space="preserve">Appendix </w:t>
      </w:r>
      <w:r w:rsidR="00A76124">
        <w:rPr>
          <w:rFonts w:ascii="Garamond" w:hAnsi="Garamond"/>
          <w:b/>
          <w:bCs/>
          <w:sz w:val="28"/>
          <w:szCs w:val="28"/>
        </w:rPr>
        <w:t>E</w:t>
      </w:r>
      <w:r w:rsidRPr="005E1A83">
        <w:rPr>
          <w:rFonts w:ascii="Garamond" w:hAnsi="Garamond"/>
          <w:b/>
          <w:bCs/>
          <w:sz w:val="28"/>
          <w:szCs w:val="28"/>
        </w:rPr>
        <w:t xml:space="preserve">: Results </w:t>
      </w:r>
      <w:r>
        <w:rPr>
          <w:rFonts w:ascii="Garamond" w:hAnsi="Garamond"/>
          <w:b/>
          <w:bCs/>
          <w:sz w:val="28"/>
          <w:szCs w:val="28"/>
        </w:rPr>
        <w:t>excluding highly-indebted EMU countries (Belgium, Greece and Italy)</w:t>
      </w:r>
    </w:p>
    <w:p w14:paraId="14397D7D" w14:textId="1310F570" w:rsidR="0080462C" w:rsidRPr="00C47646" w:rsidRDefault="0080462C" w:rsidP="0080462C">
      <w:pPr>
        <w:spacing w:before="120" w:after="120"/>
        <w:jc w:val="center"/>
        <w:rPr>
          <w:rFonts w:ascii="Garamond" w:hAnsi="Garamond" w:cs="Times New Roman"/>
          <w:b/>
          <w:bCs/>
        </w:rPr>
      </w:pPr>
      <w:r w:rsidRPr="00C47646">
        <w:rPr>
          <w:rFonts w:ascii="Garamond" w:hAnsi="Garamond" w:cs="Times New Roman"/>
          <w:b/>
          <w:bCs/>
        </w:rPr>
        <w:t xml:space="preserve">Figure </w:t>
      </w:r>
      <w:r w:rsidR="00A76124">
        <w:rPr>
          <w:rFonts w:ascii="Garamond" w:hAnsi="Garamond" w:cs="Times New Roman"/>
          <w:b/>
          <w:bCs/>
        </w:rPr>
        <w:t>E</w:t>
      </w:r>
      <w:r w:rsidRPr="00C47646">
        <w:rPr>
          <w:rFonts w:ascii="Garamond" w:hAnsi="Garamond" w:cs="Times New Roman"/>
          <w:b/>
          <w:bCs/>
        </w:rPr>
        <w:t>.1: The impact of inflation on bond yields</w:t>
      </w:r>
      <w:r>
        <w:rPr>
          <w:rFonts w:ascii="Garamond" w:hAnsi="Garamond" w:cs="Times New Roman"/>
          <w:b/>
          <w:bCs/>
        </w:rPr>
        <w:t xml:space="preserve"> by exchange rate regime</w:t>
      </w:r>
      <w:r w:rsidRPr="00C47646">
        <w:rPr>
          <w:rFonts w:ascii="Garamond" w:hAnsi="Garamond" w:cs="Times New Roman"/>
          <w:b/>
          <w:bCs/>
        </w:rPr>
        <w:t xml:space="preserve"> </w:t>
      </w:r>
    </w:p>
    <w:p w14:paraId="7C8FD9AE" w14:textId="77777777" w:rsidR="0080462C" w:rsidRDefault="0080462C" w:rsidP="0080462C">
      <w:pPr>
        <w:spacing w:before="120" w:after="120"/>
        <w:jc w:val="center"/>
        <w:rPr>
          <w:rFonts w:ascii="Garamond" w:hAnsi="Garamond"/>
          <w:b/>
          <w:bCs/>
          <w:sz w:val="32"/>
          <w:szCs w:val="32"/>
        </w:rPr>
      </w:pPr>
      <w:r w:rsidRPr="005F2CEC">
        <w:rPr>
          <w:rFonts w:ascii="Garamond" w:hAnsi="Garamond"/>
          <w:b/>
          <w:bCs/>
          <w:noProof/>
          <w:sz w:val="32"/>
          <w:szCs w:val="32"/>
        </w:rPr>
        <w:drawing>
          <wp:inline distT="0" distB="0" distL="0" distR="0" wp14:anchorId="139C8704" wp14:editId="76F46B1C">
            <wp:extent cx="4819015" cy="3352800"/>
            <wp:effectExtent l="0" t="0" r="63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4823511" cy="3355928"/>
                    </a:xfrm>
                    <a:prstGeom prst="rect">
                      <a:avLst/>
                    </a:prstGeom>
                    <a:noFill/>
                    <a:ln>
                      <a:noFill/>
                    </a:ln>
                  </pic:spPr>
                </pic:pic>
              </a:graphicData>
            </a:graphic>
          </wp:inline>
        </w:drawing>
      </w:r>
    </w:p>
    <w:p w14:paraId="359EEE09" w14:textId="1E065E8F" w:rsidR="0080462C" w:rsidRPr="005E1A83" w:rsidRDefault="0080462C" w:rsidP="0080462C">
      <w:pPr>
        <w:spacing w:before="120" w:after="120"/>
        <w:jc w:val="center"/>
        <w:rPr>
          <w:rFonts w:ascii="Garamond" w:hAnsi="Garamond" w:cs="Times New Roman"/>
          <w:b/>
          <w:bCs/>
        </w:rPr>
      </w:pPr>
      <w:r w:rsidRPr="005E1A83">
        <w:rPr>
          <w:rFonts w:ascii="Garamond" w:hAnsi="Garamond" w:cs="Times New Roman"/>
          <w:b/>
          <w:bCs/>
        </w:rPr>
        <w:t xml:space="preserve">Figure </w:t>
      </w:r>
      <w:r w:rsidR="00A76124">
        <w:rPr>
          <w:rFonts w:ascii="Garamond" w:hAnsi="Garamond" w:cs="Times New Roman"/>
          <w:b/>
          <w:bCs/>
        </w:rPr>
        <w:t>E</w:t>
      </w:r>
      <w:r w:rsidRPr="005E1A83">
        <w:rPr>
          <w:rFonts w:ascii="Garamond" w:hAnsi="Garamond" w:cs="Times New Roman"/>
          <w:b/>
          <w:bCs/>
        </w:rPr>
        <w:t xml:space="preserve">.2: The impact of government debt on bond yields </w:t>
      </w:r>
      <w:r>
        <w:rPr>
          <w:rFonts w:ascii="Garamond" w:hAnsi="Garamond" w:cs="Times New Roman"/>
          <w:b/>
          <w:bCs/>
        </w:rPr>
        <w:t>by exchange rate regime</w:t>
      </w:r>
    </w:p>
    <w:p w14:paraId="2D1E92A2" w14:textId="77777777" w:rsidR="0080462C" w:rsidRDefault="0080462C" w:rsidP="0080462C">
      <w:pPr>
        <w:spacing w:before="120" w:after="120"/>
        <w:jc w:val="center"/>
        <w:rPr>
          <w:rFonts w:ascii="Garamond" w:hAnsi="Garamond"/>
          <w:b/>
          <w:bCs/>
          <w:sz w:val="32"/>
          <w:szCs w:val="32"/>
        </w:rPr>
      </w:pPr>
      <w:r w:rsidRPr="00A07D96">
        <w:rPr>
          <w:rFonts w:ascii="Garamond" w:hAnsi="Garamond"/>
          <w:b/>
          <w:bCs/>
          <w:noProof/>
          <w:sz w:val="32"/>
          <w:szCs w:val="32"/>
        </w:rPr>
        <w:drawing>
          <wp:inline distT="0" distB="0" distL="0" distR="0" wp14:anchorId="19BDF607" wp14:editId="279430E7">
            <wp:extent cx="4819650" cy="34099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4822147" cy="3411717"/>
                    </a:xfrm>
                    <a:prstGeom prst="rect">
                      <a:avLst/>
                    </a:prstGeom>
                    <a:noFill/>
                    <a:ln>
                      <a:noFill/>
                    </a:ln>
                  </pic:spPr>
                </pic:pic>
              </a:graphicData>
            </a:graphic>
          </wp:inline>
        </w:drawing>
      </w:r>
    </w:p>
    <w:p w14:paraId="06C6C6C2" w14:textId="77777777" w:rsidR="0080462C" w:rsidRDefault="0080462C" w:rsidP="0080462C">
      <w:pPr>
        <w:spacing w:before="120" w:after="120"/>
        <w:jc w:val="center"/>
        <w:rPr>
          <w:rFonts w:ascii="Garamond" w:hAnsi="Garamond" w:cs="Times New Roman"/>
          <w:b/>
          <w:bCs/>
        </w:rPr>
      </w:pPr>
    </w:p>
    <w:p w14:paraId="08EC0FA5" w14:textId="74C858FA" w:rsidR="0080462C" w:rsidRDefault="0080462C" w:rsidP="0080462C">
      <w:pPr>
        <w:spacing w:before="120" w:after="120"/>
        <w:jc w:val="center"/>
        <w:rPr>
          <w:rFonts w:ascii="Garamond" w:hAnsi="Garamond" w:cs="Times New Roman"/>
          <w:b/>
          <w:bCs/>
        </w:rPr>
      </w:pPr>
      <w:r w:rsidRPr="00B05D04">
        <w:rPr>
          <w:rFonts w:ascii="Garamond" w:hAnsi="Garamond" w:cs="Times New Roman"/>
          <w:b/>
          <w:bCs/>
        </w:rPr>
        <w:lastRenderedPageBreak/>
        <w:t xml:space="preserve">Figure </w:t>
      </w:r>
      <w:r w:rsidR="00A76124">
        <w:rPr>
          <w:rFonts w:ascii="Garamond" w:hAnsi="Garamond" w:cs="Times New Roman"/>
          <w:b/>
          <w:bCs/>
        </w:rPr>
        <w:t>E</w:t>
      </w:r>
      <w:r w:rsidRPr="00B05D04">
        <w:rPr>
          <w:rFonts w:ascii="Garamond" w:hAnsi="Garamond" w:cs="Times New Roman"/>
          <w:b/>
          <w:bCs/>
        </w:rPr>
        <w:t xml:space="preserve">.3: The impact of fiscal deficits on bond yields </w:t>
      </w:r>
      <w:r>
        <w:rPr>
          <w:rFonts w:ascii="Garamond" w:hAnsi="Garamond" w:cs="Times New Roman"/>
          <w:b/>
          <w:bCs/>
        </w:rPr>
        <w:t>by exchange rate regime</w:t>
      </w:r>
    </w:p>
    <w:p w14:paraId="6320E8A8" w14:textId="77777777" w:rsidR="0080462C" w:rsidRDefault="0080462C" w:rsidP="0080462C">
      <w:pPr>
        <w:spacing w:before="120" w:after="120"/>
        <w:jc w:val="center"/>
        <w:rPr>
          <w:rFonts w:ascii="Garamond" w:hAnsi="Garamond"/>
          <w:b/>
          <w:bCs/>
          <w:sz w:val="32"/>
          <w:szCs w:val="32"/>
        </w:rPr>
      </w:pPr>
      <w:r w:rsidRPr="00F969A3">
        <w:rPr>
          <w:rFonts w:ascii="Garamond" w:hAnsi="Garamond"/>
          <w:b/>
          <w:bCs/>
          <w:noProof/>
          <w:sz w:val="32"/>
          <w:szCs w:val="32"/>
        </w:rPr>
        <w:drawing>
          <wp:inline distT="0" distB="0" distL="0" distR="0" wp14:anchorId="7B24D6E5" wp14:editId="4F550C3F">
            <wp:extent cx="5029200" cy="36576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029200" cy="3657600"/>
                    </a:xfrm>
                    <a:prstGeom prst="rect">
                      <a:avLst/>
                    </a:prstGeom>
                    <a:noFill/>
                    <a:ln>
                      <a:noFill/>
                    </a:ln>
                  </pic:spPr>
                </pic:pic>
              </a:graphicData>
            </a:graphic>
          </wp:inline>
        </w:drawing>
      </w:r>
    </w:p>
    <w:p w14:paraId="1BFE9C6C" w14:textId="77777777" w:rsidR="0080462C" w:rsidRDefault="0080462C" w:rsidP="0080462C">
      <w:pPr>
        <w:spacing w:before="120" w:after="120"/>
        <w:rPr>
          <w:rFonts w:ascii="Garamond" w:hAnsi="Garamond" w:cs="Times New Roman"/>
          <w:b/>
          <w:bCs/>
        </w:rPr>
      </w:pPr>
    </w:p>
    <w:p w14:paraId="008A6C52" w14:textId="38E27280" w:rsidR="0080462C" w:rsidRPr="00075BDB" w:rsidRDefault="0080462C" w:rsidP="0080462C">
      <w:pPr>
        <w:spacing w:before="120" w:after="120"/>
        <w:jc w:val="center"/>
        <w:rPr>
          <w:rFonts w:ascii="Garamond" w:hAnsi="Garamond" w:cs="Times New Roman"/>
          <w:b/>
          <w:bCs/>
        </w:rPr>
      </w:pPr>
      <w:r w:rsidRPr="00075BDB">
        <w:rPr>
          <w:rFonts w:ascii="Garamond" w:hAnsi="Garamond" w:cs="Times New Roman"/>
          <w:b/>
          <w:bCs/>
        </w:rPr>
        <w:t xml:space="preserve">Figure </w:t>
      </w:r>
      <w:r w:rsidR="00A76124">
        <w:rPr>
          <w:rFonts w:ascii="Garamond" w:hAnsi="Garamond" w:cs="Times New Roman"/>
          <w:b/>
          <w:bCs/>
        </w:rPr>
        <w:t>E</w:t>
      </w:r>
      <w:r w:rsidRPr="00075BDB">
        <w:rPr>
          <w:rFonts w:ascii="Garamond" w:hAnsi="Garamond" w:cs="Times New Roman"/>
          <w:b/>
          <w:bCs/>
        </w:rPr>
        <w:t xml:space="preserve">.4: The impact of social spending on bond yields </w:t>
      </w:r>
      <w:r>
        <w:rPr>
          <w:rFonts w:ascii="Garamond" w:hAnsi="Garamond" w:cs="Times New Roman"/>
          <w:b/>
          <w:bCs/>
        </w:rPr>
        <w:t>by exchange rate regime</w:t>
      </w:r>
    </w:p>
    <w:p w14:paraId="596A3FDB" w14:textId="77777777" w:rsidR="0080462C" w:rsidRDefault="0080462C" w:rsidP="0080462C">
      <w:pPr>
        <w:spacing w:before="120" w:after="120"/>
        <w:jc w:val="center"/>
        <w:rPr>
          <w:rFonts w:ascii="Garamond" w:hAnsi="Garamond"/>
          <w:b/>
          <w:bCs/>
          <w:sz w:val="32"/>
          <w:szCs w:val="32"/>
        </w:rPr>
      </w:pPr>
      <w:r w:rsidRPr="00F969A3">
        <w:rPr>
          <w:rFonts w:ascii="Garamond" w:hAnsi="Garamond"/>
          <w:b/>
          <w:bCs/>
          <w:noProof/>
          <w:sz w:val="32"/>
          <w:szCs w:val="32"/>
        </w:rPr>
        <w:drawing>
          <wp:inline distT="0" distB="0" distL="0" distR="0" wp14:anchorId="0CC3ACE0" wp14:editId="49CBB4A3">
            <wp:extent cx="4800600" cy="349134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4803659" cy="3493570"/>
                    </a:xfrm>
                    <a:prstGeom prst="rect">
                      <a:avLst/>
                    </a:prstGeom>
                    <a:noFill/>
                    <a:ln>
                      <a:noFill/>
                    </a:ln>
                  </pic:spPr>
                </pic:pic>
              </a:graphicData>
            </a:graphic>
          </wp:inline>
        </w:drawing>
      </w:r>
    </w:p>
    <w:p w14:paraId="5C20ABFE" w14:textId="77777777" w:rsidR="0080462C" w:rsidRDefault="0080462C" w:rsidP="0080462C">
      <w:pPr>
        <w:spacing w:before="120" w:after="120"/>
        <w:jc w:val="center"/>
        <w:rPr>
          <w:rFonts w:ascii="Garamond" w:hAnsi="Garamond" w:cs="Times New Roman"/>
          <w:b/>
          <w:bCs/>
        </w:rPr>
      </w:pPr>
    </w:p>
    <w:p w14:paraId="6C73291B" w14:textId="1D1EA290" w:rsidR="0080462C" w:rsidRPr="00970B75" w:rsidRDefault="0080462C" w:rsidP="0080462C">
      <w:pPr>
        <w:spacing w:before="120" w:after="120"/>
        <w:jc w:val="center"/>
        <w:rPr>
          <w:rFonts w:ascii="Garamond" w:hAnsi="Garamond" w:cs="Times New Roman"/>
          <w:b/>
          <w:bCs/>
        </w:rPr>
      </w:pPr>
      <w:r w:rsidRPr="00075BDB">
        <w:rPr>
          <w:rFonts w:ascii="Garamond" w:hAnsi="Garamond" w:cs="Times New Roman"/>
          <w:b/>
          <w:bCs/>
        </w:rPr>
        <w:lastRenderedPageBreak/>
        <w:t xml:space="preserve">Figure </w:t>
      </w:r>
      <w:r w:rsidR="00A76124">
        <w:rPr>
          <w:rFonts w:ascii="Garamond" w:hAnsi="Garamond" w:cs="Times New Roman"/>
          <w:b/>
          <w:bCs/>
        </w:rPr>
        <w:t>E</w:t>
      </w:r>
      <w:r w:rsidRPr="00075BDB">
        <w:rPr>
          <w:rFonts w:ascii="Garamond" w:hAnsi="Garamond" w:cs="Times New Roman"/>
          <w:b/>
          <w:bCs/>
        </w:rPr>
        <w:t>.</w:t>
      </w:r>
      <w:r>
        <w:rPr>
          <w:rFonts w:ascii="Garamond" w:hAnsi="Garamond" w:cs="Times New Roman"/>
          <w:b/>
          <w:bCs/>
        </w:rPr>
        <w:t>5</w:t>
      </w:r>
      <w:r w:rsidRPr="00075BDB">
        <w:rPr>
          <w:rFonts w:ascii="Garamond" w:hAnsi="Garamond" w:cs="Times New Roman"/>
          <w:b/>
          <w:bCs/>
        </w:rPr>
        <w:t xml:space="preserve">: The impact of </w:t>
      </w:r>
      <w:r>
        <w:rPr>
          <w:rFonts w:ascii="Garamond" w:hAnsi="Garamond" w:cs="Times New Roman"/>
          <w:b/>
          <w:bCs/>
        </w:rPr>
        <w:t>entitlement spending</w:t>
      </w:r>
      <w:r w:rsidRPr="00075BDB">
        <w:rPr>
          <w:rFonts w:ascii="Garamond" w:hAnsi="Garamond" w:cs="Times New Roman"/>
          <w:b/>
          <w:bCs/>
        </w:rPr>
        <w:t xml:space="preserve"> on bond yields</w:t>
      </w:r>
      <w:r>
        <w:rPr>
          <w:rFonts w:ascii="Garamond" w:hAnsi="Garamond" w:cs="Times New Roman"/>
          <w:b/>
          <w:bCs/>
        </w:rPr>
        <w:t xml:space="preserve"> by exchange rate regime</w:t>
      </w:r>
    </w:p>
    <w:p w14:paraId="18FCD7FD" w14:textId="77777777" w:rsidR="0080462C" w:rsidRDefault="0080462C" w:rsidP="0080462C">
      <w:pPr>
        <w:spacing w:before="120" w:after="120"/>
        <w:jc w:val="center"/>
        <w:rPr>
          <w:rFonts w:ascii="Garamond" w:hAnsi="Garamond"/>
          <w:b/>
          <w:bCs/>
          <w:sz w:val="32"/>
          <w:szCs w:val="32"/>
        </w:rPr>
      </w:pPr>
      <w:r w:rsidRPr="00FE573D">
        <w:rPr>
          <w:rFonts w:ascii="Garamond" w:hAnsi="Garamond"/>
          <w:b/>
          <w:bCs/>
          <w:noProof/>
          <w:sz w:val="32"/>
          <w:szCs w:val="32"/>
        </w:rPr>
        <w:drawing>
          <wp:inline distT="0" distB="0" distL="0" distR="0" wp14:anchorId="26DDB1F3" wp14:editId="22007DDD">
            <wp:extent cx="5029200" cy="36576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029200" cy="3657600"/>
                    </a:xfrm>
                    <a:prstGeom prst="rect">
                      <a:avLst/>
                    </a:prstGeom>
                    <a:noFill/>
                    <a:ln>
                      <a:noFill/>
                    </a:ln>
                  </pic:spPr>
                </pic:pic>
              </a:graphicData>
            </a:graphic>
          </wp:inline>
        </w:drawing>
      </w:r>
    </w:p>
    <w:p w14:paraId="36F6BD08" w14:textId="77777777" w:rsidR="0080462C" w:rsidRDefault="0080462C" w:rsidP="0080462C">
      <w:pPr>
        <w:spacing w:before="120" w:after="120"/>
        <w:rPr>
          <w:rFonts w:ascii="Garamond" w:hAnsi="Garamond"/>
          <w:b/>
          <w:bCs/>
          <w:sz w:val="28"/>
          <w:szCs w:val="28"/>
        </w:rPr>
      </w:pPr>
    </w:p>
    <w:p w14:paraId="32BEB79F" w14:textId="77777777" w:rsidR="0080462C" w:rsidRDefault="0080462C" w:rsidP="0080462C">
      <w:pPr>
        <w:spacing w:before="120" w:after="120"/>
        <w:rPr>
          <w:rFonts w:ascii="Garamond" w:hAnsi="Garamond"/>
          <w:b/>
          <w:bCs/>
          <w:sz w:val="28"/>
          <w:szCs w:val="28"/>
        </w:rPr>
      </w:pPr>
    </w:p>
    <w:p w14:paraId="59970ED3" w14:textId="77777777" w:rsidR="0080462C" w:rsidRDefault="0080462C" w:rsidP="0080462C">
      <w:pPr>
        <w:spacing w:before="120" w:after="120"/>
        <w:rPr>
          <w:rFonts w:ascii="Garamond" w:hAnsi="Garamond"/>
          <w:b/>
          <w:bCs/>
          <w:sz w:val="28"/>
          <w:szCs w:val="28"/>
        </w:rPr>
      </w:pPr>
    </w:p>
    <w:p w14:paraId="13209A1C" w14:textId="77777777" w:rsidR="0080462C" w:rsidRDefault="0080462C" w:rsidP="0080462C">
      <w:pPr>
        <w:spacing w:before="120" w:after="120"/>
        <w:rPr>
          <w:rFonts w:ascii="Garamond" w:hAnsi="Garamond"/>
          <w:b/>
          <w:bCs/>
          <w:sz w:val="28"/>
          <w:szCs w:val="28"/>
        </w:rPr>
      </w:pPr>
    </w:p>
    <w:p w14:paraId="64C4D566" w14:textId="77777777" w:rsidR="0080462C" w:rsidRDefault="0080462C" w:rsidP="0080462C">
      <w:pPr>
        <w:spacing w:before="120" w:after="120"/>
        <w:rPr>
          <w:rFonts w:ascii="Garamond" w:hAnsi="Garamond"/>
          <w:b/>
          <w:bCs/>
          <w:sz w:val="28"/>
          <w:szCs w:val="28"/>
        </w:rPr>
      </w:pPr>
    </w:p>
    <w:p w14:paraId="6E3B90DB" w14:textId="77777777" w:rsidR="0080462C" w:rsidRDefault="0080462C" w:rsidP="0080462C">
      <w:pPr>
        <w:spacing w:before="120" w:after="120"/>
        <w:rPr>
          <w:rFonts w:ascii="Garamond" w:hAnsi="Garamond"/>
          <w:b/>
          <w:bCs/>
          <w:sz w:val="28"/>
          <w:szCs w:val="28"/>
        </w:rPr>
      </w:pPr>
    </w:p>
    <w:p w14:paraId="7E31037D" w14:textId="77777777" w:rsidR="0080462C" w:rsidRDefault="0080462C" w:rsidP="0080462C">
      <w:pPr>
        <w:spacing w:before="120" w:after="120"/>
        <w:rPr>
          <w:rFonts w:ascii="Garamond" w:hAnsi="Garamond"/>
          <w:b/>
          <w:bCs/>
          <w:sz w:val="28"/>
          <w:szCs w:val="28"/>
        </w:rPr>
      </w:pPr>
    </w:p>
    <w:p w14:paraId="395FBBD6" w14:textId="77777777" w:rsidR="0080462C" w:rsidRDefault="0080462C" w:rsidP="0080462C">
      <w:pPr>
        <w:spacing w:before="120" w:after="120"/>
        <w:rPr>
          <w:rFonts w:ascii="Garamond" w:hAnsi="Garamond"/>
          <w:b/>
          <w:bCs/>
          <w:sz w:val="28"/>
          <w:szCs w:val="28"/>
        </w:rPr>
      </w:pPr>
    </w:p>
    <w:p w14:paraId="28B5CA19" w14:textId="77777777" w:rsidR="0080462C" w:rsidRDefault="0080462C" w:rsidP="0080462C">
      <w:pPr>
        <w:spacing w:before="120" w:after="120"/>
        <w:rPr>
          <w:rFonts w:ascii="Garamond" w:hAnsi="Garamond"/>
          <w:b/>
          <w:bCs/>
          <w:sz w:val="28"/>
          <w:szCs w:val="28"/>
        </w:rPr>
      </w:pPr>
    </w:p>
    <w:p w14:paraId="6116F440" w14:textId="77777777" w:rsidR="0080462C" w:rsidRDefault="0080462C" w:rsidP="0080462C">
      <w:pPr>
        <w:spacing w:before="120" w:after="120"/>
        <w:rPr>
          <w:rFonts w:ascii="Garamond" w:hAnsi="Garamond"/>
          <w:b/>
          <w:bCs/>
          <w:sz w:val="28"/>
          <w:szCs w:val="28"/>
        </w:rPr>
      </w:pPr>
    </w:p>
    <w:p w14:paraId="48A52CEA" w14:textId="77777777" w:rsidR="0080462C" w:rsidRDefault="0080462C" w:rsidP="0080462C">
      <w:pPr>
        <w:spacing w:before="120" w:after="120"/>
        <w:rPr>
          <w:rFonts w:ascii="Garamond" w:hAnsi="Garamond"/>
          <w:b/>
          <w:bCs/>
          <w:sz w:val="28"/>
          <w:szCs w:val="28"/>
        </w:rPr>
      </w:pPr>
    </w:p>
    <w:p w14:paraId="03B8FBE8" w14:textId="77777777" w:rsidR="0080462C" w:rsidRDefault="0080462C" w:rsidP="0080462C">
      <w:pPr>
        <w:spacing w:before="120" w:after="120"/>
        <w:rPr>
          <w:rFonts w:ascii="Garamond" w:hAnsi="Garamond"/>
          <w:b/>
          <w:bCs/>
          <w:sz w:val="28"/>
          <w:szCs w:val="28"/>
        </w:rPr>
      </w:pPr>
    </w:p>
    <w:p w14:paraId="77C495DB" w14:textId="77777777" w:rsidR="0080462C" w:rsidRDefault="0080462C">
      <w:pPr>
        <w:rPr>
          <w:rFonts w:ascii="Garamond" w:hAnsi="Garamond"/>
          <w:b/>
          <w:bCs/>
          <w:sz w:val="28"/>
          <w:szCs w:val="28"/>
        </w:rPr>
      </w:pPr>
      <w:r>
        <w:rPr>
          <w:rFonts w:ascii="Garamond" w:hAnsi="Garamond"/>
          <w:b/>
          <w:bCs/>
          <w:sz w:val="28"/>
          <w:szCs w:val="28"/>
        </w:rPr>
        <w:br w:type="page"/>
      </w:r>
    </w:p>
    <w:p w14:paraId="6AA4A029" w14:textId="6A06038E" w:rsidR="0080462C" w:rsidRPr="005E1A83" w:rsidRDefault="0080462C" w:rsidP="0080462C">
      <w:pPr>
        <w:spacing w:before="120" w:after="120"/>
        <w:rPr>
          <w:rFonts w:ascii="Garamond" w:hAnsi="Garamond"/>
          <w:b/>
          <w:bCs/>
          <w:sz w:val="28"/>
          <w:szCs w:val="28"/>
        </w:rPr>
      </w:pPr>
      <w:r w:rsidRPr="005E1A83">
        <w:rPr>
          <w:rFonts w:ascii="Garamond" w:hAnsi="Garamond"/>
          <w:b/>
          <w:bCs/>
          <w:sz w:val="28"/>
          <w:szCs w:val="28"/>
        </w:rPr>
        <w:lastRenderedPageBreak/>
        <w:t xml:space="preserve">Appendix </w:t>
      </w:r>
      <w:r w:rsidR="00A76124">
        <w:rPr>
          <w:rFonts w:ascii="Garamond" w:hAnsi="Garamond"/>
          <w:b/>
          <w:bCs/>
          <w:sz w:val="28"/>
          <w:szCs w:val="28"/>
        </w:rPr>
        <w:t>F</w:t>
      </w:r>
      <w:r w:rsidRPr="005E1A83">
        <w:rPr>
          <w:rFonts w:ascii="Garamond" w:hAnsi="Garamond"/>
          <w:b/>
          <w:bCs/>
          <w:sz w:val="28"/>
          <w:szCs w:val="28"/>
        </w:rPr>
        <w:t xml:space="preserve">: Results </w:t>
      </w:r>
      <w:r>
        <w:rPr>
          <w:rFonts w:ascii="Garamond" w:hAnsi="Garamond"/>
          <w:b/>
          <w:bCs/>
          <w:sz w:val="28"/>
          <w:szCs w:val="28"/>
        </w:rPr>
        <w:t>excluding EMU countries with the lowest sovereign credit ratings prior to the crisis (Greece, Italy and Portugal)</w:t>
      </w:r>
    </w:p>
    <w:p w14:paraId="48A13D87" w14:textId="77663094" w:rsidR="0080462C" w:rsidRDefault="0080462C" w:rsidP="0080462C">
      <w:pPr>
        <w:spacing w:before="120" w:after="120"/>
        <w:jc w:val="center"/>
        <w:rPr>
          <w:rFonts w:ascii="Garamond" w:hAnsi="Garamond" w:cs="Times New Roman"/>
          <w:b/>
          <w:bCs/>
        </w:rPr>
      </w:pPr>
      <w:r w:rsidRPr="00C47646">
        <w:rPr>
          <w:rFonts w:ascii="Garamond" w:hAnsi="Garamond" w:cs="Times New Roman"/>
          <w:b/>
          <w:bCs/>
        </w:rPr>
        <w:t xml:space="preserve">Figure </w:t>
      </w:r>
      <w:r w:rsidR="00A76124">
        <w:rPr>
          <w:rFonts w:ascii="Garamond" w:hAnsi="Garamond" w:cs="Times New Roman"/>
          <w:b/>
          <w:bCs/>
        </w:rPr>
        <w:t>F</w:t>
      </w:r>
      <w:r w:rsidRPr="00C47646">
        <w:rPr>
          <w:rFonts w:ascii="Garamond" w:hAnsi="Garamond" w:cs="Times New Roman"/>
          <w:b/>
          <w:bCs/>
        </w:rPr>
        <w:t>.1: The impact of inflation on bond yields</w:t>
      </w:r>
      <w:r>
        <w:rPr>
          <w:rFonts w:ascii="Garamond" w:hAnsi="Garamond" w:cs="Times New Roman"/>
          <w:b/>
          <w:bCs/>
        </w:rPr>
        <w:t xml:space="preserve"> by exchange rate regime</w:t>
      </w:r>
      <w:r w:rsidRPr="00C47646">
        <w:rPr>
          <w:rFonts w:ascii="Garamond" w:hAnsi="Garamond" w:cs="Times New Roman"/>
          <w:b/>
          <w:bCs/>
        </w:rPr>
        <w:t xml:space="preserve"> </w:t>
      </w:r>
    </w:p>
    <w:p w14:paraId="6CC24ED0" w14:textId="77777777" w:rsidR="0080462C" w:rsidRDefault="0080462C" w:rsidP="0080462C">
      <w:pPr>
        <w:spacing w:before="120" w:after="120"/>
        <w:jc w:val="center"/>
        <w:rPr>
          <w:rFonts w:ascii="Garamond" w:hAnsi="Garamond" w:cs="Times New Roman"/>
          <w:b/>
          <w:bCs/>
        </w:rPr>
      </w:pPr>
      <w:r w:rsidRPr="007D61FD">
        <w:rPr>
          <w:rFonts w:ascii="Garamond" w:hAnsi="Garamond" w:cs="Times New Roman"/>
          <w:b/>
          <w:bCs/>
          <w:noProof/>
        </w:rPr>
        <w:drawing>
          <wp:inline distT="0" distB="0" distL="0" distR="0" wp14:anchorId="07E93ED0" wp14:editId="1A1B5588">
            <wp:extent cx="5029200" cy="34385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5029200" cy="3438525"/>
                    </a:xfrm>
                    <a:prstGeom prst="rect">
                      <a:avLst/>
                    </a:prstGeom>
                    <a:noFill/>
                    <a:ln>
                      <a:noFill/>
                    </a:ln>
                  </pic:spPr>
                </pic:pic>
              </a:graphicData>
            </a:graphic>
          </wp:inline>
        </w:drawing>
      </w:r>
    </w:p>
    <w:p w14:paraId="75567B8B" w14:textId="31869714" w:rsidR="0080462C" w:rsidRPr="005E1A83" w:rsidRDefault="0080462C" w:rsidP="0080462C">
      <w:pPr>
        <w:spacing w:before="120" w:after="120"/>
        <w:jc w:val="center"/>
        <w:rPr>
          <w:rFonts w:ascii="Garamond" w:hAnsi="Garamond" w:cs="Times New Roman"/>
          <w:b/>
          <w:bCs/>
        </w:rPr>
      </w:pPr>
      <w:r w:rsidRPr="005E1A83">
        <w:rPr>
          <w:rFonts w:ascii="Garamond" w:hAnsi="Garamond" w:cs="Times New Roman"/>
          <w:b/>
          <w:bCs/>
        </w:rPr>
        <w:t xml:space="preserve">Figure </w:t>
      </w:r>
      <w:r w:rsidR="00A76124">
        <w:rPr>
          <w:rFonts w:ascii="Garamond" w:hAnsi="Garamond" w:cs="Times New Roman"/>
          <w:b/>
          <w:bCs/>
        </w:rPr>
        <w:t>F</w:t>
      </w:r>
      <w:r w:rsidRPr="005E1A83">
        <w:rPr>
          <w:rFonts w:ascii="Garamond" w:hAnsi="Garamond" w:cs="Times New Roman"/>
          <w:b/>
          <w:bCs/>
        </w:rPr>
        <w:t xml:space="preserve">.2: The impact of government debt on bond yields </w:t>
      </w:r>
      <w:r>
        <w:rPr>
          <w:rFonts w:ascii="Garamond" w:hAnsi="Garamond" w:cs="Times New Roman"/>
          <w:b/>
          <w:bCs/>
        </w:rPr>
        <w:t>by exchange rate regime</w:t>
      </w:r>
    </w:p>
    <w:p w14:paraId="11CE789D" w14:textId="77777777" w:rsidR="0080462C" w:rsidRDefault="0080462C" w:rsidP="0080462C">
      <w:pPr>
        <w:spacing w:before="120" w:after="120"/>
        <w:jc w:val="center"/>
        <w:rPr>
          <w:rFonts w:ascii="Garamond" w:hAnsi="Garamond"/>
          <w:b/>
          <w:bCs/>
          <w:sz w:val="32"/>
          <w:szCs w:val="32"/>
        </w:rPr>
      </w:pPr>
      <w:r w:rsidRPr="007D61FD">
        <w:rPr>
          <w:rFonts w:ascii="Garamond" w:hAnsi="Garamond"/>
          <w:b/>
          <w:bCs/>
          <w:noProof/>
          <w:sz w:val="32"/>
          <w:szCs w:val="32"/>
        </w:rPr>
        <w:drawing>
          <wp:inline distT="0" distB="0" distL="0" distR="0" wp14:anchorId="25ACFD14" wp14:editId="7875A45B">
            <wp:extent cx="5037455" cy="33242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5044214" cy="3328685"/>
                    </a:xfrm>
                    <a:prstGeom prst="rect">
                      <a:avLst/>
                    </a:prstGeom>
                    <a:noFill/>
                    <a:ln>
                      <a:noFill/>
                    </a:ln>
                  </pic:spPr>
                </pic:pic>
              </a:graphicData>
            </a:graphic>
          </wp:inline>
        </w:drawing>
      </w:r>
    </w:p>
    <w:p w14:paraId="1AC7FBB3" w14:textId="77777777" w:rsidR="0080462C" w:rsidRDefault="0080462C" w:rsidP="0080462C">
      <w:pPr>
        <w:spacing w:before="120" w:after="120"/>
        <w:jc w:val="center"/>
        <w:rPr>
          <w:rFonts w:ascii="Garamond" w:hAnsi="Garamond" w:cs="Times New Roman"/>
          <w:b/>
          <w:bCs/>
        </w:rPr>
      </w:pPr>
    </w:p>
    <w:p w14:paraId="38F5CEEA" w14:textId="325E6AEC" w:rsidR="0080462C" w:rsidRDefault="0080462C" w:rsidP="0080462C">
      <w:pPr>
        <w:spacing w:before="120" w:after="120"/>
        <w:jc w:val="center"/>
        <w:rPr>
          <w:rFonts w:ascii="Garamond" w:hAnsi="Garamond" w:cs="Times New Roman"/>
          <w:b/>
          <w:bCs/>
        </w:rPr>
      </w:pPr>
      <w:r w:rsidRPr="00B05D04">
        <w:rPr>
          <w:rFonts w:ascii="Garamond" w:hAnsi="Garamond" w:cs="Times New Roman"/>
          <w:b/>
          <w:bCs/>
        </w:rPr>
        <w:lastRenderedPageBreak/>
        <w:t xml:space="preserve">Figure </w:t>
      </w:r>
      <w:r w:rsidR="00A76124">
        <w:rPr>
          <w:rFonts w:ascii="Garamond" w:hAnsi="Garamond" w:cs="Times New Roman"/>
          <w:b/>
          <w:bCs/>
        </w:rPr>
        <w:t>F</w:t>
      </w:r>
      <w:r w:rsidRPr="00B05D04">
        <w:rPr>
          <w:rFonts w:ascii="Garamond" w:hAnsi="Garamond" w:cs="Times New Roman"/>
          <w:b/>
          <w:bCs/>
        </w:rPr>
        <w:t xml:space="preserve">.3: The impact of fiscal deficits on bond yields </w:t>
      </w:r>
      <w:r>
        <w:rPr>
          <w:rFonts w:ascii="Garamond" w:hAnsi="Garamond" w:cs="Times New Roman"/>
          <w:b/>
          <w:bCs/>
        </w:rPr>
        <w:t>by exchange rate regime</w:t>
      </w:r>
    </w:p>
    <w:p w14:paraId="490FC378" w14:textId="77777777" w:rsidR="0080462C" w:rsidRDefault="0080462C" w:rsidP="0080462C">
      <w:pPr>
        <w:spacing w:before="120" w:after="120"/>
        <w:jc w:val="center"/>
        <w:rPr>
          <w:rFonts w:ascii="Garamond" w:hAnsi="Garamond"/>
          <w:b/>
          <w:bCs/>
          <w:sz w:val="32"/>
          <w:szCs w:val="32"/>
        </w:rPr>
      </w:pPr>
      <w:r w:rsidRPr="00C1277E">
        <w:rPr>
          <w:rFonts w:ascii="Garamond" w:hAnsi="Garamond"/>
          <w:b/>
          <w:bCs/>
          <w:noProof/>
          <w:sz w:val="32"/>
          <w:szCs w:val="32"/>
        </w:rPr>
        <w:drawing>
          <wp:inline distT="0" distB="0" distL="0" distR="0" wp14:anchorId="542F2AD2" wp14:editId="308AAC8E">
            <wp:extent cx="5029200" cy="34385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5029200" cy="3438525"/>
                    </a:xfrm>
                    <a:prstGeom prst="rect">
                      <a:avLst/>
                    </a:prstGeom>
                    <a:noFill/>
                    <a:ln>
                      <a:noFill/>
                    </a:ln>
                  </pic:spPr>
                </pic:pic>
              </a:graphicData>
            </a:graphic>
          </wp:inline>
        </w:drawing>
      </w:r>
    </w:p>
    <w:p w14:paraId="7CCAB1F9" w14:textId="7939F953" w:rsidR="0080462C" w:rsidRPr="00075BDB" w:rsidRDefault="0080462C" w:rsidP="0080462C">
      <w:pPr>
        <w:spacing w:before="120" w:after="120"/>
        <w:jc w:val="center"/>
        <w:rPr>
          <w:rFonts w:ascii="Garamond" w:hAnsi="Garamond" w:cs="Times New Roman"/>
          <w:b/>
          <w:bCs/>
        </w:rPr>
      </w:pPr>
      <w:r w:rsidRPr="00075BDB">
        <w:rPr>
          <w:rFonts w:ascii="Garamond" w:hAnsi="Garamond" w:cs="Times New Roman"/>
          <w:b/>
          <w:bCs/>
        </w:rPr>
        <w:t xml:space="preserve">Figure </w:t>
      </w:r>
      <w:r w:rsidR="00A76124">
        <w:rPr>
          <w:rFonts w:ascii="Garamond" w:hAnsi="Garamond" w:cs="Times New Roman"/>
          <w:b/>
          <w:bCs/>
        </w:rPr>
        <w:t>F</w:t>
      </w:r>
      <w:r w:rsidRPr="00075BDB">
        <w:rPr>
          <w:rFonts w:ascii="Garamond" w:hAnsi="Garamond" w:cs="Times New Roman"/>
          <w:b/>
          <w:bCs/>
        </w:rPr>
        <w:t xml:space="preserve">.4: The impact of social spending on bond yields </w:t>
      </w:r>
      <w:r>
        <w:rPr>
          <w:rFonts w:ascii="Garamond" w:hAnsi="Garamond" w:cs="Times New Roman"/>
          <w:b/>
          <w:bCs/>
        </w:rPr>
        <w:t>by exchange rate regime</w:t>
      </w:r>
    </w:p>
    <w:p w14:paraId="071AA66E" w14:textId="77777777" w:rsidR="0080462C" w:rsidRDefault="0080462C" w:rsidP="0080462C">
      <w:pPr>
        <w:spacing w:before="120" w:after="120"/>
        <w:jc w:val="center"/>
        <w:rPr>
          <w:rFonts w:ascii="Garamond" w:hAnsi="Garamond"/>
          <w:b/>
          <w:bCs/>
          <w:sz w:val="32"/>
          <w:szCs w:val="32"/>
        </w:rPr>
      </w:pPr>
      <w:r w:rsidRPr="0070110C">
        <w:rPr>
          <w:rFonts w:ascii="Garamond" w:hAnsi="Garamond"/>
          <w:b/>
          <w:bCs/>
          <w:noProof/>
          <w:sz w:val="32"/>
          <w:szCs w:val="32"/>
        </w:rPr>
        <w:drawing>
          <wp:inline distT="0" distB="0" distL="0" distR="0" wp14:anchorId="530A9D80" wp14:editId="59491024">
            <wp:extent cx="5029200" cy="36576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5029200" cy="3657600"/>
                    </a:xfrm>
                    <a:prstGeom prst="rect">
                      <a:avLst/>
                    </a:prstGeom>
                    <a:noFill/>
                    <a:ln>
                      <a:noFill/>
                    </a:ln>
                  </pic:spPr>
                </pic:pic>
              </a:graphicData>
            </a:graphic>
          </wp:inline>
        </w:drawing>
      </w:r>
    </w:p>
    <w:p w14:paraId="246F7EF0" w14:textId="77777777" w:rsidR="0080462C" w:rsidRDefault="0080462C" w:rsidP="0080462C">
      <w:pPr>
        <w:spacing w:before="120" w:after="120"/>
        <w:jc w:val="center"/>
        <w:rPr>
          <w:rFonts w:ascii="Garamond" w:hAnsi="Garamond" w:cs="Times New Roman"/>
          <w:b/>
          <w:bCs/>
        </w:rPr>
      </w:pPr>
    </w:p>
    <w:p w14:paraId="49C963F8" w14:textId="77777777" w:rsidR="0080462C" w:rsidRDefault="0080462C" w:rsidP="0080462C">
      <w:pPr>
        <w:spacing w:before="120" w:after="120"/>
        <w:jc w:val="center"/>
        <w:rPr>
          <w:rFonts w:ascii="Garamond" w:hAnsi="Garamond" w:cs="Times New Roman"/>
          <w:b/>
          <w:bCs/>
        </w:rPr>
      </w:pPr>
    </w:p>
    <w:p w14:paraId="646580C5" w14:textId="788051C6" w:rsidR="0080462C" w:rsidRPr="00970B75" w:rsidRDefault="0080462C" w:rsidP="0080462C">
      <w:pPr>
        <w:spacing w:before="120" w:after="120"/>
        <w:jc w:val="center"/>
        <w:rPr>
          <w:rFonts w:ascii="Garamond" w:hAnsi="Garamond" w:cs="Times New Roman"/>
          <w:b/>
          <w:bCs/>
        </w:rPr>
      </w:pPr>
      <w:r w:rsidRPr="00075BDB">
        <w:rPr>
          <w:rFonts w:ascii="Garamond" w:hAnsi="Garamond" w:cs="Times New Roman"/>
          <w:b/>
          <w:bCs/>
        </w:rPr>
        <w:lastRenderedPageBreak/>
        <w:t xml:space="preserve">Figure </w:t>
      </w:r>
      <w:r w:rsidR="00A76124">
        <w:rPr>
          <w:rFonts w:ascii="Garamond" w:hAnsi="Garamond" w:cs="Times New Roman"/>
          <w:b/>
          <w:bCs/>
        </w:rPr>
        <w:t>F</w:t>
      </w:r>
      <w:bookmarkStart w:id="39" w:name="_GoBack"/>
      <w:bookmarkEnd w:id="39"/>
      <w:r w:rsidRPr="00075BDB">
        <w:rPr>
          <w:rFonts w:ascii="Garamond" w:hAnsi="Garamond" w:cs="Times New Roman"/>
          <w:b/>
          <w:bCs/>
        </w:rPr>
        <w:t>.</w:t>
      </w:r>
      <w:r>
        <w:rPr>
          <w:rFonts w:ascii="Garamond" w:hAnsi="Garamond" w:cs="Times New Roman"/>
          <w:b/>
          <w:bCs/>
        </w:rPr>
        <w:t>5</w:t>
      </w:r>
      <w:r w:rsidRPr="00075BDB">
        <w:rPr>
          <w:rFonts w:ascii="Garamond" w:hAnsi="Garamond" w:cs="Times New Roman"/>
          <w:b/>
          <w:bCs/>
        </w:rPr>
        <w:t xml:space="preserve">: The impact of </w:t>
      </w:r>
      <w:r>
        <w:rPr>
          <w:rFonts w:ascii="Garamond" w:hAnsi="Garamond" w:cs="Times New Roman"/>
          <w:b/>
          <w:bCs/>
        </w:rPr>
        <w:t>entitlement spending</w:t>
      </w:r>
      <w:r w:rsidRPr="00075BDB">
        <w:rPr>
          <w:rFonts w:ascii="Garamond" w:hAnsi="Garamond" w:cs="Times New Roman"/>
          <w:b/>
          <w:bCs/>
        </w:rPr>
        <w:t xml:space="preserve"> on bond yields</w:t>
      </w:r>
      <w:r>
        <w:rPr>
          <w:rFonts w:ascii="Garamond" w:hAnsi="Garamond" w:cs="Times New Roman"/>
          <w:b/>
          <w:bCs/>
        </w:rPr>
        <w:t xml:space="preserve"> by exchange rate regime</w:t>
      </w:r>
    </w:p>
    <w:p w14:paraId="2509FFA0" w14:textId="77777777" w:rsidR="0080462C" w:rsidRPr="00C47646" w:rsidRDefault="0080462C" w:rsidP="0080462C">
      <w:pPr>
        <w:spacing w:before="120" w:after="120"/>
        <w:jc w:val="center"/>
        <w:rPr>
          <w:rFonts w:ascii="Garamond" w:hAnsi="Garamond"/>
          <w:b/>
          <w:bCs/>
          <w:sz w:val="32"/>
          <w:szCs w:val="32"/>
        </w:rPr>
      </w:pPr>
      <w:r w:rsidRPr="00994C29">
        <w:rPr>
          <w:rFonts w:ascii="Garamond" w:hAnsi="Garamond"/>
          <w:b/>
          <w:bCs/>
          <w:noProof/>
          <w:sz w:val="32"/>
          <w:szCs w:val="32"/>
        </w:rPr>
        <w:drawing>
          <wp:inline distT="0" distB="0" distL="0" distR="0" wp14:anchorId="62FD0A58" wp14:editId="2082C6EF">
            <wp:extent cx="4847590" cy="338137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4850740" cy="3383572"/>
                    </a:xfrm>
                    <a:prstGeom prst="rect">
                      <a:avLst/>
                    </a:prstGeom>
                    <a:noFill/>
                    <a:ln>
                      <a:noFill/>
                    </a:ln>
                  </pic:spPr>
                </pic:pic>
              </a:graphicData>
            </a:graphic>
          </wp:inline>
        </w:drawing>
      </w:r>
    </w:p>
    <w:p w14:paraId="509B9D4A" w14:textId="77777777" w:rsidR="003E7B0A" w:rsidRPr="004C729B" w:rsidRDefault="003E7B0A" w:rsidP="0080462C">
      <w:pPr>
        <w:spacing w:before="120" w:after="120"/>
        <w:ind w:left="720" w:hanging="720"/>
        <w:jc w:val="both"/>
        <w:rPr>
          <w:rFonts w:ascii="Times New Roman" w:eastAsia="Times New Roman" w:hAnsi="Times New Roman" w:cs="Times New Roman"/>
        </w:rPr>
      </w:pPr>
    </w:p>
    <w:sectPr w:rsidR="003E7B0A" w:rsidRPr="004C729B" w:rsidSect="00D16BCD">
      <w:footerReference w:type="even" r:id="rId63"/>
      <w:footerReference w:type="default" r:id="rId64"/>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50BF5" w16cex:dateUtc="2021-08-16T23:08:00Z"/>
  <w16cex:commentExtensible w16cex:durableId="24BFA6B3" w16cex:dateUtc="2021-08-12T20:54:00Z"/>
  <w16cex:commentExtensible w16cex:durableId="24C51328" w16cex:dateUtc="2021-08-16T23:39:00Z"/>
  <w16cex:commentExtensible w16cex:durableId="24C4F91F" w16cex:dateUtc="2021-08-16T21:47:00Z"/>
  <w16cex:commentExtensible w16cex:durableId="24C519AF" w16cex:dateUtc="2021-08-17T00:06:00Z"/>
  <w16cex:commentExtensible w16cex:durableId="24C50252" w16cex:dateUtc="2021-08-16T22:2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8575B8" w14:textId="77777777" w:rsidR="00A76124" w:rsidRDefault="00A76124" w:rsidP="00E5668B">
      <w:r>
        <w:separator/>
      </w:r>
    </w:p>
  </w:endnote>
  <w:endnote w:type="continuationSeparator" w:id="0">
    <w:p w14:paraId="4C2714EF" w14:textId="77777777" w:rsidR="00A76124" w:rsidRDefault="00A76124" w:rsidP="00E56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Body CS)">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91114783"/>
      <w:docPartObj>
        <w:docPartGallery w:val="Page Numbers (Bottom of Page)"/>
        <w:docPartUnique/>
      </w:docPartObj>
    </w:sdtPr>
    <w:sdtContent>
      <w:p w14:paraId="1735B29E" w14:textId="0AA514A0" w:rsidR="00A76124" w:rsidRDefault="00A76124" w:rsidP="00710F4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8EA7FCD" w14:textId="77777777" w:rsidR="00A76124" w:rsidRDefault="00A76124" w:rsidP="003C74D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Garamond" w:hAnsi="Garamond"/>
      </w:rPr>
      <w:id w:val="1264418909"/>
      <w:docPartObj>
        <w:docPartGallery w:val="Page Numbers (Bottom of Page)"/>
        <w:docPartUnique/>
      </w:docPartObj>
    </w:sdtPr>
    <w:sdtContent>
      <w:p w14:paraId="63F0262E" w14:textId="07F56E2D" w:rsidR="00A76124" w:rsidRPr="004A4295" w:rsidRDefault="00A76124" w:rsidP="00710F4F">
        <w:pPr>
          <w:pStyle w:val="Footer"/>
          <w:framePr w:wrap="none" w:vAnchor="text" w:hAnchor="margin" w:xAlign="right" w:y="1"/>
          <w:rPr>
            <w:rStyle w:val="PageNumber"/>
            <w:rFonts w:ascii="Garamond" w:hAnsi="Garamond"/>
          </w:rPr>
        </w:pPr>
        <w:r w:rsidRPr="004A4295">
          <w:rPr>
            <w:rStyle w:val="PageNumber"/>
            <w:rFonts w:ascii="Garamond" w:hAnsi="Garamond"/>
          </w:rPr>
          <w:fldChar w:fldCharType="begin"/>
        </w:r>
        <w:r w:rsidRPr="004A4295">
          <w:rPr>
            <w:rStyle w:val="PageNumber"/>
            <w:rFonts w:ascii="Garamond" w:hAnsi="Garamond"/>
          </w:rPr>
          <w:instrText xml:space="preserve"> PAGE </w:instrText>
        </w:r>
        <w:r w:rsidRPr="004A4295">
          <w:rPr>
            <w:rStyle w:val="PageNumber"/>
            <w:rFonts w:ascii="Garamond" w:hAnsi="Garamond"/>
          </w:rPr>
          <w:fldChar w:fldCharType="separate"/>
        </w:r>
        <w:r>
          <w:rPr>
            <w:rStyle w:val="PageNumber"/>
            <w:rFonts w:ascii="Garamond" w:hAnsi="Garamond"/>
            <w:noProof/>
          </w:rPr>
          <w:t>1</w:t>
        </w:r>
        <w:r w:rsidRPr="004A4295">
          <w:rPr>
            <w:rStyle w:val="PageNumber"/>
            <w:rFonts w:ascii="Garamond" w:hAnsi="Garamond"/>
          </w:rPr>
          <w:fldChar w:fldCharType="end"/>
        </w:r>
      </w:p>
    </w:sdtContent>
  </w:sdt>
  <w:p w14:paraId="027880C1" w14:textId="77777777" w:rsidR="00A76124" w:rsidRDefault="00A76124" w:rsidP="003C74D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BDAF8E" w14:textId="77777777" w:rsidR="00A76124" w:rsidRDefault="00A76124" w:rsidP="00E5668B">
      <w:r>
        <w:separator/>
      </w:r>
    </w:p>
  </w:footnote>
  <w:footnote w:type="continuationSeparator" w:id="0">
    <w:p w14:paraId="6133A12F" w14:textId="77777777" w:rsidR="00A76124" w:rsidRDefault="00A76124" w:rsidP="00E5668B">
      <w:r>
        <w:continuationSeparator/>
      </w:r>
    </w:p>
  </w:footnote>
  <w:footnote w:id="1">
    <w:p w14:paraId="1E7DC9A2" w14:textId="09B82852" w:rsidR="00A76124" w:rsidRPr="000438AD" w:rsidRDefault="00A76124">
      <w:pPr>
        <w:pStyle w:val="FootnoteText"/>
        <w:rPr>
          <w:rFonts w:ascii="Garamond" w:hAnsi="Garamond"/>
        </w:rPr>
      </w:pPr>
      <w:r w:rsidRPr="000438AD">
        <w:rPr>
          <w:rStyle w:val="FootnoteReference"/>
          <w:rFonts w:ascii="Garamond" w:hAnsi="Garamond"/>
        </w:rPr>
        <w:footnoteRef/>
      </w:r>
      <w:r w:rsidRPr="000438AD">
        <w:rPr>
          <w:rFonts w:ascii="Garamond" w:hAnsi="Garamond"/>
        </w:rPr>
        <w:t xml:space="preserve">This paper </w:t>
      </w:r>
      <w:r>
        <w:rPr>
          <w:rFonts w:ascii="Garamond" w:hAnsi="Garamond"/>
        </w:rPr>
        <w:t>represents equal contribution from all three authors.</w:t>
      </w:r>
    </w:p>
  </w:footnote>
  <w:footnote w:id="2">
    <w:p w14:paraId="23B1AFD5" w14:textId="349F320D" w:rsidR="00A76124" w:rsidRPr="000903A9" w:rsidRDefault="00A76124" w:rsidP="00DA09BB">
      <w:pPr>
        <w:pStyle w:val="FootnoteText"/>
        <w:jc w:val="both"/>
        <w:rPr>
          <w:rFonts w:ascii="Garamond" w:hAnsi="Garamond"/>
        </w:rPr>
      </w:pPr>
      <w:r w:rsidRPr="000903A9">
        <w:rPr>
          <w:rStyle w:val="FootnoteReference"/>
          <w:rFonts w:ascii="Garamond" w:hAnsi="Garamond"/>
        </w:rPr>
        <w:footnoteRef/>
      </w:r>
      <w:r w:rsidRPr="000903A9">
        <w:rPr>
          <w:rFonts w:ascii="Garamond" w:hAnsi="Garamond"/>
        </w:rPr>
        <w:t xml:space="preserve"> </w:t>
      </w:r>
      <w:r>
        <w:rPr>
          <w:rFonts w:ascii="Garamond" w:hAnsi="Garamond"/>
        </w:rPr>
        <w:t xml:space="preserve">In this paper, we focus on the ways in which investors assess macroeconomic fundamentals when evaluating risks to the value of the bonds they intend to hold – in an effort to better understand the link between macroeconomic policy outcomes and the conditions under which governments can borrow. By focusing narrowly on macroeconomic fundamentals, we abstract from other types of risks (duration, yield-curve or liquidity risk etc.) that might influence holders of government bonds whose decisions are subject to constraints due to regulations, reserve requirements, collateral agreements etc. While these risks matter from a macroprudential point of view, we believe – in line with much of the IPE-literature on the determinants of bond yields (Mosley 2003, </w:t>
      </w:r>
      <w:r w:rsidRPr="00614418">
        <w:rPr>
          <w:rFonts w:ascii="Garamond" w:hAnsi="Garamond" w:cs="Times New Roman"/>
        </w:rPr>
        <w:t>Gray 2013, Brooks et al 2015</w:t>
      </w:r>
      <w:r>
        <w:rPr>
          <w:rFonts w:ascii="Garamond" w:hAnsi="Garamond" w:cs="Times New Roman"/>
        </w:rPr>
        <w:t xml:space="preserve">) – that it makes sense to theorize about the longer-run effects of </w:t>
      </w:r>
      <w:r>
        <w:rPr>
          <w:rFonts w:ascii="Garamond" w:hAnsi="Garamond"/>
        </w:rPr>
        <w:t>macroeconomic fundamentals on prices independently of the risks created by shorter-term changes in financial market conditions. In our empirical investigations, we control for variation in liquidity and repricing risks across time via time fixed-effects, whereas we account for in the differential status of countries’ bonds as ‘safe assets’ via country fixed effects.</w:t>
      </w:r>
    </w:p>
  </w:footnote>
  <w:footnote w:id="3">
    <w:p w14:paraId="7D315F58" w14:textId="4892A244" w:rsidR="00A76124" w:rsidRPr="00D0619B" w:rsidRDefault="00A76124">
      <w:pPr>
        <w:pStyle w:val="FootnoteText"/>
        <w:rPr>
          <w:rFonts w:ascii="Garamond" w:hAnsi="Garamond"/>
        </w:rPr>
      </w:pPr>
      <w:r w:rsidRPr="00D0619B">
        <w:rPr>
          <w:rStyle w:val="FootnoteReference"/>
          <w:rFonts w:ascii="Garamond" w:hAnsi="Garamond"/>
        </w:rPr>
        <w:footnoteRef/>
      </w:r>
      <w:r w:rsidRPr="00D0619B">
        <w:rPr>
          <w:rFonts w:ascii="Garamond" w:hAnsi="Garamond"/>
        </w:rPr>
        <w:t xml:space="preserve"> We use the words </w:t>
      </w:r>
      <w:r>
        <w:rPr>
          <w:rFonts w:ascii="Garamond" w:hAnsi="Garamond"/>
        </w:rPr>
        <w:t>‘</w:t>
      </w:r>
      <w:r w:rsidRPr="00D0619B">
        <w:rPr>
          <w:rFonts w:ascii="Garamond" w:hAnsi="Garamond"/>
        </w:rPr>
        <w:t>entitlement spending</w:t>
      </w:r>
      <w:r>
        <w:rPr>
          <w:rFonts w:ascii="Garamond" w:hAnsi="Garamond"/>
        </w:rPr>
        <w:t>’</w:t>
      </w:r>
      <w:r w:rsidRPr="00D0619B">
        <w:rPr>
          <w:rFonts w:ascii="Garamond" w:hAnsi="Garamond"/>
        </w:rPr>
        <w:t xml:space="preserve"> and </w:t>
      </w:r>
      <w:r>
        <w:rPr>
          <w:rFonts w:ascii="Garamond" w:hAnsi="Garamond"/>
        </w:rPr>
        <w:t>‘</w:t>
      </w:r>
      <w:r w:rsidRPr="00D0619B">
        <w:rPr>
          <w:rFonts w:ascii="Garamond" w:hAnsi="Garamond"/>
        </w:rPr>
        <w:t>social security spending</w:t>
      </w:r>
      <w:r>
        <w:rPr>
          <w:rFonts w:ascii="Garamond" w:hAnsi="Garamond"/>
        </w:rPr>
        <w:t>’</w:t>
      </w:r>
      <w:r w:rsidRPr="00D0619B">
        <w:rPr>
          <w:rFonts w:ascii="Garamond" w:hAnsi="Garamond"/>
        </w:rPr>
        <w:t xml:space="preserve"> interchangeably. </w:t>
      </w:r>
    </w:p>
  </w:footnote>
  <w:footnote w:id="4">
    <w:p w14:paraId="7CDF7108" w14:textId="421E8E5D" w:rsidR="00A76124" w:rsidRPr="007A71B8" w:rsidRDefault="00A76124">
      <w:pPr>
        <w:pStyle w:val="FootnoteText"/>
        <w:rPr>
          <w:rFonts w:ascii="Garamond" w:hAnsi="Garamond"/>
          <w:sz w:val="24"/>
          <w:szCs w:val="24"/>
        </w:rPr>
      </w:pPr>
      <w:r w:rsidRPr="00C436A2">
        <w:rPr>
          <w:rStyle w:val="FootnoteReference"/>
          <w:rFonts w:ascii="Garamond" w:hAnsi="Garamond"/>
        </w:rPr>
        <w:footnoteRef/>
      </w:r>
      <w:r w:rsidRPr="00C436A2">
        <w:rPr>
          <w:rFonts w:ascii="Garamond" w:hAnsi="Garamond"/>
        </w:rPr>
        <w:t xml:space="preserve"> See for example </w:t>
      </w:r>
      <w:bookmarkStart w:id="0" w:name="_Hlk79668663"/>
      <w:r w:rsidRPr="00C436A2">
        <w:rPr>
          <w:rFonts w:ascii="Garamond" w:hAnsi="Garamond" w:cs="Times New Roman"/>
        </w:rPr>
        <w:t xml:space="preserve">Poterba and Reuben (1999), Ahlquist (2006), </w:t>
      </w:r>
      <w:proofErr w:type="spellStart"/>
      <w:r w:rsidRPr="00C436A2">
        <w:rPr>
          <w:rFonts w:ascii="Garamond" w:hAnsi="Garamond" w:cs="Times New Roman"/>
        </w:rPr>
        <w:t>Hallerberg</w:t>
      </w:r>
      <w:proofErr w:type="spellEnd"/>
      <w:r w:rsidRPr="00C436A2">
        <w:rPr>
          <w:rFonts w:ascii="Garamond" w:hAnsi="Garamond" w:cs="Times New Roman"/>
        </w:rPr>
        <w:t xml:space="preserve"> and Wolf (2008), Beaulieu at </w:t>
      </w:r>
      <w:proofErr w:type="spellStart"/>
      <w:r w:rsidRPr="00C436A2">
        <w:rPr>
          <w:rFonts w:ascii="Garamond" w:hAnsi="Garamond" w:cs="Times New Roman"/>
        </w:rPr>
        <w:t>al</w:t>
      </w:r>
      <w:proofErr w:type="spellEnd"/>
      <w:r w:rsidRPr="00C436A2">
        <w:rPr>
          <w:rFonts w:ascii="Garamond" w:hAnsi="Garamond" w:cs="Times New Roman"/>
        </w:rPr>
        <w:t xml:space="preserve"> (2012), </w:t>
      </w:r>
      <w:proofErr w:type="spellStart"/>
      <w:r w:rsidRPr="00C436A2">
        <w:rPr>
          <w:rFonts w:ascii="Garamond" w:hAnsi="Garamond" w:cs="Times New Roman"/>
        </w:rPr>
        <w:t>Biglaiser</w:t>
      </w:r>
      <w:proofErr w:type="spellEnd"/>
      <w:r w:rsidRPr="00C436A2">
        <w:rPr>
          <w:rFonts w:ascii="Garamond" w:hAnsi="Garamond" w:cs="Times New Roman"/>
        </w:rPr>
        <w:t xml:space="preserve"> and </w:t>
      </w:r>
      <w:proofErr w:type="spellStart"/>
      <w:r w:rsidRPr="00C436A2">
        <w:rPr>
          <w:rFonts w:ascii="Garamond" w:hAnsi="Garamond" w:cs="Times New Roman"/>
        </w:rPr>
        <w:t>Staats</w:t>
      </w:r>
      <w:proofErr w:type="spellEnd"/>
      <w:r w:rsidRPr="00C436A2">
        <w:rPr>
          <w:rFonts w:ascii="Garamond" w:hAnsi="Garamond" w:cs="Times New Roman"/>
        </w:rPr>
        <w:t xml:space="preserve"> (2012), or </w:t>
      </w:r>
      <w:proofErr w:type="spellStart"/>
      <w:r w:rsidRPr="00C436A2">
        <w:rPr>
          <w:rFonts w:ascii="Garamond" w:hAnsi="Garamond" w:cs="Times New Roman"/>
        </w:rPr>
        <w:t>Bodea</w:t>
      </w:r>
      <w:proofErr w:type="spellEnd"/>
      <w:r w:rsidRPr="00C436A2">
        <w:rPr>
          <w:rFonts w:ascii="Garamond" w:hAnsi="Garamond" w:cs="Times New Roman"/>
        </w:rPr>
        <w:t xml:space="preserve"> and Hicks (2015</w:t>
      </w:r>
      <w:bookmarkEnd w:id="0"/>
      <w:r w:rsidRPr="00C436A2">
        <w:rPr>
          <w:rFonts w:ascii="Garamond" w:hAnsi="Garamond" w:cs="Times New Roman"/>
        </w:rPr>
        <w:t>).</w:t>
      </w:r>
    </w:p>
  </w:footnote>
  <w:footnote w:id="5">
    <w:p w14:paraId="300481C7" w14:textId="286CEB7A" w:rsidR="00A76124" w:rsidRPr="00C436A2" w:rsidRDefault="00A76124">
      <w:pPr>
        <w:pStyle w:val="FootnoteText"/>
        <w:rPr>
          <w:rFonts w:ascii="Garamond" w:hAnsi="Garamond"/>
        </w:rPr>
      </w:pPr>
      <w:r w:rsidRPr="00C436A2">
        <w:rPr>
          <w:rStyle w:val="FootnoteReference"/>
          <w:rFonts w:ascii="Garamond" w:hAnsi="Garamond"/>
        </w:rPr>
        <w:footnoteRef/>
      </w:r>
      <w:r w:rsidRPr="00C436A2">
        <w:rPr>
          <w:rFonts w:ascii="Garamond" w:hAnsi="Garamond"/>
        </w:rPr>
        <w:t xml:space="preserve"> </w:t>
      </w:r>
      <w:r w:rsidRPr="00C436A2">
        <w:rPr>
          <w:rStyle w:val="FootnoteReference"/>
          <w:rFonts w:ascii="Garamond" w:hAnsi="Garamond" w:cs="Times New Roman (Body CS)"/>
          <w:vertAlign w:val="baseline"/>
        </w:rPr>
        <w:t>“So if the fiscal and monetary authorities won’t regulate the economy, the bond investors will. The economy will be run by vigilantes in the credit markets.”</w:t>
      </w:r>
      <w:r w:rsidRPr="00C436A2">
        <w:rPr>
          <w:rFonts w:ascii="Garamond" w:hAnsi="Garamond" w:cs="Times New Roman (Body CS)"/>
        </w:rPr>
        <w:t xml:space="preserve"> </w:t>
      </w:r>
      <w:r w:rsidRPr="00C436A2">
        <w:rPr>
          <w:rFonts w:ascii="Garamond" w:hAnsi="Garamond" w:cs="Times New Roman"/>
        </w:rPr>
        <w:t>(</w:t>
      </w:r>
      <w:proofErr w:type="spellStart"/>
      <w:r w:rsidRPr="00C436A2">
        <w:rPr>
          <w:rFonts w:ascii="Garamond" w:hAnsi="Garamond" w:cs="Times New Roman"/>
        </w:rPr>
        <w:t>Yardeni</w:t>
      </w:r>
      <w:proofErr w:type="spellEnd"/>
      <w:r w:rsidRPr="00C436A2">
        <w:rPr>
          <w:rFonts w:ascii="Garamond" w:hAnsi="Garamond" w:cs="Times New Roman"/>
        </w:rPr>
        <w:t xml:space="preserve"> 1983)</w:t>
      </w:r>
    </w:p>
  </w:footnote>
  <w:footnote w:id="6">
    <w:p w14:paraId="115C9B38" w14:textId="32253EAC" w:rsidR="00A76124" w:rsidRPr="00653A9E" w:rsidRDefault="00A76124" w:rsidP="000F29C7">
      <w:pPr>
        <w:pStyle w:val="FootnoteText"/>
        <w:jc w:val="both"/>
      </w:pPr>
      <w:r w:rsidRPr="00C436A2">
        <w:rPr>
          <w:rStyle w:val="FootnoteReference"/>
          <w:rFonts w:ascii="Garamond" w:hAnsi="Garamond"/>
        </w:rPr>
        <w:footnoteRef/>
      </w:r>
      <w:r w:rsidRPr="00C436A2">
        <w:rPr>
          <w:rFonts w:ascii="Garamond" w:hAnsi="Garamond"/>
        </w:rPr>
        <w:t xml:space="preserve"> </w:t>
      </w:r>
      <w:r w:rsidRPr="00C436A2">
        <w:rPr>
          <w:rFonts w:ascii="Garamond" w:hAnsi="Garamond" w:cs="Times New Roman"/>
        </w:rPr>
        <w:t>To the extent that investors go beyond the scrutiny of macroeconomic indicators, for example to incorporate elections and government partisanship in their decisions, they are assumed to do so to adjust their inflation expectations (</w:t>
      </w:r>
      <w:bookmarkStart w:id="9" w:name="_Hlk79669166"/>
      <w:r w:rsidRPr="00C436A2">
        <w:rPr>
          <w:rFonts w:ascii="Garamond" w:hAnsi="Garamond" w:cs="Times New Roman"/>
        </w:rPr>
        <w:t xml:space="preserve">Bernhard and </w:t>
      </w:r>
      <w:proofErr w:type="spellStart"/>
      <w:r w:rsidRPr="00C436A2">
        <w:rPr>
          <w:rFonts w:ascii="Garamond" w:hAnsi="Garamond" w:cs="Times New Roman"/>
        </w:rPr>
        <w:t>Leblang</w:t>
      </w:r>
      <w:proofErr w:type="spellEnd"/>
      <w:r w:rsidRPr="00C436A2">
        <w:rPr>
          <w:rFonts w:ascii="Garamond" w:hAnsi="Garamond"/>
        </w:rPr>
        <w:t xml:space="preserve"> 2002</w:t>
      </w:r>
      <w:bookmarkEnd w:id="9"/>
      <w:r w:rsidRPr="00C436A2">
        <w:rPr>
          <w:rFonts w:ascii="Garamond" w:hAnsi="Garamond"/>
        </w:rPr>
        <w:t xml:space="preserve">, </w:t>
      </w:r>
      <w:bookmarkStart w:id="10" w:name="_Hlk79669174"/>
      <w:r w:rsidRPr="00C436A2">
        <w:rPr>
          <w:rFonts w:ascii="Garamond" w:hAnsi="Garamond"/>
        </w:rPr>
        <w:t>Fowler 2006</w:t>
      </w:r>
      <w:bookmarkEnd w:id="10"/>
      <w:r w:rsidRPr="00C436A2">
        <w:rPr>
          <w:rFonts w:ascii="Garamond" w:hAnsi="Garamond"/>
        </w:rPr>
        <w:t xml:space="preserve">, </w:t>
      </w:r>
      <w:bookmarkStart w:id="11" w:name="_Hlk79669185"/>
      <w:r w:rsidRPr="00C436A2">
        <w:rPr>
          <w:rFonts w:ascii="Garamond" w:hAnsi="Garamond"/>
        </w:rPr>
        <w:t>Bechtel 2009</w:t>
      </w:r>
      <w:bookmarkEnd w:id="11"/>
      <w:r w:rsidRPr="00C436A2">
        <w:rPr>
          <w:rFonts w:ascii="Garamond" w:hAnsi="Garamond"/>
        </w:rPr>
        <w:t xml:space="preserve">, </w:t>
      </w:r>
      <w:bookmarkStart w:id="12" w:name="_Hlk79669193"/>
      <w:r w:rsidRPr="00C436A2">
        <w:rPr>
          <w:rFonts w:ascii="Garamond" w:hAnsi="Garamond"/>
        </w:rPr>
        <w:t>Sattler 2013</w:t>
      </w:r>
      <w:bookmarkEnd w:id="12"/>
      <w:r w:rsidRPr="00C436A2">
        <w:rPr>
          <w:rFonts w:ascii="Garamond" w:hAnsi="Garamond"/>
        </w:rPr>
        <w:t>).</w:t>
      </w:r>
    </w:p>
  </w:footnote>
  <w:footnote w:id="7">
    <w:p w14:paraId="2035C62D" w14:textId="07ABA027" w:rsidR="00A76124" w:rsidRPr="0097320B" w:rsidRDefault="00A76124">
      <w:pPr>
        <w:pStyle w:val="FootnoteText"/>
        <w:rPr>
          <w:rFonts w:ascii="Garamond" w:hAnsi="Garamond"/>
          <w:lang w:val="de-CH"/>
        </w:rPr>
      </w:pPr>
      <w:r w:rsidRPr="00C436A2">
        <w:rPr>
          <w:rStyle w:val="FootnoteReference"/>
          <w:rFonts w:ascii="Garamond" w:hAnsi="Garamond"/>
        </w:rPr>
        <w:footnoteRef/>
      </w:r>
      <w:r w:rsidRPr="0097320B">
        <w:rPr>
          <w:rFonts w:ascii="Garamond" w:hAnsi="Garamond"/>
          <w:lang w:val="de-CH"/>
        </w:rPr>
        <w:t xml:space="preserve"> </w:t>
      </w:r>
      <w:bookmarkStart w:id="13" w:name="_Hlk79669204"/>
      <w:r w:rsidRPr="0097320B">
        <w:rPr>
          <w:rFonts w:ascii="Garamond" w:hAnsi="Garamond" w:cs="Times New Roman"/>
          <w:lang w:val="de-CH"/>
        </w:rPr>
        <w:t>Melitz (1988</w:t>
      </w:r>
      <w:bookmarkEnd w:id="13"/>
      <w:r w:rsidRPr="0097320B">
        <w:rPr>
          <w:rFonts w:ascii="Garamond" w:hAnsi="Garamond" w:cs="Times New Roman"/>
          <w:lang w:val="de-CH"/>
        </w:rPr>
        <w:t xml:space="preserve">), </w:t>
      </w:r>
      <w:bookmarkStart w:id="14" w:name="_Hlk79669215"/>
      <w:r w:rsidRPr="0097320B">
        <w:rPr>
          <w:rFonts w:ascii="Garamond" w:hAnsi="Garamond" w:cs="Times New Roman"/>
          <w:lang w:val="de-CH"/>
        </w:rPr>
        <w:t>Fratianni and von Hagen (2019)</w:t>
      </w:r>
      <w:bookmarkEnd w:id="14"/>
    </w:p>
  </w:footnote>
  <w:footnote w:id="8">
    <w:p w14:paraId="7DE864C5" w14:textId="3C7D3339" w:rsidR="00A76124" w:rsidRPr="00C436A2" w:rsidRDefault="00A76124">
      <w:pPr>
        <w:pStyle w:val="FootnoteText"/>
        <w:rPr>
          <w:rFonts w:ascii="Garamond" w:hAnsi="Garamond"/>
        </w:rPr>
      </w:pPr>
      <w:r w:rsidRPr="00C436A2">
        <w:rPr>
          <w:rStyle w:val="FootnoteReference"/>
          <w:rFonts w:ascii="Garamond" w:hAnsi="Garamond"/>
        </w:rPr>
        <w:footnoteRef/>
      </w:r>
      <w:r w:rsidRPr="00C436A2">
        <w:rPr>
          <w:rFonts w:ascii="Garamond" w:hAnsi="Garamond"/>
        </w:rPr>
        <w:t xml:space="preserve"> Bernard </w:t>
      </w:r>
      <w:r>
        <w:rPr>
          <w:rFonts w:ascii="Garamond" w:hAnsi="Garamond"/>
        </w:rPr>
        <w:t xml:space="preserve">and </w:t>
      </w:r>
      <w:proofErr w:type="spellStart"/>
      <w:r>
        <w:rPr>
          <w:rFonts w:ascii="Garamond" w:hAnsi="Garamond"/>
        </w:rPr>
        <w:t>Leblang</w:t>
      </w:r>
      <w:proofErr w:type="spellEnd"/>
      <w:r w:rsidRPr="00C436A2">
        <w:rPr>
          <w:rFonts w:ascii="Garamond" w:hAnsi="Garamond"/>
        </w:rPr>
        <w:t xml:space="preserve"> 2002, </w:t>
      </w:r>
      <w:proofErr w:type="spellStart"/>
      <w:r w:rsidRPr="00C436A2">
        <w:rPr>
          <w:rFonts w:ascii="Garamond" w:hAnsi="Garamond"/>
        </w:rPr>
        <w:t>Bodea</w:t>
      </w:r>
      <w:proofErr w:type="spellEnd"/>
      <w:r w:rsidRPr="00C436A2">
        <w:rPr>
          <w:rFonts w:ascii="Garamond" w:hAnsi="Garamond"/>
        </w:rPr>
        <w:t xml:space="preserve"> and Hicks 2015</w:t>
      </w:r>
    </w:p>
  </w:footnote>
  <w:footnote w:id="9">
    <w:p w14:paraId="73213FD0" w14:textId="371C7DAF" w:rsidR="00A76124" w:rsidRPr="000F29C7" w:rsidRDefault="00A76124">
      <w:pPr>
        <w:pStyle w:val="FootnoteText"/>
        <w:rPr>
          <w:rFonts w:ascii="Garamond" w:hAnsi="Garamond"/>
        </w:rPr>
      </w:pPr>
      <w:r w:rsidRPr="00C436A2">
        <w:rPr>
          <w:rStyle w:val="FootnoteReference"/>
          <w:rFonts w:ascii="Garamond" w:hAnsi="Garamond"/>
        </w:rPr>
        <w:footnoteRef/>
      </w:r>
      <w:r w:rsidRPr="00C436A2">
        <w:rPr>
          <w:rFonts w:ascii="Garamond" w:hAnsi="Garamond"/>
        </w:rPr>
        <w:t xml:space="preserve"> </w:t>
      </w:r>
      <w:proofErr w:type="spellStart"/>
      <w:r w:rsidRPr="00C436A2">
        <w:rPr>
          <w:rFonts w:ascii="Garamond" w:hAnsi="Garamond"/>
        </w:rPr>
        <w:t>Hallerberg</w:t>
      </w:r>
      <w:proofErr w:type="spellEnd"/>
      <w:r w:rsidRPr="00C436A2">
        <w:rPr>
          <w:rFonts w:ascii="Garamond" w:hAnsi="Garamond"/>
        </w:rPr>
        <w:t xml:space="preserve"> </w:t>
      </w:r>
      <w:r>
        <w:rPr>
          <w:rFonts w:ascii="Garamond" w:hAnsi="Garamond"/>
        </w:rPr>
        <w:t>and Wolf</w:t>
      </w:r>
      <w:r w:rsidRPr="00C436A2">
        <w:rPr>
          <w:rFonts w:ascii="Garamond" w:hAnsi="Garamond"/>
        </w:rPr>
        <w:t xml:space="preserve"> 2008</w:t>
      </w:r>
    </w:p>
  </w:footnote>
  <w:footnote w:id="10">
    <w:p w14:paraId="715E8920" w14:textId="229E6A60" w:rsidR="00A76124" w:rsidRPr="00C436A2" w:rsidRDefault="00A76124" w:rsidP="00C436A2">
      <w:pPr>
        <w:pStyle w:val="FootnoteText"/>
        <w:jc w:val="both"/>
        <w:rPr>
          <w:rFonts w:ascii="Garamond" w:hAnsi="Garamond" w:cs="Times New Roman (Body CS)"/>
          <w:strike/>
        </w:rPr>
      </w:pPr>
      <w:r w:rsidRPr="00C436A2">
        <w:rPr>
          <w:rStyle w:val="FootnoteReference"/>
          <w:rFonts w:ascii="Garamond" w:hAnsi="Garamond"/>
        </w:rPr>
        <w:footnoteRef/>
      </w:r>
      <w:r w:rsidRPr="00C436A2">
        <w:rPr>
          <w:rFonts w:ascii="Garamond" w:hAnsi="Garamond"/>
        </w:rPr>
        <w:t xml:space="preserve"> </w:t>
      </w:r>
      <w:bookmarkStart w:id="16" w:name="_Hlk79669636"/>
      <w:proofErr w:type="spellStart"/>
      <w:r w:rsidRPr="00C436A2">
        <w:rPr>
          <w:rFonts w:ascii="Garamond" w:hAnsi="Garamond"/>
        </w:rPr>
        <w:t>Grilli</w:t>
      </w:r>
      <w:proofErr w:type="spellEnd"/>
      <w:r w:rsidRPr="00C436A2">
        <w:rPr>
          <w:rFonts w:ascii="Garamond" w:hAnsi="Garamond"/>
        </w:rPr>
        <w:t xml:space="preserve"> et al (1991)</w:t>
      </w:r>
      <w:bookmarkEnd w:id="16"/>
      <w:r w:rsidRPr="00C436A2">
        <w:rPr>
          <w:rFonts w:ascii="Garamond" w:hAnsi="Garamond"/>
        </w:rPr>
        <w:t xml:space="preserve">, </w:t>
      </w:r>
      <w:bookmarkStart w:id="17" w:name="_Hlk79669651"/>
      <w:proofErr w:type="spellStart"/>
      <w:r w:rsidRPr="00C436A2">
        <w:rPr>
          <w:rFonts w:ascii="Garamond" w:hAnsi="Garamond"/>
        </w:rPr>
        <w:t>Alesina</w:t>
      </w:r>
      <w:proofErr w:type="spellEnd"/>
      <w:r w:rsidRPr="00C436A2">
        <w:rPr>
          <w:rFonts w:ascii="Garamond" w:hAnsi="Garamond"/>
        </w:rPr>
        <w:t xml:space="preserve"> and </w:t>
      </w:r>
      <w:proofErr w:type="spellStart"/>
      <w:r w:rsidRPr="00C436A2">
        <w:rPr>
          <w:rFonts w:ascii="Garamond" w:hAnsi="Garamond"/>
        </w:rPr>
        <w:t>Perotti</w:t>
      </w:r>
      <w:proofErr w:type="spellEnd"/>
      <w:r w:rsidRPr="00C436A2">
        <w:rPr>
          <w:rFonts w:ascii="Garamond" w:hAnsi="Garamond"/>
        </w:rPr>
        <w:t xml:space="preserve"> (1995), </w:t>
      </w:r>
      <w:bookmarkStart w:id="18" w:name="_Hlk79669708"/>
      <w:bookmarkEnd w:id="17"/>
      <w:r w:rsidRPr="00C436A2">
        <w:rPr>
          <w:rFonts w:ascii="Garamond" w:hAnsi="Garamond"/>
        </w:rPr>
        <w:t xml:space="preserve">Bernhard 1998, </w:t>
      </w:r>
      <w:bookmarkStart w:id="19" w:name="_Hlk79669692"/>
      <w:bookmarkEnd w:id="18"/>
      <w:r w:rsidRPr="00C436A2">
        <w:rPr>
          <w:rFonts w:ascii="Garamond" w:hAnsi="Garamond"/>
        </w:rPr>
        <w:t xml:space="preserve">Broz (2002), </w:t>
      </w:r>
      <w:bookmarkEnd w:id="19"/>
      <w:proofErr w:type="spellStart"/>
      <w:r w:rsidRPr="00C436A2">
        <w:rPr>
          <w:rFonts w:ascii="Garamond" w:hAnsi="Garamond"/>
        </w:rPr>
        <w:t>Hallerberg</w:t>
      </w:r>
      <w:proofErr w:type="spellEnd"/>
      <w:r w:rsidRPr="00C436A2">
        <w:rPr>
          <w:rFonts w:ascii="Garamond" w:hAnsi="Garamond"/>
        </w:rPr>
        <w:t xml:space="preserve"> </w:t>
      </w:r>
      <w:r>
        <w:rPr>
          <w:rFonts w:ascii="Garamond" w:hAnsi="Garamond"/>
        </w:rPr>
        <w:t>and Wolf</w:t>
      </w:r>
      <w:r w:rsidRPr="00C436A2">
        <w:rPr>
          <w:rFonts w:ascii="Garamond" w:hAnsi="Garamond"/>
        </w:rPr>
        <w:t xml:space="preserve"> (2008), </w:t>
      </w:r>
      <w:proofErr w:type="spellStart"/>
      <w:r w:rsidRPr="00C436A2">
        <w:rPr>
          <w:rFonts w:ascii="Garamond" w:hAnsi="Garamond"/>
        </w:rPr>
        <w:t>Bodea</w:t>
      </w:r>
      <w:proofErr w:type="spellEnd"/>
      <w:r w:rsidRPr="00C436A2">
        <w:rPr>
          <w:rFonts w:ascii="Garamond" w:hAnsi="Garamond"/>
        </w:rPr>
        <w:t xml:space="preserve"> </w:t>
      </w:r>
      <w:r>
        <w:rPr>
          <w:rFonts w:ascii="Garamond" w:hAnsi="Garamond"/>
        </w:rPr>
        <w:t xml:space="preserve">and </w:t>
      </w:r>
      <w:r w:rsidRPr="00C436A2">
        <w:rPr>
          <w:rFonts w:ascii="Garamond" w:hAnsi="Garamond"/>
        </w:rPr>
        <w:t>Hicks (201</w:t>
      </w:r>
      <w:r>
        <w:rPr>
          <w:rFonts w:ascii="Garamond" w:hAnsi="Garamond"/>
        </w:rPr>
        <w:t>5</w:t>
      </w:r>
      <w:r w:rsidRPr="00C436A2">
        <w:rPr>
          <w:rFonts w:ascii="Garamond" w:hAnsi="Garamond"/>
        </w:rPr>
        <w:t xml:space="preserve">), </w:t>
      </w:r>
      <w:r>
        <w:rPr>
          <w:rFonts w:ascii="Garamond" w:hAnsi="Garamond"/>
        </w:rPr>
        <w:t>Barta (2018)</w:t>
      </w:r>
    </w:p>
  </w:footnote>
  <w:footnote w:id="11">
    <w:p w14:paraId="5D03FFDB" w14:textId="27512023" w:rsidR="00A76124" w:rsidRPr="00C436A2" w:rsidRDefault="00A76124" w:rsidP="00653A9E">
      <w:pPr>
        <w:pStyle w:val="FootnoteText"/>
        <w:jc w:val="both"/>
        <w:rPr>
          <w:rFonts w:ascii="Garamond" w:hAnsi="Garamond"/>
        </w:rPr>
      </w:pPr>
      <w:r w:rsidRPr="00C436A2">
        <w:rPr>
          <w:rStyle w:val="FootnoteReference"/>
          <w:rFonts w:ascii="Garamond" w:hAnsi="Garamond"/>
        </w:rPr>
        <w:footnoteRef/>
      </w:r>
      <w:r w:rsidRPr="00C436A2">
        <w:rPr>
          <w:rFonts w:ascii="Garamond" w:hAnsi="Garamond"/>
        </w:rPr>
        <w:t xml:space="preserve"> </w:t>
      </w:r>
      <w:proofErr w:type="spellStart"/>
      <w:r w:rsidRPr="00C436A2">
        <w:rPr>
          <w:rFonts w:ascii="Garamond" w:hAnsi="Garamond" w:cs="Times New Roman"/>
        </w:rPr>
        <w:t>Bodea</w:t>
      </w:r>
      <w:proofErr w:type="spellEnd"/>
      <w:r w:rsidRPr="00C436A2">
        <w:rPr>
          <w:rFonts w:ascii="Garamond" w:hAnsi="Garamond" w:cs="Times New Roman"/>
        </w:rPr>
        <w:t xml:space="preserve"> and Hicks (2015) find no impact of central bank independence on yields in the context of developed countries. Poterba and Reuben (1999) and </w:t>
      </w:r>
      <w:proofErr w:type="spellStart"/>
      <w:r w:rsidRPr="00C436A2">
        <w:rPr>
          <w:rFonts w:ascii="Garamond" w:hAnsi="Garamond" w:cs="Times New Roman"/>
        </w:rPr>
        <w:t>Hallerberg</w:t>
      </w:r>
      <w:proofErr w:type="spellEnd"/>
      <w:r w:rsidRPr="00C436A2">
        <w:rPr>
          <w:rFonts w:ascii="Garamond" w:hAnsi="Garamond" w:cs="Times New Roman"/>
        </w:rPr>
        <w:t xml:space="preserve"> and Wolf (2008) find that effective fiscal institutions lead to lower yields. </w:t>
      </w:r>
    </w:p>
  </w:footnote>
  <w:footnote w:id="12">
    <w:p w14:paraId="016E10C9" w14:textId="2D20747E" w:rsidR="00A76124" w:rsidRDefault="00A76124" w:rsidP="00C436A2">
      <w:pPr>
        <w:pStyle w:val="FootnoteText"/>
        <w:jc w:val="both"/>
      </w:pPr>
      <w:r w:rsidRPr="00C436A2">
        <w:rPr>
          <w:rStyle w:val="FootnoteReference"/>
          <w:rFonts w:ascii="Garamond" w:hAnsi="Garamond"/>
        </w:rPr>
        <w:footnoteRef/>
      </w:r>
      <w:r>
        <w:rPr>
          <w:rFonts w:ascii="Garamond" w:hAnsi="Garamond"/>
        </w:rPr>
        <w:t xml:space="preserve"> </w:t>
      </w:r>
      <w:proofErr w:type="spellStart"/>
      <w:r>
        <w:rPr>
          <w:rFonts w:ascii="Garamond" w:hAnsi="Garamond"/>
        </w:rPr>
        <w:t>Höpner</w:t>
      </w:r>
      <w:proofErr w:type="spellEnd"/>
      <w:r>
        <w:rPr>
          <w:rFonts w:ascii="Garamond" w:hAnsi="Garamond"/>
        </w:rPr>
        <w:t xml:space="preserve"> and Sp</w:t>
      </w:r>
      <w:r w:rsidRPr="00C436A2">
        <w:rPr>
          <w:rFonts w:ascii="Garamond" w:hAnsi="Garamond"/>
        </w:rPr>
        <w:t>i</w:t>
      </w:r>
      <w:r>
        <w:rPr>
          <w:rFonts w:ascii="Garamond" w:hAnsi="Garamond"/>
        </w:rPr>
        <w:t>e</w:t>
      </w:r>
      <w:r w:rsidRPr="00C436A2">
        <w:rPr>
          <w:rFonts w:ascii="Garamond" w:hAnsi="Garamond"/>
        </w:rPr>
        <w:t xml:space="preserve">lau (2018) describe the political conflicts of negotiating realignments between supporters of a </w:t>
      </w:r>
      <w:r>
        <w:rPr>
          <w:rFonts w:ascii="Garamond" w:hAnsi="Garamond"/>
        </w:rPr>
        <w:t>‘</w:t>
      </w:r>
      <w:r w:rsidRPr="00C436A2">
        <w:rPr>
          <w:rFonts w:ascii="Garamond" w:hAnsi="Garamond"/>
        </w:rPr>
        <w:t>hard</w:t>
      </w:r>
      <w:r>
        <w:rPr>
          <w:rFonts w:ascii="Garamond" w:hAnsi="Garamond"/>
        </w:rPr>
        <w:t>’</w:t>
      </w:r>
      <w:r w:rsidRPr="00C436A2">
        <w:rPr>
          <w:rFonts w:ascii="Garamond" w:hAnsi="Garamond"/>
        </w:rPr>
        <w:t xml:space="preserve"> and </w:t>
      </w:r>
      <w:r>
        <w:rPr>
          <w:rFonts w:ascii="Garamond" w:hAnsi="Garamond"/>
        </w:rPr>
        <w:t>‘</w:t>
      </w:r>
      <w:r w:rsidRPr="00C436A2">
        <w:rPr>
          <w:rFonts w:ascii="Garamond" w:hAnsi="Garamond"/>
        </w:rPr>
        <w:t>soft</w:t>
      </w:r>
      <w:r>
        <w:rPr>
          <w:rFonts w:ascii="Garamond" w:hAnsi="Garamond"/>
        </w:rPr>
        <w:t>’</w:t>
      </w:r>
      <w:r w:rsidRPr="00C436A2">
        <w:rPr>
          <w:rFonts w:ascii="Garamond" w:hAnsi="Garamond"/>
        </w:rPr>
        <w:t xml:space="preserve"> currency policy within the EMS’s early years.</w:t>
      </w:r>
    </w:p>
  </w:footnote>
  <w:footnote w:id="13">
    <w:p w14:paraId="7FCDD620" w14:textId="0055B110" w:rsidR="00A76124" w:rsidRPr="008A16E9" w:rsidRDefault="00A76124">
      <w:pPr>
        <w:pStyle w:val="FootnoteText"/>
        <w:rPr>
          <w:rFonts w:ascii="Garamond" w:hAnsi="Garamond"/>
        </w:rPr>
      </w:pPr>
      <w:r>
        <w:rPr>
          <w:rStyle w:val="FootnoteReference"/>
        </w:rPr>
        <w:footnoteRef/>
      </w:r>
      <w:r>
        <w:t xml:space="preserve"> </w:t>
      </w:r>
      <w:r>
        <w:rPr>
          <w:rFonts w:ascii="Garamond" w:hAnsi="Garamond"/>
        </w:rPr>
        <w:t>Note, however, that the argument about information economizing (</w:t>
      </w:r>
      <w:r>
        <w:rPr>
          <w:rFonts w:ascii="Garamond" w:hAnsi="Garamond" w:cs="Times New Roman"/>
        </w:rPr>
        <w:t>Mosley 2003,</w:t>
      </w:r>
      <w:r w:rsidRPr="00614418">
        <w:rPr>
          <w:rFonts w:ascii="Garamond" w:hAnsi="Garamond" w:cs="Times New Roman"/>
        </w:rPr>
        <w:t xml:space="preserve"> Gray 2013, Brooks et al 2015</w:t>
      </w:r>
      <w:r>
        <w:rPr>
          <w:rFonts w:ascii="Garamond" w:hAnsi="Garamond" w:cs="Times New Roman"/>
        </w:rPr>
        <w:t>) suggests that markets may respond more strongly to certain key indicators (e.g. inflation) than to secondary indicators.</w:t>
      </w:r>
    </w:p>
  </w:footnote>
  <w:footnote w:id="14">
    <w:p w14:paraId="416E9AE5" w14:textId="4D2CC987" w:rsidR="00A76124" w:rsidRPr="009B7062" w:rsidRDefault="00A76124">
      <w:pPr>
        <w:pStyle w:val="FootnoteText"/>
        <w:rPr>
          <w:rFonts w:ascii="Garamond" w:hAnsi="Garamond"/>
        </w:rPr>
      </w:pPr>
      <w:r w:rsidRPr="009B7062">
        <w:rPr>
          <w:rStyle w:val="FootnoteReference"/>
          <w:rFonts w:ascii="Garamond" w:hAnsi="Garamond"/>
        </w:rPr>
        <w:footnoteRef/>
      </w:r>
      <w:r w:rsidRPr="009B7062">
        <w:rPr>
          <w:rFonts w:ascii="Garamond" w:hAnsi="Garamond"/>
        </w:rPr>
        <w:t xml:space="preserve"> </w:t>
      </w:r>
      <w:r w:rsidRPr="00DE6DE1">
        <w:rPr>
          <w:rFonts w:ascii="Garamond" w:hAnsi="Garamond"/>
        </w:rPr>
        <w:t>S</w:t>
      </w:r>
      <w:r w:rsidRPr="00633DE9">
        <w:rPr>
          <w:rFonts w:ascii="Garamond" w:hAnsi="Garamond"/>
        </w:rPr>
        <w:t>ee Barta 2018</w:t>
      </w:r>
      <w:r w:rsidRPr="009B7062">
        <w:rPr>
          <w:rFonts w:ascii="Garamond" w:hAnsi="Garamond"/>
        </w:rPr>
        <w:t>.</w:t>
      </w:r>
    </w:p>
  </w:footnote>
  <w:footnote w:id="15">
    <w:p w14:paraId="1E7D47AB" w14:textId="5BFBBD83" w:rsidR="00A76124" w:rsidRDefault="00A76124">
      <w:pPr>
        <w:pStyle w:val="FootnoteText"/>
      </w:pPr>
      <w:r>
        <w:rPr>
          <w:rStyle w:val="FootnoteReference"/>
        </w:rPr>
        <w:footnoteRef/>
      </w:r>
      <w:r>
        <w:t xml:space="preserve"> </w:t>
      </w:r>
      <w:r w:rsidRPr="008A16E9">
        <w:rPr>
          <w:rFonts w:ascii="Garamond" w:hAnsi="Garamond"/>
        </w:rPr>
        <w:t xml:space="preserve">Again, </w:t>
      </w:r>
      <w:r w:rsidRPr="00526F70">
        <w:rPr>
          <w:rFonts w:ascii="Garamond" w:hAnsi="Garamond"/>
        </w:rPr>
        <w:t xml:space="preserve">the </w:t>
      </w:r>
      <w:r>
        <w:rPr>
          <w:rFonts w:ascii="Garamond" w:hAnsi="Garamond"/>
        </w:rPr>
        <w:t xml:space="preserve">argument about information economizing </w:t>
      </w:r>
      <w:r>
        <w:rPr>
          <w:rFonts w:ascii="Garamond" w:hAnsi="Garamond" w:cs="Times New Roman"/>
        </w:rPr>
        <w:t xml:space="preserve">suggests that markets may respond more strongly to particular fiscal variables. </w:t>
      </w:r>
    </w:p>
  </w:footnote>
  <w:footnote w:id="16">
    <w:p w14:paraId="67E46BB9" w14:textId="4D0BCCE1" w:rsidR="00A76124" w:rsidRPr="00C546BD" w:rsidRDefault="00A76124" w:rsidP="00097AC3">
      <w:pPr>
        <w:pStyle w:val="FootnoteText"/>
        <w:jc w:val="both"/>
        <w:rPr>
          <w:rFonts w:ascii="Garamond" w:hAnsi="Garamond"/>
        </w:rPr>
      </w:pPr>
      <w:r w:rsidRPr="00C546BD">
        <w:rPr>
          <w:rStyle w:val="FootnoteReference"/>
          <w:rFonts w:ascii="Garamond" w:hAnsi="Garamond"/>
        </w:rPr>
        <w:footnoteRef/>
      </w:r>
      <w:r>
        <w:rPr>
          <w:rFonts w:ascii="Garamond" w:hAnsi="Garamond"/>
        </w:rPr>
        <w:t xml:space="preserve"> For an inventive new account of how investor perceptions change, and consensus is formed across markets, see </w:t>
      </w:r>
      <w:proofErr w:type="spellStart"/>
      <w:r>
        <w:rPr>
          <w:rFonts w:ascii="Garamond" w:hAnsi="Garamond"/>
        </w:rPr>
        <w:t>Beckert</w:t>
      </w:r>
      <w:proofErr w:type="spellEnd"/>
      <w:r>
        <w:rPr>
          <w:rFonts w:ascii="Garamond" w:hAnsi="Garamond"/>
        </w:rPr>
        <w:t xml:space="preserve"> and Arndt (forthcoming).</w:t>
      </w:r>
    </w:p>
  </w:footnote>
  <w:footnote w:id="17">
    <w:p w14:paraId="69C30822" w14:textId="77777777" w:rsidR="00A76124" w:rsidRPr="004B431D" w:rsidRDefault="00A76124" w:rsidP="008139F7">
      <w:pPr>
        <w:pStyle w:val="FootnoteText"/>
        <w:jc w:val="both"/>
        <w:rPr>
          <w:rFonts w:ascii="Garamond" w:hAnsi="Garamond" w:cs="Times New Roman"/>
        </w:rPr>
      </w:pPr>
      <w:r w:rsidRPr="004B431D">
        <w:rPr>
          <w:rStyle w:val="FootnoteReference"/>
          <w:rFonts w:ascii="Garamond" w:hAnsi="Garamond" w:cs="Times New Roman"/>
        </w:rPr>
        <w:footnoteRef/>
      </w:r>
      <w:r w:rsidRPr="004B431D">
        <w:rPr>
          <w:rFonts w:ascii="Garamond" w:hAnsi="Garamond" w:cs="Times New Roman"/>
        </w:rPr>
        <w:t xml:space="preserve"> These countries include Australia, Austria, Belgium, Canada, Denmark, Finland, France, Germany, Greece, Iceland, Ireland, Italy, Japan, Luxembourg, the Netherlands, New Zealand, Norway, Portugal, Spain, Sweden, Switzerland, the UK and the US.</w:t>
      </w:r>
    </w:p>
  </w:footnote>
  <w:footnote w:id="18">
    <w:p w14:paraId="6EDC9EA5" w14:textId="20BF1E7F" w:rsidR="00A76124" w:rsidRPr="001E3B79" w:rsidRDefault="00A76124" w:rsidP="00402E61">
      <w:pPr>
        <w:pStyle w:val="FootnoteText"/>
        <w:rPr>
          <w:rFonts w:ascii="Garamond" w:hAnsi="Garamond"/>
        </w:rPr>
      </w:pPr>
      <w:r w:rsidRPr="001E3B79">
        <w:rPr>
          <w:rStyle w:val="FootnoteReference"/>
          <w:rFonts w:ascii="Garamond" w:hAnsi="Garamond"/>
        </w:rPr>
        <w:footnoteRef/>
      </w:r>
      <w:r w:rsidRPr="001E3B79">
        <w:rPr>
          <w:rFonts w:ascii="Garamond" w:hAnsi="Garamond"/>
        </w:rPr>
        <w:t xml:space="preserve"> All countries have complete time series for nominal interest rate</w:t>
      </w:r>
      <w:r>
        <w:rPr>
          <w:rFonts w:ascii="Garamond" w:hAnsi="Garamond"/>
        </w:rPr>
        <w:t>s,</w:t>
      </w:r>
      <w:r w:rsidRPr="001E3B79">
        <w:rPr>
          <w:rFonts w:ascii="Garamond" w:hAnsi="Garamond"/>
        </w:rPr>
        <w:t xml:space="preserve"> except Iceland, which lacks interest rate data before 1994.</w:t>
      </w:r>
    </w:p>
  </w:footnote>
  <w:footnote w:id="19">
    <w:p w14:paraId="44BA726A" w14:textId="641EF15B" w:rsidR="00A76124" w:rsidRPr="00C4597D" w:rsidRDefault="00A76124" w:rsidP="00C4597D">
      <w:pPr>
        <w:pStyle w:val="FootnoteText"/>
        <w:jc w:val="both"/>
        <w:rPr>
          <w:rFonts w:ascii="Garamond" w:hAnsi="Garamond" w:cs="Times New Roman"/>
        </w:rPr>
      </w:pPr>
      <w:r w:rsidRPr="00C4597D">
        <w:rPr>
          <w:rStyle w:val="FootnoteReference"/>
          <w:rFonts w:ascii="Garamond" w:hAnsi="Garamond" w:cs="Times New Roman"/>
        </w:rPr>
        <w:footnoteRef/>
      </w:r>
      <w:r>
        <w:rPr>
          <w:rFonts w:ascii="Garamond" w:hAnsi="Garamond" w:cs="Times New Roman"/>
        </w:rPr>
        <w:t xml:space="preserve"> This 'other'</w:t>
      </w:r>
      <w:r w:rsidRPr="00C4597D">
        <w:rPr>
          <w:rFonts w:ascii="Garamond" w:hAnsi="Garamond" w:cs="Times New Roman"/>
        </w:rPr>
        <w:t xml:space="preserve"> category captures residual arrangements that do not fit into other classification schemes. Within our sample, only Switzerland fell into this category (</w:t>
      </w:r>
      <w:r>
        <w:rPr>
          <w:rFonts w:ascii="Garamond" w:hAnsi="Garamond" w:cs="Times New Roman"/>
        </w:rPr>
        <w:t>only</w:t>
      </w:r>
      <w:r w:rsidRPr="00C4597D">
        <w:rPr>
          <w:rFonts w:ascii="Garamond" w:hAnsi="Garamond" w:cs="Times New Roman"/>
        </w:rPr>
        <w:t xml:space="preserve"> for the years 2011 and 2012). In 2011 and 2012, the Swiss National Bank established a minimum exchange rate for the Swiss Fran</w:t>
      </w:r>
      <w:r>
        <w:rPr>
          <w:rFonts w:ascii="Garamond" w:hAnsi="Garamond" w:cs="Times New Roman"/>
        </w:rPr>
        <w:t>c</w:t>
      </w:r>
      <w:r w:rsidRPr="00C4597D">
        <w:rPr>
          <w:rFonts w:ascii="Garamond" w:hAnsi="Garamond" w:cs="Times New Roman"/>
        </w:rPr>
        <w:t xml:space="preserve"> vis-à-vis the Euro to combat significant overvaluation of </w:t>
      </w:r>
      <w:r>
        <w:rPr>
          <w:rFonts w:ascii="Garamond" w:hAnsi="Garamond" w:cs="Times New Roman"/>
        </w:rPr>
        <w:t>its</w:t>
      </w:r>
      <w:r w:rsidRPr="00C4597D">
        <w:rPr>
          <w:rFonts w:ascii="Garamond" w:hAnsi="Garamond" w:cs="Times New Roman"/>
        </w:rPr>
        <w:t xml:space="preserve"> currency (IMF 2012: 13).  This managed arrangement was abandoned for a crawl-like peg in May 2013, which in turn was abandoned for a floating exchange rate regime in January 2015 (IMF 2014 and 2016). </w:t>
      </w:r>
    </w:p>
  </w:footnote>
  <w:footnote w:id="20">
    <w:p w14:paraId="3FC4194F" w14:textId="121E191C" w:rsidR="00A76124" w:rsidRPr="005F46D6" w:rsidRDefault="00A76124" w:rsidP="00C4597D">
      <w:pPr>
        <w:pStyle w:val="FootnoteText"/>
        <w:jc w:val="both"/>
        <w:rPr>
          <w:rFonts w:ascii="Times New Roman" w:hAnsi="Times New Roman" w:cs="Times New Roman"/>
        </w:rPr>
      </w:pPr>
      <w:r w:rsidRPr="00C4597D">
        <w:rPr>
          <w:rStyle w:val="FootnoteReference"/>
          <w:rFonts w:ascii="Garamond" w:hAnsi="Garamond" w:cs="Times New Roman"/>
        </w:rPr>
        <w:footnoteRef/>
      </w:r>
      <w:r w:rsidRPr="00C4597D">
        <w:rPr>
          <w:rFonts w:ascii="Garamond" w:hAnsi="Garamond" w:cs="Times New Roman"/>
        </w:rPr>
        <w:t xml:space="preserve"> Realignments occur in fixed pegs, but they usually require the agreement of all parties, which makes adjustment more difficult (see </w:t>
      </w:r>
      <w:proofErr w:type="spellStart"/>
      <w:r w:rsidRPr="00C4597D">
        <w:rPr>
          <w:rFonts w:ascii="Garamond" w:hAnsi="Garamond" w:cs="Times New Roman"/>
        </w:rPr>
        <w:t>Höpner</w:t>
      </w:r>
      <w:proofErr w:type="spellEnd"/>
      <w:r w:rsidRPr="00C4597D">
        <w:rPr>
          <w:rFonts w:ascii="Garamond" w:hAnsi="Garamond" w:cs="Times New Roman"/>
        </w:rPr>
        <w:t xml:space="preserve"> and Spielau 2018).</w:t>
      </w:r>
    </w:p>
  </w:footnote>
  <w:footnote w:id="21">
    <w:p w14:paraId="0A976334" w14:textId="243B6CC3" w:rsidR="00A76124" w:rsidRPr="009B7062" w:rsidRDefault="00A76124">
      <w:pPr>
        <w:pStyle w:val="FootnoteText"/>
        <w:rPr>
          <w:rFonts w:ascii="Garamond" w:hAnsi="Garamond"/>
        </w:rPr>
      </w:pPr>
      <w:r w:rsidRPr="009B7062">
        <w:rPr>
          <w:rStyle w:val="FootnoteReference"/>
          <w:rFonts w:ascii="Garamond" w:hAnsi="Garamond"/>
        </w:rPr>
        <w:footnoteRef/>
      </w:r>
      <w:r w:rsidRPr="009B7062">
        <w:rPr>
          <w:rFonts w:ascii="Garamond" w:hAnsi="Garamond"/>
        </w:rPr>
        <w:t xml:space="preserve"> Data for taxation and discretionary types of social spending (such as spending on social services, health, education and public goods) are subject to much more pervasive missing data problems, particularly before 1995, in the OECD and EU AMECO macroeconomic databases</w:t>
      </w:r>
      <w:r>
        <w:rPr>
          <w:rFonts w:ascii="Garamond" w:hAnsi="Garamond"/>
        </w:rPr>
        <w:t>.</w:t>
      </w:r>
    </w:p>
  </w:footnote>
  <w:footnote w:id="22">
    <w:p w14:paraId="0498B0D8" w14:textId="62255AF5" w:rsidR="00A76124" w:rsidRPr="00653A9E" w:rsidRDefault="00A76124" w:rsidP="00C4597D">
      <w:pPr>
        <w:pStyle w:val="FootnoteText"/>
        <w:jc w:val="both"/>
        <w:rPr>
          <w:rFonts w:ascii="Garamond" w:hAnsi="Garamond"/>
        </w:rPr>
      </w:pPr>
      <w:r w:rsidRPr="00653A9E">
        <w:rPr>
          <w:rStyle w:val="FootnoteReference"/>
          <w:rFonts w:ascii="Garamond" w:hAnsi="Garamond"/>
        </w:rPr>
        <w:footnoteRef/>
      </w:r>
      <w:r w:rsidRPr="00653A9E">
        <w:rPr>
          <w:rFonts w:ascii="Garamond" w:hAnsi="Garamond"/>
        </w:rPr>
        <w:t xml:space="preserve"> Positive/negative values indicate a fiscal deficit/surplus.</w:t>
      </w:r>
    </w:p>
  </w:footnote>
  <w:footnote w:id="23">
    <w:p w14:paraId="780633D9" w14:textId="7C9ABCE4" w:rsidR="00A76124" w:rsidRPr="00653A9E" w:rsidRDefault="00A76124" w:rsidP="00653A9E">
      <w:pPr>
        <w:pStyle w:val="FootnoteText"/>
        <w:jc w:val="both"/>
        <w:rPr>
          <w:rFonts w:ascii="Garamond" w:hAnsi="Garamond"/>
        </w:rPr>
      </w:pPr>
      <w:r w:rsidRPr="00653A9E">
        <w:rPr>
          <w:rStyle w:val="FootnoteReference"/>
          <w:rFonts w:ascii="Garamond" w:hAnsi="Garamond"/>
        </w:rPr>
        <w:footnoteRef/>
      </w:r>
      <w:r w:rsidRPr="00653A9E">
        <w:rPr>
          <w:rFonts w:ascii="Garamond" w:hAnsi="Garamond"/>
        </w:rPr>
        <w:t xml:space="preserve"> While government debt data is complete for all countries within our sample, the database lacks fiscal deficit data only for New Zealand until 1985 and Switzerland until 1989.  For this reason, we use government debt</w:t>
      </w:r>
      <w:r>
        <w:rPr>
          <w:rFonts w:ascii="Garamond" w:hAnsi="Garamond"/>
        </w:rPr>
        <w:t>, rather than the fiscal deficit,</w:t>
      </w:r>
      <w:r w:rsidRPr="00653A9E">
        <w:rPr>
          <w:rFonts w:ascii="Garamond" w:hAnsi="Garamond"/>
        </w:rPr>
        <w:t xml:space="preserve"> as our </w:t>
      </w:r>
      <w:r>
        <w:rPr>
          <w:rFonts w:ascii="Garamond" w:hAnsi="Garamond"/>
        </w:rPr>
        <w:t xml:space="preserve">main </w:t>
      </w:r>
      <w:r w:rsidRPr="00653A9E">
        <w:rPr>
          <w:rFonts w:ascii="Garamond" w:hAnsi="Garamond"/>
        </w:rPr>
        <w:t xml:space="preserve">control for a country’s creditworthiness in the other moving window analyses.  </w:t>
      </w:r>
    </w:p>
  </w:footnote>
  <w:footnote w:id="24">
    <w:p w14:paraId="661957AD" w14:textId="32988DAA" w:rsidR="00A76124" w:rsidRPr="00C4597D" w:rsidRDefault="00A76124" w:rsidP="00C4597D">
      <w:pPr>
        <w:pStyle w:val="FootnoteText"/>
        <w:jc w:val="both"/>
        <w:rPr>
          <w:rFonts w:ascii="Garamond" w:hAnsi="Garamond" w:cs="Times New Roman"/>
        </w:rPr>
      </w:pPr>
      <w:r w:rsidRPr="00C4597D">
        <w:rPr>
          <w:rStyle w:val="FootnoteReference"/>
          <w:rFonts w:ascii="Garamond" w:hAnsi="Garamond" w:cs="Times New Roman"/>
        </w:rPr>
        <w:footnoteRef/>
      </w:r>
      <w:r w:rsidRPr="00C4597D">
        <w:rPr>
          <w:rFonts w:ascii="Garamond" w:hAnsi="Garamond" w:cs="Times New Roman"/>
        </w:rPr>
        <w:t xml:space="preserve"> Data</w:t>
      </w:r>
      <w:r>
        <w:rPr>
          <w:rFonts w:ascii="Garamond" w:hAnsi="Garamond" w:cs="Times New Roman"/>
        </w:rPr>
        <w:t xml:space="preserve"> is</w:t>
      </w:r>
      <w:r w:rsidRPr="00C4597D">
        <w:rPr>
          <w:rFonts w:ascii="Garamond" w:hAnsi="Garamond" w:cs="Times New Roman"/>
        </w:rPr>
        <w:t xml:space="preserve"> taken from the OECD (2019)</w:t>
      </w:r>
    </w:p>
  </w:footnote>
  <w:footnote w:id="25">
    <w:p w14:paraId="75457C0F" w14:textId="4154DE61" w:rsidR="00A76124" w:rsidRPr="00C4597D" w:rsidRDefault="00A76124" w:rsidP="00C4597D">
      <w:pPr>
        <w:pStyle w:val="FootnoteText"/>
        <w:jc w:val="both"/>
        <w:rPr>
          <w:rFonts w:ascii="Garamond" w:hAnsi="Garamond" w:cs="Times New Roman"/>
        </w:rPr>
      </w:pPr>
      <w:r w:rsidRPr="00C4597D">
        <w:rPr>
          <w:rStyle w:val="FootnoteReference"/>
          <w:rFonts w:ascii="Garamond" w:hAnsi="Garamond" w:cs="Times New Roman"/>
        </w:rPr>
        <w:footnoteRef/>
      </w:r>
      <w:r w:rsidRPr="00C4597D">
        <w:rPr>
          <w:rFonts w:ascii="Garamond" w:hAnsi="Garamond" w:cs="Times New Roman"/>
        </w:rPr>
        <w:t xml:space="preserve"> We take the first difference of unemployment because its time series is non-stationary across our panel. Data </w:t>
      </w:r>
      <w:r>
        <w:rPr>
          <w:rFonts w:ascii="Garamond" w:hAnsi="Garamond" w:cs="Times New Roman"/>
        </w:rPr>
        <w:t xml:space="preserve">is </w:t>
      </w:r>
      <w:r w:rsidRPr="00C4597D">
        <w:rPr>
          <w:rFonts w:ascii="Garamond" w:hAnsi="Garamond" w:cs="Times New Roman"/>
        </w:rPr>
        <w:t>taken from the European Commission’s (2020) AMECO Database.</w:t>
      </w:r>
    </w:p>
  </w:footnote>
  <w:footnote w:id="26">
    <w:p w14:paraId="05B54117" w14:textId="475A1AE5" w:rsidR="00A76124" w:rsidRPr="00C4597D" w:rsidRDefault="00A76124" w:rsidP="00C4597D">
      <w:pPr>
        <w:pStyle w:val="FootnoteText"/>
        <w:jc w:val="both"/>
        <w:rPr>
          <w:rFonts w:ascii="Garamond" w:hAnsi="Garamond" w:cs="Times New Roman"/>
        </w:rPr>
      </w:pPr>
      <w:r w:rsidRPr="00C4597D">
        <w:rPr>
          <w:rStyle w:val="FootnoteReference"/>
          <w:rFonts w:ascii="Garamond" w:hAnsi="Garamond" w:cs="Times New Roman"/>
        </w:rPr>
        <w:footnoteRef/>
      </w:r>
      <w:r w:rsidRPr="00C4597D">
        <w:rPr>
          <w:rFonts w:ascii="Garamond" w:hAnsi="Garamond" w:cs="Times New Roman"/>
        </w:rPr>
        <w:t xml:space="preserve"> Data</w:t>
      </w:r>
      <w:r>
        <w:rPr>
          <w:rFonts w:ascii="Garamond" w:hAnsi="Garamond" w:cs="Times New Roman"/>
        </w:rPr>
        <w:t xml:space="preserve"> is</w:t>
      </w:r>
      <w:r w:rsidRPr="00C4597D">
        <w:rPr>
          <w:rFonts w:ascii="Garamond" w:hAnsi="Garamond" w:cs="Times New Roman"/>
        </w:rPr>
        <w:t xml:space="preserve"> taken from the European Commission’s (2020) AMECO Database, and the OECD (2020</w:t>
      </w:r>
      <w:r>
        <w:rPr>
          <w:rFonts w:ascii="Garamond" w:hAnsi="Garamond" w:cs="Times New Roman"/>
        </w:rPr>
        <w:t>c</w:t>
      </w:r>
      <w:r w:rsidRPr="00C4597D">
        <w:rPr>
          <w:rFonts w:ascii="Garamond" w:hAnsi="Garamond" w:cs="Times New Roman"/>
        </w:rPr>
        <w:t>).</w:t>
      </w:r>
    </w:p>
  </w:footnote>
  <w:footnote w:id="27">
    <w:p w14:paraId="7A15BD12" w14:textId="2BDD4851" w:rsidR="00A76124" w:rsidRPr="00C436A2" w:rsidRDefault="00A76124" w:rsidP="00C436A2">
      <w:pPr>
        <w:pStyle w:val="FootnoteText"/>
        <w:jc w:val="both"/>
        <w:rPr>
          <w:rFonts w:ascii="Garamond" w:hAnsi="Garamond"/>
        </w:rPr>
      </w:pPr>
      <w:r w:rsidRPr="00C436A2">
        <w:rPr>
          <w:rStyle w:val="FootnoteReference"/>
          <w:rFonts w:ascii="Garamond" w:hAnsi="Garamond"/>
        </w:rPr>
        <w:footnoteRef/>
      </w:r>
      <w:r w:rsidRPr="00C436A2">
        <w:rPr>
          <w:rFonts w:ascii="Garamond" w:hAnsi="Garamond"/>
        </w:rPr>
        <w:t xml:space="preserve"> </w:t>
      </w:r>
      <w:r w:rsidRPr="00C436A2">
        <w:rPr>
          <w:rFonts w:ascii="Garamond" w:eastAsiaTheme="minorEastAsia" w:hAnsi="Garamond" w:cs="Times New Roman"/>
        </w:rPr>
        <w:t>Countries may be present in the results of two different exchange rate regimes within multiple windows if they leave one for the other during the 20-year period.</w:t>
      </w:r>
    </w:p>
  </w:footnote>
  <w:footnote w:id="28">
    <w:p w14:paraId="539C1DCB" w14:textId="5B45828D" w:rsidR="00A76124" w:rsidRPr="00B24913" w:rsidRDefault="00A76124" w:rsidP="00B24913">
      <w:pPr>
        <w:pStyle w:val="FootnoteText"/>
        <w:jc w:val="both"/>
        <w:rPr>
          <w:rFonts w:ascii="Garamond" w:hAnsi="Garamond"/>
        </w:rPr>
      </w:pPr>
      <w:r w:rsidRPr="00B24913">
        <w:rPr>
          <w:rStyle w:val="FootnoteReference"/>
          <w:rFonts w:ascii="Garamond" w:hAnsi="Garamond"/>
        </w:rPr>
        <w:footnoteRef/>
      </w:r>
      <w:r w:rsidRPr="00B24913">
        <w:rPr>
          <w:rFonts w:ascii="Garamond" w:hAnsi="Garamond"/>
        </w:rPr>
        <w:t xml:space="preserve"> </w:t>
      </w:r>
      <w:r w:rsidRPr="00B24913">
        <w:rPr>
          <w:rFonts w:ascii="Garamond" w:hAnsi="Garamond" w:cs="Times New Roman"/>
        </w:rPr>
        <w:t>The wide confidence interval for the first window is due</w:t>
      </w:r>
      <w:r>
        <w:rPr>
          <w:rFonts w:ascii="Garamond" w:hAnsi="Garamond" w:cs="Times New Roman"/>
        </w:rPr>
        <w:t xml:space="preserve"> </w:t>
      </w:r>
      <w:r w:rsidRPr="00B24913">
        <w:rPr>
          <w:rFonts w:ascii="Garamond" w:hAnsi="Garamond" w:cs="Times New Roman"/>
        </w:rPr>
        <w:t>to the fact that this window contains only the first year of monetary union: 1999.</w:t>
      </w:r>
    </w:p>
  </w:footnote>
  <w:footnote w:id="29">
    <w:p w14:paraId="5508F73A" w14:textId="27B613FA" w:rsidR="00A76124" w:rsidRPr="008A16E9" w:rsidRDefault="00A76124">
      <w:pPr>
        <w:pStyle w:val="FootnoteText"/>
        <w:rPr>
          <w:rFonts w:ascii="Garamond" w:hAnsi="Garamond"/>
        </w:rPr>
      </w:pPr>
      <w:r w:rsidRPr="008A16E9">
        <w:rPr>
          <w:rStyle w:val="FootnoteReference"/>
          <w:rFonts w:ascii="Garamond" w:hAnsi="Garamond"/>
        </w:rPr>
        <w:footnoteRef/>
      </w:r>
      <w:r w:rsidRPr="008A16E9">
        <w:rPr>
          <w:rFonts w:ascii="Garamond" w:hAnsi="Garamond"/>
        </w:rPr>
        <w:t xml:space="preserve"> However, they are in line with the information</w:t>
      </w:r>
      <w:r>
        <w:rPr>
          <w:rFonts w:ascii="Garamond" w:hAnsi="Garamond"/>
        </w:rPr>
        <w:t xml:space="preserve">-economizing </w:t>
      </w:r>
      <w:r w:rsidRPr="008A16E9">
        <w:rPr>
          <w:rFonts w:ascii="Garamond" w:hAnsi="Garamond"/>
        </w:rPr>
        <w:t>hypothesis that markets do not penalize other possible determinants of country risk once the key indicator (in this case inflation) is controlled for.</w:t>
      </w:r>
    </w:p>
  </w:footnote>
  <w:footnote w:id="30">
    <w:p w14:paraId="6C6890FF" w14:textId="0F291845" w:rsidR="00A76124" w:rsidRPr="00186E14" w:rsidRDefault="00A76124">
      <w:pPr>
        <w:pStyle w:val="FootnoteText"/>
        <w:rPr>
          <w:rFonts w:ascii="Garamond" w:hAnsi="Garamond"/>
        </w:rPr>
      </w:pPr>
      <w:r w:rsidRPr="00186E14">
        <w:rPr>
          <w:rStyle w:val="FootnoteReference"/>
          <w:rFonts w:ascii="Garamond" w:hAnsi="Garamond"/>
        </w:rPr>
        <w:footnoteRef/>
      </w:r>
      <w:r w:rsidRPr="00186E14">
        <w:rPr>
          <w:rFonts w:ascii="Garamond" w:hAnsi="Garamond"/>
        </w:rPr>
        <w:t xml:space="preserve"> </w:t>
      </w:r>
      <w:r>
        <w:rPr>
          <w:rFonts w:ascii="Garamond" w:hAnsi="Garamond"/>
        </w:rPr>
        <w:t>W</w:t>
      </w:r>
      <w:r w:rsidRPr="00186E14">
        <w:rPr>
          <w:rFonts w:ascii="Garamond" w:hAnsi="Garamond"/>
        </w:rPr>
        <w:t>hen capital account (financial) openness is controlled for, the effect of social spending on bond yields for countries in fixed pegs becomes non-significant for all windows (the results for countries in monetary union continue to hold – see Figure B.4 in Appendix B).</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26C5E"/>
    <w:multiLevelType w:val="hybridMultilevel"/>
    <w:tmpl w:val="4DBC875C"/>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07D363C3"/>
    <w:multiLevelType w:val="hybridMultilevel"/>
    <w:tmpl w:val="7422A78E"/>
    <w:lvl w:ilvl="0" w:tplc="313C537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77227F"/>
    <w:multiLevelType w:val="hybridMultilevel"/>
    <w:tmpl w:val="5BECD5E6"/>
    <w:lvl w:ilvl="0" w:tplc="D5FA4E7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75E745B"/>
    <w:multiLevelType w:val="hybridMultilevel"/>
    <w:tmpl w:val="2ECCB0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9D2A67"/>
    <w:multiLevelType w:val="hybridMultilevel"/>
    <w:tmpl w:val="33DCCFA4"/>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60473CD9"/>
    <w:multiLevelType w:val="hybridMultilevel"/>
    <w:tmpl w:val="D248BD2C"/>
    <w:lvl w:ilvl="0" w:tplc="1E68E36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FEC49E1"/>
    <w:multiLevelType w:val="hybridMultilevel"/>
    <w:tmpl w:val="9AB80DFC"/>
    <w:lvl w:ilvl="0" w:tplc="100C0011">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6"/>
  </w:num>
  <w:num w:numId="5">
    <w:abstractNumId w:val="0"/>
  </w:num>
  <w:num w:numId="6">
    <w:abstractNumId w:val="4"/>
  </w:num>
  <w:num w:numId="7">
    <w:abstractNumId w:val="3"/>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mer Sociological Review&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92rvefpz8s0008ezfp8v5a2tz9xt2dv5x925&quot;&gt;Full Bibliography 2011-Saved&lt;record-ids&gt;&lt;item&gt;643&lt;/item&gt;&lt;item&gt;1613&lt;/item&gt;&lt;item&gt;2951&lt;/item&gt;&lt;item&gt;7122&lt;/item&gt;&lt;item&gt;8177&lt;/item&gt;&lt;item&gt;8374&lt;/item&gt;&lt;item&gt;9852&lt;/item&gt;&lt;item&gt;10072&lt;/item&gt;&lt;item&gt;10325&lt;/item&gt;&lt;item&gt;10542&lt;/item&gt;&lt;item&gt;10634&lt;/item&gt;&lt;item&gt;10821&lt;/item&gt;&lt;item&gt;10844&lt;/item&gt;&lt;item&gt;10859&lt;/item&gt;&lt;item&gt;10862&lt;/item&gt;&lt;/record-ids&gt;&lt;/item&gt;&lt;/Libraries&gt;"/>
  </w:docVars>
  <w:rsids>
    <w:rsidRoot w:val="002E0DFF"/>
    <w:rsid w:val="00000E43"/>
    <w:rsid w:val="000015A4"/>
    <w:rsid w:val="00001B48"/>
    <w:rsid w:val="00001DA0"/>
    <w:rsid w:val="0000280E"/>
    <w:rsid w:val="0001070F"/>
    <w:rsid w:val="00027716"/>
    <w:rsid w:val="00032434"/>
    <w:rsid w:val="00032923"/>
    <w:rsid w:val="000331A8"/>
    <w:rsid w:val="00033870"/>
    <w:rsid w:val="000343F1"/>
    <w:rsid w:val="000350F4"/>
    <w:rsid w:val="000438AD"/>
    <w:rsid w:val="000450F7"/>
    <w:rsid w:val="000467CB"/>
    <w:rsid w:val="000478DC"/>
    <w:rsid w:val="00050B80"/>
    <w:rsid w:val="00052CD1"/>
    <w:rsid w:val="00053917"/>
    <w:rsid w:val="00057A87"/>
    <w:rsid w:val="00060DDC"/>
    <w:rsid w:val="000617D1"/>
    <w:rsid w:val="00061BE9"/>
    <w:rsid w:val="00067C90"/>
    <w:rsid w:val="00067CA5"/>
    <w:rsid w:val="00077302"/>
    <w:rsid w:val="00080C7F"/>
    <w:rsid w:val="000866E5"/>
    <w:rsid w:val="00086AE8"/>
    <w:rsid w:val="000875A7"/>
    <w:rsid w:val="00087B28"/>
    <w:rsid w:val="000903A9"/>
    <w:rsid w:val="0009326C"/>
    <w:rsid w:val="00093B17"/>
    <w:rsid w:val="00097AC3"/>
    <w:rsid w:val="000A1DDD"/>
    <w:rsid w:val="000A2031"/>
    <w:rsid w:val="000B31B2"/>
    <w:rsid w:val="000B48E5"/>
    <w:rsid w:val="000C23E6"/>
    <w:rsid w:val="000C33C8"/>
    <w:rsid w:val="000C368D"/>
    <w:rsid w:val="000C71CA"/>
    <w:rsid w:val="000C732B"/>
    <w:rsid w:val="000D082B"/>
    <w:rsid w:val="000D368A"/>
    <w:rsid w:val="000D5FD0"/>
    <w:rsid w:val="000D629A"/>
    <w:rsid w:val="000E16F7"/>
    <w:rsid w:val="000E1B18"/>
    <w:rsid w:val="000E1EA1"/>
    <w:rsid w:val="000E301C"/>
    <w:rsid w:val="000E4D02"/>
    <w:rsid w:val="000E5108"/>
    <w:rsid w:val="000E6909"/>
    <w:rsid w:val="000F1DA3"/>
    <w:rsid w:val="000F2722"/>
    <w:rsid w:val="000F29C7"/>
    <w:rsid w:val="000F48D8"/>
    <w:rsid w:val="000F49CD"/>
    <w:rsid w:val="0010650C"/>
    <w:rsid w:val="0010753D"/>
    <w:rsid w:val="001077BE"/>
    <w:rsid w:val="00111A13"/>
    <w:rsid w:val="00120A48"/>
    <w:rsid w:val="001233BB"/>
    <w:rsid w:val="00131BA8"/>
    <w:rsid w:val="00133B31"/>
    <w:rsid w:val="00133FD3"/>
    <w:rsid w:val="001354F2"/>
    <w:rsid w:val="00136193"/>
    <w:rsid w:val="00137FE8"/>
    <w:rsid w:val="001400F2"/>
    <w:rsid w:val="00141CE4"/>
    <w:rsid w:val="00145E37"/>
    <w:rsid w:val="00153E12"/>
    <w:rsid w:val="0015482A"/>
    <w:rsid w:val="00156729"/>
    <w:rsid w:val="00156926"/>
    <w:rsid w:val="0015797E"/>
    <w:rsid w:val="00161F38"/>
    <w:rsid w:val="00165E69"/>
    <w:rsid w:val="00166A72"/>
    <w:rsid w:val="001706F2"/>
    <w:rsid w:val="00172529"/>
    <w:rsid w:val="001740CF"/>
    <w:rsid w:val="00177B57"/>
    <w:rsid w:val="00181D77"/>
    <w:rsid w:val="00186E14"/>
    <w:rsid w:val="001916D6"/>
    <w:rsid w:val="00192138"/>
    <w:rsid w:val="0019223A"/>
    <w:rsid w:val="00194A3E"/>
    <w:rsid w:val="001A1449"/>
    <w:rsid w:val="001A3299"/>
    <w:rsid w:val="001A5F4B"/>
    <w:rsid w:val="001A7DE1"/>
    <w:rsid w:val="001B37EC"/>
    <w:rsid w:val="001B7887"/>
    <w:rsid w:val="001C0970"/>
    <w:rsid w:val="001C0A9C"/>
    <w:rsid w:val="001C3072"/>
    <w:rsid w:val="001D4CE8"/>
    <w:rsid w:val="001D54AE"/>
    <w:rsid w:val="001D6D7C"/>
    <w:rsid w:val="001E0B20"/>
    <w:rsid w:val="001E63F0"/>
    <w:rsid w:val="001F2051"/>
    <w:rsid w:val="001F3A3D"/>
    <w:rsid w:val="001F5A6A"/>
    <w:rsid w:val="00204B7E"/>
    <w:rsid w:val="0021081B"/>
    <w:rsid w:val="002131EB"/>
    <w:rsid w:val="00220AA6"/>
    <w:rsid w:val="00222CF6"/>
    <w:rsid w:val="00223F1A"/>
    <w:rsid w:val="002271F7"/>
    <w:rsid w:val="002275A3"/>
    <w:rsid w:val="00232B55"/>
    <w:rsid w:val="00233D9D"/>
    <w:rsid w:val="0023787E"/>
    <w:rsid w:val="0024018E"/>
    <w:rsid w:val="00247A01"/>
    <w:rsid w:val="0025118A"/>
    <w:rsid w:val="00252649"/>
    <w:rsid w:val="00252C98"/>
    <w:rsid w:val="002544BA"/>
    <w:rsid w:val="00256141"/>
    <w:rsid w:val="00262ECE"/>
    <w:rsid w:val="0026766C"/>
    <w:rsid w:val="002704EB"/>
    <w:rsid w:val="00270CA3"/>
    <w:rsid w:val="00271848"/>
    <w:rsid w:val="002719B2"/>
    <w:rsid w:val="00271ECB"/>
    <w:rsid w:val="0027377F"/>
    <w:rsid w:val="00276229"/>
    <w:rsid w:val="00276938"/>
    <w:rsid w:val="002812D8"/>
    <w:rsid w:val="002901CD"/>
    <w:rsid w:val="002943FA"/>
    <w:rsid w:val="00295841"/>
    <w:rsid w:val="00297526"/>
    <w:rsid w:val="002B1DB7"/>
    <w:rsid w:val="002B21CC"/>
    <w:rsid w:val="002C08F3"/>
    <w:rsid w:val="002C1222"/>
    <w:rsid w:val="002C14FC"/>
    <w:rsid w:val="002C53CA"/>
    <w:rsid w:val="002D32D0"/>
    <w:rsid w:val="002D4A51"/>
    <w:rsid w:val="002E0DFF"/>
    <w:rsid w:val="002E226D"/>
    <w:rsid w:val="002E3232"/>
    <w:rsid w:val="002E3DF0"/>
    <w:rsid w:val="002F2AB9"/>
    <w:rsid w:val="002F2B27"/>
    <w:rsid w:val="002F337F"/>
    <w:rsid w:val="002F77A3"/>
    <w:rsid w:val="003023B4"/>
    <w:rsid w:val="003034FE"/>
    <w:rsid w:val="00305BE1"/>
    <w:rsid w:val="0030757C"/>
    <w:rsid w:val="003112F2"/>
    <w:rsid w:val="0031361E"/>
    <w:rsid w:val="00314B03"/>
    <w:rsid w:val="00316BBB"/>
    <w:rsid w:val="00316CD7"/>
    <w:rsid w:val="00321203"/>
    <w:rsid w:val="00321D60"/>
    <w:rsid w:val="003223BC"/>
    <w:rsid w:val="0032279E"/>
    <w:rsid w:val="0032425F"/>
    <w:rsid w:val="00331F55"/>
    <w:rsid w:val="003449B4"/>
    <w:rsid w:val="003476F4"/>
    <w:rsid w:val="003534FF"/>
    <w:rsid w:val="00356F42"/>
    <w:rsid w:val="003615E0"/>
    <w:rsid w:val="00370C07"/>
    <w:rsid w:val="003711C2"/>
    <w:rsid w:val="003720BF"/>
    <w:rsid w:val="00373B9D"/>
    <w:rsid w:val="00374928"/>
    <w:rsid w:val="0037516B"/>
    <w:rsid w:val="0038230A"/>
    <w:rsid w:val="00386ACF"/>
    <w:rsid w:val="00387A72"/>
    <w:rsid w:val="003901B4"/>
    <w:rsid w:val="00393682"/>
    <w:rsid w:val="003946A4"/>
    <w:rsid w:val="00396089"/>
    <w:rsid w:val="00396C3E"/>
    <w:rsid w:val="003A1750"/>
    <w:rsid w:val="003A54DF"/>
    <w:rsid w:val="003A6A2D"/>
    <w:rsid w:val="003A79C2"/>
    <w:rsid w:val="003B0DD6"/>
    <w:rsid w:val="003B506F"/>
    <w:rsid w:val="003C3FB4"/>
    <w:rsid w:val="003C3FE1"/>
    <w:rsid w:val="003C5E8C"/>
    <w:rsid w:val="003C74D4"/>
    <w:rsid w:val="003D0613"/>
    <w:rsid w:val="003D3427"/>
    <w:rsid w:val="003D5A63"/>
    <w:rsid w:val="003D6438"/>
    <w:rsid w:val="003E5A42"/>
    <w:rsid w:val="003E606E"/>
    <w:rsid w:val="003E7B0A"/>
    <w:rsid w:val="003F2902"/>
    <w:rsid w:val="00402DAA"/>
    <w:rsid w:val="00402E61"/>
    <w:rsid w:val="004035B8"/>
    <w:rsid w:val="00403E0E"/>
    <w:rsid w:val="00404698"/>
    <w:rsid w:val="00406D5D"/>
    <w:rsid w:val="00415D89"/>
    <w:rsid w:val="00424680"/>
    <w:rsid w:val="004307B8"/>
    <w:rsid w:val="00432D42"/>
    <w:rsid w:val="00434609"/>
    <w:rsid w:val="0044789B"/>
    <w:rsid w:val="00450722"/>
    <w:rsid w:val="004533ED"/>
    <w:rsid w:val="0046628F"/>
    <w:rsid w:val="00466DD9"/>
    <w:rsid w:val="00473A45"/>
    <w:rsid w:val="00475ED0"/>
    <w:rsid w:val="004804DB"/>
    <w:rsid w:val="004907A4"/>
    <w:rsid w:val="00494F5B"/>
    <w:rsid w:val="004969BE"/>
    <w:rsid w:val="004A079D"/>
    <w:rsid w:val="004A1B4C"/>
    <w:rsid w:val="004A1E17"/>
    <w:rsid w:val="004A4295"/>
    <w:rsid w:val="004A60B5"/>
    <w:rsid w:val="004A6B3C"/>
    <w:rsid w:val="004B010F"/>
    <w:rsid w:val="004B1945"/>
    <w:rsid w:val="004B46CD"/>
    <w:rsid w:val="004B60BE"/>
    <w:rsid w:val="004C66C1"/>
    <w:rsid w:val="004C67A6"/>
    <w:rsid w:val="004C729B"/>
    <w:rsid w:val="004C7C1A"/>
    <w:rsid w:val="004E3675"/>
    <w:rsid w:val="004E3AFB"/>
    <w:rsid w:val="004E7FCE"/>
    <w:rsid w:val="004F3AA1"/>
    <w:rsid w:val="004F5DB9"/>
    <w:rsid w:val="00501705"/>
    <w:rsid w:val="00501BD2"/>
    <w:rsid w:val="00510803"/>
    <w:rsid w:val="0051151E"/>
    <w:rsid w:val="00514158"/>
    <w:rsid w:val="0051514B"/>
    <w:rsid w:val="00517E4F"/>
    <w:rsid w:val="00521954"/>
    <w:rsid w:val="00525956"/>
    <w:rsid w:val="00526F70"/>
    <w:rsid w:val="0053143B"/>
    <w:rsid w:val="00532668"/>
    <w:rsid w:val="00534261"/>
    <w:rsid w:val="00535195"/>
    <w:rsid w:val="005368B0"/>
    <w:rsid w:val="00540B5F"/>
    <w:rsid w:val="005420A2"/>
    <w:rsid w:val="00543535"/>
    <w:rsid w:val="005439DC"/>
    <w:rsid w:val="00543D25"/>
    <w:rsid w:val="0055363C"/>
    <w:rsid w:val="00554602"/>
    <w:rsid w:val="005611AC"/>
    <w:rsid w:val="0056601E"/>
    <w:rsid w:val="00566B19"/>
    <w:rsid w:val="00566BC6"/>
    <w:rsid w:val="0057413C"/>
    <w:rsid w:val="00582218"/>
    <w:rsid w:val="005831A1"/>
    <w:rsid w:val="00583463"/>
    <w:rsid w:val="00586734"/>
    <w:rsid w:val="00591A20"/>
    <w:rsid w:val="005A069C"/>
    <w:rsid w:val="005A5506"/>
    <w:rsid w:val="005A7C9E"/>
    <w:rsid w:val="005B2AFB"/>
    <w:rsid w:val="005B561D"/>
    <w:rsid w:val="005B5C2E"/>
    <w:rsid w:val="005B7BA3"/>
    <w:rsid w:val="005C0A96"/>
    <w:rsid w:val="005C6340"/>
    <w:rsid w:val="005D0BF9"/>
    <w:rsid w:val="005D2FAD"/>
    <w:rsid w:val="005D659E"/>
    <w:rsid w:val="005E199B"/>
    <w:rsid w:val="005F4DF8"/>
    <w:rsid w:val="005F5270"/>
    <w:rsid w:val="005F5310"/>
    <w:rsid w:val="005F61D1"/>
    <w:rsid w:val="00602B69"/>
    <w:rsid w:val="006140D9"/>
    <w:rsid w:val="00614418"/>
    <w:rsid w:val="006150B9"/>
    <w:rsid w:val="00620B93"/>
    <w:rsid w:val="006238C9"/>
    <w:rsid w:val="00626D89"/>
    <w:rsid w:val="00627D6E"/>
    <w:rsid w:val="006324B6"/>
    <w:rsid w:val="00633DE9"/>
    <w:rsid w:val="00634FC5"/>
    <w:rsid w:val="006370C4"/>
    <w:rsid w:val="00643B4D"/>
    <w:rsid w:val="006456B6"/>
    <w:rsid w:val="00645F09"/>
    <w:rsid w:val="00646F2E"/>
    <w:rsid w:val="00650F71"/>
    <w:rsid w:val="00653A9E"/>
    <w:rsid w:val="00654F51"/>
    <w:rsid w:val="006579EE"/>
    <w:rsid w:val="00666865"/>
    <w:rsid w:val="00670AEA"/>
    <w:rsid w:val="00673C65"/>
    <w:rsid w:val="00673E69"/>
    <w:rsid w:val="00675E3E"/>
    <w:rsid w:val="00681C4C"/>
    <w:rsid w:val="0068249E"/>
    <w:rsid w:val="00685BFF"/>
    <w:rsid w:val="006A5C84"/>
    <w:rsid w:val="006A6AE3"/>
    <w:rsid w:val="006A78DF"/>
    <w:rsid w:val="006B625B"/>
    <w:rsid w:val="006C3492"/>
    <w:rsid w:val="006C3C8E"/>
    <w:rsid w:val="006C4CDA"/>
    <w:rsid w:val="006C6126"/>
    <w:rsid w:val="006D1674"/>
    <w:rsid w:val="006D2330"/>
    <w:rsid w:val="006D3C2D"/>
    <w:rsid w:val="006E0735"/>
    <w:rsid w:val="006E163D"/>
    <w:rsid w:val="006E48EF"/>
    <w:rsid w:val="006F4971"/>
    <w:rsid w:val="006F5208"/>
    <w:rsid w:val="006F628F"/>
    <w:rsid w:val="00704296"/>
    <w:rsid w:val="00706A1F"/>
    <w:rsid w:val="00710F4F"/>
    <w:rsid w:val="00712D7A"/>
    <w:rsid w:val="007170F0"/>
    <w:rsid w:val="007172E0"/>
    <w:rsid w:val="007203BB"/>
    <w:rsid w:val="00722D18"/>
    <w:rsid w:val="00723398"/>
    <w:rsid w:val="007264C1"/>
    <w:rsid w:val="007517FD"/>
    <w:rsid w:val="00751852"/>
    <w:rsid w:val="00752469"/>
    <w:rsid w:val="00753FFA"/>
    <w:rsid w:val="00766406"/>
    <w:rsid w:val="007719DA"/>
    <w:rsid w:val="00771C11"/>
    <w:rsid w:val="00782440"/>
    <w:rsid w:val="0078322A"/>
    <w:rsid w:val="007863A3"/>
    <w:rsid w:val="007873AE"/>
    <w:rsid w:val="007904F3"/>
    <w:rsid w:val="0079211D"/>
    <w:rsid w:val="007949E3"/>
    <w:rsid w:val="007952E7"/>
    <w:rsid w:val="00797331"/>
    <w:rsid w:val="007A013B"/>
    <w:rsid w:val="007A33DA"/>
    <w:rsid w:val="007A3E4C"/>
    <w:rsid w:val="007A516C"/>
    <w:rsid w:val="007A71B8"/>
    <w:rsid w:val="007B0B7A"/>
    <w:rsid w:val="007B0D40"/>
    <w:rsid w:val="007B171A"/>
    <w:rsid w:val="007B2CF1"/>
    <w:rsid w:val="007B381B"/>
    <w:rsid w:val="007B61AB"/>
    <w:rsid w:val="007C4CD6"/>
    <w:rsid w:val="007C573B"/>
    <w:rsid w:val="007C5D3A"/>
    <w:rsid w:val="007C6E49"/>
    <w:rsid w:val="007D7321"/>
    <w:rsid w:val="007E01A6"/>
    <w:rsid w:val="007E38E6"/>
    <w:rsid w:val="007E7ADF"/>
    <w:rsid w:val="007F0EF2"/>
    <w:rsid w:val="007F4E6A"/>
    <w:rsid w:val="007F750D"/>
    <w:rsid w:val="00800E00"/>
    <w:rsid w:val="008034BF"/>
    <w:rsid w:val="0080462C"/>
    <w:rsid w:val="00804646"/>
    <w:rsid w:val="00805833"/>
    <w:rsid w:val="00807303"/>
    <w:rsid w:val="00807DB0"/>
    <w:rsid w:val="008139F7"/>
    <w:rsid w:val="008157DB"/>
    <w:rsid w:val="00820DEE"/>
    <w:rsid w:val="00821AFC"/>
    <w:rsid w:val="00824524"/>
    <w:rsid w:val="008253E7"/>
    <w:rsid w:val="008313B9"/>
    <w:rsid w:val="00831D8A"/>
    <w:rsid w:val="008326A0"/>
    <w:rsid w:val="008373FC"/>
    <w:rsid w:val="0084018D"/>
    <w:rsid w:val="008413AA"/>
    <w:rsid w:val="00841EBE"/>
    <w:rsid w:val="0084518C"/>
    <w:rsid w:val="00851602"/>
    <w:rsid w:val="008529F7"/>
    <w:rsid w:val="00867DBF"/>
    <w:rsid w:val="00872835"/>
    <w:rsid w:val="00872C1A"/>
    <w:rsid w:val="00875682"/>
    <w:rsid w:val="008805E6"/>
    <w:rsid w:val="0088324B"/>
    <w:rsid w:val="008852FB"/>
    <w:rsid w:val="008873EF"/>
    <w:rsid w:val="00887F5E"/>
    <w:rsid w:val="0089115D"/>
    <w:rsid w:val="00891A3D"/>
    <w:rsid w:val="00892648"/>
    <w:rsid w:val="00893A2C"/>
    <w:rsid w:val="008A16E9"/>
    <w:rsid w:val="008A1C8A"/>
    <w:rsid w:val="008A3353"/>
    <w:rsid w:val="008A361D"/>
    <w:rsid w:val="008A3713"/>
    <w:rsid w:val="008A3F7B"/>
    <w:rsid w:val="008B02C5"/>
    <w:rsid w:val="008B159F"/>
    <w:rsid w:val="008B2B48"/>
    <w:rsid w:val="008B4EDB"/>
    <w:rsid w:val="008B5C84"/>
    <w:rsid w:val="008C0518"/>
    <w:rsid w:val="008C0F1F"/>
    <w:rsid w:val="008C1BB3"/>
    <w:rsid w:val="008C33FA"/>
    <w:rsid w:val="008C574C"/>
    <w:rsid w:val="008D1E72"/>
    <w:rsid w:val="008D62A6"/>
    <w:rsid w:val="008E0AF6"/>
    <w:rsid w:val="008E7BAD"/>
    <w:rsid w:val="008F19CC"/>
    <w:rsid w:val="008F262D"/>
    <w:rsid w:val="008F4877"/>
    <w:rsid w:val="008F72EF"/>
    <w:rsid w:val="00901560"/>
    <w:rsid w:val="00902B37"/>
    <w:rsid w:val="00902C30"/>
    <w:rsid w:val="0090334D"/>
    <w:rsid w:val="00904144"/>
    <w:rsid w:val="00907372"/>
    <w:rsid w:val="009076C8"/>
    <w:rsid w:val="00910E9C"/>
    <w:rsid w:val="009128BD"/>
    <w:rsid w:val="00912C81"/>
    <w:rsid w:val="00917183"/>
    <w:rsid w:val="00917311"/>
    <w:rsid w:val="00921441"/>
    <w:rsid w:val="00921F01"/>
    <w:rsid w:val="00925972"/>
    <w:rsid w:val="00926DA7"/>
    <w:rsid w:val="0092749F"/>
    <w:rsid w:val="00934567"/>
    <w:rsid w:val="009349A9"/>
    <w:rsid w:val="00935466"/>
    <w:rsid w:val="00944072"/>
    <w:rsid w:val="009518C6"/>
    <w:rsid w:val="009572DB"/>
    <w:rsid w:val="00962460"/>
    <w:rsid w:val="00962868"/>
    <w:rsid w:val="0096364C"/>
    <w:rsid w:val="00963A96"/>
    <w:rsid w:val="00964D32"/>
    <w:rsid w:val="00965211"/>
    <w:rsid w:val="009708EC"/>
    <w:rsid w:val="00971DF0"/>
    <w:rsid w:val="0097320B"/>
    <w:rsid w:val="00973365"/>
    <w:rsid w:val="00974483"/>
    <w:rsid w:val="00981269"/>
    <w:rsid w:val="00983A48"/>
    <w:rsid w:val="00984617"/>
    <w:rsid w:val="00984CCA"/>
    <w:rsid w:val="009924F8"/>
    <w:rsid w:val="00995200"/>
    <w:rsid w:val="00996E7C"/>
    <w:rsid w:val="009A0A17"/>
    <w:rsid w:val="009B0AC3"/>
    <w:rsid w:val="009B1A2D"/>
    <w:rsid w:val="009B4806"/>
    <w:rsid w:val="009B7062"/>
    <w:rsid w:val="009C174D"/>
    <w:rsid w:val="009C3159"/>
    <w:rsid w:val="009C6BDE"/>
    <w:rsid w:val="009D2E55"/>
    <w:rsid w:val="009D300F"/>
    <w:rsid w:val="009D3C74"/>
    <w:rsid w:val="009E07C4"/>
    <w:rsid w:val="009E0919"/>
    <w:rsid w:val="009E2E37"/>
    <w:rsid w:val="009F31A0"/>
    <w:rsid w:val="00A02346"/>
    <w:rsid w:val="00A0261B"/>
    <w:rsid w:val="00A02AC1"/>
    <w:rsid w:val="00A11AEA"/>
    <w:rsid w:val="00A1236A"/>
    <w:rsid w:val="00A15148"/>
    <w:rsid w:val="00A1551B"/>
    <w:rsid w:val="00A1709D"/>
    <w:rsid w:val="00A172B6"/>
    <w:rsid w:val="00A24BE1"/>
    <w:rsid w:val="00A30A3D"/>
    <w:rsid w:val="00A31776"/>
    <w:rsid w:val="00A32676"/>
    <w:rsid w:val="00A32D91"/>
    <w:rsid w:val="00A41AF5"/>
    <w:rsid w:val="00A43A96"/>
    <w:rsid w:val="00A443FE"/>
    <w:rsid w:val="00A444CC"/>
    <w:rsid w:val="00A47F03"/>
    <w:rsid w:val="00A54F85"/>
    <w:rsid w:val="00A60C11"/>
    <w:rsid w:val="00A63459"/>
    <w:rsid w:val="00A65DAF"/>
    <w:rsid w:val="00A67012"/>
    <w:rsid w:val="00A724CC"/>
    <w:rsid w:val="00A73B43"/>
    <w:rsid w:val="00A76124"/>
    <w:rsid w:val="00A768D3"/>
    <w:rsid w:val="00A80527"/>
    <w:rsid w:val="00A83E66"/>
    <w:rsid w:val="00A9074A"/>
    <w:rsid w:val="00A9525C"/>
    <w:rsid w:val="00A95490"/>
    <w:rsid w:val="00A96D49"/>
    <w:rsid w:val="00AA0165"/>
    <w:rsid w:val="00AA11F2"/>
    <w:rsid w:val="00AA58CD"/>
    <w:rsid w:val="00AA6545"/>
    <w:rsid w:val="00AA7A4D"/>
    <w:rsid w:val="00AB0B17"/>
    <w:rsid w:val="00AB2BB4"/>
    <w:rsid w:val="00AB3C0F"/>
    <w:rsid w:val="00AB3FD1"/>
    <w:rsid w:val="00AB54CB"/>
    <w:rsid w:val="00AB5E7E"/>
    <w:rsid w:val="00AC2287"/>
    <w:rsid w:val="00AC4072"/>
    <w:rsid w:val="00AC5891"/>
    <w:rsid w:val="00AC7D48"/>
    <w:rsid w:val="00AD2FB7"/>
    <w:rsid w:val="00AD44F4"/>
    <w:rsid w:val="00AD47D7"/>
    <w:rsid w:val="00AE27C6"/>
    <w:rsid w:val="00AF17C8"/>
    <w:rsid w:val="00B01D4B"/>
    <w:rsid w:val="00B02ED3"/>
    <w:rsid w:val="00B03263"/>
    <w:rsid w:val="00B0515D"/>
    <w:rsid w:val="00B1571C"/>
    <w:rsid w:val="00B161BB"/>
    <w:rsid w:val="00B16FD4"/>
    <w:rsid w:val="00B2187D"/>
    <w:rsid w:val="00B24251"/>
    <w:rsid w:val="00B245D1"/>
    <w:rsid w:val="00B24913"/>
    <w:rsid w:val="00B35F79"/>
    <w:rsid w:val="00B413C5"/>
    <w:rsid w:val="00B470FF"/>
    <w:rsid w:val="00B6386C"/>
    <w:rsid w:val="00B702CE"/>
    <w:rsid w:val="00B73AE9"/>
    <w:rsid w:val="00B80CD1"/>
    <w:rsid w:val="00B8221E"/>
    <w:rsid w:val="00B83849"/>
    <w:rsid w:val="00B85913"/>
    <w:rsid w:val="00B905E4"/>
    <w:rsid w:val="00B932B8"/>
    <w:rsid w:val="00B934A4"/>
    <w:rsid w:val="00B96BC2"/>
    <w:rsid w:val="00BA031A"/>
    <w:rsid w:val="00BA148B"/>
    <w:rsid w:val="00BA19EC"/>
    <w:rsid w:val="00BA4881"/>
    <w:rsid w:val="00BB1EC9"/>
    <w:rsid w:val="00BB749F"/>
    <w:rsid w:val="00BC2416"/>
    <w:rsid w:val="00BC369F"/>
    <w:rsid w:val="00BC77F5"/>
    <w:rsid w:val="00BD59FD"/>
    <w:rsid w:val="00BD6033"/>
    <w:rsid w:val="00BD6525"/>
    <w:rsid w:val="00BE08E8"/>
    <w:rsid w:val="00BE0AC6"/>
    <w:rsid w:val="00BE0DA8"/>
    <w:rsid w:val="00BE153C"/>
    <w:rsid w:val="00BE2ABE"/>
    <w:rsid w:val="00BF062A"/>
    <w:rsid w:val="00BF0812"/>
    <w:rsid w:val="00BF6E04"/>
    <w:rsid w:val="00C01147"/>
    <w:rsid w:val="00C041DD"/>
    <w:rsid w:val="00C052C2"/>
    <w:rsid w:val="00C05B59"/>
    <w:rsid w:val="00C06041"/>
    <w:rsid w:val="00C067DE"/>
    <w:rsid w:val="00C06DB7"/>
    <w:rsid w:val="00C06F90"/>
    <w:rsid w:val="00C11F23"/>
    <w:rsid w:val="00C144F3"/>
    <w:rsid w:val="00C14ABA"/>
    <w:rsid w:val="00C15189"/>
    <w:rsid w:val="00C160AA"/>
    <w:rsid w:val="00C2674B"/>
    <w:rsid w:val="00C37C36"/>
    <w:rsid w:val="00C436A2"/>
    <w:rsid w:val="00C447D4"/>
    <w:rsid w:val="00C4597D"/>
    <w:rsid w:val="00C4648F"/>
    <w:rsid w:val="00C47683"/>
    <w:rsid w:val="00C47EAD"/>
    <w:rsid w:val="00C50405"/>
    <w:rsid w:val="00C53E5E"/>
    <w:rsid w:val="00C546BD"/>
    <w:rsid w:val="00C578D8"/>
    <w:rsid w:val="00C57FCB"/>
    <w:rsid w:val="00C619CC"/>
    <w:rsid w:val="00C70DD9"/>
    <w:rsid w:val="00C714AC"/>
    <w:rsid w:val="00C73041"/>
    <w:rsid w:val="00C73977"/>
    <w:rsid w:val="00C81BAB"/>
    <w:rsid w:val="00C821B2"/>
    <w:rsid w:val="00C838D8"/>
    <w:rsid w:val="00C85455"/>
    <w:rsid w:val="00C9074E"/>
    <w:rsid w:val="00C92ED7"/>
    <w:rsid w:val="00C953D6"/>
    <w:rsid w:val="00CA2063"/>
    <w:rsid w:val="00CC0511"/>
    <w:rsid w:val="00CC6CFE"/>
    <w:rsid w:val="00CD0FA8"/>
    <w:rsid w:val="00CD259E"/>
    <w:rsid w:val="00CD2BAA"/>
    <w:rsid w:val="00CD4192"/>
    <w:rsid w:val="00CD7AA5"/>
    <w:rsid w:val="00CE04C2"/>
    <w:rsid w:val="00CE1F21"/>
    <w:rsid w:val="00CE33AE"/>
    <w:rsid w:val="00CF15F1"/>
    <w:rsid w:val="00CF4795"/>
    <w:rsid w:val="00CF5D10"/>
    <w:rsid w:val="00CF78F3"/>
    <w:rsid w:val="00D00C0C"/>
    <w:rsid w:val="00D01390"/>
    <w:rsid w:val="00D02F80"/>
    <w:rsid w:val="00D0359A"/>
    <w:rsid w:val="00D0619B"/>
    <w:rsid w:val="00D15010"/>
    <w:rsid w:val="00D158B9"/>
    <w:rsid w:val="00D15ADB"/>
    <w:rsid w:val="00D16991"/>
    <w:rsid w:val="00D16BCD"/>
    <w:rsid w:val="00D22B99"/>
    <w:rsid w:val="00D2753A"/>
    <w:rsid w:val="00D3125D"/>
    <w:rsid w:val="00D32B02"/>
    <w:rsid w:val="00D33183"/>
    <w:rsid w:val="00D34330"/>
    <w:rsid w:val="00D35003"/>
    <w:rsid w:val="00D35173"/>
    <w:rsid w:val="00D35F87"/>
    <w:rsid w:val="00D3636C"/>
    <w:rsid w:val="00D42CD6"/>
    <w:rsid w:val="00D42DC5"/>
    <w:rsid w:val="00D45BDE"/>
    <w:rsid w:val="00D461EE"/>
    <w:rsid w:val="00D57BEA"/>
    <w:rsid w:val="00D60DE2"/>
    <w:rsid w:val="00D629FA"/>
    <w:rsid w:val="00D63160"/>
    <w:rsid w:val="00D6723A"/>
    <w:rsid w:val="00D71C0F"/>
    <w:rsid w:val="00D745AF"/>
    <w:rsid w:val="00D777E0"/>
    <w:rsid w:val="00D80756"/>
    <w:rsid w:val="00D821FE"/>
    <w:rsid w:val="00D82A6D"/>
    <w:rsid w:val="00D841A0"/>
    <w:rsid w:val="00D8442D"/>
    <w:rsid w:val="00D86B68"/>
    <w:rsid w:val="00D90ED8"/>
    <w:rsid w:val="00D92A2B"/>
    <w:rsid w:val="00D9315C"/>
    <w:rsid w:val="00D94AD8"/>
    <w:rsid w:val="00D97227"/>
    <w:rsid w:val="00D97708"/>
    <w:rsid w:val="00DA02A0"/>
    <w:rsid w:val="00DA09BB"/>
    <w:rsid w:val="00DA1D23"/>
    <w:rsid w:val="00DA44F0"/>
    <w:rsid w:val="00DA6D4F"/>
    <w:rsid w:val="00DB03BF"/>
    <w:rsid w:val="00DB3839"/>
    <w:rsid w:val="00DB4C24"/>
    <w:rsid w:val="00DC39E5"/>
    <w:rsid w:val="00DC6E8B"/>
    <w:rsid w:val="00DC7948"/>
    <w:rsid w:val="00DC7A7B"/>
    <w:rsid w:val="00DC7D41"/>
    <w:rsid w:val="00DC7EBD"/>
    <w:rsid w:val="00DD21E3"/>
    <w:rsid w:val="00DD3431"/>
    <w:rsid w:val="00DD55C9"/>
    <w:rsid w:val="00DE3090"/>
    <w:rsid w:val="00DE5A54"/>
    <w:rsid w:val="00DE6DE1"/>
    <w:rsid w:val="00DF6051"/>
    <w:rsid w:val="00DF7A2B"/>
    <w:rsid w:val="00E1678F"/>
    <w:rsid w:val="00E21BD5"/>
    <w:rsid w:val="00E260EC"/>
    <w:rsid w:val="00E2772A"/>
    <w:rsid w:val="00E27E90"/>
    <w:rsid w:val="00E31030"/>
    <w:rsid w:val="00E32854"/>
    <w:rsid w:val="00E3430F"/>
    <w:rsid w:val="00E34D43"/>
    <w:rsid w:val="00E40775"/>
    <w:rsid w:val="00E42BCE"/>
    <w:rsid w:val="00E44669"/>
    <w:rsid w:val="00E46407"/>
    <w:rsid w:val="00E467C5"/>
    <w:rsid w:val="00E5668B"/>
    <w:rsid w:val="00E616BE"/>
    <w:rsid w:val="00E62639"/>
    <w:rsid w:val="00E62A98"/>
    <w:rsid w:val="00E633C6"/>
    <w:rsid w:val="00E6408E"/>
    <w:rsid w:val="00E6697F"/>
    <w:rsid w:val="00E67EB4"/>
    <w:rsid w:val="00E70941"/>
    <w:rsid w:val="00E722A4"/>
    <w:rsid w:val="00E7289D"/>
    <w:rsid w:val="00E73139"/>
    <w:rsid w:val="00E7501D"/>
    <w:rsid w:val="00E75955"/>
    <w:rsid w:val="00E76FFF"/>
    <w:rsid w:val="00E77CC5"/>
    <w:rsid w:val="00E81481"/>
    <w:rsid w:val="00E83819"/>
    <w:rsid w:val="00E84E3E"/>
    <w:rsid w:val="00E855F7"/>
    <w:rsid w:val="00E902BC"/>
    <w:rsid w:val="00E91C2D"/>
    <w:rsid w:val="00E922A7"/>
    <w:rsid w:val="00E932DE"/>
    <w:rsid w:val="00EA5ACD"/>
    <w:rsid w:val="00EA63A2"/>
    <w:rsid w:val="00EA6C29"/>
    <w:rsid w:val="00EB3F6B"/>
    <w:rsid w:val="00EB5ED3"/>
    <w:rsid w:val="00EB6364"/>
    <w:rsid w:val="00EB6879"/>
    <w:rsid w:val="00EC0D32"/>
    <w:rsid w:val="00ED0103"/>
    <w:rsid w:val="00ED1D4D"/>
    <w:rsid w:val="00ED5674"/>
    <w:rsid w:val="00EE0C53"/>
    <w:rsid w:val="00EE359B"/>
    <w:rsid w:val="00EE4492"/>
    <w:rsid w:val="00EE78DE"/>
    <w:rsid w:val="00EF0637"/>
    <w:rsid w:val="00EF0745"/>
    <w:rsid w:val="00EF2925"/>
    <w:rsid w:val="00EF3F92"/>
    <w:rsid w:val="00EF430D"/>
    <w:rsid w:val="00EF6AFD"/>
    <w:rsid w:val="00EF78E9"/>
    <w:rsid w:val="00F05125"/>
    <w:rsid w:val="00F10146"/>
    <w:rsid w:val="00F13B0A"/>
    <w:rsid w:val="00F20E46"/>
    <w:rsid w:val="00F27799"/>
    <w:rsid w:val="00F40886"/>
    <w:rsid w:val="00F43801"/>
    <w:rsid w:val="00F43A9D"/>
    <w:rsid w:val="00F5096B"/>
    <w:rsid w:val="00F50E9C"/>
    <w:rsid w:val="00F5169B"/>
    <w:rsid w:val="00F52AEB"/>
    <w:rsid w:val="00F53A0F"/>
    <w:rsid w:val="00F6334A"/>
    <w:rsid w:val="00F63469"/>
    <w:rsid w:val="00F7106C"/>
    <w:rsid w:val="00F7199A"/>
    <w:rsid w:val="00F7439A"/>
    <w:rsid w:val="00F77A61"/>
    <w:rsid w:val="00F82685"/>
    <w:rsid w:val="00F82EC7"/>
    <w:rsid w:val="00F83A92"/>
    <w:rsid w:val="00F87FD8"/>
    <w:rsid w:val="00F912AE"/>
    <w:rsid w:val="00F91E9C"/>
    <w:rsid w:val="00F9561F"/>
    <w:rsid w:val="00F95E0E"/>
    <w:rsid w:val="00F967B3"/>
    <w:rsid w:val="00F97D39"/>
    <w:rsid w:val="00FA0DC8"/>
    <w:rsid w:val="00FA40AD"/>
    <w:rsid w:val="00FA5F38"/>
    <w:rsid w:val="00FB035D"/>
    <w:rsid w:val="00FC1191"/>
    <w:rsid w:val="00FC1913"/>
    <w:rsid w:val="00FC1D95"/>
    <w:rsid w:val="00FC5FF8"/>
    <w:rsid w:val="00FC63C1"/>
    <w:rsid w:val="00FC6F0D"/>
    <w:rsid w:val="00FD6CB9"/>
    <w:rsid w:val="00FD6DFC"/>
    <w:rsid w:val="00FE10BA"/>
    <w:rsid w:val="00FE1FD2"/>
    <w:rsid w:val="00FF04D5"/>
    <w:rsid w:val="00FF09AC"/>
    <w:rsid w:val="00FF145A"/>
    <w:rsid w:val="00FF2CA4"/>
    <w:rsid w:val="00FF432B"/>
    <w:rsid w:val="00FF443F"/>
    <w:rsid w:val="00FF49EA"/>
    <w:rsid w:val="00FF6673"/>
    <w:rsid w:val="00FF7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7F3A06"/>
  <w15:chartTrackingRefBased/>
  <w15:docId w15:val="{FD7F7C53-9A68-094C-A8FB-79CEF656A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0D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5668B"/>
    <w:rPr>
      <w:sz w:val="20"/>
      <w:szCs w:val="20"/>
    </w:rPr>
  </w:style>
  <w:style w:type="character" w:customStyle="1" w:styleId="FootnoteTextChar">
    <w:name w:val="Footnote Text Char"/>
    <w:basedOn w:val="DefaultParagraphFont"/>
    <w:link w:val="FootnoteText"/>
    <w:uiPriority w:val="99"/>
    <w:rsid w:val="00E5668B"/>
    <w:rPr>
      <w:sz w:val="20"/>
      <w:szCs w:val="20"/>
    </w:rPr>
  </w:style>
  <w:style w:type="character" w:styleId="FootnoteReference">
    <w:name w:val="footnote reference"/>
    <w:basedOn w:val="DefaultParagraphFont"/>
    <w:uiPriority w:val="99"/>
    <w:semiHidden/>
    <w:unhideWhenUsed/>
    <w:rsid w:val="00E5668B"/>
    <w:rPr>
      <w:vertAlign w:val="superscript"/>
    </w:rPr>
  </w:style>
  <w:style w:type="paragraph" w:styleId="Footer">
    <w:name w:val="footer"/>
    <w:basedOn w:val="Normal"/>
    <w:link w:val="FooterChar"/>
    <w:uiPriority w:val="99"/>
    <w:unhideWhenUsed/>
    <w:rsid w:val="003C74D4"/>
    <w:pPr>
      <w:tabs>
        <w:tab w:val="center" w:pos="4680"/>
        <w:tab w:val="right" w:pos="9360"/>
      </w:tabs>
    </w:pPr>
  </w:style>
  <w:style w:type="character" w:customStyle="1" w:styleId="FooterChar">
    <w:name w:val="Footer Char"/>
    <w:basedOn w:val="DefaultParagraphFont"/>
    <w:link w:val="Footer"/>
    <w:uiPriority w:val="99"/>
    <w:rsid w:val="003C74D4"/>
  </w:style>
  <w:style w:type="character" w:styleId="PageNumber">
    <w:name w:val="page number"/>
    <w:basedOn w:val="DefaultParagraphFont"/>
    <w:uiPriority w:val="99"/>
    <w:semiHidden/>
    <w:unhideWhenUsed/>
    <w:rsid w:val="003C74D4"/>
  </w:style>
  <w:style w:type="paragraph" w:styleId="NormalWeb">
    <w:name w:val="Normal (Web)"/>
    <w:basedOn w:val="Normal"/>
    <w:uiPriority w:val="99"/>
    <w:unhideWhenUsed/>
    <w:rsid w:val="006F628F"/>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FD6DFC"/>
    <w:pPr>
      <w:tabs>
        <w:tab w:val="center" w:pos="4680"/>
        <w:tab w:val="right" w:pos="9360"/>
      </w:tabs>
    </w:pPr>
  </w:style>
  <w:style w:type="character" w:customStyle="1" w:styleId="HeaderChar">
    <w:name w:val="Header Char"/>
    <w:basedOn w:val="DefaultParagraphFont"/>
    <w:link w:val="Header"/>
    <w:uiPriority w:val="99"/>
    <w:rsid w:val="00FD6DFC"/>
  </w:style>
  <w:style w:type="paragraph" w:styleId="ListParagraph">
    <w:name w:val="List Paragraph"/>
    <w:basedOn w:val="Normal"/>
    <w:uiPriority w:val="34"/>
    <w:qFormat/>
    <w:rsid w:val="00136193"/>
    <w:pPr>
      <w:ind w:left="720"/>
      <w:contextualSpacing/>
    </w:pPr>
  </w:style>
  <w:style w:type="paragraph" w:customStyle="1" w:styleId="EndNoteBibliographyTitle">
    <w:name w:val="EndNote Bibliography Title"/>
    <w:basedOn w:val="Normal"/>
    <w:link w:val="EndNoteBibliographyTitleChar"/>
    <w:rsid w:val="003711C2"/>
    <w:pPr>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3711C2"/>
    <w:rPr>
      <w:rFonts w:ascii="Calibri" w:hAnsi="Calibri" w:cs="Calibri"/>
      <w:noProof/>
    </w:rPr>
  </w:style>
  <w:style w:type="paragraph" w:customStyle="1" w:styleId="EndNoteBibliography">
    <w:name w:val="EndNote Bibliography"/>
    <w:basedOn w:val="Normal"/>
    <w:link w:val="EndNoteBibliographyChar"/>
    <w:rsid w:val="003711C2"/>
    <w:pPr>
      <w:jc w:val="both"/>
    </w:pPr>
    <w:rPr>
      <w:rFonts w:ascii="Calibri" w:hAnsi="Calibri" w:cs="Calibri"/>
      <w:noProof/>
    </w:rPr>
  </w:style>
  <w:style w:type="character" w:customStyle="1" w:styleId="EndNoteBibliographyChar">
    <w:name w:val="EndNote Bibliography Char"/>
    <w:basedOn w:val="DefaultParagraphFont"/>
    <w:link w:val="EndNoteBibliography"/>
    <w:rsid w:val="003711C2"/>
    <w:rPr>
      <w:rFonts w:ascii="Calibri" w:hAnsi="Calibri" w:cs="Calibri"/>
      <w:noProof/>
    </w:rPr>
  </w:style>
  <w:style w:type="character" w:styleId="Hyperlink">
    <w:name w:val="Hyperlink"/>
    <w:basedOn w:val="DefaultParagraphFont"/>
    <w:uiPriority w:val="99"/>
    <w:unhideWhenUsed/>
    <w:rsid w:val="003711C2"/>
    <w:rPr>
      <w:color w:val="0563C1" w:themeColor="hyperlink"/>
      <w:u w:val="single"/>
    </w:rPr>
  </w:style>
  <w:style w:type="character" w:styleId="CommentReference">
    <w:name w:val="annotation reference"/>
    <w:basedOn w:val="DefaultParagraphFont"/>
    <w:uiPriority w:val="99"/>
    <w:semiHidden/>
    <w:unhideWhenUsed/>
    <w:rsid w:val="00867DBF"/>
    <w:rPr>
      <w:sz w:val="16"/>
      <w:szCs w:val="16"/>
    </w:rPr>
  </w:style>
  <w:style w:type="paragraph" w:styleId="CommentText">
    <w:name w:val="annotation text"/>
    <w:basedOn w:val="Normal"/>
    <w:link w:val="CommentTextChar"/>
    <w:uiPriority w:val="99"/>
    <w:unhideWhenUsed/>
    <w:rsid w:val="00867DBF"/>
    <w:rPr>
      <w:sz w:val="20"/>
      <w:szCs w:val="20"/>
    </w:rPr>
  </w:style>
  <w:style w:type="character" w:customStyle="1" w:styleId="CommentTextChar">
    <w:name w:val="Comment Text Char"/>
    <w:basedOn w:val="DefaultParagraphFont"/>
    <w:link w:val="CommentText"/>
    <w:uiPriority w:val="99"/>
    <w:rsid w:val="00867DBF"/>
    <w:rPr>
      <w:sz w:val="20"/>
      <w:szCs w:val="20"/>
    </w:rPr>
  </w:style>
  <w:style w:type="paragraph" w:styleId="CommentSubject">
    <w:name w:val="annotation subject"/>
    <w:basedOn w:val="CommentText"/>
    <w:next w:val="CommentText"/>
    <w:link w:val="CommentSubjectChar"/>
    <w:uiPriority w:val="99"/>
    <w:semiHidden/>
    <w:unhideWhenUsed/>
    <w:rsid w:val="00867DBF"/>
    <w:rPr>
      <w:b/>
      <w:bCs/>
    </w:rPr>
  </w:style>
  <w:style w:type="character" w:customStyle="1" w:styleId="CommentSubjectChar">
    <w:name w:val="Comment Subject Char"/>
    <w:basedOn w:val="CommentTextChar"/>
    <w:link w:val="CommentSubject"/>
    <w:uiPriority w:val="99"/>
    <w:semiHidden/>
    <w:rsid w:val="00867DBF"/>
    <w:rPr>
      <w:b/>
      <w:bCs/>
      <w:sz w:val="20"/>
      <w:szCs w:val="20"/>
    </w:rPr>
  </w:style>
  <w:style w:type="paragraph" w:styleId="BalloonText">
    <w:name w:val="Balloon Text"/>
    <w:basedOn w:val="Normal"/>
    <w:link w:val="BalloonTextChar"/>
    <w:uiPriority w:val="99"/>
    <w:semiHidden/>
    <w:unhideWhenUsed/>
    <w:rsid w:val="00867D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7DBF"/>
    <w:rPr>
      <w:rFonts w:ascii="Segoe UI" w:hAnsi="Segoe UI" w:cs="Segoe UI"/>
      <w:sz w:val="18"/>
      <w:szCs w:val="18"/>
    </w:rPr>
  </w:style>
  <w:style w:type="paragraph" w:styleId="NoSpacing">
    <w:name w:val="No Spacing"/>
    <w:uiPriority w:val="1"/>
    <w:qFormat/>
    <w:rsid w:val="000A2031"/>
    <w:rPr>
      <w:sz w:val="22"/>
      <w:szCs w:val="22"/>
      <w:lang w:val="fr-CH"/>
    </w:rPr>
  </w:style>
  <w:style w:type="character" w:styleId="PlaceholderText">
    <w:name w:val="Placeholder Text"/>
    <w:basedOn w:val="DefaultParagraphFont"/>
    <w:uiPriority w:val="99"/>
    <w:semiHidden/>
    <w:rsid w:val="00D461EE"/>
    <w:rPr>
      <w:color w:val="808080"/>
    </w:rPr>
  </w:style>
  <w:style w:type="table" w:styleId="TableGrid">
    <w:name w:val="Table Grid"/>
    <w:basedOn w:val="TableNormal"/>
    <w:uiPriority w:val="39"/>
    <w:rsid w:val="008852F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14158"/>
    <w:rPr>
      <w:i/>
      <w:iCs/>
    </w:rPr>
  </w:style>
  <w:style w:type="character" w:customStyle="1" w:styleId="UnresolvedMention1">
    <w:name w:val="Unresolved Mention1"/>
    <w:basedOn w:val="DefaultParagraphFont"/>
    <w:uiPriority w:val="99"/>
    <w:semiHidden/>
    <w:unhideWhenUsed/>
    <w:rsid w:val="003A54DF"/>
    <w:rPr>
      <w:color w:val="605E5C"/>
      <w:shd w:val="clear" w:color="auto" w:fill="E1DFDD"/>
    </w:rPr>
  </w:style>
  <w:style w:type="character" w:customStyle="1" w:styleId="cls-response">
    <w:name w:val="cls-response"/>
    <w:basedOn w:val="DefaultParagraphFont"/>
    <w:rsid w:val="009B1A2D"/>
  </w:style>
  <w:style w:type="character" w:customStyle="1" w:styleId="nlmstring-name">
    <w:name w:val="nlm_string-name"/>
    <w:basedOn w:val="DefaultParagraphFont"/>
    <w:rsid w:val="00AC7D48"/>
  </w:style>
  <w:style w:type="character" w:customStyle="1" w:styleId="journalname">
    <w:name w:val="journalname"/>
    <w:basedOn w:val="DefaultParagraphFont"/>
    <w:rsid w:val="00AC7D48"/>
  </w:style>
  <w:style w:type="character" w:customStyle="1" w:styleId="year">
    <w:name w:val="year"/>
    <w:basedOn w:val="DefaultParagraphFont"/>
    <w:rsid w:val="00AC7D48"/>
  </w:style>
  <w:style w:type="character" w:customStyle="1" w:styleId="volume">
    <w:name w:val="volume"/>
    <w:basedOn w:val="DefaultParagraphFont"/>
    <w:rsid w:val="00AC7D48"/>
  </w:style>
  <w:style w:type="character" w:customStyle="1" w:styleId="issue">
    <w:name w:val="issue"/>
    <w:basedOn w:val="DefaultParagraphFont"/>
    <w:rsid w:val="00AC7D48"/>
  </w:style>
  <w:style w:type="character" w:customStyle="1" w:styleId="page">
    <w:name w:val="page"/>
    <w:basedOn w:val="DefaultParagraphFont"/>
    <w:rsid w:val="00AC7D48"/>
  </w:style>
  <w:style w:type="character" w:styleId="UnresolvedMention">
    <w:name w:val="Unresolved Mention"/>
    <w:basedOn w:val="DefaultParagraphFont"/>
    <w:uiPriority w:val="99"/>
    <w:semiHidden/>
    <w:unhideWhenUsed/>
    <w:rsid w:val="00626D89"/>
    <w:rPr>
      <w:color w:val="605E5C"/>
      <w:shd w:val="clear" w:color="auto" w:fill="E1DFDD"/>
    </w:rPr>
  </w:style>
  <w:style w:type="character" w:customStyle="1" w:styleId="cf01">
    <w:name w:val="cf01"/>
    <w:basedOn w:val="DefaultParagraphFont"/>
    <w:rsid w:val="003E7B0A"/>
    <w:rPr>
      <w:rFonts w:ascii="Segoe UI" w:hAnsi="Segoe UI" w:cs="Segoe UI" w:hint="default"/>
      <w:sz w:val="18"/>
      <w:szCs w:val="18"/>
    </w:rPr>
  </w:style>
  <w:style w:type="character" w:styleId="FollowedHyperlink">
    <w:name w:val="FollowedHyperlink"/>
    <w:basedOn w:val="DefaultParagraphFont"/>
    <w:uiPriority w:val="99"/>
    <w:semiHidden/>
    <w:unhideWhenUsed/>
    <w:rsid w:val="003E7B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9037">
      <w:bodyDiv w:val="1"/>
      <w:marLeft w:val="0"/>
      <w:marRight w:val="0"/>
      <w:marTop w:val="0"/>
      <w:marBottom w:val="0"/>
      <w:divBdr>
        <w:top w:val="none" w:sz="0" w:space="0" w:color="auto"/>
        <w:left w:val="none" w:sz="0" w:space="0" w:color="auto"/>
        <w:bottom w:val="none" w:sz="0" w:space="0" w:color="auto"/>
        <w:right w:val="none" w:sz="0" w:space="0" w:color="auto"/>
      </w:divBdr>
    </w:div>
    <w:div w:id="53696569">
      <w:bodyDiv w:val="1"/>
      <w:marLeft w:val="0"/>
      <w:marRight w:val="0"/>
      <w:marTop w:val="0"/>
      <w:marBottom w:val="0"/>
      <w:divBdr>
        <w:top w:val="none" w:sz="0" w:space="0" w:color="auto"/>
        <w:left w:val="none" w:sz="0" w:space="0" w:color="auto"/>
        <w:bottom w:val="none" w:sz="0" w:space="0" w:color="auto"/>
        <w:right w:val="none" w:sz="0" w:space="0" w:color="auto"/>
      </w:divBdr>
      <w:divsChild>
        <w:div w:id="191841548">
          <w:marLeft w:val="0"/>
          <w:marRight w:val="0"/>
          <w:marTop w:val="0"/>
          <w:marBottom w:val="0"/>
          <w:divBdr>
            <w:top w:val="none" w:sz="0" w:space="0" w:color="auto"/>
            <w:left w:val="none" w:sz="0" w:space="0" w:color="auto"/>
            <w:bottom w:val="none" w:sz="0" w:space="0" w:color="auto"/>
            <w:right w:val="none" w:sz="0" w:space="0" w:color="auto"/>
          </w:divBdr>
        </w:div>
      </w:divsChild>
    </w:div>
    <w:div w:id="63182117">
      <w:bodyDiv w:val="1"/>
      <w:marLeft w:val="0"/>
      <w:marRight w:val="0"/>
      <w:marTop w:val="0"/>
      <w:marBottom w:val="0"/>
      <w:divBdr>
        <w:top w:val="none" w:sz="0" w:space="0" w:color="auto"/>
        <w:left w:val="none" w:sz="0" w:space="0" w:color="auto"/>
        <w:bottom w:val="none" w:sz="0" w:space="0" w:color="auto"/>
        <w:right w:val="none" w:sz="0" w:space="0" w:color="auto"/>
      </w:divBdr>
      <w:divsChild>
        <w:div w:id="440078077">
          <w:marLeft w:val="0"/>
          <w:marRight w:val="0"/>
          <w:marTop w:val="0"/>
          <w:marBottom w:val="0"/>
          <w:divBdr>
            <w:top w:val="none" w:sz="0" w:space="0" w:color="auto"/>
            <w:left w:val="none" w:sz="0" w:space="0" w:color="auto"/>
            <w:bottom w:val="none" w:sz="0" w:space="0" w:color="auto"/>
            <w:right w:val="none" w:sz="0" w:space="0" w:color="auto"/>
          </w:divBdr>
        </w:div>
      </w:divsChild>
    </w:div>
    <w:div w:id="68770636">
      <w:bodyDiv w:val="1"/>
      <w:marLeft w:val="0"/>
      <w:marRight w:val="0"/>
      <w:marTop w:val="0"/>
      <w:marBottom w:val="0"/>
      <w:divBdr>
        <w:top w:val="none" w:sz="0" w:space="0" w:color="auto"/>
        <w:left w:val="none" w:sz="0" w:space="0" w:color="auto"/>
        <w:bottom w:val="none" w:sz="0" w:space="0" w:color="auto"/>
        <w:right w:val="none" w:sz="0" w:space="0" w:color="auto"/>
      </w:divBdr>
      <w:divsChild>
        <w:div w:id="1451431364">
          <w:marLeft w:val="0"/>
          <w:marRight w:val="0"/>
          <w:marTop w:val="0"/>
          <w:marBottom w:val="0"/>
          <w:divBdr>
            <w:top w:val="none" w:sz="0" w:space="0" w:color="auto"/>
            <w:left w:val="none" w:sz="0" w:space="0" w:color="auto"/>
            <w:bottom w:val="none" w:sz="0" w:space="0" w:color="auto"/>
            <w:right w:val="none" w:sz="0" w:space="0" w:color="auto"/>
          </w:divBdr>
        </w:div>
      </w:divsChild>
    </w:div>
    <w:div w:id="129321059">
      <w:bodyDiv w:val="1"/>
      <w:marLeft w:val="0"/>
      <w:marRight w:val="0"/>
      <w:marTop w:val="0"/>
      <w:marBottom w:val="0"/>
      <w:divBdr>
        <w:top w:val="none" w:sz="0" w:space="0" w:color="auto"/>
        <w:left w:val="none" w:sz="0" w:space="0" w:color="auto"/>
        <w:bottom w:val="none" w:sz="0" w:space="0" w:color="auto"/>
        <w:right w:val="none" w:sz="0" w:space="0" w:color="auto"/>
      </w:divBdr>
      <w:divsChild>
        <w:div w:id="1155295556">
          <w:marLeft w:val="0"/>
          <w:marRight w:val="0"/>
          <w:marTop w:val="0"/>
          <w:marBottom w:val="0"/>
          <w:divBdr>
            <w:top w:val="none" w:sz="0" w:space="0" w:color="auto"/>
            <w:left w:val="none" w:sz="0" w:space="0" w:color="auto"/>
            <w:bottom w:val="none" w:sz="0" w:space="0" w:color="auto"/>
            <w:right w:val="none" w:sz="0" w:space="0" w:color="auto"/>
          </w:divBdr>
        </w:div>
      </w:divsChild>
    </w:div>
    <w:div w:id="235163802">
      <w:bodyDiv w:val="1"/>
      <w:marLeft w:val="0"/>
      <w:marRight w:val="0"/>
      <w:marTop w:val="0"/>
      <w:marBottom w:val="0"/>
      <w:divBdr>
        <w:top w:val="none" w:sz="0" w:space="0" w:color="auto"/>
        <w:left w:val="none" w:sz="0" w:space="0" w:color="auto"/>
        <w:bottom w:val="none" w:sz="0" w:space="0" w:color="auto"/>
        <w:right w:val="none" w:sz="0" w:space="0" w:color="auto"/>
      </w:divBdr>
      <w:divsChild>
        <w:div w:id="1989363951">
          <w:marLeft w:val="0"/>
          <w:marRight w:val="0"/>
          <w:marTop w:val="0"/>
          <w:marBottom w:val="0"/>
          <w:divBdr>
            <w:top w:val="none" w:sz="0" w:space="0" w:color="auto"/>
            <w:left w:val="none" w:sz="0" w:space="0" w:color="auto"/>
            <w:bottom w:val="none" w:sz="0" w:space="0" w:color="auto"/>
            <w:right w:val="none" w:sz="0" w:space="0" w:color="auto"/>
          </w:divBdr>
        </w:div>
      </w:divsChild>
    </w:div>
    <w:div w:id="277687070">
      <w:bodyDiv w:val="1"/>
      <w:marLeft w:val="0"/>
      <w:marRight w:val="0"/>
      <w:marTop w:val="0"/>
      <w:marBottom w:val="0"/>
      <w:divBdr>
        <w:top w:val="none" w:sz="0" w:space="0" w:color="auto"/>
        <w:left w:val="none" w:sz="0" w:space="0" w:color="auto"/>
        <w:bottom w:val="none" w:sz="0" w:space="0" w:color="auto"/>
        <w:right w:val="none" w:sz="0" w:space="0" w:color="auto"/>
      </w:divBdr>
    </w:div>
    <w:div w:id="285237910">
      <w:bodyDiv w:val="1"/>
      <w:marLeft w:val="0"/>
      <w:marRight w:val="0"/>
      <w:marTop w:val="0"/>
      <w:marBottom w:val="0"/>
      <w:divBdr>
        <w:top w:val="none" w:sz="0" w:space="0" w:color="auto"/>
        <w:left w:val="none" w:sz="0" w:space="0" w:color="auto"/>
        <w:bottom w:val="none" w:sz="0" w:space="0" w:color="auto"/>
        <w:right w:val="none" w:sz="0" w:space="0" w:color="auto"/>
      </w:divBdr>
      <w:divsChild>
        <w:div w:id="2042122863">
          <w:marLeft w:val="0"/>
          <w:marRight w:val="0"/>
          <w:marTop w:val="0"/>
          <w:marBottom w:val="0"/>
          <w:divBdr>
            <w:top w:val="none" w:sz="0" w:space="0" w:color="auto"/>
            <w:left w:val="none" w:sz="0" w:space="0" w:color="auto"/>
            <w:bottom w:val="none" w:sz="0" w:space="0" w:color="auto"/>
            <w:right w:val="none" w:sz="0" w:space="0" w:color="auto"/>
          </w:divBdr>
        </w:div>
      </w:divsChild>
    </w:div>
    <w:div w:id="296449400">
      <w:bodyDiv w:val="1"/>
      <w:marLeft w:val="0"/>
      <w:marRight w:val="0"/>
      <w:marTop w:val="0"/>
      <w:marBottom w:val="0"/>
      <w:divBdr>
        <w:top w:val="none" w:sz="0" w:space="0" w:color="auto"/>
        <w:left w:val="none" w:sz="0" w:space="0" w:color="auto"/>
        <w:bottom w:val="none" w:sz="0" w:space="0" w:color="auto"/>
        <w:right w:val="none" w:sz="0" w:space="0" w:color="auto"/>
      </w:divBdr>
      <w:divsChild>
        <w:div w:id="1549874036">
          <w:marLeft w:val="0"/>
          <w:marRight w:val="0"/>
          <w:marTop w:val="0"/>
          <w:marBottom w:val="0"/>
          <w:divBdr>
            <w:top w:val="none" w:sz="0" w:space="0" w:color="auto"/>
            <w:left w:val="none" w:sz="0" w:space="0" w:color="auto"/>
            <w:bottom w:val="none" w:sz="0" w:space="0" w:color="auto"/>
            <w:right w:val="none" w:sz="0" w:space="0" w:color="auto"/>
          </w:divBdr>
        </w:div>
      </w:divsChild>
    </w:div>
    <w:div w:id="336157755">
      <w:bodyDiv w:val="1"/>
      <w:marLeft w:val="0"/>
      <w:marRight w:val="0"/>
      <w:marTop w:val="0"/>
      <w:marBottom w:val="0"/>
      <w:divBdr>
        <w:top w:val="none" w:sz="0" w:space="0" w:color="auto"/>
        <w:left w:val="none" w:sz="0" w:space="0" w:color="auto"/>
        <w:bottom w:val="none" w:sz="0" w:space="0" w:color="auto"/>
        <w:right w:val="none" w:sz="0" w:space="0" w:color="auto"/>
      </w:divBdr>
    </w:div>
    <w:div w:id="353464842">
      <w:bodyDiv w:val="1"/>
      <w:marLeft w:val="0"/>
      <w:marRight w:val="0"/>
      <w:marTop w:val="0"/>
      <w:marBottom w:val="0"/>
      <w:divBdr>
        <w:top w:val="none" w:sz="0" w:space="0" w:color="auto"/>
        <w:left w:val="none" w:sz="0" w:space="0" w:color="auto"/>
        <w:bottom w:val="none" w:sz="0" w:space="0" w:color="auto"/>
        <w:right w:val="none" w:sz="0" w:space="0" w:color="auto"/>
      </w:divBdr>
      <w:divsChild>
        <w:div w:id="1085688127">
          <w:marLeft w:val="0"/>
          <w:marRight w:val="0"/>
          <w:marTop w:val="0"/>
          <w:marBottom w:val="0"/>
          <w:divBdr>
            <w:top w:val="none" w:sz="0" w:space="0" w:color="auto"/>
            <w:left w:val="none" w:sz="0" w:space="0" w:color="auto"/>
            <w:bottom w:val="none" w:sz="0" w:space="0" w:color="auto"/>
            <w:right w:val="none" w:sz="0" w:space="0" w:color="auto"/>
          </w:divBdr>
        </w:div>
      </w:divsChild>
    </w:div>
    <w:div w:id="373695553">
      <w:bodyDiv w:val="1"/>
      <w:marLeft w:val="0"/>
      <w:marRight w:val="0"/>
      <w:marTop w:val="0"/>
      <w:marBottom w:val="0"/>
      <w:divBdr>
        <w:top w:val="none" w:sz="0" w:space="0" w:color="auto"/>
        <w:left w:val="none" w:sz="0" w:space="0" w:color="auto"/>
        <w:bottom w:val="none" w:sz="0" w:space="0" w:color="auto"/>
        <w:right w:val="none" w:sz="0" w:space="0" w:color="auto"/>
      </w:divBdr>
      <w:divsChild>
        <w:div w:id="1090543390">
          <w:marLeft w:val="0"/>
          <w:marRight w:val="0"/>
          <w:marTop w:val="0"/>
          <w:marBottom w:val="0"/>
          <w:divBdr>
            <w:top w:val="none" w:sz="0" w:space="0" w:color="auto"/>
            <w:left w:val="none" w:sz="0" w:space="0" w:color="auto"/>
            <w:bottom w:val="none" w:sz="0" w:space="0" w:color="auto"/>
            <w:right w:val="none" w:sz="0" w:space="0" w:color="auto"/>
          </w:divBdr>
        </w:div>
      </w:divsChild>
    </w:div>
    <w:div w:id="438795517">
      <w:bodyDiv w:val="1"/>
      <w:marLeft w:val="0"/>
      <w:marRight w:val="0"/>
      <w:marTop w:val="0"/>
      <w:marBottom w:val="0"/>
      <w:divBdr>
        <w:top w:val="none" w:sz="0" w:space="0" w:color="auto"/>
        <w:left w:val="none" w:sz="0" w:space="0" w:color="auto"/>
        <w:bottom w:val="none" w:sz="0" w:space="0" w:color="auto"/>
        <w:right w:val="none" w:sz="0" w:space="0" w:color="auto"/>
      </w:divBdr>
      <w:divsChild>
        <w:div w:id="1498039725">
          <w:marLeft w:val="0"/>
          <w:marRight w:val="0"/>
          <w:marTop w:val="0"/>
          <w:marBottom w:val="0"/>
          <w:divBdr>
            <w:top w:val="none" w:sz="0" w:space="0" w:color="auto"/>
            <w:left w:val="none" w:sz="0" w:space="0" w:color="auto"/>
            <w:bottom w:val="none" w:sz="0" w:space="0" w:color="auto"/>
            <w:right w:val="none" w:sz="0" w:space="0" w:color="auto"/>
          </w:divBdr>
        </w:div>
      </w:divsChild>
    </w:div>
    <w:div w:id="486091719">
      <w:bodyDiv w:val="1"/>
      <w:marLeft w:val="0"/>
      <w:marRight w:val="0"/>
      <w:marTop w:val="0"/>
      <w:marBottom w:val="0"/>
      <w:divBdr>
        <w:top w:val="none" w:sz="0" w:space="0" w:color="auto"/>
        <w:left w:val="none" w:sz="0" w:space="0" w:color="auto"/>
        <w:bottom w:val="none" w:sz="0" w:space="0" w:color="auto"/>
        <w:right w:val="none" w:sz="0" w:space="0" w:color="auto"/>
      </w:divBdr>
      <w:divsChild>
        <w:div w:id="637612657">
          <w:marLeft w:val="0"/>
          <w:marRight w:val="0"/>
          <w:marTop w:val="0"/>
          <w:marBottom w:val="0"/>
          <w:divBdr>
            <w:top w:val="none" w:sz="0" w:space="0" w:color="auto"/>
            <w:left w:val="none" w:sz="0" w:space="0" w:color="auto"/>
            <w:bottom w:val="none" w:sz="0" w:space="0" w:color="auto"/>
            <w:right w:val="none" w:sz="0" w:space="0" w:color="auto"/>
          </w:divBdr>
        </w:div>
      </w:divsChild>
    </w:div>
    <w:div w:id="526918040">
      <w:bodyDiv w:val="1"/>
      <w:marLeft w:val="0"/>
      <w:marRight w:val="0"/>
      <w:marTop w:val="0"/>
      <w:marBottom w:val="0"/>
      <w:divBdr>
        <w:top w:val="none" w:sz="0" w:space="0" w:color="auto"/>
        <w:left w:val="none" w:sz="0" w:space="0" w:color="auto"/>
        <w:bottom w:val="none" w:sz="0" w:space="0" w:color="auto"/>
        <w:right w:val="none" w:sz="0" w:space="0" w:color="auto"/>
      </w:divBdr>
      <w:divsChild>
        <w:div w:id="550072799">
          <w:marLeft w:val="0"/>
          <w:marRight w:val="0"/>
          <w:marTop w:val="0"/>
          <w:marBottom w:val="0"/>
          <w:divBdr>
            <w:top w:val="none" w:sz="0" w:space="0" w:color="auto"/>
            <w:left w:val="none" w:sz="0" w:space="0" w:color="auto"/>
            <w:bottom w:val="none" w:sz="0" w:space="0" w:color="auto"/>
            <w:right w:val="none" w:sz="0" w:space="0" w:color="auto"/>
          </w:divBdr>
          <w:divsChild>
            <w:div w:id="938295425">
              <w:marLeft w:val="0"/>
              <w:marRight w:val="0"/>
              <w:marTop w:val="0"/>
              <w:marBottom w:val="0"/>
              <w:divBdr>
                <w:top w:val="none" w:sz="0" w:space="0" w:color="auto"/>
                <w:left w:val="none" w:sz="0" w:space="0" w:color="auto"/>
                <w:bottom w:val="none" w:sz="0" w:space="0" w:color="auto"/>
                <w:right w:val="none" w:sz="0" w:space="0" w:color="auto"/>
              </w:divBdr>
              <w:divsChild>
                <w:div w:id="152005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963017">
      <w:bodyDiv w:val="1"/>
      <w:marLeft w:val="0"/>
      <w:marRight w:val="0"/>
      <w:marTop w:val="0"/>
      <w:marBottom w:val="0"/>
      <w:divBdr>
        <w:top w:val="none" w:sz="0" w:space="0" w:color="auto"/>
        <w:left w:val="none" w:sz="0" w:space="0" w:color="auto"/>
        <w:bottom w:val="none" w:sz="0" w:space="0" w:color="auto"/>
        <w:right w:val="none" w:sz="0" w:space="0" w:color="auto"/>
      </w:divBdr>
      <w:divsChild>
        <w:div w:id="950627887">
          <w:marLeft w:val="0"/>
          <w:marRight w:val="0"/>
          <w:marTop w:val="0"/>
          <w:marBottom w:val="0"/>
          <w:divBdr>
            <w:top w:val="none" w:sz="0" w:space="0" w:color="auto"/>
            <w:left w:val="none" w:sz="0" w:space="0" w:color="auto"/>
            <w:bottom w:val="none" w:sz="0" w:space="0" w:color="auto"/>
            <w:right w:val="none" w:sz="0" w:space="0" w:color="auto"/>
          </w:divBdr>
        </w:div>
      </w:divsChild>
    </w:div>
    <w:div w:id="558976733">
      <w:bodyDiv w:val="1"/>
      <w:marLeft w:val="0"/>
      <w:marRight w:val="0"/>
      <w:marTop w:val="0"/>
      <w:marBottom w:val="0"/>
      <w:divBdr>
        <w:top w:val="none" w:sz="0" w:space="0" w:color="auto"/>
        <w:left w:val="none" w:sz="0" w:space="0" w:color="auto"/>
        <w:bottom w:val="none" w:sz="0" w:space="0" w:color="auto"/>
        <w:right w:val="none" w:sz="0" w:space="0" w:color="auto"/>
      </w:divBdr>
      <w:divsChild>
        <w:div w:id="138814180">
          <w:marLeft w:val="0"/>
          <w:marRight w:val="0"/>
          <w:marTop w:val="0"/>
          <w:marBottom w:val="0"/>
          <w:divBdr>
            <w:top w:val="none" w:sz="0" w:space="0" w:color="auto"/>
            <w:left w:val="none" w:sz="0" w:space="0" w:color="auto"/>
            <w:bottom w:val="none" w:sz="0" w:space="0" w:color="auto"/>
            <w:right w:val="none" w:sz="0" w:space="0" w:color="auto"/>
          </w:divBdr>
        </w:div>
      </w:divsChild>
    </w:div>
    <w:div w:id="628128786">
      <w:bodyDiv w:val="1"/>
      <w:marLeft w:val="0"/>
      <w:marRight w:val="0"/>
      <w:marTop w:val="0"/>
      <w:marBottom w:val="0"/>
      <w:divBdr>
        <w:top w:val="none" w:sz="0" w:space="0" w:color="auto"/>
        <w:left w:val="none" w:sz="0" w:space="0" w:color="auto"/>
        <w:bottom w:val="none" w:sz="0" w:space="0" w:color="auto"/>
        <w:right w:val="none" w:sz="0" w:space="0" w:color="auto"/>
      </w:divBdr>
      <w:divsChild>
        <w:div w:id="369188480">
          <w:marLeft w:val="0"/>
          <w:marRight w:val="0"/>
          <w:marTop w:val="0"/>
          <w:marBottom w:val="0"/>
          <w:divBdr>
            <w:top w:val="none" w:sz="0" w:space="0" w:color="auto"/>
            <w:left w:val="none" w:sz="0" w:space="0" w:color="auto"/>
            <w:bottom w:val="none" w:sz="0" w:space="0" w:color="auto"/>
            <w:right w:val="none" w:sz="0" w:space="0" w:color="auto"/>
          </w:divBdr>
        </w:div>
        <w:div w:id="145822999">
          <w:marLeft w:val="0"/>
          <w:marRight w:val="0"/>
          <w:marTop w:val="0"/>
          <w:marBottom w:val="0"/>
          <w:divBdr>
            <w:top w:val="none" w:sz="0" w:space="0" w:color="auto"/>
            <w:left w:val="none" w:sz="0" w:space="0" w:color="auto"/>
            <w:bottom w:val="none" w:sz="0" w:space="0" w:color="auto"/>
            <w:right w:val="none" w:sz="0" w:space="0" w:color="auto"/>
          </w:divBdr>
        </w:div>
      </w:divsChild>
    </w:div>
    <w:div w:id="628245641">
      <w:bodyDiv w:val="1"/>
      <w:marLeft w:val="0"/>
      <w:marRight w:val="0"/>
      <w:marTop w:val="0"/>
      <w:marBottom w:val="0"/>
      <w:divBdr>
        <w:top w:val="none" w:sz="0" w:space="0" w:color="auto"/>
        <w:left w:val="none" w:sz="0" w:space="0" w:color="auto"/>
        <w:bottom w:val="none" w:sz="0" w:space="0" w:color="auto"/>
        <w:right w:val="none" w:sz="0" w:space="0" w:color="auto"/>
      </w:divBdr>
    </w:div>
    <w:div w:id="692338287">
      <w:bodyDiv w:val="1"/>
      <w:marLeft w:val="0"/>
      <w:marRight w:val="0"/>
      <w:marTop w:val="0"/>
      <w:marBottom w:val="0"/>
      <w:divBdr>
        <w:top w:val="none" w:sz="0" w:space="0" w:color="auto"/>
        <w:left w:val="none" w:sz="0" w:space="0" w:color="auto"/>
        <w:bottom w:val="none" w:sz="0" w:space="0" w:color="auto"/>
        <w:right w:val="none" w:sz="0" w:space="0" w:color="auto"/>
      </w:divBdr>
      <w:divsChild>
        <w:div w:id="1447507532">
          <w:marLeft w:val="0"/>
          <w:marRight w:val="0"/>
          <w:marTop w:val="0"/>
          <w:marBottom w:val="0"/>
          <w:divBdr>
            <w:top w:val="none" w:sz="0" w:space="0" w:color="auto"/>
            <w:left w:val="none" w:sz="0" w:space="0" w:color="auto"/>
            <w:bottom w:val="none" w:sz="0" w:space="0" w:color="auto"/>
            <w:right w:val="none" w:sz="0" w:space="0" w:color="auto"/>
          </w:divBdr>
          <w:divsChild>
            <w:div w:id="1143349166">
              <w:marLeft w:val="0"/>
              <w:marRight w:val="0"/>
              <w:marTop w:val="0"/>
              <w:marBottom w:val="0"/>
              <w:divBdr>
                <w:top w:val="none" w:sz="0" w:space="0" w:color="auto"/>
                <w:left w:val="none" w:sz="0" w:space="0" w:color="auto"/>
                <w:bottom w:val="none" w:sz="0" w:space="0" w:color="auto"/>
                <w:right w:val="none" w:sz="0" w:space="0" w:color="auto"/>
              </w:divBdr>
              <w:divsChild>
                <w:div w:id="1283223078">
                  <w:marLeft w:val="0"/>
                  <w:marRight w:val="0"/>
                  <w:marTop w:val="0"/>
                  <w:marBottom w:val="0"/>
                  <w:divBdr>
                    <w:top w:val="none" w:sz="0" w:space="0" w:color="auto"/>
                    <w:left w:val="none" w:sz="0" w:space="0" w:color="auto"/>
                    <w:bottom w:val="none" w:sz="0" w:space="0" w:color="auto"/>
                    <w:right w:val="none" w:sz="0" w:space="0" w:color="auto"/>
                  </w:divBdr>
                  <w:divsChild>
                    <w:div w:id="146939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332147">
      <w:bodyDiv w:val="1"/>
      <w:marLeft w:val="0"/>
      <w:marRight w:val="0"/>
      <w:marTop w:val="0"/>
      <w:marBottom w:val="0"/>
      <w:divBdr>
        <w:top w:val="none" w:sz="0" w:space="0" w:color="auto"/>
        <w:left w:val="none" w:sz="0" w:space="0" w:color="auto"/>
        <w:bottom w:val="none" w:sz="0" w:space="0" w:color="auto"/>
        <w:right w:val="none" w:sz="0" w:space="0" w:color="auto"/>
      </w:divBdr>
    </w:div>
    <w:div w:id="797260723">
      <w:bodyDiv w:val="1"/>
      <w:marLeft w:val="0"/>
      <w:marRight w:val="0"/>
      <w:marTop w:val="0"/>
      <w:marBottom w:val="0"/>
      <w:divBdr>
        <w:top w:val="none" w:sz="0" w:space="0" w:color="auto"/>
        <w:left w:val="none" w:sz="0" w:space="0" w:color="auto"/>
        <w:bottom w:val="none" w:sz="0" w:space="0" w:color="auto"/>
        <w:right w:val="none" w:sz="0" w:space="0" w:color="auto"/>
      </w:divBdr>
      <w:divsChild>
        <w:div w:id="1485198847">
          <w:marLeft w:val="0"/>
          <w:marRight w:val="0"/>
          <w:marTop w:val="0"/>
          <w:marBottom w:val="0"/>
          <w:divBdr>
            <w:top w:val="none" w:sz="0" w:space="0" w:color="auto"/>
            <w:left w:val="none" w:sz="0" w:space="0" w:color="auto"/>
            <w:bottom w:val="none" w:sz="0" w:space="0" w:color="auto"/>
            <w:right w:val="none" w:sz="0" w:space="0" w:color="auto"/>
          </w:divBdr>
        </w:div>
      </w:divsChild>
    </w:div>
    <w:div w:id="865798040">
      <w:bodyDiv w:val="1"/>
      <w:marLeft w:val="0"/>
      <w:marRight w:val="0"/>
      <w:marTop w:val="0"/>
      <w:marBottom w:val="0"/>
      <w:divBdr>
        <w:top w:val="none" w:sz="0" w:space="0" w:color="auto"/>
        <w:left w:val="none" w:sz="0" w:space="0" w:color="auto"/>
        <w:bottom w:val="none" w:sz="0" w:space="0" w:color="auto"/>
        <w:right w:val="none" w:sz="0" w:space="0" w:color="auto"/>
      </w:divBdr>
      <w:divsChild>
        <w:div w:id="1682243805">
          <w:marLeft w:val="0"/>
          <w:marRight w:val="0"/>
          <w:marTop w:val="0"/>
          <w:marBottom w:val="0"/>
          <w:divBdr>
            <w:top w:val="none" w:sz="0" w:space="0" w:color="auto"/>
            <w:left w:val="none" w:sz="0" w:space="0" w:color="auto"/>
            <w:bottom w:val="none" w:sz="0" w:space="0" w:color="auto"/>
            <w:right w:val="none" w:sz="0" w:space="0" w:color="auto"/>
          </w:divBdr>
        </w:div>
      </w:divsChild>
    </w:div>
    <w:div w:id="961037534">
      <w:bodyDiv w:val="1"/>
      <w:marLeft w:val="0"/>
      <w:marRight w:val="0"/>
      <w:marTop w:val="0"/>
      <w:marBottom w:val="0"/>
      <w:divBdr>
        <w:top w:val="none" w:sz="0" w:space="0" w:color="auto"/>
        <w:left w:val="none" w:sz="0" w:space="0" w:color="auto"/>
        <w:bottom w:val="none" w:sz="0" w:space="0" w:color="auto"/>
        <w:right w:val="none" w:sz="0" w:space="0" w:color="auto"/>
      </w:divBdr>
      <w:divsChild>
        <w:div w:id="316619421">
          <w:marLeft w:val="0"/>
          <w:marRight w:val="0"/>
          <w:marTop w:val="0"/>
          <w:marBottom w:val="0"/>
          <w:divBdr>
            <w:top w:val="none" w:sz="0" w:space="0" w:color="auto"/>
            <w:left w:val="none" w:sz="0" w:space="0" w:color="auto"/>
            <w:bottom w:val="none" w:sz="0" w:space="0" w:color="auto"/>
            <w:right w:val="none" w:sz="0" w:space="0" w:color="auto"/>
          </w:divBdr>
        </w:div>
      </w:divsChild>
    </w:div>
    <w:div w:id="987634278">
      <w:bodyDiv w:val="1"/>
      <w:marLeft w:val="0"/>
      <w:marRight w:val="0"/>
      <w:marTop w:val="0"/>
      <w:marBottom w:val="0"/>
      <w:divBdr>
        <w:top w:val="none" w:sz="0" w:space="0" w:color="auto"/>
        <w:left w:val="none" w:sz="0" w:space="0" w:color="auto"/>
        <w:bottom w:val="none" w:sz="0" w:space="0" w:color="auto"/>
        <w:right w:val="none" w:sz="0" w:space="0" w:color="auto"/>
      </w:divBdr>
      <w:divsChild>
        <w:div w:id="916208282">
          <w:marLeft w:val="0"/>
          <w:marRight w:val="0"/>
          <w:marTop w:val="0"/>
          <w:marBottom w:val="0"/>
          <w:divBdr>
            <w:top w:val="none" w:sz="0" w:space="0" w:color="auto"/>
            <w:left w:val="none" w:sz="0" w:space="0" w:color="auto"/>
            <w:bottom w:val="none" w:sz="0" w:space="0" w:color="auto"/>
            <w:right w:val="none" w:sz="0" w:space="0" w:color="auto"/>
          </w:divBdr>
        </w:div>
      </w:divsChild>
    </w:div>
    <w:div w:id="999499501">
      <w:bodyDiv w:val="1"/>
      <w:marLeft w:val="0"/>
      <w:marRight w:val="0"/>
      <w:marTop w:val="0"/>
      <w:marBottom w:val="0"/>
      <w:divBdr>
        <w:top w:val="none" w:sz="0" w:space="0" w:color="auto"/>
        <w:left w:val="none" w:sz="0" w:space="0" w:color="auto"/>
        <w:bottom w:val="none" w:sz="0" w:space="0" w:color="auto"/>
        <w:right w:val="none" w:sz="0" w:space="0" w:color="auto"/>
      </w:divBdr>
    </w:div>
    <w:div w:id="1020550771">
      <w:bodyDiv w:val="1"/>
      <w:marLeft w:val="0"/>
      <w:marRight w:val="0"/>
      <w:marTop w:val="0"/>
      <w:marBottom w:val="0"/>
      <w:divBdr>
        <w:top w:val="none" w:sz="0" w:space="0" w:color="auto"/>
        <w:left w:val="none" w:sz="0" w:space="0" w:color="auto"/>
        <w:bottom w:val="none" w:sz="0" w:space="0" w:color="auto"/>
        <w:right w:val="none" w:sz="0" w:space="0" w:color="auto"/>
      </w:divBdr>
      <w:divsChild>
        <w:div w:id="991524814">
          <w:marLeft w:val="0"/>
          <w:marRight w:val="0"/>
          <w:marTop w:val="0"/>
          <w:marBottom w:val="0"/>
          <w:divBdr>
            <w:top w:val="none" w:sz="0" w:space="0" w:color="auto"/>
            <w:left w:val="none" w:sz="0" w:space="0" w:color="auto"/>
            <w:bottom w:val="none" w:sz="0" w:space="0" w:color="auto"/>
            <w:right w:val="none" w:sz="0" w:space="0" w:color="auto"/>
          </w:divBdr>
        </w:div>
      </w:divsChild>
    </w:div>
    <w:div w:id="1051539748">
      <w:bodyDiv w:val="1"/>
      <w:marLeft w:val="0"/>
      <w:marRight w:val="0"/>
      <w:marTop w:val="0"/>
      <w:marBottom w:val="0"/>
      <w:divBdr>
        <w:top w:val="none" w:sz="0" w:space="0" w:color="auto"/>
        <w:left w:val="none" w:sz="0" w:space="0" w:color="auto"/>
        <w:bottom w:val="none" w:sz="0" w:space="0" w:color="auto"/>
        <w:right w:val="none" w:sz="0" w:space="0" w:color="auto"/>
      </w:divBdr>
      <w:divsChild>
        <w:div w:id="1042290267">
          <w:marLeft w:val="0"/>
          <w:marRight w:val="0"/>
          <w:marTop w:val="0"/>
          <w:marBottom w:val="0"/>
          <w:divBdr>
            <w:top w:val="none" w:sz="0" w:space="0" w:color="auto"/>
            <w:left w:val="none" w:sz="0" w:space="0" w:color="auto"/>
            <w:bottom w:val="none" w:sz="0" w:space="0" w:color="auto"/>
            <w:right w:val="none" w:sz="0" w:space="0" w:color="auto"/>
          </w:divBdr>
        </w:div>
      </w:divsChild>
    </w:div>
    <w:div w:id="1101027115">
      <w:bodyDiv w:val="1"/>
      <w:marLeft w:val="0"/>
      <w:marRight w:val="0"/>
      <w:marTop w:val="0"/>
      <w:marBottom w:val="0"/>
      <w:divBdr>
        <w:top w:val="none" w:sz="0" w:space="0" w:color="auto"/>
        <w:left w:val="none" w:sz="0" w:space="0" w:color="auto"/>
        <w:bottom w:val="none" w:sz="0" w:space="0" w:color="auto"/>
        <w:right w:val="none" w:sz="0" w:space="0" w:color="auto"/>
      </w:divBdr>
      <w:divsChild>
        <w:div w:id="1945502939">
          <w:marLeft w:val="0"/>
          <w:marRight w:val="0"/>
          <w:marTop w:val="0"/>
          <w:marBottom w:val="0"/>
          <w:divBdr>
            <w:top w:val="none" w:sz="0" w:space="0" w:color="auto"/>
            <w:left w:val="none" w:sz="0" w:space="0" w:color="auto"/>
            <w:bottom w:val="none" w:sz="0" w:space="0" w:color="auto"/>
            <w:right w:val="none" w:sz="0" w:space="0" w:color="auto"/>
          </w:divBdr>
          <w:divsChild>
            <w:div w:id="1619220943">
              <w:marLeft w:val="0"/>
              <w:marRight w:val="0"/>
              <w:marTop w:val="0"/>
              <w:marBottom w:val="0"/>
              <w:divBdr>
                <w:top w:val="none" w:sz="0" w:space="0" w:color="auto"/>
                <w:left w:val="none" w:sz="0" w:space="0" w:color="auto"/>
                <w:bottom w:val="none" w:sz="0" w:space="0" w:color="auto"/>
                <w:right w:val="none" w:sz="0" w:space="0" w:color="auto"/>
              </w:divBdr>
              <w:divsChild>
                <w:div w:id="14250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867110">
      <w:bodyDiv w:val="1"/>
      <w:marLeft w:val="0"/>
      <w:marRight w:val="0"/>
      <w:marTop w:val="0"/>
      <w:marBottom w:val="0"/>
      <w:divBdr>
        <w:top w:val="none" w:sz="0" w:space="0" w:color="auto"/>
        <w:left w:val="none" w:sz="0" w:space="0" w:color="auto"/>
        <w:bottom w:val="none" w:sz="0" w:space="0" w:color="auto"/>
        <w:right w:val="none" w:sz="0" w:space="0" w:color="auto"/>
      </w:divBdr>
    </w:div>
    <w:div w:id="1245919035">
      <w:bodyDiv w:val="1"/>
      <w:marLeft w:val="0"/>
      <w:marRight w:val="0"/>
      <w:marTop w:val="0"/>
      <w:marBottom w:val="0"/>
      <w:divBdr>
        <w:top w:val="none" w:sz="0" w:space="0" w:color="auto"/>
        <w:left w:val="none" w:sz="0" w:space="0" w:color="auto"/>
        <w:bottom w:val="none" w:sz="0" w:space="0" w:color="auto"/>
        <w:right w:val="none" w:sz="0" w:space="0" w:color="auto"/>
      </w:divBdr>
      <w:divsChild>
        <w:div w:id="1372608413">
          <w:marLeft w:val="0"/>
          <w:marRight w:val="0"/>
          <w:marTop w:val="0"/>
          <w:marBottom w:val="0"/>
          <w:divBdr>
            <w:top w:val="none" w:sz="0" w:space="0" w:color="auto"/>
            <w:left w:val="none" w:sz="0" w:space="0" w:color="auto"/>
            <w:bottom w:val="none" w:sz="0" w:space="0" w:color="auto"/>
            <w:right w:val="none" w:sz="0" w:space="0" w:color="auto"/>
          </w:divBdr>
        </w:div>
      </w:divsChild>
    </w:div>
    <w:div w:id="1249578993">
      <w:bodyDiv w:val="1"/>
      <w:marLeft w:val="0"/>
      <w:marRight w:val="0"/>
      <w:marTop w:val="0"/>
      <w:marBottom w:val="0"/>
      <w:divBdr>
        <w:top w:val="none" w:sz="0" w:space="0" w:color="auto"/>
        <w:left w:val="none" w:sz="0" w:space="0" w:color="auto"/>
        <w:bottom w:val="none" w:sz="0" w:space="0" w:color="auto"/>
        <w:right w:val="none" w:sz="0" w:space="0" w:color="auto"/>
      </w:divBdr>
      <w:divsChild>
        <w:div w:id="719328112">
          <w:marLeft w:val="0"/>
          <w:marRight w:val="0"/>
          <w:marTop w:val="0"/>
          <w:marBottom w:val="0"/>
          <w:divBdr>
            <w:top w:val="none" w:sz="0" w:space="0" w:color="auto"/>
            <w:left w:val="none" w:sz="0" w:space="0" w:color="auto"/>
            <w:bottom w:val="none" w:sz="0" w:space="0" w:color="auto"/>
            <w:right w:val="none" w:sz="0" w:space="0" w:color="auto"/>
          </w:divBdr>
        </w:div>
      </w:divsChild>
    </w:div>
    <w:div w:id="1316686368">
      <w:bodyDiv w:val="1"/>
      <w:marLeft w:val="0"/>
      <w:marRight w:val="0"/>
      <w:marTop w:val="0"/>
      <w:marBottom w:val="0"/>
      <w:divBdr>
        <w:top w:val="none" w:sz="0" w:space="0" w:color="auto"/>
        <w:left w:val="none" w:sz="0" w:space="0" w:color="auto"/>
        <w:bottom w:val="none" w:sz="0" w:space="0" w:color="auto"/>
        <w:right w:val="none" w:sz="0" w:space="0" w:color="auto"/>
      </w:divBdr>
      <w:divsChild>
        <w:div w:id="2121103170">
          <w:marLeft w:val="0"/>
          <w:marRight w:val="0"/>
          <w:marTop w:val="0"/>
          <w:marBottom w:val="0"/>
          <w:divBdr>
            <w:top w:val="none" w:sz="0" w:space="0" w:color="auto"/>
            <w:left w:val="none" w:sz="0" w:space="0" w:color="auto"/>
            <w:bottom w:val="none" w:sz="0" w:space="0" w:color="auto"/>
            <w:right w:val="none" w:sz="0" w:space="0" w:color="auto"/>
          </w:divBdr>
        </w:div>
      </w:divsChild>
    </w:div>
    <w:div w:id="1320573084">
      <w:bodyDiv w:val="1"/>
      <w:marLeft w:val="0"/>
      <w:marRight w:val="0"/>
      <w:marTop w:val="0"/>
      <w:marBottom w:val="0"/>
      <w:divBdr>
        <w:top w:val="none" w:sz="0" w:space="0" w:color="auto"/>
        <w:left w:val="none" w:sz="0" w:space="0" w:color="auto"/>
        <w:bottom w:val="none" w:sz="0" w:space="0" w:color="auto"/>
        <w:right w:val="none" w:sz="0" w:space="0" w:color="auto"/>
      </w:divBdr>
      <w:divsChild>
        <w:div w:id="539631517">
          <w:marLeft w:val="0"/>
          <w:marRight w:val="0"/>
          <w:marTop w:val="0"/>
          <w:marBottom w:val="0"/>
          <w:divBdr>
            <w:top w:val="none" w:sz="0" w:space="0" w:color="auto"/>
            <w:left w:val="none" w:sz="0" w:space="0" w:color="auto"/>
            <w:bottom w:val="none" w:sz="0" w:space="0" w:color="auto"/>
            <w:right w:val="none" w:sz="0" w:space="0" w:color="auto"/>
          </w:divBdr>
        </w:div>
      </w:divsChild>
    </w:div>
    <w:div w:id="1342470780">
      <w:bodyDiv w:val="1"/>
      <w:marLeft w:val="0"/>
      <w:marRight w:val="0"/>
      <w:marTop w:val="0"/>
      <w:marBottom w:val="0"/>
      <w:divBdr>
        <w:top w:val="none" w:sz="0" w:space="0" w:color="auto"/>
        <w:left w:val="none" w:sz="0" w:space="0" w:color="auto"/>
        <w:bottom w:val="none" w:sz="0" w:space="0" w:color="auto"/>
        <w:right w:val="none" w:sz="0" w:space="0" w:color="auto"/>
      </w:divBdr>
      <w:divsChild>
        <w:div w:id="1571308237">
          <w:marLeft w:val="0"/>
          <w:marRight w:val="0"/>
          <w:marTop w:val="0"/>
          <w:marBottom w:val="0"/>
          <w:divBdr>
            <w:top w:val="none" w:sz="0" w:space="0" w:color="auto"/>
            <w:left w:val="none" w:sz="0" w:space="0" w:color="auto"/>
            <w:bottom w:val="none" w:sz="0" w:space="0" w:color="auto"/>
            <w:right w:val="none" w:sz="0" w:space="0" w:color="auto"/>
          </w:divBdr>
        </w:div>
      </w:divsChild>
    </w:div>
    <w:div w:id="1378046292">
      <w:bodyDiv w:val="1"/>
      <w:marLeft w:val="0"/>
      <w:marRight w:val="0"/>
      <w:marTop w:val="0"/>
      <w:marBottom w:val="0"/>
      <w:divBdr>
        <w:top w:val="none" w:sz="0" w:space="0" w:color="auto"/>
        <w:left w:val="none" w:sz="0" w:space="0" w:color="auto"/>
        <w:bottom w:val="none" w:sz="0" w:space="0" w:color="auto"/>
        <w:right w:val="none" w:sz="0" w:space="0" w:color="auto"/>
      </w:divBdr>
      <w:divsChild>
        <w:div w:id="2025589990">
          <w:marLeft w:val="0"/>
          <w:marRight w:val="0"/>
          <w:marTop w:val="0"/>
          <w:marBottom w:val="0"/>
          <w:divBdr>
            <w:top w:val="none" w:sz="0" w:space="0" w:color="auto"/>
            <w:left w:val="none" w:sz="0" w:space="0" w:color="auto"/>
            <w:bottom w:val="none" w:sz="0" w:space="0" w:color="auto"/>
            <w:right w:val="none" w:sz="0" w:space="0" w:color="auto"/>
          </w:divBdr>
        </w:div>
      </w:divsChild>
    </w:div>
    <w:div w:id="1448425575">
      <w:bodyDiv w:val="1"/>
      <w:marLeft w:val="0"/>
      <w:marRight w:val="0"/>
      <w:marTop w:val="0"/>
      <w:marBottom w:val="0"/>
      <w:divBdr>
        <w:top w:val="none" w:sz="0" w:space="0" w:color="auto"/>
        <w:left w:val="none" w:sz="0" w:space="0" w:color="auto"/>
        <w:bottom w:val="none" w:sz="0" w:space="0" w:color="auto"/>
        <w:right w:val="none" w:sz="0" w:space="0" w:color="auto"/>
      </w:divBdr>
      <w:divsChild>
        <w:div w:id="2116512931">
          <w:marLeft w:val="0"/>
          <w:marRight w:val="0"/>
          <w:marTop w:val="0"/>
          <w:marBottom w:val="0"/>
          <w:divBdr>
            <w:top w:val="none" w:sz="0" w:space="0" w:color="auto"/>
            <w:left w:val="none" w:sz="0" w:space="0" w:color="auto"/>
            <w:bottom w:val="none" w:sz="0" w:space="0" w:color="auto"/>
            <w:right w:val="none" w:sz="0" w:space="0" w:color="auto"/>
          </w:divBdr>
        </w:div>
      </w:divsChild>
    </w:div>
    <w:div w:id="1456754805">
      <w:bodyDiv w:val="1"/>
      <w:marLeft w:val="0"/>
      <w:marRight w:val="0"/>
      <w:marTop w:val="0"/>
      <w:marBottom w:val="0"/>
      <w:divBdr>
        <w:top w:val="none" w:sz="0" w:space="0" w:color="auto"/>
        <w:left w:val="none" w:sz="0" w:space="0" w:color="auto"/>
        <w:bottom w:val="none" w:sz="0" w:space="0" w:color="auto"/>
        <w:right w:val="none" w:sz="0" w:space="0" w:color="auto"/>
      </w:divBdr>
      <w:divsChild>
        <w:div w:id="772436522">
          <w:marLeft w:val="0"/>
          <w:marRight w:val="0"/>
          <w:marTop w:val="0"/>
          <w:marBottom w:val="0"/>
          <w:divBdr>
            <w:top w:val="none" w:sz="0" w:space="0" w:color="auto"/>
            <w:left w:val="none" w:sz="0" w:space="0" w:color="auto"/>
            <w:bottom w:val="none" w:sz="0" w:space="0" w:color="auto"/>
            <w:right w:val="none" w:sz="0" w:space="0" w:color="auto"/>
          </w:divBdr>
        </w:div>
      </w:divsChild>
    </w:div>
    <w:div w:id="1457675970">
      <w:bodyDiv w:val="1"/>
      <w:marLeft w:val="0"/>
      <w:marRight w:val="0"/>
      <w:marTop w:val="0"/>
      <w:marBottom w:val="0"/>
      <w:divBdr>
        <w:top w:val="none" w:sz="0" w:space="0" w:color="auto"/>
        <w:left w:val="none" w:sz="0" w:space="0" w:color="auto"/>
        <w:bottom w:val="none" w:sz="0" w:space="0" w:color="auto"/>
        <w:right w:val="none" w:sz="0" w:space="0" w:color="auto"/>
      </w:divBdr>
    </w:div>
    <w:div w:id="1548712330">
      <w:bodyDiv w:val="1"/>
      <w:marLeft w:val="0"/>
      <w:marRight w:val="0"/>
      <w:marTop w:val="0"/>
      <w:marBottom w:val="0"/>
      <w:divBdr>
        <w:top w:val="none" w:sz="0" w:space="0" w:color="auto"/>
        <w:left w:val="none" w:sz="0" w:space="0" w:color="auto"/>
        <w:bottom w:val="none" w:sz="0" w:space="0" w:color="auto"/>
        <w:right w:val="none" w:sz="0" w:space="0" w:color="auto"/>
      </w:divBdr>
    </w:div>
    <w:div w:id="1582790959">
      <w:bodyDiv w:val="1"/>
      <w:marLeft w:val="0"/>
      <w:marRight w:val="0"/>
      <w:marTop w:val="0"/>
      <w:marBottom w:val="0"/>
      <w:divBdr>
        <w:top w:val="none" w:sz="0" w:space="0" w:color="auto"/>
        <w:left w:val="none" w:sz="0" w:space="0" w:color="auto"/>
        <w:bottom w:val="none" w:sz="0" w:space="0" w:color="auto"/>
        <w:right w:val="none" w:sz="0" w:space="0" w:color="auto"/>
      </w:divBdr>
      <w:divsChild>
        <w:div w:id="2026709670">
          <w:marLeft w:val="0"/>
          <w:marRight w:val="0"/>
          <w:marTop w:val="0"/>
          <w:marBottom w:val="0"/>
          <w:divBdr>
            <w:top w:val="none" w:sz="0" w:space="0" w:color="auto"/>
            <w:left w:val="none" w:sz="0" w:space="0" w:color="auto"/>
            <w:bottom w:val="none" w:sz="0" w:space="0" w:color="auto"/>
            <w:right w:val="none" w:sz="0" w:space="0" w:color="auto"/>
          </w:divBdr>
          <w:divsChild>
            <w:div w:id="600334289">
              <w:marLeft w:val="0"/>
              <w:marRight w:val="0"/>
              <w:marTop w:val="0"/>
              <w:marBottom w:val="0"/>
              <w:divBdr>
                <w:top w:val="none" w:sz="0" w:space="0" w:color="auto"/>
                <w:left w:val="none" w:sz="0" w:space="0" w:color="auto"/>
                <w:bottom w:val="none" w:sz="0" w:space="0" w:color="auto"/>
                <w:right w:val="none" w:sz="0" w:space="0" w:color="auto"/>
              </w:divBdr>
              <w:divsChild>
                <w:div w:id="141659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417256">
      <w:bodyDiv w:val="1"/>
      <w:marLeft w:val="0"/>
      <w:marRight w:val="0"/>
      <w:marTop w:val="0"/>
      <w:marBottom w:val="0"/>
      <w:divBdr>
        <w:top w:val="none" w:sz="0" w:space="0" w:color="auto"/>
        <w:left w:val="none" w:sz="0" w:space="0" w:color="auto"/>
        <w:bottom w:val="none" w:sz="0" w:space="0" w:color="auto"/>
        <w:right w:val="none" w:sz="0" w:space="0" w:color="auto"/>
      </w:divBdr>
    </w:div>
    <w:div w:id="1642808063">
      <w:bodyDiv w:val="1"/>
      <w:marLeft w:val="0"/>
      <w:marRight w:val="0"/>
      <w:marTop w:val="0"/>
      <w:marBottom w:val="0"/>
      <w:divBdr>
        <w:top w:val="none" w:sz="0" w:space="0" w:color="auto"/>
        <w:left w:val="none" w:sz="0" w:space="0" w:color="auto"/>
        <w:bottom w:val="none" w:sz="0" w:space="0" w:color="auto"/>
        <w:right w:val="none" w:sz="0" w:space="0" w:color="auto"/>
      </w:divBdr>
    </w:div>
    <w:div w:id="1725059699">
      <w:bodyDiv w:val="1"/>
      <w:marLeft w:val="0"/>
      <w:marRight w:val="0"/>
      <w:marTop w:val="0"/>
      <w:marBottom w:val="0"/>
      <w:divBdr>
        <w:top w:val="none" w:sz="0" w:space="0" w:color="auto"/>
        <w:left w:val="none" w:sz="0" w:space="0" w:color="auto"/>
        <w:bottom w:val="none" w:sz="0" w:space="0" w:color="auto"/>
        <w:right w:val="none" w:sz="0" w:space="0" w:color="auto"/>
      </w:divBdr>
      <w:divsChild>
        <w:div w:id="1768193032">
          <w:marLeft w:val="0"/>
          <w:marRight w:val="0"/>
          <w:marTop w:val="0"/>
          <w:marBottom w:val="0"/>
          <w:divBdr>
            <w:top w:val="none" w:sz="0" w:space="0" w:color="auto"/>
            <w:left w:val="none" w:sz="0" w:space="0" w:color="auto"/>
            <w:bottom w:val="none" w:sz="0" w:space="0" w:color="auto"/>
            <w:right w:val="none" w:sz="0" w:space="0" w:color="auto"/>
          </w:divBdr>
        </w:div>
      </w:divsChild>
    </w:div>
    <w:div w:id="1725836732">
      <w:bodyDiv w:val="1"/>
      <w:marLeft w:val="0"/>
      <w:marRight w:val="0"/>
      <w:marTop w:val="0"/>
      <w:marBottom w:val="0"/>
      <w:divBdr>
        <w:top w:val="none" w:sz="0" w:space="0" w:color="auto"/>
        <w:left w:val="none" w:sz="0" w:space="0" w:color="auto"/>
        <w:bottom w:val="none" w:sz="0" w:space="0" w:color="auto"/>
        <w:right w:val="none" w:sz="0" w:space="0" w:color="auto"/>
      </w:divBdr>
      <w:divsChild>
        <w:div w:id="1184048764">
          <w:marLeft w:val="0"/>
          <w:marRight w:val="0"/>
          <w:marTop w:val="0"/>
          <w:marBottom w:val="0"/>
          <w:divBdr>
            <w:top w:val="none" w:sz="0" w:space="0" w:color="auto"/>
            <w:left w:val="none" w:sz="0" w:space="0" w:color="auto"/>
            <w:bottom w:val="none" w:sz="0" w:space="0" w:color="auto"/>
            <w:right w:val="none" w:sz="0" w:space="0" w:color="auto"/>
          </w:divBdr>
        </w:div>
      </w:divsChild>
    </w:div>
    <w:div w:id="1792549730">
      <w:bodyDiv w:val="1"/>
      <w:marLeft w:val="0"/>
      <w:marRight w:val="0"/>
      <w:marTop w:val="0"/>
      <w:marBottom w:val="0"/>
      <w:divBdr>
        <w:top w:val="none" w:sz="0" w:space="0" w:color="auto"/>
        <w:left w:val="none" w:sz="0" w:space="0" w:color="auto"/>
        <w:bottom w:val="none" w:sz="0" w:space="0" w:color="auto"/>
        <w:right w:val="none" w:sz="0" w:space="0" w:color="auto"/>
      </w:divBdr>
      <w:divsChild>
        <w:div w:id="2141803108">
          <w:marLeft w:val="0"/>
          <w:marRight w:val="0"/>
          <w:marTop w:val="0"/>
          <w:marBottom w:val="0"/>
          <w:divBdr>
            <w:top w:val="none" w:sz="0" w:space="0" w:color="auto"/>
            <w:left w:val="none" w:sz="0" w:space="0" w:color="auto"/>
            <w:bottom w:val="none" w:sz="0" w:space="0" w:color="auto"/>
            <w:right w:val="none" w:sz="0" w:space="0" w:color="auto"/>
          </w:divBdr>
        </w:div>
      </w:divsChild>
    </w:div>
    <w:div w:id="1807165944">
      <w:bodyDiv w:val="1"/>
      <w:marLeft w:val="0"/>
      <w:marRight w:val="0"/>
      <w:marTop w:val="0"/>
      <w:marBottom w:val="0"/>
      <w:divBdr>
        <w:top w:val="none" w:sz="0" w:space="0" w:color="auto"/>
        <w:left w:val="none" w:sz="0" w:space="0" w:color="auto"/>
        <w:bottom w:val="none" w:sz="0" w:space="0" w:color="auto"/>
        <w:right w:val="none" w:sz="0" w:space="0" w:color="auto"/>
      </w:divBdr>
      <w:divsChild>
        <w:div w:id="1750421542">
          <w:marLeft w:val="0"/>
          <w:marRight w:val="0"/>
          <w:marTop w:val="0"/>
          <w:marBottom w:val="0"/>
          <w:divBdr>
            <w:top w:val="none" w:sz="0" w:space="0" w:color="auto"/>
            <w:left w:val="none" w:sz="0" w:space="0" w:color="auto"/>
            <w:bottom w:val="none" w:sz="0" w:space="0" w:color="auto"/>
            <w:right w:val="none" w:sz="0" w:space="0" w:color="auto"/>
          </w:divBdr>
        </w:div>
      </w:divsChild>
    </w:div>
    <w:div w:id="1832596363">
      <w:bodyDiv w:val="1"/>
      <w:marLeft w:val="0"/>
      <w:marRight w:val="0"/>
      <w:marTop w:val="0"/>
      <w:marBottom w:val="0"/>
      <w:divBdr>
        <w:top w:val="none" w:sz="0" w:space="0" w:color="auto"/>
        <w:left w:val="none" w:sz="0" w:space="0" w:color="auto"/>
        <w:bottom w:val="none" w:sz="0" w:space="0" w:color="auto"/>
        <w:right w:val="none" w:sz="0" w:space="0" w:color="auto"/>
      </w:divBdr>
      <w:divsChild>
        <w:div w:id="241571831">
          <w:marLeft w:val="0"/>
          <w:marRight w:val="0"/>
          <w:marTop w:val="0"/>
          <w:marBottom w:val="0"/>
          <w:divBdr>
            <w:top w:val="none" w:sz="0" w:space="0" w:color="auto"/>
            <w:left w:val="none" w:sz="0" w:space="0" w:color="auto"/>
            <w:bottom w:val="none" w:sz="0" w:space="0" w:color="auto"/>
            <w:right w:val="none" w:sz="0" w:space="0" w:color="auto"/>
          </w:divBdr>
        </w:div>
      </w:divsChild>
    </w:div>
    <w:div w:id="1879126957">
      <w:bodyDiv w:val="1"/>
      <w:marLeft w:val="0"/>
      <w:marRight w:val="0"/>
      <w:marTop w:val="0"/>
      <w:marBottom w:val="0"/>
      <w:divBdr>
        <w:top w:val="none" w:sz="0" w:space="0" w:color="auto"/>
        <w:left w:val="none" w:sz="0" w:space="0" w:color="auto"/>
        <w:bottom w:val="none" w:sz="0" w:space="0" w:color="auto"/>
        <w:right w:val="none" w:sz="0" w:space="0" w:color="auto"/>
      </w:divBdr>
      <w:divsChild>
        <w:div w:id="1498572173">
          <w:marLeft w:val="0"/>
          <w:marRight w:val="0"/>
          <w:marTop w:val="0"/>
          <w:marBottom w:val="0"/>
          <w:divBdr>
            <w:top w:val="none" w:sz="0" w:space="0" w:color="auto"/>
            <w:left w:val="none" w:sz="0" w:space="0" w:color="auto"/>
            <w:bottom w:val="none" w:sz="0" w:space="0" w:color="auto"/>
            <w:right w:val="none" w:sz="0" w:space="0" w:color="auto"/>
          </w:divBdr>
        </w:div>
      </w:divsChild>
    </w:div>
    <w:div w:id="1981038189">
      <w:bodyDiv w:val="1"/>
      <w:marLeft w:val="0"/>
      <w:marRight w:val="0"/>
      <w:marTop w:val="0"/>
      <w:marBottom w:val="0"/>
      <w:divBdr>
        <w:top w:val="none" w:sz="0" w:space="0" w:color="auto"/>
        <w:left w:val="none" w:sz="0" w:space="0" w:color="auto"/>
        <w:bottom w:val="none" w:sz="0" w:space="0" w:color="auto"/>
        <w:right w:val="none" w:sz="0" w:space="0" w:color="auto"/>
      </w:divBdr>
      <w:divsChild>
        <w:div w:id="924804900">
          <w:marLeft w:val="0"/>
          <w:marRight w:val="0"/>
          <w:marTop w:val="0"/>
          <w:marBottom w:val="0"/>
          <w:divBdr>
            <w:top w:val="none" w:sz="0" w:space="0" w:color="auto"/>
            <w:left w:val="none" w:sz="0" w:space="0" w:color="auto"/>
            <w:bottom w:val="none" w:sz="0" w:space="0" w:color="auto"/>
            <w:right w:val="none" w:sz="0" w:space="0" w:color="auto"/>
          </w:divBdr>
        </w:div>
      </w:divsChild>
    </w:div>
    <w:div w:id="1982883843">
      <w:bodyDiv w:val="1"/>
      <w:marLeft w:val="0"/>
      <w:marRight w:val="0"/>
      <w:marTop w:val="0"/>
      <w:marBottom w:val="0"/>
      <w:divBdr>
        <w:top w:val="none" w:sz="0" w:space="0" w:color="auto"/>
        <w:left w:val="none" w:sz="0" w:space="0" w:color="auto"/>
        <w:bottom w:val="none" w:sz="0" w:space="0" w:color="auto"/>
        <w:right w:val="none" w:sz="0" w:space="0" w:color="auto"/>
      </w:divBdr>
    </w:div>
    <w:div w:id="2007633494">
      <w:bodyDiv w:val="1"/>
      <w:marLeft w:val="0"/>
      <w:marRight w:val="0"/>
      <w:marTop w:val="0"/>
      <w:marBottom w:val="0"/>
      <w:divBdr>
        <w:top w:val="none" w:sz="0" w:space="0" w:color="auto"/>
        <w:left w:val="none" w:sz="0" w:space="0" w:color="auto"/>
        <w:bottom w:val="none" w:sz="0" w:space="0" w:color="auto"/>
        <w:right w:val="none" w:sz="0" w:space="0" w:color="auto"/>
      </w:divBdr>
      <w:divsChild>
        <w:div w:id="503666827">
          <w:marLeft w:val="0"/>
          <w:marRight w:val="0"/>
          <w:marTop w:val="0"/>
          <w:marBottom w:val="0"/>
          <w:divBdr>
            <w:top w:val="none" w:sz="0" w:space="0" w:color="auto"/>
            <w:left w:val="none" w:sz="0" w:space="0" w:color="auto"/>
            <w:bottom w:val="none" w:sz="0" w:space="0" w:color="auto"/>
            <w:right w:val="none" w:sz="0" w:space="0" w:color="auto"/>
          </w:divBdr>
        </w:div>
      </w:divsChild>
    </w:div>
    <w:div w:id="2040887760">
      <w:bodyDiv w:val="1"/>
      <w:marLeft w:val="0"/>
      <w:marRight w:val="0"/>
      <w:marTop w:val="0"/>
      <w:marBottom w:val="0"/>
      <w:divBdr>
        <w:top w:val="none" w:sz="0" w:space="0" w:color="auto"/>
        <w:left w:val="none" w:sz="0" w:space="0" w:color="auto"/>
        <w:bottom w:val="none" w:sz="0" w:space="0" w:color="auto"/>
        <w:right w:val="none" w:sz="0" w:space="0" w:color="auto"/>
      </w:divBdr>
      <w:divsChild>
        <w:div w:id="1880899812">
          <w:marLeft w:val="0"/>
          <w:marRight w:val="0"/>
          <w:marTop w:val="0"/>
          <w:marBottom w:val="0"/>
          <w:divBdr>
            <w:top w:val="none" w:sz="0" w:space="0" w:color="auto"/>
            <w:left w:val="none" w:sz="0" w:space="0" w:color="auto"/>
            <w:bottom w:val="none" w:sz="0" w:space="0" w:color="auto"/>
            <w:right w:val="none" w:sz="0" w:space="0" w:color="auto"/>
          </w:divBdr>
        </w:div>
      </w:divsChild>
    </w:div>
    <w:div w:id="2074966094">
      <w:bodyDiv w:val="1"/>
      <w:marLeft w:val="0"/>
      <w:marRight w:val="0"/>
      <w:marTop w:val="0"/>
      <w:marBottom w:val="0"/>
      <w:divBdr>
        <w:top w:val="none" w:sz="0" w:space="0" w:color="auto"/>
        <w:left w:val="none" w:sz="0" w:space="0" w:color="auto"/>
        <w:bottom w:val="none" w:sz="0" w:space="0" w:color="auto"/>
        <w:right w:val="none" w:sz="0" w:space="0" w:color="auto"/>
      </w:divBdr>
    </w:div>
    <w:div w:id="2092314646">
      <w:bodyDiv w:val="1"/>
      <w:marLeft w:val="0"/>
      <w:marRight w:val="0"/>
      <w:marTop w:val="0"/>
      <w:marBottom w:val="0"/>
      <w:divBdr>
        <w:top w:val="none" w:sz="0" w:space="0" w:color="auto"/>
        <w:left w:val="none" w:sz="0" w:space="0" w:color="auto"/>
        <w:bottom w:val="none" w:sz="0" w:space="0" w:color="auto"/>
        <w:right w:val="none" w:sz="0" w:space="0" w:color="auto"/>
      </w:divBdr>
      <w:divsChild>
        <w:div w:id="1991401932">
          <w:marLeft w:val="0"/>
          <w:marRight w:val="0"/>
          <w:marTop w:val="0"/>
          <w:marBottom w:val="0"/>
          <w:divBdr>
            <w:top w:val="none" w:sz="0" w:space="0" w:color="auto"/>
            <w:left w:val="none" w:sz="0" w:space="0" w:color="auto"/>
            <w:bottom w:val="none" w:sz="0" w:space="0" w:color="auto"/>
            <w:right w:val="none" w:sz="0" w:space="0" w:color="auto"/>
          </w:divBdr>
        </w:div>
      </w:divsChild>
    </w:div>
    <w:div w:id="2129082967">
      <w:bodyDiv w:val="1"/>
      <w:marLeft w:val="0"/>
      <w:marRight w:val="0"/>
      <w:marTop w:val="0"/>
      <w:marBottom w:val="0"/>
      <w:divBdr>
        <w:top w:val="none" w:sz="0" w:space="0" w:color="auto"/>
        <w:left w:val="none" w:sz="0" w:space="0" w:color="auto"/>
        <w:bottom w:val="none" w:sz="0" w:space="0" w:color="auto"/>
        <w:right w:val="none" w:sz="0" w:space="0" w:color="auto"/>
      </w:divBdr>
      <w:divsChild>
        <w:div w:id="1472479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pds-data.org/" TargetMode="External"/><Relationship Id="rId18" Type="http://schemas.openxmlformats.org/officeDocument/2006/relationships/hyperlink" Target="https://www.rba.gov.au/mkt-operations/ex-rate-rba-role-fx-mkt.html" TargetMode="External"/><Relationship Id="rId26" Type="http://schemas.openxmlformats.org/officeDocument/2006/relationships/hyperlink" Target="https://www.imf.org/external/pubs/ft/op/193/Append.pdf" TargetMode="External"/><Relationship Id="rId39" Type="http://schemas.openxmlformats.org/officeDocument/2006/relationships/image" Target="media/image7.emf"/><Relationship Id="rId21" Type="http://schemas.openxmlformats.org/officeDocument/2006/relationships/hyperlink" Target="https://www.nationalbanken.dk/en/publications/Documents/2010/12/Monetary_History_Denmark_web.pdf" TargetMode="External"/><Relationship Id="rId34" Type="http://schemas.openxmlformats.org/officeDocument/2006/relationships/hyperlink" Target="https://www.imf.org/external/pubs/nft/2012/eaer/ar2012.pdf" TargetMode="External"/><Relationship Id="rId42" Type="http://schemas.openxmlformats.org/officeDocument/2006/relationships/image" Target="media/image10.emf"/><Relationship Id="rId47" Type="http://schemas.openxmlformats.org/officeDocument/2006/relationships/image" Target="media/image15.emf"/><Relationship Id="rId50" Type="http://schemas.openxmlformats.org/officeDocument/2006/relationships/image" Target="media/image18.emf"/><Relationship Id="rId55" Type="http://schemas.openxmlformats.org/officeDocument/2006/relationships/image" Target="media/image23.emf"/><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mf.org/en/Publications/Annual-Report-on-Exchange-Arrangements-and-Exchange-Restrictions/Issues/2017/01/25/Annual-Report-on-Exchange-Arrangements-and-Exchange-Restrictions-2016-43741" TargetMode="External"/><Relationship Id="rId29" Type="http://schemas.openxmlformats.org/officeDocument/2006/relationships/hyperlink" Target="https://citeseerx.ist.psu.edu/viewdoc/download?doi=10.1.1.960.8164&amp;rep=rep1&amp;typ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yperlink" Target="https://www.bis.org/review/r150401c.pdf" TargetMode="External"/><Relationship Id="rId32" Type="http://schemas.openxmlformats.org/officeDocument/2006/relationships/hyperlink" Target="https://www.imf.org/external/np/mfd/er/2006/eng/0706.htm" TargetMode="External"/><Relationship Id="rId37" Type="http://schemas.openxmlformats.org/officeDocument/2006/relationships/hyperlink" Target="https://www.imf.org/en/Publications/Annual-Report-on-Exchange-Arrangements-and-Exchange-Restrictions/Issues/2019/04/24/Annual-Report-on-Exchange-Arrangements-and-Exchange-Restrictions-2018-46162" TargetMode="External"/><Relationship Id="rId40" Type="http://schemas.openxmlformats.org/officeDocument/2006/relationships/image" Target="media/image8.emf"/><Relationship Id="rId45" Type="http://schemas.openxmlformats.org/officeDocument/2006/relationships/image" Target="media/image13.emf"/><Relationship Id="rId53" Type="http://schemas.openxmlformats.org/officeDocument/2006/relationships/image" Target="media/image21.emf"/><Relationship Id="rId58" Type="http://schemas.openxmlformats.org/officeDocument/2006/relationships/image" Target="media/image26.emf"/><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mf.org/external/pubs/nft/2014/areaers/ar2014.pdf" TargetMode="External"/><Relationship Id="rId23" Type="http://schemas.openxmlformats.org/officeDocument/2006/relationships/hyperlink" Target="https://pdfs.semanticscholar.org/7a5d/f5b070bd1b0bef12d514e4fdae05f96b90e5.pdf" TargetMode="External"/><Relationship Id="rId28" Type="http://schemas.openxmlformats.org/officeDocument/2006/relationships/hyperlink" Target="http://hdl.handle.net/11250/2506533" TargetMode="External"/><Relationship Id="rId36" Type="http://schemas.openxmlformats.org/officeDocument/2006/relationships/hyperlink" Target="https://www.imf.org/en/Publications/Annual-Report-on-Exchange-Arrangements-and-Exchange-Restrictions/Issues/2017/01/25/Annual-Report-on-Exchange-Arrangements-and-Exchange-Restrictions-2016-43741" TargetMode="External"/><Relationship Id="rId49" Type="http://schemas.openxmlformats.org/officeDocument/2006/relationships/image" Target="media/image17.emf"/><Relationship Id="rId57" Type="http://schemas.openxmlformats.org/officeDocument/2006/relationships/image" Target="media/image25.emf"/><Relationship Id="rId61" Type="http://schemas.openxmlformats.org/officeDocument/2006/relationships/image" Target="media/image29.emf"/><Relationship Id="rId10" Type="http://schemas.openxmlformats.org/officeDocument/2006/relationships/image" Target="media/image3.emf"/><Relationship Id="rId19" Type="http://schemas.openxmlformats.org/officeDocument/2006/relationships/hyperlink" Target="http://aei.pitt.edu/770/1/WP40.pdf" TargetMode="External"/><Relationship Id="rId31" Type="http://schemas.openxmlformats.org/officeDocument/2006/relationships/hyperlink" Target="https://www.imf.org/external/np/mfd/er/2004/eng/0604.htm" TargetMode="External"/><Relationship Id="rId44" Type="http://schemas.openxmlformats.org/officeDocument/2006/relationships/image" Target="media/image12.emf"/><Relationship Id="rId52" Type="http://schemas.openxmlformats.org/officeDocument/2006/relationships/image" Target="media/image20.emf"/><Relationship Id="rId60" Type="http://schemas.openxmlformats.org/officeDocument/2006/relationships/image" Target="media/image28.emf"/><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imf.org/external/pubs/nft/2012/eaer/ar2012.pdf" TargetMode="External"/><Relationship Id="rId22" Type="http://schemas.openxmlformats.org/officeDocument/2006/relationships/hyperlink" Target="https://www.bis.org/publ/bppdf/bispap15m.pdf" TargetMode="External"/><Relationship Id="rId27" Type="http://schemas.openxmlformats.org/officeDocument/2006/relationships/hyperlink" Target="https://www.rbnz.govt.nz/-/media/ReserveBank/Files/Publications/Seminars%20and%20workshops/Mar2013/5200816.pdf" TargetMode="External"/><Relationship Id="rId30" Type="http://schemas.openxmlformats.org/officeDocument/2006/relationships/hyperlink" Target="https://www.bis.org/review/r060324e.pdf" TargetMode="External"/><Relationship Id="rId35" Type="http://schemas.openxmlformats.org/officeDocument/2006/relationships/hyperlink" Target="https://www.imf.org/external/pubs/nft/2014/areaers/ar2014.pdf" TargetMode="External"/><Relationship Id="rId43" Type="http://schemas.openxmlformats.org/officeDocument/2006/relationships/image" Target="media/image11.emf"/><Relationship Id="rId48" Type="http://schemas.openxmlformats.org/officeDocument/2006/relationships/image" Target="media/image16.emf"/><Relationship Id="rId56" Type="http://schemas.openxmlformats.org/officeDocument/2006/relationships/image" Target="media/image24.emf"/><Relationship Id="rId64" Type="http://schemas.openxmlformats.org/officeDocument/2006/relationships/footer" Target="footer2.xml"/><Relationship Id="rId8" Type="http://schemas.openxmlformats.org/officeDocument/2006/relationships/image" Target="media/image1.emf"/><Relationship Id="rId51" Type="http://schemas.openxmlformats.org/officeDocument/2006/relationships/image" Target="media/image19.emf"/><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hyperlink" Target="http://blog.yardeni.com/" TargetMode="External"/><Relationship Id="rId25" Type="http://schemas.openxmlformats.org/officeDocument/2006/relationships/hyperlink" Target="http://aei.pitt.edu/770/1/WP40.pdf" TargetMode="External"/><Relationship Id="rId33" Type="http://schemas.openxmlformats.org/officeDocument/2006/relationships/hyperlink" Target="https://www.imf.org/external/np/mfd/er/2008/eng/0408.htm" TargetMode="External"/><Relationship Id="rId38" Type="http://schemas.openxmlformats.org/officeDocument/2006/relationships/image" Target="media/image6.emf"/><Relationship Id="rId46" Type="http://schemas.openxmlformats.org/officeDocument/2006/relationships/image" Target="media/image14.emf"/><Relationship Id="rId59" Type="http://schemas.openxmlformats.org/officeDocument/2006/relationships/image" Target="media/image27.emf"/><Relationship Id="rId67" Type="http://schemas.microsoft.com/office/2018/08/relationships/commentsExtensible" Target="commentsExtensible.xml"/><Relationship Id="rId20" Type="http://schemas.openxmlformats.org/officeDocument/2006/relationships/hyperlink" Target="https://www.semanticscholar.org/paper/The-Exchange-Rate-Regime-and-Canada%27s-Monetary-Laidler/00ca86a0d4d99b513b88f2216faaf903141fde9c?p2df" TargetMode="External"/><Relationship Id="rId41" Type="http://schemas.openxmlformats.org/officeDocument/2006/relationships/image" Target="media/image9.emf"/><Relationship Id="rId54" Type="http://schemas.openxmlformats.org/officeDocument/2006/relationships/image" Target="media/image22.emf"/><Relationship Id="rId62" Type="http://schemas.openxmlformats.org/officeDocument/2006/relationships/image" Target="media/image3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D055A-BFEB-4011-A466-B737C166A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48</Pages>
  <Words>11847</Words>
  <Characters>81344</Characters>
  <Application>Microsoft Office Word</Application>
  <DocSecurity>0</DocSecurity>
  <Lines>677</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Barta Zsofi</dc:creator>
  <cp:keywords/>
  <dc:description/>
  <cp:lastModifiedBy>Johnston, Alison</cp:lastModifiedBy>
  <cp:revision>3</cp:revision>
  <cp:lastPrinted>2020-12-01T17:28:00Z</cp:lastPrinted>
  <dcterms:created xsi:type="dcterms:W3CDTF">2022-05-04T19:01:00Z</dcterms:created>
  <dcterms:modified xsi:type="dcterms:W3CDTF">2022-05-04T19:10:00Z</dcterms:modified>
</cp:coreProperties>
</file>