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A1F5" w14:textId="6F5E6977" w:rsidR="00C34A4E" w:rsidRDefault="00AE6B80" w:rsidP="00AE6B80">
      <w:pPr>
        <w:jc w:val="center"/>
        <w:rPr>
          <w:b/>
          <w:bCs/>
          <w:sz w:val="30"/>
          <w:szCs w:val="30"/>
        </w:rPr>
      </w:pPr>
      <w:r w:rsidRPr="00AE6B80">
        <w:rPr>
          <w:b/>
          <w:bCs/>
          <w:sz w:val="30"/>
          <w:szCs w:val="30"/>
        </w:rPr>
        <w:t>Other-regarding attitudes and EU economic governance: sociotropic considerations in supporting an EU fiscal capacity</w:t>
      </w:r>
    </w:p>
    <w:p w14:paraId="1400DA4B" w14:textId="3EF91ACE" w:rsidR="00AE6B80" w:rsidRDefault="00AE6B80" w:rsidP="00AE6B80">
      <w:pPr>
        <w:jc w:val="center"/>
        <w:rPr>
          <w:b/>
          <w:bCs/>
          <w:sz w:val="30"/>
          <w:szCs w:val="30"/>
        </w:rPr>
      </w:pPr>
    </w:p>
    <w:p w14:paraId="350D6064" w14:textId="77777777" w:rsidR="00AE6B80" w:rsidRDefault="00AE6B80" w:rsidP="00AE6B80">
      <w:pPr>
        <w:rPr>
          <w:b/>
          <w:bCs/>
          <w:szCs w:val="24"/>
        </w:rPr>
      </w:pPr>
      <w:r w:rsidRPr="00AE6B80">
        <w:rPr>
          <w:b/>
          <w:bCs/>
          <w:szCs w:val="24"/>
        </w:rPr>
        <w:t>David van der Duin</w:t>
      </w:r>
    </w:p>
    <w:p w14:paraId="75861AA3" w14:textId="2E868E0F" w:rsidR="00AE6B80" w:rsidRDefault="00AE6B80" w:rsidP="00AE6B80">
      <w:pPr>
        <w:rPr>
          <w:szCs w:val="24"/>
        </w:rPr>
      </w:pPr>
      <w:r w:rsidRPr="00AE6B80">
        <w:rPr>
          <w:szCs w:val="24"/>
        </w:rPr>
        <w:t>Department of Economics and Public Administration, Ghent University</w:t>
      </w:r>
    </w:p>
    <w:p w14:paraId="7B049AFB" w14:textId="4689747A" w:rsidR="00E300BB" w:rsidRDefault="00E300BB" w:rsidP="00AE6B80">
      <w:pPr>
        <w:rPr>
          <w:szCs w:val="24"/>
        </w:rPr>
      </w:pPr>
      <w:r>
        <w:rPr>
          <w:szCs w:val="24"/>
        </w:rPr>
        <w:t>D.vanderDuin@UGent.be</w:t>
      </w:r>
    </w:p>
    <w:p w14:paraId="55A6922C" w14:textId="4CD27BE7" w:rsidR="00AE6B80" w:rsidRDefault="00AE6B80" w:rsidP="00AE6B80">
      <w:pPr>
        <w:rPr>
          <w:szCs w:val="24"/>
        </w:rPr>
      </w:pPr>
    </w:p>
    <w:p w14:paraId="41E83AC3" w14:textId="6C47DBA1" w:rsidR="00AE6B80" w:rsidRDefault="00AE6B80" w:rsidP="00AE6B80">
      <w:pPr>
        <w:rPr>
          <w:b/>
          <w:bCs/>
          <w:szCs w:val="24"/>
        </w:rPr>
      </w:pPr>
      <w:r>
        <w:rPr>
          <w:b/>
          <w:bCs/>
          <w:szCs w:val="24"/>
        </w:rPr>
        <w:t xml:space="preserve">Francesco </w:t>
      </w:r>
      <w:proofErr w:type="spellStart"/>
      <w:r>
        <w:rPr>
          <w:b/>
          <w:bCs/>
          <w:szCs w:val="24"/>
        </w:rPr>
        <w:t>Nicoli</w:t>
      </w:r>
      <w:proofErr w:type="spellEnd"/>
    </w:p>
    <w:p w14:paraId="1BC18D87" w14:textId="4273CE7E" w:rsidR="00AE6B80" w:rsidRDefault="00AE6B80" w:rsidP="00AE6B80">
      <w:pPr>
        <w:rPr>
          <w:szCs w:val="24"/>
        </w:rPr>
      </w:pPr>
      <w:r>
        <w:rPr>
          <w:szCs w:val="24"/>
        </w:rPr>
        <w:t>Department of Public Administration and Governance, Ghent University</w:t>
      </w:r>
    </w:p>
    <w:p w14:paraId="6FC588EB" w14:textId="27AD562E" w:rsidR="00E300BB" w:rsidRPr="00AE6B80" w:rsidRDefault="00E300BB" w:rsidP="00AE6B80">
      <w:pPr>
        <w:rPr>
          <w:szCs w:val="24"/>
        </w:rPr>
      </w:pPr>
      <w:r>
        <w:rPr>
          <w:szCs w:val="24"/>
        </w:rPr>
        <w:t>F.Nicoi@UGent.be</w:t>
      </w:r>
    </w:p>
    <w:p w14:paraId="628300B0" w14:textId="23207F13" w:rsidR="00FC3440" w:rsidRDefault="00FC3440" w:rsidP="007F3F40">
      <w:pPr>
        <w:pStyle w:val="Heading1"/>
      </w:pPr>
      <w:r>
        <w:t>Abstract</w:t>
      </w:r>
    </w:p>
    <w:p w14:paraId="3578360D" w14:textId="2B19A85F" w:rsidR="00FC3440" w:rsidRDefault="00FC3440" w:rsidP="00691CAC">
      <w:pPr>
        <w:jc w:val="both"/>
        <w:rPr>
          <w:rFonts w:cs="Times New Roman"/>
          <w:szCs w:val="24"/>
        </w:rPr>
      </w:pPr>
      <w:r>
        <w:rPr>
          <w:rFonts w:cs="Times New Roman"/>
          <w:i/>
          <w:iCs/>
          <w:szCs w:val="24"/>
        </w:rPr>
        <w:t xml:space="preserve">Objective </w:t>
      </w:r>
      <w:r>
        <w:rPr>
          <w:rFonts w:cs="Times New Roman"/>
          <w:szCs w:val="24"/>
        </w:rPr>
        <w:t>This paper investigates t</w:t>
      </w:r>
      <w:r w:rsidRPr="00156E7A">
        <w:rPr>
          <w:rFonts w:cs="Times New Roman"/>
          <w:szCs w:val="24"/>
        </w:rPr>
        <w:t xml:space="preserve">he role of sociotropic concern in </w:t>
      </w:r>
      <w:r>
        <w:rPr>
          <w:rFonts w:cs="Times New Roman"/>
          <w:szCs w:val="24"/>
        </w:rPr>
        <w:t xml:space="preserve">public </w:t>
      </w:r>
      <w:r w:rsidRPr="00156E7A">
        <w:rPr>
          <w:rFonts w:cs="Times New Roman"/>
          <w:szCs w:val="24"/>
        </w:rPr>
        <w:t>support for an EU-level fiscal capacity</w:t>
      </w:r>
      <w:r>
        <w:rPr>
          <w:rFonts w:cs="Times New Roman"/>
          <w:szCs w:val="24"/>
        </w:rPr>
        <w:t xml:space="preserve">, </w:t>
      </w:r>
      <w:r w:rsidRPr="00156E7A">
        <w:rPr>
          <w:rFonts w:cs="Times New Roman"/>
          <w:szCs w:val="24"/>
        </w:rPr>
        <w:t>focussing in particular on how perceptions of a policy’s utility for different levels of the EU multi-tiered community create such concern.</w:t>
      </w:r>
      <w:r>
        <w:rPr>
          <w:rFonts w:cs="Times New Roman"/>
          <w:szCs w:val="24"/>
        </w:rPr>
        <w:t xml:space="preserve"> </w:t>
      </w:r>
      <w:r w:rsidRPr="001636F7">
        <w:rPr>
          <w:rFonts w:cs="Times New Roman"/>
          <w:szCs w:val="24"/>
        </w:rPr>
        <w:t>Sociotropic concern is defined here as a consideration of what is good or bad for the economy of one’s community independent of a consideration of what is good or bad for oneself</w:t>
      </w:r>
      <w:r>
        <w:rPr>
          <w:rFonts w:cs="Times New Roman"/>
          <w:szCs w:val="24"/>
        </w:rPr>
        <w:t xml:space="preserve">. This paper </w:t>
      </w:r>
      <w:r w:rsidR="00826355">
        <w:rPr>
          <w:rFonts w:cs="Times New Roman"/>
          <w:szCs w:val="24"/>
        </w:rPr>
        <w:t xml:space="preserve">investigates the role of this concept in support for </w:t>
      </w:r>
      <w:r>
        <w:rPr>
          <w:rFonts w:cs="Times New Roman"/>
          <w:szCs w:val="24"/>
        </w:rPr>
        <w:t>EU policy, while simultaneously considering additional levels of community that are likely to be relevant in the context of the EU.</w:t>
      </w:r>
      <w:r w:rsidR="002D12F7">
        <w:rPr>
          <w:rFonts w:cs="Times New Roman"/>
          <w:szCs w:val="24"/>
        </w:rPr>
        <w:t xml:space="preserve"> </w:t>
      </w:r>
      <w:r>
        <w:rPr>
          <w:rFonts w:cs="Times New Roman"/>
          <w:i/>
          <w:iCs/>
          <w:szCs w:val="24"/>
        </w:rPr>
        <w:t xml:space="preserve">Methodology </w:t>
      </w:r>
      <w:r>
        <w:rPr>
          <w:rFonts w:cs="Times New Roman"/>
          <w:szCs w:val="24"/>
        </w:rPr>
        <w:t xml:space="preserve">In order to reach these objectives, it </w:t>
      </w:r>
      <w:r w:rsidR="00826355">
        <w:rPr>
          <w:rFonts w:cs="Times New Roman"/>
          <w:szCs w:val="24"/>
        </w:rPr>
        <w:t xml:space="preserve">uses </w:t>
      </w:r>
      <w:r>
        <w:rPr>
          <w:rFonts w:cs="Times New Roman"/>
          <w:szCs w:val="24"/>
        </w:rPr>
        <w:t xml:space="preserve">data </w:t>
      </w:r>
      <w:r w:rsidR="00B37703">
        <w:rPr>
          <w:rFonts w:cs="Times New Roman"/>
          <w:szCs w:val="24"/>
        </w:rPr>
        <w:t xml:space="preserve">from a survey </w:t>
      </w:r>
      <w:r w:rsidR="00826355">
        <w:rPr>
          <w:rFonts w:cs="Times New Roman"/>
          <w:szCs w:val="24"/>
        </w:rPr>
        <w:t xml:space="preserve">at </w:t>
      </w:r>
      <w:r>
        <w:rPr>
          <w:rFonts w:cs="Times New Roman"/>
          <w:szCs w:val="24"/>
        </w:rPr>
        <w:t>measuring support for a</w:t>
      </w:r>
      <w:r w:rsidR="00826355">
        <w:rPr>
          <w:rFonts w:cs="Times New Roman"/>
          <w:szCs w:val="24"/>
        </w:rPr>
        <w:t>n</w:t>
      </w:r>
      <w:r>
        <w:rPr>
          <w:rFonts w:cs="Times New Roman"/>
          <w:szCs w:val="24"/>
        </w:rPr>
        <w:t xml:space="preserve"> EU fiscal capacity fielded in March and April 2020</w:t>
      </w:r>
      <w:r w:rsidR="00B37703">
        <w:rPr>
          <w:rFonts w:cs="Times New Roman"/>
          <w:szCs w:val="24"/>
        </w:rPr>
        <w:t xml:space="preserve"> in multiple EU MS</w:t>
      </w:r>
      <w:r>
        <w:rPr>
          <w:rFonts w:cs="Times New Roman"/>
          <w:szCs w:val="24"/>
        </w:rPr>
        <w:t xml:space="preserve">. </w:t>
      </w:r>
      <w:r w:rsidR="00B37703">
        <w:rPr>
          <w:rFonts w:cs="Times New Roman"/>
          <w:szCs w:val="24"/>
        </w:rPr>
        <w:t xml:space="preserve">Sociotropic concern is here operationalised </w:t>
      </w:r>
      <w:r w:rsidR="0085169E">
        <w:rPr>
          <w:rFonts w:cs="Times New Roman"/>
          <w:szCs w:val="24"/>
        </w:rPr>
        <w:t xml:space="preserve">by separating causal beliefs of the policy’s effects on oneself, and on the local, national and EU community. </w:t>
      </w:r>
      <w:r>
        <w:rPr>
          <w:rFonts w:cs="Times New Roman"/>
          <w:i/>
          <w:iCs/>
          <w:szCs w:val="24"/>
        </w:rPr>
        <w:t xml:space="preserve">Results </w:t>
      </w:r>
      <w:r>
        <w:rPr>
          <w:rFonts w:cs="Times New Roman"/>
          <w:szCs w:val="24"/>
        </w:rPr>
        <w:t xml:space="preserve">The results show that while sociotropic concern with all levels of the </w:t>
      </w:r>
      <w:proofErr w:type="spellStart"/>
      <w:r>
        <w:rPr>
          <w:rFonts w:cs="Times New Roman"/>
          <w:szCs w:val="24"/>
        </w:rPr>
        <w:t>mutli</w:t>
      </w:r>
      <w:proofErr w:type="spellEnd"/>
      <w:r>
        <w:rPr>
          <w:rFonts w:cs="Times New Roman"/>
          <w:szCs w:val="24"/>
        </w:rPr>
        <w:t xml:space="preserve">-tiered EU community influence support for an EU fiscal capacity independently of </w:t>
      </w:r>
      <w:r w:rsidR="0085169E">
        <w:rPr>
          <w:rFonts w:cs="Times New Roman"/>
          <w:szCs w:val="24"/>
        </w:rPr>
        <w:t xml:space="preserve">egotropic </w:t>
      </w:r>
      <w:r>
        <w:rPr>
          <w:rFonts w:cs="Times New Roman"/>
          <w:szCs w:val="24"/>
        </w:rPr>
        <w:t xml:space="preserve">concern, concern with the European level is the most important factor. </w:t>
      </w:r>
      <w:r>
        <w:rPr>
          <w:rFonts w:cs="Times New Roman"/>
          <w:i/>
          <w:iCs/>
          <w:szCs w:val="24"/>
        </w:rPr>
        <w:t xml:space="preserve">Relevance </w:t>
      </w:r>
      <w:r>
        <w:rPr>
          <w:rFonts w:cs="Times New Roman"/>
          <w:szCs w:val="24"/>
        </w:rPr>
        <w:t xml:space="preserve">Hence, sociotropic considerations are prevalent in people’s attitudes toward this particular instance of EU economic governance. Therefore, EU policymakers are likely to </w:t>
      </w:r>
      <w:r w:rsidR="0085169E">
        <w:rPr>
          <w:rFonts w:cs="Times New Roman"/>
          <w:szCs w:val="24"/>
        </w:rPr>
        <w:t xml:space="preserve">garner more support for this particular </w:t>
      </w:r>
      <w:r>
        <w:rPr>
          <w:rFonts w:cs="Times New Roman"/>
          <w:szCs w:val="24"/>
        </w:rPr>
        <w:t>EU policy</w:t>
      </w:r>
      <w:r w:rsidR="0085169E">
        <w:rPr>
          <w:rFonts w:cs="Times New Roman"/>
          <w:szCs w:val="24"/>
        </w:rPr>
        <w:t>, and most likely EU economic policy in general.</w:t>
      </w:r>
      <w:r>
        <w:rPr>
          <w:rFonts w:cs="Times New Roman"/>
          <w:szCs w:val="24"/>
        </w:rPr>
        <w:t xml:space="preserve"> if they would put stronger emphasis on community-level benefits both in their design of and communication about EU policy. </w:t>
      </w:r>
    </w:p>
    <w:p w14:paraId="125D02DB" w14:textId="137B69F5" w:rsidR="00AE6B80" w:rsidRDefault="00AE6B80" w:rsidP="00FC3440">
      <w:pPr>
        <w:rPr>
          <w:rFonts w:cs="Times New Roman"/>
          <w:szCs w:val="24"/>
        </w:rPr>
      </w:pPr>
    </w:p>
    <w:p w14:paraId="30B7CB67" w14:textId="63C0D129" w:rsidR="00FC3440" w:rsidRPr="007F3F40" w:rsidRDefault="008F2BC1" w:rsidP="00691CAC">
      <w:pPr>
        <w:jc w:val="center"/>
        <w:rPr>
          <w:rFonts w:cs="Times New Roman"/>
          <w:i/>
          <w:iCs/>
          <w:szCs w:val="24"/>
        </w:rPr>
      </w:pPr>
      <w:r>
        <w:rPr>
          <w:rFonts w:cs="Times New Roman"/>
          <w:i/>
          <w:iCs/>
          <w:szCs w:val="24"/>
        </w:rPr>
        <w:t>This is a</w:t>
      </w:r>
      <w:r w:rsidR="00691CAC">
        <w:rPr>
          <w:rFonts w:cs="Times New Roman"/>
          <w:i/>
          <w:iCs/>
          <w:szCs w:val="24"/>
        </w:rPr>
        <w:t xml:space="preserve"> </w:t>
      </w:r>
      <w:r>
        <w:rPr>
          <w:rFonts w:cs="Times New Roman"/>
          <w:i/>
          <w:iCs/>
          <w:szCs w:val="24"/>
        </w:rPr>
        <w:t>draft prepared for presentation at the 2022 EUSA conference. Comments are most welcome!</w:t>
      </w:r>
    </w:p>
    <w:p w14:paraId="56B0AFE8" w14:textId="60DEC48B" w:rsidR="00372D5F" w:rsidRPr="00375327" w:rsidRDefault="007F3F40" w:rsidP="007F3F40">
      <w:pPr>
        <w:pStyle w:val="Heading1"/>
      </w:pPr>
      <w:r>
        <w:lastRenderedPageBreak/>
        <w:t xml:space="preserve">1. </w:t>
      </w:r>
      <w:r w:rsidR="00F00A10" w:rsidRPr="00375327">
        <w:t>Introduction</w:t>
      </w:r>
    </w:p>
    <w:p w14:paraId="5796027C" w14:textId="265CE9E3" w:rsidR="00372D5F" w:rsidRPr="00375327" w:rsidRDefault="0027459F" w:rsidP="00691CAC">
      <w:pPr>
        <w:jc w:val="both"/>
      </w:pPr>
      <w:r w:rsidRPr="00375327">
        <w:t xml:space="preserve">During the previous two decades, the EU has been confronted by a series of crises that have laid bare its shortcomings in economic and fiscal governance. </w:t>
      </w:r>
      <w:r w:rsidR="00372D5F" w:rsidRPr="00375327">
        <w:t xml:space="preserve">Many proposals for policies aiming to </w:t>
      </w:r>
      <w:r w:rsidRPr="00375327">
        <w:t>alleviate these shortcomings</w:t>
      </w:r>
      <w:r w:rsidR="00372D5F" w:rsidRPr="00375327">
        <w:t xml:space="preserve"> have been discussed </w:t>
      </w:r>
      <w:r w:rsidR="00372D5F" w:rsidRPr="00375327">
        <w:rPr>
          <w:rFonts w:cs="Times New Roman"/>
        </w:rPr>
        <w:t>(European Commission, 2017)</w:t>
      </w:r>
      <w:r w:rsidR="00372D5F" w:rsidRPr="00375327">
        <w:t xml:space="preserve">, and the recent implementation of the SURE instrument is one of the most substantial steps that the EU has so far taken towards </w:t>
      </w:r>
      <w:r w:rsidR="00733AC9" w:rsidRPr="00375327">
        <w:t>this goal</w:t>
      </w:r>
      <w:r w:rsidR="00372D5F" w:rsidRPr="00375327">
        <w:t xml:space="preserve"> </w:t>
      </w:r>
      <w:r w:rsidR="00372D5F" w:rsidRPr="00375327">
        <w:rPr>
          <w:rFonts w:cs="Times New Roman"/>
        </w:rPr>
        <w:t>(European Commission, 2020)</w:t>
      </w:r>
      <w:r w:rsidR="00372D5F" w:rsidRPr="00375327">
        <w:t xml:space="preserve">. </w:t>
      </w:r>
      <w:r w:rsidR="00733AC9" w:rsidRPr="00375327">
        <w:t xml:space="preserve">A </w:t>
      </w:r>
      <w:r w:rsidR="00372D5F" w:rsidRPr="00375327">
        <w:t>crucial aspect for the successful implementation of these policies is the public’s support for them</w:t>
      </w:r>
      <w:r w:rsidR="00D35381" w:rsidRPr="00375327">
        <w:t xml:space="preserve"> </w:t>
      </w:r>
      <w:r w:rsidR="00F546C3" w:rsidRPr="00375327">
        <w:rPr>
          <w:rFonts w:cs="Times New Roman"/>
          <w:szCs w:val="24"/>
        </w:rPr>
        <w:t>(</w:t>
      </w:r>
      <w:proofErr w:type="spellStart"/>
      <w:r w:rsidR="00F546C3" w:rsidRPr="00375327">
        <w:rPr>
          <w:rFonts w:cs="Times New Roman"/>
          <w:szCs w:val="24"/>
        </w:rPr>
        <w:t>Wratil</w:t>
      </w:r>
      <w:proofErr w:type="spellEnd"/>
      <w:r w:rsidR="00F546C3" w:rsidRPr="00375327">
        <w:rPr>
          <w:rFonts w:cs="Times New Roman"/>
          <w:szCs w:val="24"/>
        </w:rPr>
        <w:t xml:space="preserve"> &amp; </w:t>
      </w:r>
      <w:proofErr w:type="spellStart"/>
      <w:r w:rsidR="00F546C3" w:rsidRPr="00375327">
        <w:rPr>
          <w:rFonts w:cs="Times New Roman"/>
          <w:szCs w:val="24"/>
        </w:rPr>
        <w:t>Wäckerle</w:t>
      </w:r>
      <w:proofErr w:type="spellEnd"/>
      <w:r w:rsidR="00F546C3" w:rsidRPr="00375327">
        <w:rPr>
          <w:rFonts w:cs="Times New Roman"/>
          <w:szCs w:val="24"/>
        </w:rPr>
        <w:t>, 2022)</w:t>
      </w:r>
      <w:r w:rsidR="00372D5F" w:rsidRPr="00375327">
        <w:t xml:space="preserve">. Quite a few recent studies have investigated how such EU fiscal policies can be designed as to garner the most public support </w:t>
      </w:r>
      <w:r w:rsidR="009A7DAB" w:rsidRPr="00375327">
        <w:rPr>
          <w:rFonts w:cs="Times New Roman"/>
          <w:szCs w:val="24"/>
        </w:rPr>
        <w:t>(</w:t>
      </w:r>
      <w:proofErr w:type="spellStart"/>
      <w:r w:rsidR="009A7DAB" w:rsidRPr="00375327">
        <w:rPr>
          <w:rFonts w:cs="Times New Roman"/>
          <w:szCs w:val="24"/>
        </w:rPr>
        <w:t>Beetsma</w:t>
      </w:r>
      <w:proofErr w:type="spellEnd"/>
      <w:r w:rsidR="009A7DAB" w:rsidRPr="00375327">
        <w:rPr>
          <w:rFonts w:cs="Times New Roman"/>
          <w:szCs w:val="24"/>
        </w:rPr>
        <w:t xml:space="preserve"> et al., 2020, 2021; Burgoon et al., 2022; Dolls &amp; </w:t>
      </w:r>
      <w:proofErr w:type="spellStart"/>
      <w:r w:rsidR="009A7DAB" w:rsidRPr="00375327">
        <w:rPr>
          <w:rFonts w:cs="Times New Roman"/>
          <w:szCs w:val="24"/>
        </w:rPr>
        <w:t>Wehrhöfer</w:t>
      </w:r>
      <w:proofErr w:type="spellEnd"/>
      <w:r w:rsidR="009A7DAB" w:rsidRPr="00375327">
        <w:rPr>
          <w:rFonts w:cs="Times New Roman"/>
          <w:szCs w:val="24"/>
        </w:rPr>
        <w:t>, 2021)</w:t>
      </w:r>
      <w:r w:rsidR="00372D5F" w:rsidRPr="00375327">
        <w:t xml:space="preserve">, and others have investigated how ideological and </w:t>
      </w:r>
      <w:r w:rsidR="00CB7489" w:rsidRPr="00375327">
        <w:t>socio</w:t>
      </w:r>
      <w:r w:rsidR="00372D5F" w:rsidRPr="00375327">
        <w:t>economic characteristics of citizens can explain such patterns of support</w:t>
      </w:r>
      <w:r w:rsidR="00101B2A" w:rsidRPr="00375327">
        <w:t xml:space="preserve"> </w:t>
      </w:r>
      <w:r w:rsidR="00CB7489" w:rsidRPr="00375327">
        <w:fldChar w:fldCharType="begin"/>
      </w:r>
      <w:r w:rsidR="00CB7489" w:rsidRPr="00375327">
        <w:instrText xml:space="preserve"> ADDIN ZOTERO_ITEM CSL_CITATION {"citationID":"qETX1UKZ","properties":{"formattedCitation":"(e.g. Kuhn et al., 2020; Nicoli et al., 2020)","plainCitation":"(e.g. Kuhn et al., 2020; Nicoli et al., 2020)","noteIndex":0},"citationItems":[{"id":51,"uris":["http://zotero.org/users/local/JUaXhF9K/items/IGBET8HI"],"itemData":{"id":51,"type":"article-journal","abstract":"Against the backdrop of proposals to introduce a European unemployment insurance scheme, we study public support for such schemes by conducting a conjoint experiment on support for European unemployment insurance in 13 EU member states. We argue that European-level social policy initiatives and the underlying notions of solidarity cannot be reduced to a one-dimensional concept, but rather include various dimensions. Unemployment schemes vary in their generosity, the conditions for support, their impact on taxation, the extent to which they preclude permanent redistribution between countries, and the EU’s role in their administration. Generosity, conditions and taxation are ‘domestic’ dimensions, since they mainly resonate with domestic policy debates; between-country redistribution and administration are ‘cross-border’ dimensions, referring to relationships between countries. We expect economic ideology to interact predominantly with domestic dimensions and EU support to interact predominantly with cross-border dimensions. Findings confirm these expectations, with the exception of between-country redistribution and country-level conditionality.","container-title":"Journal of European Public Policy","DOI":"10.1080/13501763.2019.1701529","ISSN":"1350-1763","issue":"2","note":"publisher: Routledge\n_eprint: https://doi.org/10.1080/13501763.2019.1701529","page":"208-226","source":"Taylor and Francis+NEJM","title":"Preferences for European unemployment insurance: a question of economic ideology or EU support?","title-short":"Preferences for European unemployment insurance","volume":"27","author":[{"family":"Kuhn","given":"Theresa"},{"family":"Nicoli","given":"Francesco"},{"family":"Vandenbroucke","given":"Frank"}],"issued":{"date-parts":[["2020",2,1]]}},"prefix":"e.g."},{"id":228,"uris":["http://zotero.org/users/local/JUaXhF9K/items/JV43CYWS"],"itemData":{"id":228,"type":"article-journal","abstract":"A degree of collective identity is often perceived to be a requirement for integration of core state powers, and even more so when redistributive measures are at stake. Existing research has shown that European identity is an important correlate of support for European social policy in general. This article explores the ways in which collective identities relate to the multidimensional nature of social policy at the European level. We explore in particular the features of European social policy that receive the most support from European publics, and how local, national and European identity moderates these preferences. We expect that people who have primarily sub-national or national attachments are less supportive of generous schemes and schemes that involve greater cross-country redistribution, and are more in favour of decentralized schemes administered by the member states than those with stronger European identities. We find support for these expectations in a conjoint survey experiment fielded in autumn 2018 in 13 EU member states.","container-title":"JCMS: Journal of Common Market Studies","DOI":"10.1111/jcms.12977","ISSN":"1468-5965","issue":"1","language":"en","note":"_eprint: https://onlinelibrary.wiley.com/doi/pdf/10.1111/jcms.12977","page":"76-95","source":"Wiley Online Library","title":"Collective Identities, European Solidarity: Identification Patterns and Preferences for European Social Insurance","title-short":"Collective Identities, European Solidarity","volume":"58","author":[{"family":"Nicoli","given":"Francesco"},{"family":"Kuhn","given":"Theresa"},{"family":"Burgoon","given":"Brian"}],"issued":{"date-parts":[["2020"]]}}}],"schema":"https://github.com/citation-style-language/schema/raw/master/csl-citation.json"} </w:instrText>
      </w:r>
      <w:r w:rsidR="00CB7489" w:rsidRPr="00375327">
        <w:fldChar w:fldCharType="separate"/>
      </w:r>
      <w:r w:rsidR="00CB7489" w:rsidRPr="00375327">
        <w:rPr>
          <w:rFonts w:cs="Times New Roman"/>
        </w:rPr>
        <w:t xml:space="preserve">(e.g. Kuhn et al., 2020; </w:t>
      </w:r>
      <w:proofErr w:type="spellStart"/>
      <w:r w:rsidR="00CB7489" w:rsidRPr="00375327">
        <w:rPr>
          <w:rFonts w:cs="Times New Roman"/>
        </w:rPr>
        <w:t>Nicoli</w:t>
      </w:r>
      <w:proofErr w:type="spellEnd"/>
      <w:r w:rsidR="00CB7489" w:rsidRPr="00375327">
        <w:rPr>
          <w:rFonts w:cs="Times New Roman"/>
        </w:rPr>
        <w:t xml:space="preserve"> et al., 2020)</w:t>
      </w:r>
      <w:r w:rsidR="00CB7489" w:rsidRPr="00375327">
        <w:fldChar w:fldCharType="end"/>
      </w:r>
      <w:r w:rsidR="00372D5F" w:rsidRPr="00375327">
        <w:t>. However, these papers have been limited in their insights into what the actual motivations are for supporting or opposing such policy.</w:t>
      </w:r>
      <w:r w:rsidR="006B15A9" w:rsidRPr="00375327">
        <w:t xml:space="preserve"> Instead, this </w:t>
      </w:r>
      <w:r w:rsidR="00CB7489" w:rsidRPr="00375327">
        <w:t xml:space="preserve">paper aims to gain more insight </w:t>
      </w:r>
      <w:r w:rsidR="004E5AA9" w:rsidRPr="00375327">
        <w:t xml:space="preserve">into </w:t>
      </w:r>
      <w:r w:rsidR="00CB7489" w:rsidRPr="00375327">
        <w:t xml:space="preserve">these motivations, </w:t>
      </w:r>
      <w:r w:rsidR="004E5AA9" w:rsidRPr="00375327">
        <w:t xml:space="preserve">in particular </w:t>
      </w:r>
      <w:r w:rsidR="00CB7489" w:rsidRPr="00375327">
        <w:t xml:space="preserve">investigating whether </w:t>
      </w:r>
      <w:r w:rsidR="00B67286" w:rsidRPr="00375327">
        <w:t xml:space="preserve">the political attitudes </w:t>
      </w:r>
      <w:r w:rsidR="004E5AA9" w:rsidRPr="00375327">
        <w:t xml:space="preserve">among </w:t>
      </w:r>
      <w:r w:rsidR="00B67286" w:rsidRPr="00375327">
        <w:t xml:space="preserve">the public are motivated by </w:t>
      </w:r>
      <w:r w:rsidR="004E5AA9" w:rsidRPr="00375327">
        <w:t xml:space="preserve">considerations of </w:t>
      </w:r>
      <w:r w:rsidR="00B67286" w:rsidRPr="00375327">
        <w:t xml:space="preserve">the collective wellbeing. </w:t>
      </w:r>
    </w:p>
    <w:p w14:paraId="034790D1" w14:textId="77777777" w:rsidR="00372D5F" w:rsidRPr="00375327" w:rsidRDefault="00372D5F" w:rsidP="00691CAC">
      <w:pPr>
        <w:jc w:val="both"/>
      </w:pPr>
    </w:p>
    <w:p w14:paraId="65CA7220" w14:textId="1EE5E39B" w:rsidR="00511AAB" w:rsidRPr="00375327" w:rsidRDefault="006B15A9" w:rsidP="00691CAC">
      <w:pPr>
        <w:jc w:val="both"/>
      </w:pPr>
      <w:r w:rsidRPr="00375327">
        <w:t>To do so, this paper</w:t>
      </w:r>
      <w:r w:rsidR="00372D5F" w:rsidRPr="00375327">
        <w:t xml:space="preserve"> </w:t>
      </w:r>
      <w:r w:rsidRPr="00375327">
        <w:t>applies</w:t>
      </w:r>
      <w:r w:rsidR="00372D5F" w:rsidRPr="00375327">
        <w:t xml:space="preserve"> insights </w:t>
      </w:r>
      <w:r w:rsidR="007D6FD6" w:rsidRPr="00375327">
        <w:t>originating</w:t>
      </w:r>
      <w:r w:rsidR="00372D5F" w:rsidRPr="00375327">
        <w:t xml:space="preserve"> in the economic voting literature </w:t>
      </w:r>
      <w:r w:rsidR="00733AC9" w:rsidRPr="00375327">
        <w:rPr>
          <w:rFonts w:cs="Times New Roman"/>
        </w:rPr>
        <w:t xml:space="preserve">(Kinder &amp; </w:t>
      </w:r>
      <w:proofErr w:type="spellStart"/>
      <w:r w:rsidR="00733AC9" w:rsidRPr="00375327">
        <w:rPr>
          <w:rFonts w:cs="Times New Roman"/>
        </w:rPr>
        <w:t>Kiewiet</w:t>
      </w:r>
      <w:proofErr w:type="spellEnd"/>
      <w:r w:rsidR="00733AC9" w:rsidRPr="00375327">
        <w:rPr>
          <w:rFonts w:cs="Times New Roman"/>
        </w:rPr>
        <w:t>, 1981)</w:t>
      </w:r>
      <w:r w:rsidR="00372D5F" w:rsidRPr="00375327">
        <w:t xml:space="preserve">. </w:t>
      </w:r>
      <w:r w:rsidR="004E5AA9" w:rsidRPr="00375327">
        <w:t>I</w:t>
      </w:r>
      <w:r w:rsidR="00372D5F" w:rsidRPr="00375327">
        <w:t xml:space="preserve">t </w:t>
      </w:r>
      <w:r w:rsidRPr="00375327">
        <w:t xml:space="preserve">seeks </w:t>
      </w:r>
      <w:r w:rsidR="00372D5F" w:rsidRPr="00375327">
        <w:t xml:space="preserve">to understand to what extent sociotropic concern, </w:t>
      </w:r>
      <w:r w:rsidR="007D6FD6" w:rsidRPr="00375327">
        <w:t xml:space="preserve">being </w:t>
      </w:r>
      <w:r w:rsidR="00372D5F" w:rsidRPr="00375327">
        <w:t xml:space="preserve">a genuine consideration of the wellbeing of the community as a factor separate from one’s personal interests (or egotropic concern), drives political attitudes toward the introduction of an EU fiscal capacity. </w:t>
      </w:r>
      <w:r w:rsidR="007D6FD6" w:rsidRPr="00375327">
        <w:t xml:space="preserve">This is a dynamic of political attitudes </w:t>
      </w:r>
      <w:r w:rsidR="00ED0A05" w:rsidRPr="00375327">
        <w:t xml:space="preserve">that </w:t>
      </w:r>
      <w:r w:rsidR="007D6FD6" w:rsidRPr="00375327">
        <w:t xml:space="preserve">has received substantial attention in analyses of </w:t>
      </w:r>
      <w:r w:rsidR="00DD0315" w:rsidRPr="00375327">
        <w:t xml:space="preserve">public </w:t>
      </w:r>
      <w:r w:rsidR="007D6FD6" w:rsidRPr="00375327">
        <w:t>opinion across a myriad of policy fields</w:t>
      </w:r>
      <w:r w:rsidR="00DD0315" w:rsidRPr="00375327">
        <w:t>,</w:t>
      </w:r>
      <w:r w:rsidR="007D6FD6" w:rsidRPr="00375327">
        <w:t xml:space="preserve"> </w:t>
      </w:r>
      <w:r w:rsidR="00DD0315" w:rsidRPr="00375327">
        <w:t xml:space="preserve">where it has been shown to </w:t>
      </w:r>
      <w:r w:rsidR="00FE7566" w:rsidRPr="00375327">
        <w:t>have substantial influence</w:t>
      </w:r>
      <w:r w:rsidR="00881E52" w:rsidRPr="00375327">
        <w:t>, sometimes more so than egotropic considerations</w:t>
      </w:r>
      <w:r w:rsidR="00FE7566" w:rsidRPr="00375327">
        <w:t xml:space="preserve"> </w:t>
      </w:r>
      <w:r w:rsidR="00881E52" w:rsidRPr="00375327">
        <w:rPr>
          <w:rFonts w:cs="Times New Roman"/>
          <w:lang w:val="en-US"/>
        </w:rPr>
        <w:t xml:space="preserve">(Bechtel &amp; </w:t>
      </w:r>
      <w:proofErr w:type="spellStart"/>
      <w:r w:rsidR="00881E52" w:rsidRPr="00375327">
        <w:rPr>
          <w:rFonts w:cs="Times New Roman"/>
          <w:lang w:val="en-US"/>
        </w:rPr>
        <w:t>Liesch</w:t>
      </w:r>
      <w:proofErr w:type="spellEnd"/>
      <w:r w:rsidR="00881E52" w:rsidRPr="00375327">
        <w:rPr>
          <w:rFonts w:cs="Times New Roman"/>
          <w:lang w:val="en-US"/>
        </w:rPr>
        <w:t xml:space="preserve">, 2020; Hix et al., 2021; Mansfield &amp; Mutz, 2009; </w:t>
      </w:r>
      <w:proofErr w:type="spellStart"/>
      <w:r w:rsidR="00881E52" w:rsidRPr="00375327">
        <w:rPr>
          <w:rFonts w:cs="Times New Roman"/>
          <w:lang w:val="en-US"/>
        </w:rPr>
        <w:t>Sigelman</w:t>
      </w:r>
      <w:proofErr w:type="spellEnd"/>
      <w:r w:rsidR="00881E52" w:rsidRPr="00375327">
        <w:rPr>
          <w:rFonts w:cs="Times New Roman"/>
          <w:lang w:val="en-US"/>
        </w:rPr>
        <w:t xml:space="preserve"> et al., 1991)</w:t>
      </w:r>
      <w:r w:rsidR="00881E52" w:rsidRPr="00375327">
        <w:rPr>
          <w:lang w:val="en-US"/>
        </w:rPr>
        <w:t xml:space="preserve">. </w:t>
      </w:r>
      <w:r w:rsidR="00DD0315" w:rsidRPr="00375327">
        <w:t>However</w:t>
      </w:r>
      <w:r w:rsidR="00FE7566" w:rsidRPr="00375327">
        <w:t xml:space="preserve">, this dynamic has </w:t>
      </w:r>
      <w:r w:rsidR="007D6FD6" w:rsidRPr="00375327">
        <w:t xml:space="preserve">remained largely outside of the scope of </w:t>
      </w:r>
      <w:r w:rsidR="00ED0A05" w:rsidRPr="00375327">
        <w:t>studies on attitudes toward the EU</w:t>
      </w:r>
      <w:r w:rsidR="004E5AA9" w:rsidRPr="00375327">
        <w:t>.</w:t>
      </w:r>
      <w:r w:rsidR="00881E52" w:rsidRPr="00375327">
        <w:t xml:space="preserve"> </w:t>
      </w:r>
      <w:r w:rsidR="004E5AA9" w:rsidRPr="00375327">
        <w:t>T</w:t>
      </w:r>
      <w:r w:rsidR="00881E52" w:rsidRPr="00375327">
        <w:t xml:space="preserve">he few </w:t>
      </w:r>
      <w:r w:rsidR="005A7CB8" w:rsidRPr="00375327">
        <w:t xml:space="preserve">studies that do investigate this </w:t>
      </w:r>
      <w:r w:rsidR="00881E52" w:rsidRPr="00375327">
        <w:t xml:space="preserve">dynamic in </w:t>
      </w:r>
      <w:r w:rsidR="00ED0A05" w:rsidRPr="00375327">
        <w:t xml:space="preserve">this </w:t>
      </w:r>
      <w:r w:rsidR="00881E52" w:rsidRPr="00375327">
        <w:t xml:space="preserve">context generally do not manage to convincingly disentangle </w:t>
      </w:r>
      <w:r w:rsidR="00780F03" w:rsidRPr="00375327">
        <w:t>it</w:t>
      </w:r>
      <w:r w:rsidR="00881E52" w:rsidRPr="00375327">
        <w:t xml:space="preserve"> from egotropic </w:t>
      </w:r>
      <w:r w:rsidR="004028B9" w:rsidRPr="00375327">
        <w:t xml:space="preserve">concern and are limited in </w:t>
      </w:r>
      <w:r w:rsidR="00447281" w:rsidRPr="00375327">
        <w:t xml:space="preserve">the </w:t>
      </w:r>
      <w:r w:rsidR="004028B9" w:rsidRPr="00375327">
        <w:t xml:space="preserve">theoretical depth </w:t>
      </w:r>
      <w:r w:rsidR="00447281" w:rsidRPr="00375327">
        <w:t xml:space="preserve">of their applications of </w:t>
      </w:r>
      <w:r w:rsidR="004028B9" w:rsidRPr="00375327">
        <w:t>the concept</w:t>
      </w:r>
      <w:r w:rsidR="003E29F6" w:rsidRPr="00375327">
        <w:t xml:space="preserve"> </w:t>
      </w:r>
      <w:r w:rsidR="003E29F6" w:rsidRPr="00375327">
        <w:rPr>
          <w:rFonts w:cs="Times New Roman"/>
          <w:lang w:val="en-US"/>
        </w:rPr>
        <w:t>(</w:t>
      </w:r>
      <w:proofErr w:type="spellStart"/>
      <w:r w:rsidR="003E29F6" w:rsidRPr="00375327">
        <w:rPr>
          <w:rFonts w:cs="Times New Roman"/>
          <w:lang w:val="en-US"/>
        </w:rPr>
        <w:t>Baute</w:t>
      </w:r>
      <w:proofErr w:type="spellEnd"/>
      <w:r w:rsidR="003E29F6" w:rsidRPr="00375327">
        <w:rPr>
          <w:rFonts w:cs="Times New Roman"/>
          <w:lang w:val="en-US"/>
        </w:rPr>
        <w:t xml:space="preserve"> &amp; Meuleman, 2020; Bechtel et al., 2014; </w:t>
      </w:r>
      <w:proofErr w:type="spellStart"/>
      <w:r w:rsidR="003E29F6" w:rsidRPr="00375327">
        <w:rPr>
          <w:rFonts w:cs="Times New Roman"/>
          <w:lang w:val="en-US"/>
        </w:rPr>
        <w:t>Elkink</w:t>
      </w:r>
      <w:proofErr w:type="spellEnd"/>
      <w:r w:rsidR="003E29F6" w:rsidRPr="00375327">
        <w:rPr>
          <w:rFonts w:cs="Times New Roman"/>
          <w:lang w:val="en-US"/>
        </w:rPr>
        <w:t xml:space="preserve"> et al., 2019; Levy &amp; Phan, 2014; </w:t>
      </w:r>
      <w:proofErr w:type="spellStart"/>
      <w:r w:rsidR="003E29F6" w:rsidRPr="00375327">
        <w:rPr>
          <w:rFonts w:cs="Times New Roman"/>
          <w:lang w:val="en-US"/>
        </w:rPr>
        <w:t>Llamazares</w:t>
      </w:r>
      <w:proofErr w:type="spellEnd"/>
      <w:r w:rsidR="003E29F6" w:rsidRPr="00375327">
        <w:rPr>
          <w:rFonts w:cs="Times New Roman"/>
          <w:lang w:val="en-US"/>
        </w:rPr>
        <w:t xml:space="preserve"> &amp; </w:t>
      </w:r>
      <w:proofErr w:type="spellStart"/>
      <w:r w:rsidR="003E29F6" w:rsidRPr="00375327">
        <w:rPr>
          <w:rFonts w:cs="Times New Roman"/>
          <w:lang w:val="en-US"/>
        </w:rPr>
        <w:t>Gramacho</w:t>
      </w:r>
      <w:proofErr w:type="spellEnd"/>
      <w:r w:rsidR="003E29F6" w:rsidRPr="00375327">
        <w:rPr>
          <w:rFonts w:cs="Times New Roman"/>
          <w:lang w:val="en-US"/>
        </w:rPr>
        <w:t>, 2007)</w:t>
      </w:r>
      <w:r w:rsidR="004028B9" w:rsidRPr="00375327">
        <w:rPr>
          <w:lang w:val="en-US"/>
        </w:rPr>
        <w:t>.</w:t>
      </w:r>
      <w:r w:rsidR="003E29F6" w:rsidRPr="00375327">
        <w:rPr>
          <w:lang w:val="en-US"/>
        </w:rPr>
        <w:t xml:space="preserve"> </w:t>
      </w:r>
    </w:p>
    <w:p w14:paraId="24B27D26" w14:textId="77777777" w:rsidR="00076912" w:rsidRPr="00375327" w:rsidRDefault="00076912" w:rsidP="00691CAC">
      <w:pPr>
        <w:jc w:val="both"/>
      </w:pPr>
    </w:p>
    <w:p w14:paraId="6BEC0262" w14:textId="5EB4A801" w:rsidR="00127CB9" w:rsidRPr="00375327" w:rsidRDefault="00076912" w:rsidP="00691CAC">
      <w:pPr>
        <w:jc w:val="both"/>
      </w:pPr>
      <w:r w:rsidRPr="00375327">
        <w:t xml:space="preserve">This paper advances this line of research </w:t>
      </w:r>
      <w:r w:rsidR="002271F6" w:rsidRPr="00375327">
        <w:t xml:space="preserve">within the EU context </w:t>
      </w:r>
      <w:r w:rsidRPr="00375327">
        <w:t xml:space="preserve">by investigating sociotropic concern in EU policy support while using the refined methodological tools that do disentangle it from egotropic concern. However, it also advances this line of research more generally </w:t>
      </w:r>
      <w:r w:rsidR="00744620" w:rsidRPr="00375327">
        <w:t xml:space="preserve">by </w:t>
      </w:r>
      <w:r w:rsidR="005F0983" w:rsidRPr="00375327">
        <w:lastRenderedPageBreak/>
        <w:t xml:space="preserve">developing and empirically testing a novel theoretical contribution. In particular, this study </w:t>
      </w:r>
      <w:r w:rsidR="00744620" w:rsidRPr="00375327">
        <w:t xml:space="preserve">critically </w:t>
      </w:r>
      <w:r w:rsidR="005F0983" w:rsidRPr="00375327">
        <w:t xml:space="preserve">examines </w:t>
      </w:r>
      <w:r w:rsidR="00744620" w:rsidRPr="00375327">
        <w:t xml:space="preserve">the role of ‘the community’ within this attitudinal dynamic. As opposed to prior research, </w:t>
      </w:r>
      <w:r w:rsidR="002271F6" w:rsidRPr="00375327">
        <w:t xml:space="preserve">this study asks whether the subnational and the supranational can be the community within which sociotropic concern situates, hence effectively considering </w:t>
      </w:r>
      <w:r w:rsidR="004E5AA9" w:rsidRPr="00375327">
        <w:t>this as a heterogeneous concept</w:t>
      </w:r>
      <w:r w:rsidR="002271F6" w:rsidRPr="00375327">
        <w:t xml:space="preserve">. </w:t>
      </w:r>
      <w:r w:rsidR="00780F03" w:rsidRPr="00375327">
        <w:t>Thereby, t</w:t>
      </w:r>
      <w:r w:rsidR="00FF5C66" w:rsidRPr="00375327">
        <w:t xml:space="preserve">his </w:t>
      </w:r>
      <w:r w:rsidR="00780F03" w:rsidRPr="00375327">
        <w:t xml:space="preserve">paper </w:t>
      </w:r>
      <w:r w:rsidR="00A455C8" w:rsidRPr="00375327">
        <w:t xml:space="preserve">also </w:t>
      </w:r>
      <w:r w:rsidR="00DB5F89" w:rsidRPr="00375327">
        <w:t>generates novel insights</w:t>
      </w:r>
      <w:r w:rsidR="00DB5F89" w:rsidRPr="00375327">
        <w:rPr>
          <w:i/>
          <w:iCs/>
        </w:rPr>
        <w:t xml:space="preserve"> </w:t>
      </w:r>
      <w:r w:rsidR="00DB5F89" w:rsidRPr="00375327">
        <w:t xml:space="preserve">that are relevant </w:t>
      </w:r>
      <w:r w:rsidR="00FF5C66" w:rsidRPr="00375327">
        <w:t>beyond the EU context</w:t>
      </w:r>
      <w:r w:rsidR="00DB5F89" w:rsidRPr="00375327">
        <w:t xml:space="preserve"> as well.</w:t>
      </w:r>
      <w:r w:rsidR="00DB5F89" w:rsidRPr="00375327" w:rsidDel="00DB5F89">
        <w:t xml:space="preserve"> </w:t>
      </w:r>
    </w:p>
    <w:p w14:paraId="6D3B48EB" w14:textId="166960ED" w:rsidR="00A455C8" w:rsidRPr="00375327" w:rsidRDefault="00A455C8" w:rsidP="00691CAC">
      <w:pPr>
        <w:jc w:val="both"/>
      </w:pPr>
    </w:p>
    <w:p w14:paraId="4C5C1DE9" w14:textId="01D24532" w:rsidR="005A7CB8" w:rsidRPr="00375327" w:rsidRDefault="00A455C8" w:rsidP="00691CAC">
      <w:pPr>
        <w:jc w:val="both"/>
      </w:pPr>
      <w:r w:rsidRPr="00375327">
        <w:t xml:space="preserve">Both goals are achieved </w:t>
      </w:r>
      <w:r w:rsidR="005F0983" w:rsidRPr="00375327">
        <w:t xml:space="preserve">using </w:t>
      </w:r>
      <w:r w:rsidR="004F134B" w:rsidRPr="00375327">
        <w:t xml:space="preserve">a methodology that considers people’s </w:t>
      </w:r>
      <w:r w:rsidR="005F0983" w:rsidRPr="00375327">
        <w:t xml:space="preserve">beliefs of the </w:t>
      </w:r>
      <w:r w:rsidR="004F134B" w:rsidRPr="00375327">
        <w:t xml:space="preserve">effects of an EU fiscal capacity. This builds directly on the empirically backed theoretical insight by Rho and </w:t>
      </w:r>
      <w:proofErr w:type="spellStart"/>
      <w:r w:rsidR="004F134B" w:rsidRPr="00375327">
        <w:t>Tomz</w:t>
      </w:r>
      <w:proofErr w:type="spellEnd"/>
      <w:r w:rsidR="004F134B" w:rsidRPr="00375327">
        <w:t xml:space="preserve"> </w:t>
      </w:r>
      <w:r w:rsidR="009B07AE" w:rsidRPr="00375327">
        <w:rPr>
          <w:rFonts w:cs="Times New Roman"/>
        </w:rPr>
        <w:t>(2017)</w:t>
      </w:r>
      <w:r w:rsidR="009B07AE" w:rsidRPr="00375327">
        <w:t xml:space="preserve"> </w:t>
      </w:r>
      <w:r w:rsidR="004F134B" w:rsidRPr="00375327">
        <w:t xml:space="preserve">that a proper assessment of the mechanisms of egotropic and sociotropic concern should put the causal </w:t>
      </w:r>
      <w:r w:rsidRPr="00375327">
        <w:t>beliefs that people have of how a policy or political event will affect them</w:t>
      </w:r>
      <w:r w:rsidR="00BC759C" w:rsidRPr="00375327">
        <w:t>selves</w:t>
      </w:r>
      <w:r w:rsidR="009B07AE" w:rsidRPr="00375327">
        <w:t xml:space="preserve"> </w:t>
      </w:r>
      <w:r w:rsidR="00B638BA" w:rsidRPr="00375327">
        <w:t xml:space="preserve">and their community </w:t>
      </w:r>
      <w:r w:rsidR="009B07AE" w:rsidRPr="00375327">
        <w:t>at the centre of attention</w:t>
      </w:r>
      <w:r w:rsidRPr="00375327">
        <w:t xml:space="preserve">, as opposed to deducting what we would expect people’s causal beliefs to be. </w:t>
      </w:r>
      <w:r w:rsidR="009B07AE" w:rsidRPr="00375327">
        <w:t xml:space="preserve">Concretely, this approach is applied </w:t>
      </w:r>
      <w:r w:rsidR="00255A51" w:rsidRPr="00375327">
        <w:t>to</w:t>
      </w:r>
      <w:r w:rsidR="00C7061E" w:rsidRPr="00375327">
        <w:t xml:space="preserve"> data from</w:t>
      </w:r>
      <w:r w:rsidR="00960D61" w:rsidRPr="00375327">
        <w:t xml:space="preserve"> a survey fielded in five EU Member States (France, Germany, Italy, the Netherlands and Spain, N = 2000 per country) aimed at investigating support for the introduction of an EU fiscal capacity </w:t>
      </w:r>
      <w:r w:rsidR="00960D61" w:rsidRPr="00375327">
        <w:rPr>
          <w:rFonts w:cs="Times New Roman"/>
        </w:rPr>
        <w:t>(</w:t>
      </w:r>
      <w:proofErr w:type="spellStart"/>
      <w:r w:rsidR="00960D61" w:rsidRPr="00375327">
        <w:rPr>
          <w:rFonts w:cs="Times New Roman"/>
        </w:rPr>
        <w:t>Beetsma</w:t>
      </w:r>
      <w:proofErr w:type="spellEnd"/>
      <w:r w:rsidR="00960D61" w:rsidRPr="00375327">
        <w:rPr>
          <w:rFonts w:cs="Times New Roman"/>
        </w:rPr>
        <w:t xml:space="preserve"> et al., 202</w:t>
      </w:r>
      <w:r w:rsidR="00DE6868" w:rsidRPr="00375327">
        <w:rPr>
          <w:rFonts w:cs="Times New Roman"/>
        </w:rPr>
        <w:t>2</w:t>
      </w:r>
      <w:r w:rsidR="00960D61" w:rsidRPr="00375327">
        <w:rPr>
          <w:rFonts w:cs="Times New Roman"/>
        </w:rPr>
        <w:t>)</w:t>
      </w:r>
      <w:r w:rsidR="00960D61" w:rsidRPr="00375327">
        <w:t xml:space="preserve"> and which </w:t>
      </w:r>
      <w:r w:rsidR="00C7061E" w:rsidRPr="00375327">
        <w:t xml:space="preserve">allows </w:t>
      </w:r>
      <w:r w:rsidR="00031227" w:rsidRPr="00375327">
        <w:t xml:space="preserve">operationalising egotropic and sociotropic concern through the </w:t>
      </w:r>
      <w:r w:rsidR="00A95D1C" w:rsidRPr="00375327">
        <w:t>effect that people believe an</w:t>
      </w:r>
      <w:r w:rsidR="00031227" w:rsidRPr="00375327">
        <w:t xml:space="preserve"> EU fiscal capacity </w:t>
      </w:r>
      <w:r w:rsidR="00A95D1C" w:rsidRPr="00375327">
        <w:t xml:space="preserve">to have </w:t>
      </w:r>
      <w:r w:rsidR="00031227" w:rsidRPr="00375327">
        <w:t xml:space="preserve">on themselves, their region, their country and the EU as a whole. </w:t>
      </w:r>
      <w:r w:rsidR="001D362B" w:rsidRPr="00375327">
        <w:t>By considering these beliefs simultaneously, this approach manages to disentangle egotropic and sociotropic concern and</w:t>
      </w:r>
      <w:r w:rsidR="00552E61" w:rsidRPr="00375327">
        <w:t xml:space="preserve"> allows conclusions to be drawn on </w:t>
      </w:r>
      <w:r w:rsidR="00687687" w:rsidRPr="00375327">
        <w:t>the latter</w:t>
      </w:r>
      <w:r w:rsidR="00552E61" w:rsidRPr="00375327">
        <w:t xml:space="preserve">. </w:t>
      </w:r>
      <w:r w:rsidR="00006513" w:rsidRPr="00375327">
        <w:t>Thereby, this paper provides</w:t>
      </w:r>
      <w:r w:rsidR="005A7CB8" w:rsidRPr="00375327">
        <w:t xml:space="preserve"> fundamental insights into human political behaviour </w:t>
      </w:r>
      <w:r w:rsidR="00687687" w:rsidRPr="00375327">
        <w:t xml:space="preserve">and </w:t>
      </w:r>
      <w:r w:rsidR="005A7CB8" w:rsidRPr="00375327">
        <w:t>attitudes toward the EU and its policies</w:t>
      </w:r>
      <w:r w:rsidR="00687687" w:rsidRPr="00375327">
        <w:t>,</w:t>
      </w:r>
      <w:r w:rsidR="005A7CB8" w:rsidRPr="00375327">
        <w:t xml:space="preserve"> as well as insights for EU politicians into how to promote EU policies and address potential cleavages. </w:t>
      </w:r>
    </w:p>
    <w:p w14:paraId="71851A5E" w14:textId="77777777" w:rsidR="003E29F6" w:rsidRPr="00375327" w:rsidRDefault="003E29F6" w:rsidP="00691CAC">
      <w:pPr>
        <w:jc w:val="both"/>
      </w:pPr>
    </w:p>
    <w:p w14:paraId="228BF0FC" w14:textId="66A19689" w:rsidR="00141F6C" w:rsidRPr="00375327" w:rsidRDefault="005A7CB8" w:rsidP="00691CAC">
      <w:pPr>
        <w:jc w:val="both"/>
      </w:pPr>
      <w:r w:rsidRPr="00375327">
        <w:t>This paper proceeds as follows. Section two discusses the origination of the concept of socio</w:t>
      </w:r>
      <w:r w:rsidR="005873FA" w:rsidRPr="00375327">
        <w:t xml:space="preserve">tropic concern in the economic voting literature and how it has been applied across </w:t>
      </w:r>
      <w:r w:rsidR="004E5AA9" w:rsidRPr="00375327">
        <w:t xml:space="preserve">different </w:t>
      </w:r>
      <w:r w:rsidR="005873FA" w:rsidRPr="00375327">
        <w:t xml:space="preserve">fields of political science. </w:t>
      </w:r>
      <w:r w:rsidR="00B513E2" w:rsidRPr="00375327">
        <w:t xml:space="preserve">Section three </w:t>
      </w:r>
      <w:r w:rsidR="005873FA" w:rsidRPr="00375327">
        <w:t xml:space="preserve">subsequently discusses those studies </w:t>
      </w:r>
      <w:r w:rsidR="00687687" w:rsidRPr="00375327">
        <w:t xml:space="preserve">conducted </w:t>
      </w:r>
      <w:r w:rsidR="005873FA" w:rsidRPr="00375327">
        <w:t xml:space="preserve">in the EU context which have attempted to investigate sociotropic concern, how these come short in distinguishing sociotropic </w:t>
      </w:r>
      <w:r w:rsidR="005038CD" w:rsidRPr="00375327">
        <w:t xml:space="preserve">and egotropic </w:t>
      </w:r>
      <w:r w:rsidR="005873FA" w:rsidRPr="00375327">
        <w:t xml:space="preserve">concern and how they are limited in their scope by only considering </w:t>
      </w:r>
      <w:r w:rsidR="005038CD" w:rsidRPr="00375327">
        <w:t>concern with the collective welfare of the national community</w:t>
      </w:r>
      <w:r w:rsidR="00B513E2" w:rsidRPr="00375327">
        <w:t xml:space="preserve">. </w:t>
      </w:r>
      <w:r w:rsidR="006D2A05" w:rsidRPr="00375327">
        <w:t xml:space="preserve">In addition, this section </w:t>
      </w:r>
      <w:r w:rsidR="00B513E2" w:rsidRPr="00375327">
        <w:t>discusses how these shortcomings are simultaneously addressed by considering causal beliefs for oneself and the community of reference, and sets out the hypothes</w:t>
      </w:r>
      <w:r w:rsidR="005F782C" w:rsidRPr="00375327">
        <w:t>es. Section four discusses the data and methodology, while section five discusses the results. The final section discusses the findings in light of our previous knowledge and concludes.</w:t>
      </w:r>
    </w:p>
    <w:p w14:paraId="199E9B7D" w14:textId="77777777" w:rsidR="00725ABD" w:rsidRPr="00375327" w:rsidRDefault="00725ABD" w:rsidP="00691CAC">
      <w:pPr>
        <w:jc w:val="both"/>
      </w:pPr>
    </w:p>
    <w:p w14:paraId="722DB272" w14:textId="2FFF66F8" w:rsidR="00D85143" w:rsidRPr="00375327" w:rsidRDefault="007F3F40" w:rsidP="00691CAC">
      <w:pPr>
        <w:pStyle w:val="Heading1"/>
        <w:jc w:val="both"/>
      </w:pPr>
      <w:r>
        <w:t xml:space="preserve">2. </w:t>
      </w:r>
      <w:r w:rsidR="00F00A10" w:rsidRPr="00375327">
        <w:t>Theoretical framework</w:t>
      </w:r>
    </w:p>
    <w:p w14:paraId="7990B214" w14:textId="401828B0" w:rsidR="00D85143" w:rsidRPr="00375327" w:rsidRDefault="00742618" w:rsidP="00691CAC">
      <w:pPr>
        <w:pStyle w:val="Heading2"/>
        <w:jc w:val="both"/>
      </w:pPr>
      <w:r w:rsidRPr="00375327">
        <w:t>Sociotropic concern in the economic voting literature</w:t>
      </w:r>
    </w:p>
    <w:p w14:paraId="5FBFE2D2" w14:textId="372E4E54" w:rsidR="00793B1D" w:rsidRPr="00375327" w:rsidRDefault="00D85143" w:rsidP="00691CAC">
      <w:pPr>
        <w:jc w:val="both"/>
      </w:pPr>
      <w:r w:rsidRPr="00375327">
        <w:t xml:space="preserve">The concept of sociotropic concern first </w:t>
      </w:r>
      <w:r w:rsidR="00742618" w:rsidRPr="00375327">
        <w:t xml:space="preserve">gained attention </w:t>
      </w:r>
      <w:r w:rsidRPr="00375327">
        <w:t xml:space="preserve">in the economic voting literature. In </w:t>
      </w:r>
      <w:r w:rsidR="00742618" w:rsidRPr="00375327">
        <w:t>this discipline</w:t>
      </w:r>
      <w:r w:rsidRPr="00375327">
        <w:t xml:space="preserve">, scholars were engaged in studying the relationship between economic conditions </w:t>
      </w:r>
      <w:r w:rsidR="0090067B" w:rsidRPr="00375327">
        <w:t>and political attitudes</w:t>
      </w:r>
      <w:r w:rsidR="00F028F1" w:rsidRPr="00375327">
        <w:t xml:space="preserve"> generally, or voting for incumbent presidents or their challengers during presidential elections in the US specifically</w:t>
      </w:r>
      <w:r w:rsidR="0091272E" w:rsidRPr="00375327">
        <w:t xml:space="preserve"> </w:t>
      </w:r>
      <w:r w:rsidR="006B7679" w:rsidRPr="00375327">
        <w:rPr>
          <w:rFonts w:cs="Times New Roman"/>
        </w:rPr>
        <w:t xml:space="preserve">(for seminal contributions, see Kinder &amp; </w:t>
      </w:r>
      <w:proofErr w:type="spellStart"/>
      <w:r w:rsidR="006B7679" w:rsidRPr="00375327">
        <w:rPr>
          <w:rFonts w:cs="Times New Roman"/>
        </w:rPr>
        <w:t>Kiewiet</w:t>
      </w:r>
      <w:proofErr w:type="spellEnd"/>
      <w:r w:rsidR="006B7679" w:rsidRPr="00375327">
        <w:rPr>
          <w:rFonts w:cs="Times New Roman"/>
        </w:rPr>
        <w:t>, 1981; Kramer, 1971)</w:t>
      </w:r>
      <w:r w:rsidR="00F028F1" w:rsidRPr="00375327">
        <w:t xml:space="preserve">. </w:t>
      </w:r>
      <w:r w:rsidR="00004A0C" w:rsidRPr="00375327">
        <w:t xml:space="preserve">During the 70’s and 80’s of the previous century, the </w:t>
      </w:r>
      <w:r w:rsidRPr="00375327">
        <w:t>main puzzle encountered by scholars was tha</w:t>
      </w:r>
      <w:r w:rsidR="006B7679" w:rsidRPr="00375327">
        <w:t>t, contrary to expectations,</w:t>
      </w:r>
      <w:r w:rsidRPr="00375327">
        <w:t xml:space="preserve"> </w:t>
      </w:r>
      <w:r w:rsidR="005468E6" w:rsidRPr="00375327">
        <w:t>citizens did not seem to punish or reward political actors on the basis of their personal economic situation. Instead, people seemed to consider to what extent politicians and their policies had benefited or hurt the public at large</w:t>
      </w:r>
      <w:r w:rsidR="00AF2D74" w:rsidRPr="00375327">
        <w:t xml:space="preserve"> </w:t>
      </w:r>
      <w:r w:rsidR="00AF2D74" w:rsidRPr="00375327">
        <w:rPr>
          <w:rFonts w:cs="Times New Roman"/>
        </w:rPr>
        <w:t xml:space="preserve">(Kinder &amp; </w:t>
      </w:r>
      <w:proofErr w:type="spellStart"/>
      <w:r w:rsidR="00AF2D74" w:rsidRPr="00375327">
        <w:rPr>
          <w:rFonts w:cs="Times New Roman"/>
        </w:rPr>
        <w:t>Kiewiet</w:t>
      </w:r>
      <w:proofErr w:type="spellEnd"/>
      <w:r w:rsidR="00AF2D74" w:rsidRPr="00375327">
        <w:rPr>
          <w:rFonts w:cs="Times New Roman"/>
        </w:rPr>
        <w:t>, 1981)</w:t>
      </w:r>
      <w:r w:rsidR="005468E6" w:rsidRPr="00375327">
        <w:t xml:space="preserve">. </w:t>
      </w:r>
      <w:r w:rsidR="00F028F1" w:rsidRPr="00375327">
        <w:t xml:space="preserve">As Kinder and </w:t>
      </w:r>
      <w:proofErr w:type="spellStart"/>
      <w:r w:rsidR="00F028F1" w:rsidRPr="00375327">
        <w:t>Kiewiet</w:t>
      </w:r>
      <w:proofErr w:type="spellEnd"/>
      <w:r w:rsidR="00F028F1" w:rsidRPr="00375327">
        <w:t xml:space="preserve"> </w:t>
      </w:r>
      <w:r w:rsidR="00AF2D74" w:rsidRPr="00375327">
        <w:rPr>
          <w:rFonts w:cs="Times New Roman"/>
        </w:rPr>
        <w:t>(1981)</w:t>
      </w:r>
      <w:r w:rsidR="009A4D85" w:rsidRPr="00375327">
        <w:t xml:space="preserve"> </w:t>
      </w:r>
      <w:r w:rsidR="00F028F1" w:rsidRPr="00375327">
        <w:t>noted, this finding allowed two different interpretations</w:t>
      </w:r>
      <w:r w:rsidR="00ED32E6" w:rsidRPr="00375327">
        <w:t xml:space="preserve">: either people could take an interest in the community </w:t>
      </w:r>
      <w:r w:rsidR="00363CE9" w:rsidRPr="00375327">
        <w:t xml:space="preserve">as a whole </w:t>
      </w:r>
      <w:r w:rsidR="00ED32E6" w:rsidRPr="00375327">
        <w:t xml:space="preserve">while not considering their personal situation in their political preferences, or they </w:t>
      </w:r>
      <w:r w:rsidR="009A4D85" w:rsidRPr="00375327">
        <w:t xml:space="preserve">have </w:t>
      </w:r>
      <w:r w:rsidR="00ED32E6" w:rsidRPr="00375327">
        <w:t>difficulty connecting a politician</w:t>
      </w:r>
      <w:r w:rsidR="009A4D85" w:rsidRPr="00375327">
        <w:t>’</w:t>
      </w:r>
      <w:r w:rsidR="00ED32E6" w:rsidRPr="00375327">
        <w:t xml:space="preserve">s conduct to their personal situation </w:t>
      </w:r>
      <w:r w:rsidR="009A4D85" w:rsidRPr="00375327">
        <w:t>and</w:t>
      </w:r>
      <w:r w:rsidR="00ED32E6" w:rsidRPr="00375327">
        <w:t xml:space="preserve"> use </w:t>
      </w:r>
      <w:r w:rsidR="008B4EFE" w:rsidRPr="00375327">
        <w:t xml:space="preserve">the </w:t>
      </w:r>
      <w:r w:rsidR="009A4D85" w:rsidRPr="00375327">
        <w:t xml:space="preserve">state of the national economy </w:t>
      </w:r>
      <w:r w:rsidR="008B4EFE" w:rsidRPr="00375327">
        <w:t xml:space="preserve">as a heuristic for how the politician’s actions will or have influenced themselves. </w:t>
      </w:r>
      <w:r w:rsidR="00057B1F" w:rsidRPr="00375327">
        <w:t xml:space="preserve">The former can be considered a ‘genuine’ sociotropic concern, while the latter </w:t>
      </w:r>
      <w:r w:rsidR="00004A0C" w:rsidRPr="00375327">
        <w:t xml:space="preserve">should rather </w:t>
      </w:r>
      <w:r w:rsidR="00057B1F" w:rsidRPr="00375327">
        <w:t xml:space="preserve">be considered a form of obfuscated </w:t>
      </w:r>
      <w:r w:rsidR="006B7679" w:rsidRPr="00375327">
        <w:t>egotropic</w:t>
      </w:r>
      <w:r w:rsidR="00057B1F" w:rsidRPr="00375327">
        <w:t xml:space="preserve"> concern </w:t>
      </w:r>
      <w:r w:rsidR="00004A0C" w:rsidRPr="00375327">
        <w:t xml:space="preserve">since it is ultimately </w:t>
      </w:r>
      <w:r w:rsidR="00FA5514" w:rsidRPr="00375327">
        <w:t xml:space="preserve">driven by considerations for oneself </w:t>
      </w:r>
      <w:r w:rsidR="00057B1F" w:rsidRPr="00375327">
        <w:rPr>
          <w:rFonts w:cs="Times New Roman"/>
        </w:rPr>
        <w:t xml:space="preserve">(Schaffer &amp; </w:t>
      </w:r>
      <w:proofErr w:type="spellStart"/>
      <w:r w:rsidR="00057B1F" w:rsidRPr="00375327">
        <w:rPr>
          <w:rFonts w:cs="Times New Roman"/>
        </w:rPr>
        <w:t>Spilker</w:t>
      </w:r>
      <w:proofErr w:type="spellEnd"/>
      <w:r w:rsidR="00057B1F" w:rsidRPr="00375327">
        <w:rPr>
          <w:rFonts w:cs="Times New Roman"/>
        </w:rPr>
        <w:t>, 2019)</w:t>
      </w:r>
      <w:r w:rsidR="00057B1F" w:rsidRPr="00375327">
        <w:t>.</w:t>
      </w:r>
      <w:r w:rsidR="00057B1F" w:rsidRPr="00375327">
        <w:rPr>
          <w:i/>
          <w:iCs/>
        </w:rPr>
        <w:t xml:space="preserve"> </w:t>
      </w:r>
      <w:r w:rsidR="00793B1D" w:rsidRPr="00375327">
        <w:t>While ensuing investigations advocated one interpretation over the other</w:t>
      </w:r>
      <w:r w:rsidR="00AF2D74" w:rsidRPr="00375327">
        <w:t xml:space="preserve"> </w:t>
      </w:r>
      <w:r w:rsidR="00AF2D74" w:rsidRPr="00375327">
        <w:rPr>
          <w:rFonts w:cs="Times New Roman"/>
        </w:rPr>
        <w:t>(Fiorina, 1981; Lewin, 1991)</w:t>
      </w:r>
      <w:r w:rsidR="00793B1D" w:rsidRPr="00375327">
        <w:t xml:space="preserve">, </w:t>
      </w:r>
      <w:r w:rsidR="00B50B71" w:rsidRPr="00375327">
        <w:t>their</w:t>
      </w:r>
      <w:r w:rsidR="00793B1D" w:rsidRPr="00375327">
        <w:t xml:space="preserve"> methodologies </w:t>
      </w:r>
      <w:r w:rsidR="00057B1F" w:rsidRPr="00375327">
        <w:t xml:space="preserve">did not allow </w:t>
      </w:r>
      <w:r w:rsidR="00FA5514" w:rsidRPr="00375327">
        <w:t>conclusions to be drawn</w:t>
      </w:r>
      <w:r w:rsidR="00793B1D" w:rsidRPr="00375327">
        <w:t xml:space="preserve"> on which of these interpretations is right</w:t>
      </w:r>
      <w:r w:rsidR="009A54E4" w:rsidRPr="00375327">
        <w:t xml:space="preserve"> </w:t>
      </w:r>
      <w:r w:rsidR="009A54E4" w:rsidRPr="00375327">
        <w:rPr>
          <w:rFonts w:cs="Times New Roman"/>
        </w:rPr>
        <w:t xml:space="preserve">(for a single exception, see </w:t>
      </w:r>
      <w:proofErr w:type="spellStart"/>
      <w:r w:rsidR="009A54E4" w:rsidRPr="00375327">
        <w:rPr>
          <w:rFonts w:cs="Times New Roman"/>
        </w:rPr>
        <w:t>Sigelman</w:t>
      </w:r>
      <w:proofErr w:type="spellEnd"/>
      <w:r w:rsidR="009A54E4" w:rsidRPr="00375327">
        <w:rPr>
          <w:rFonts w:cs="Times New Roman"/>
        </w:rPr>
        <w:t xml:space="preserve"> et al., 1991)</w:t>
      </w:r>
      <w:r w:rsidR="00793B1D" w:rsidRPr="00375327">
        <w:t xml:space="preserve">. Generally, these studies would use cross-sectional data that asked </w:t>
      </w:r>
      <w:r w:rsidR="000633D5" w:rsidRPr="00375327">
        <w:t xml:space="preserve">people to evaluate both their personal financial situation and that of the country as a whole. Unfortunately, both the obfuscated egoistic concern interpretation and the genuine sociotropic concern interpretation expect a relationship </w:t>
      </w:r>
      <w:r w:rsidR="000A2ECC" w:rsidRPr="00375327">
        <w:t xml:space="preserve">between the assessment of the economic situation in the country and the </w:t>
      </w:r>
      <w:r w:rsidR="009A54E4" w:rsidRPr="00375327">
        <w:t>presidential</w:t>
      </w:r>
      <w:r w:rsidR="000A2ECC" w:rsidRPr="00375327">
        <w:t xml:space="preserve"> vote </w:t>
      </w:r>
      <w:r w:rsidR="00FA5514" w:rsidRPr="00375327">
        <w:t xml:space="preserve">or </w:t>
      </w:r>
      <w:r w:rsidR="000A2ECC" w:rsidRPr="00375327">
        <w:t>political attitudes</w:t>
      </w:r>
      <w:r w:rsidR="00FA5514" w:rsidRPr="00375327">
        <w:t xml:space="preserve"> more generally</w:t>
      </w:r>
      <w:r w:rsidR="000A2ECC" w:rsidRPr="00375327">
        <w:t>.</w:t>
      </w:r>
      <w:r w:rsidR="000633D5" w:rsidRPr="00375327">
        <w:t xml:space="preserve"> </w:t>
      </w:r>
      <w:r w:rsidR="000A2ECC" w:rsidRPr="00375327">
        <w:t xml:space="preserve">Hence, these studies did not allow for an actual test of these different interpretations. </w:t>
      </w:r>
    </w:p>
    <w:p w14:paraId="64A90778" w14:textId="77777777" w:rsidR="00E123F9" w:rsidRPr="00375327" w:rsidRDefault="00E123F9" w:rsidP="00691CAC">
      <w:pPr>
        <w:jc w:val="both"/>
      </w:pPr>
    </w:p>
    <w:p w14:paraId="2706491B" w14:textId="035273AA" w:rsidR="009B2746" w:rsidRPr="00375327" w:rsidRDefault="003A006F" w:rsidP="00691CAC">
      <w:pPr>
        <w:jc w:val="both"/>
      </w:pPr>
      <w:r w:rsidRPr="00375327">
        <w:t>However,</w:t>
      </w:r>
      <w:r w:rsidR="0081651E" w:rsidRPr="00375327">
        <w:t xml:space="preserve"> since recently</w:t>
      </w:r>
      <w:r w:rsidRPr="00375327">
        <w:t xml:space="preserve"> methodologies have been developed aimed at testing the exact mechanism through which sociotropic concern operates</w:t>
      </w:r>
      <w:r w:rsidR="0081651E" w:rsidRPr="00375327">
        <w:t>, and these have been used across many policy fields</w:t>
      </w:r>
      <w:r w:rsidR="007138A9" w:rsidRPr="00375327">
        <w:t>.</w:t>
      </w:r>
      <w:r w:rsidR="00363CE9" w:rsidRPr="00375327">
        <w:rPr>
          <w:rStyle w:val="FootnoteReference"/>
        </w:rPr>
        <w:footnoteReference w:id="1"/>
      </w:r>
      <w:r w:rsidR="00FF3545" w:rsidRPr="00375327">
        <w:t xml:space="preserve"> </w:t>
      </w:r>
      <w:r w:rsidR="00954E3E" w:rsidRPr="00375327">
        <w:t xml:space="preserve">Some authors have improved on the observational methodologies </w:t>
      </w:r>
      <w:r w:rsidR="0081651E" w:rsidRPr="00375327">
        <w:t xml:space="preserve">used in the </w:t>
      </w:r>
      <w:r w:rsidR="0081651E" w:rsidRPr="00375327">
        <w:lastRenderedPageBreak/>
        <w:t xml:space="preserve">economic voting literature </w:t>
      </w:r>
      <w:r w:rsidR="00954E3E" w:rsidRPr="00375327">
        <w:t xml:space="preserve">by </w:t>
      </w:r>
      <w:r w:rsidR="0081651E" w:rsidRPr="00375327">
        <w:t xml:space="preserve">asking research participants to explicitly consider </w:t>
      </w:r>
      <w:r w:rsidR="00954E3E" w:rsidRPr="00375327">
        <w:t>the connection between the particular policy investigated and the (perceived) consequences of that policy for people themselves and for a broader community, such as the country as a whole</w:t>
      </w:r>
      <w:r w:rsidR="0066220B" w:rsidRPr="00375327">
        <w:t xml:space="preserve"> </w:t>
      </w:r>
      <w:r w:rsidR="000C2416" w:rsidRPr="00375327">
        <w:fldChar w:fldCharType="begin"/>
      </w:r>
      <w:r w:rsidR="000C2416" w:rsidRPr="00375327">
        <w:instrText xml:space="preserve"> ADDIN ZOTERO_ITEM CSL_CITATION {"citationID":"wRBBKkLo","properties":{"formattedCitation":"(Johnston et al., 2000)","plainCitation":"(Johnston et al., 2000)","noteIndex":0},"citationItems":[{"id":172,"uris":["http://zotero.org/users/local/JUaXhF9K/items/2CKL26AE"],"itemData":{"id":172,"type":"article-journal","abstract":"Egocentric economic voting models are widely used in studies of voting behaviour in Great Britain: they suggest that people whose standard of living has risen recently as a perceived consequence of government policies are more likely to vote for the government's return to office than are those who blame government policies for a decline in their living standards. But many people whose living standards have increased vote against the government. Analyses reported here, using specially constructed bespoke neighbourhoods around the homes of respondents to the 1997 British Election Study, show that the latter group mainly live in areas of high local unemployment. This suggests a pattern of altruistic voting, of people who are prospering personally, but whose neighbours are not, voting against the incumbent government—a pattern confirmed by statistical analyses of both egocentric and sociotropic voting.","container-title":"Environment and Planning A: Economy and Space","DOI":"10.1068/a3294","ISSN":"0308-518X","issue":"4","journalAbbreviation":"Environ Plan A","language":"en","note":"publisher: SAGE Publications Ltd","page":"673-694","source":"SAGE Journals","title":"Locating the Altruistic Voter: Context, Egocentric Voting, and Support for the Conservative Party at the 1997 General Election in England and Wales","title-short":"Locating the Altruistic Voter","volume":"32","author":[{"family":"Johnston","given":"Ron"},{"family":"Dorling","given":"Danny"},{"family":"Tunstall","given":"Helena"},{"family":"Rossiter","given":"David"},{"family":"MacAllister","given":"Iain"},{"family":"Pattie","given":"Charles"}],"issued":{"date-parts":[["2000",4,1]]}}}],"schema":"https://github.com/citation-style-language/schema/raw/master/csl-citation.json"} </w:instrText>
      </w:r>
      <w:r w:rsidR="000C2416" w:rsidRPr="00375327">
        <w:fldChar w:fldCharType="separate"/>
      </w:r>
      <w:r w:rsidR="000C2416" w:rsidRPr="00375327">
        <w:rPr>
          <w:rFonts w:cs="Times New Roman"/>
        </w:rPr>
        <w:t>(Johnston et al., 2000)</w:t>
      </w:r>
      <w:r w:rsidR="000C2416" w:rsidRPr="00375327">
        <w:fldChar w:fldCharType="end"/>
      </w:r>
      <w:r w:rsidR="00954E3E" w:rsidRPr="00375327">
        <w:t>.</w:t>
      </w:r>
      <w:r w:rsidR="007138A9" w:rsidRPr="00375327">
        <w:t xml:space="preserve"> </w:t>
      </w:r>
      <w:r w:rsidR="00164158" w:rsidRPr="00375327">
        <w:t xml:space="preserve">One prime example is a study by Mansfield and Mutz </w:t>
      </w:r>
      <w:r w:rsidR="00164158" w:rsidRPr="00375327">
        <w:fldChar w:fldCharType="begin"/>
      </w:r>
      <w:r w:rsidR="00164158" w:rsidRPr="00375327">
        <w:instrText xml:space="preserve"> ADDIN ZOTERO_ITEM CSL_CITATION {"citationID":"dXWNxnhT","properties":{"formattedCitation":"(2009)","plainCitation":"(2009)","noteIndex":0},"citationItems":[{"id":29,"uris":["http://zotero.org/users/local/JUaXhF9K/items/E4URQU6I"],"itemData":{"id":29,"type":"article-journal","abstract":"Although it is widely acknowledged that an understanding of mass attitudes about trade is crucial to the political economy of foreign commerce, only a handful of studies have addressed this topic. These studies have focused largely on testing two models, both of which emphasize that trade preferences are shaped by how trade affects an individual's income. The factor endowments or Heckscher-Ohlin model posits that these preferences are affected primarily by a person's skills. The specific factors or Ricardo-Viner model posits that trade preferences depend on the industry in which a person works. We find little support for either of these models using two representative national surveys of Americans. The only potential exception involves the effects of education. Initial tests indicate that educational attainment and support for open trade are directly related, which is often interpreted as support for the Heckscher-Ohlin model. However, further analysis reveals that education's effects are less representative of skill than of individuals' anxieties about involvement with out-groups in their own country and beyond. Furthermore, we find strong evidence that trade attitudes are guided less by material self-interest than by perceptions of how the U.S. economy as a whole is affected by trade.","container-title":"International Organization","DOI":"10.1017/S0020818309090158","ISSN":"1531-5088, 0020-8183","issue":"3","language":"en","note":"publisher: Cambridge University Press","page":"425-457","source":"Cambridge University Press","title":"Support for Free Trade: Self-Interest, Sociotropic Politics, and Out-Group Anxiety","title-short":"Support for Free Trade","volume":"63","author":[{"family":"Mansfield","given":"Edward D."},{"family":"Mutz","given":"Diana C."}],"issued":{"date-parts":[["2009",7]]}},"suppress-author":true}],"schema":"https://github.com/citation-style-language/schema/raw/master/csl-citation.json"} </w:instrText>
      </w:r>
      <w:r w:rsidR="00164158" w:rsidRPr="00375327">
        <w:fldChar w:fldCharType="separate"/>
      </w:r>
      <w:r w:rsidR="00164158" w:rsidRPr="00375327">
        <w:rPr>
          <w:rFonts w:cs="Times New Roman"/>
        </w:rPr>
        <w:t>(2009)</w:t>
      </w:r>
      <w:r w:rsidR="00164158" w:rsidRPr="00375327">
        <w:fldChar w:fldCharType="end"/>
      </w:r>
      <w:r w:rsidR="00164158" w:rsidRPr="00375327">
        <w:t xml:space="preserve"> who operationalised egotropic and sociotropic concern in support for free trade by directly asking people on their perception of the effects of free trade for themselves on the one hand and for their country on the other. This </w:t>
      </w:r>
      <w:r w:rsidR="009B2746" w:rsidRPr="00375327">
        <w:t xml:space="preserve">more clearly separates sociotropic concern from obfuscated egotropic concern than the generalist operationalisations used in the economic voting studies discussed above, hence providing us more confidence in attributing the relationship between the </w:t>
      </w:r>
      <w:r w:rsidR="000C2416" w:rsidRPr="00375327">
        <w:t xml:space="preserve">perceived </w:t>
      </w:r>
      <w:r w:rsidR="009B2746" w:rsidRPr="00375327">
        <w:t>effects of trade on the country as a whole on support for (opposition to) free trade to genuine sociotropic concern.</w:t>
      </w:r>
    </w:p>
    <w:p w14:paraId="49DD3730" w14:textId="469B14F6" w:rsidR="00410256" w:rsidRPr="00375327" w:rsidRDefault="00410256" w:rsidP="00691CAC">
      <w:pPr>
        <w:jc w:val="both"/>
      </w:pPr>
    </w:p>
    <w:p w14:paraId="0537F7FC" w14:textId="7D804C2A" w:rsidR="00410256" w:rsidRPr="00375327" w:rsidRDefault="00BD03EE" w:rsidP="00691CAC">
      <w:pPr>
        <w:jc w:val="both"/>
      </w:pPr>
      <w:r w:rsidRPr="00375327">
        <w:t xml:space="preserve">Another development advancing this line of research is that of (survey) experiments. Herein, a notable study has been conducted </w:t>
      </w:r>
      <w:r w:rsidR="00410256" w:rsidRPr="00375327">
        <w:t xml:space="preserve">by Bechtel and </w:t>
      </w:r>
      <w:proofErr w:type="spellStart"/>
      <w:r w:rsidR="00410256" w:rsidRPr="00375327">
        <w:t>Liesch</w:t>
      </w:r>
      <w:proofErr w:type="spellEnd"/>
      <w:r w:rsidR="00410256" w:rsidRPr="00375327">
        <w:t xml:space="preserve"> </w:t>
      </w:r>
      <w:r w:rsidR="00410256" w:rsidRPr="00375327">
        <w:fldChar w:fldCharType="begin"/>
      </w:r>
      <w:r w:rsidR="00410256" w:rsidRPr="00375327">
        <w:instrText xml:space="preserve"> ADDIN ZOTERO_ITEM CSL_CITATION {"citationID":"MyMbQFZH","properties":{"formattedCitation":"(2020)","plainCitation":"(2020)","noteIndex":0},"citationItems":[{"id":11,"uris":["http://zotero.org/users/local/JUaXhF9K/items/UFVNP3NJ"],"itemData":{"id":11,"type":"article-journal","abstract":"The economic effects of policy options help explain why individuals support some reforms while they oppose others. However, disentangling the egoistic and sociotropic origins of voter preferences has proven difficult. We conduct an experiment that details how a reform affects one’s personal income, the average income in the country, and different income groups. The results suggest that the causal effect of personal income changes on reform support is about twice the size of changes in a country’s income average. Voters specifically care about how reforms impact the poor, and this prosocial concern depends neither on their own income level nor on how a policy will affect them personally. These patterns characterize how voters evaluate the redistributive effects of generic economic policies, health care reforms, trade-policy decisions, and the policy platforms of candidates running for office.","container-title":"Public Opinion Quarterly","DOI":"10.1093/poq/nfaa006","ISSN":"0033-362X","issue":"1","journalAbbreviation":"Public Opinion Quarterly","page":"1-23","source":"Silverchair","title":"Reforms and Redistribution: Disentangling the Egoistic and Sociotropic Origins of Voter Preferences","title-short":"Reforms and Redistribution","volume":"84","author":[{"family":"Bechtel","given":"Michael M"},{"family":"Liesch","given":"Roman"}],"issued":{"date-parts":[["2020",7,9]]}},"suppress-author":true}],"schema":"https://github.com/citation-style-language/schema/raw/master/csl-citation.json"} </w:instrText>
      </w:r>
      <w:r w:rsidR="00410256" w:rsidRPr="00375327">
        <w:fldChar w:fldCharType="separate"/>
      </w:r>
      <w:r w:rsidR="00410256" w:rsidRPr="00375327">
        <w:rPr>
          <w:rFonts w:cs="Times New Roman"/>
        </w:rPr>
        <w:t>(2020)</w:t>
      </w:r>
      <w:r w:rsidR="00410256" w:rsidRPr="00375327">
        <w:fldChar w:fldCharType="end"/>
      </w:r>
      <w:r w:rsidR="00410256" w:rsidRPr="00375327">
        <w:t xml:space="preserve">, who presented respondents with hypothetical policies and informed them about the benefits or costs that these policies would entail both for the individual itself on the one hand and for the country as a whole on the other. Such an experimental separation similarly gives us more leverage in distinguishing the effects of egotropic and sociotropic concern, </w:t>
      </w:r>
      <w:r w:rsidR="000917DC" w:rsidRPr="00375327">
        <w:t xml:space="preserve">which in the case of this study showed that sociotropic concern </w:t>
      </w:r>
      <w:r w:rsidR="00A43A23" w:rsidRPr="00375327">
        <w:t xml:space="preserve">influenced policy support by half as much as egotropic concern. </w:t>
      </w:r>
    </w:p>
    <w:p w14:paraId="5314D290" w14:textId="60DEB707" w:rsidR="006A2DF0" w:rsidRPr="00375327" w:rsidRDefault="006A2DF0" w:rsidP="00691CAC">
      <w:pPr>
        <w:jc w:val="both"/>
      </w:pPr>
    </w:p>
    <w:p w14:paraId="42501932" w14:textId="4263C7D0" w:rsidR="006A2DF0" w:rsidRPr="00375327" w:rsidRDefault="006A2DF0" w:rsidP="00691CAC">
      <w:pPr>
        <w:jc w:val="both"/>
      </w:pPr>
      <w:r w:rsidRPr="00375327">
        <w:t xml:space="preserve">Other studies using such sophisticated methods have shown that sociotropic concern drives political attitudes in the fields of </w:t>
      </w:r>
      <w:r w:rsidR="00B074E8" w:rsidRPr="00375327">
        <w:t xml:space="preserve">migration policy </w:t>
      </w:r>
      <w:r w:rsidR="00B074E8" w:rsidRPr="00375327">
        <w:fldChar w:fldCharType="begin"/>
      </w:r>
      <w:r w:rsidR="00B074E8" w:rsidRPr="00375327">
        <w:instrText xml:space="preserve"> ADDIN ZOTERO_ITEM CSL_CITATION {"citationID":"I9xHlXMz","properties":{"formattedCitation":"(Hix et al., 2021; Kustov, 2021; Solodoch, 2021)","plainCitation":"(Hix et al., 2021; Kustov, 2021; Solodoch, 2021)","noteIndex":0},"citationItems":[{"id":233,"uris":["http://zotero.org/users/local/JUaXhF9K/items/25Y9GYLX"],"itemData":{"id":233,"type":"article-journal","abstract":"Immigration is highly salient for voters in Europe and the USA and has generated considerable academic debate about the causes of preferences over immigration. This debate centers around the relative influences of sociotropic or personal economic considerations, as well as noneconomic threats. We provide a test of the competing egocentric, sociotropic, and noneconomic paradigms using a novel constrained preference experiment in which respondents are asked to trade off preferred reductions in immigration levels with realistic estimates of the personal or societal costs associated with those reductions. This survey experiment, performed on a national sample of British YouGov panelists, allows us to measure the price-elasticity of the publicʼs preferences with regard to levels of European and non-European immigration. Respondents were willing to admit more immigrants when restriction carries economic costs, with egocentric considerations as important as sociotropic ones. People who voted for the UK to Leave the European Union in the 2016 referendum are less price-elastic than those voting Remain, indicating that noneconomic concerns are also important.1","container-title":"Journal of Experimental Political Science","DOI":"10.1017/XPS.2020.6","ISSN":"2052-2630, 2052-2649","issue":"1","language":"en","note":"publisher: Cambridge University Press","page":"63-74","source":"Cambridge University Press","title":"Pricing Immigration","volume":"8","author":[{"family":"Hix","given":"Simon"},{"family":"Kaufmann","given":"Eric"},{"family":"Leeper","given":"Thomas J."}],"issued":{"date-parts":[["2021"]],"season":"ed"}}},{"id":146,"uris":["http://zotero.org/users/local/JUaXhF9K/items/QPIFDF5E"],"itemData":{"id":146,"type":"article-journal","abstract":"Anti-immigration preferences among educated and racially egalitarian voters is hard to explain using existing frameworks of self-interest or prejudice. I address this puzzle by developing a theory of parochial altruism, which stipulates that voters are motivated to help others at a cost, but they prioritize helping compatriots. I hypothesize that parochial altruists or voters high in both “nationalism” and “altruism” are more supportive of immigration restrictions perceived to be in the national interest. However, parochial altruists are also expected to be more supportive of increasing immigration when it benefits their compatriots. I test my theory by conducting a population-based UK survey. Using a novel measure of elicited preferences, I first find most altruists who donate to domestic rather than global charities are as anti-immigration as egoists who do not donate at all. Using a conjoint experiment, I then show voters support increasing immigration when these alternative policies benefit their compatriots.","container-title":"Comparative Political Studies","DOI":"10.1177/0010414020938087","ISSN":"0010-4140","issue":"3-4","journalAbbreviation":"Comparative Political Studies","language":"en","note":"publisher: SAGE Publications Inc","page":"445-481","source":"SAGE Journals","title":"Borders of Compassion: Immigration Preferences and Parochial Altruism","title-short":"Borders of Compassion","volume":"54","author":[{"family":"Kustov","given":"Alexander"}],"issued":{"date-parts":[["2021",3,1]]}}},{"id":204,"uris":["http://zotero.org/users/local/JUaXhF9K/items/CEJX9TFV"],"itemData":{"id":204,"type":"article-journal","abstract":"Does opposition to immigration mostly stem from prejudice or from sociotropic concerns about broad economic and cultural implications on the nation as a whole? Previous work on immigration preferences cannot answer this question because the two explanations are observationally equivalent when focusing on the attitudes of natives. I analyze a unique survey experiment that asks both natives and immigrants of various origins to evaluate different profiles of visa applicants to the Netherlands. The experiment also assigns an “ingroup treatment”—applications by individuals of the same ethnocultural background as the respondent. Using this rich data, I show that sociotropic concerns are the major source of immigration preferences, while ethnic biases play a moderate role. Remarkably, the ingroup treatment has limited effects on admission. However, bias against specific immigrant groups is detected in preferences of immigrant respondents and of those who sympathize with the far-right Freedom Party.","container-title":"Political Studies","DOI":"10.1177/0032321720946163","ISSN":"0032-3217","issue":"4","journalAbbreviation":"Political Studies","language":"en","note":"publisher: SAGE Publications Ltd","page":"1009-1032","source":"SAGE Journals","title":"Do Sociotropic Concerns Mask Prejudice? Experimental Evidence on the Sources of Public Opposition to Immigration","title-short":"Do Sociotropic Concerns Mask Prejudice?","volume":"69","author":[{"family":"Solodoch","given":"Omer"}],"issued":{"date-parts":[["2021",11,1]]}}}],"schema":"https://github.com/citation-style-language/schema/raw/master/csl-citation.json"} </w:instrText>
      </w:r>
      <w:r w:rsidR="00B074E8" w:rsidRPr="00375327">
        <w:fldChar w:fldCharType="separate"/>
      </w:r>
      <w:r w:rsidR="00B074E8" w:rsidRPr="00375327">
        <w:rPr>
          <w:rFonts w:cs="Times New Roman"/>
        </w:rPr>
        <w:t xml:space="preserve">(Hix et al., 2021; </w:t>
      </w:r>
      <w:proofErr w:type="spellStart"/>
      <w:r w:rsidR="00B074E8" w:rsidRPr="00375327">
        <w:rPr>
          <w:rFonts w:cs="Times New Roman"/>
        </w:rPr>
        <w:t>Kustov</w:t>
      </w:r>
      <w:proofErr w:type="spellEnd"/>
      <w:r w:rsidR="00B074E8" w:rsidRPr="00375327">
        <w:rPr>
          <w:rFonts w:cs="Times New Roman"/>
        </w:rPr>
        <w:t xml:space="preserve">, 2021; </w:t>
      </w:r>
      <w:proofErr w:type="spellStart"/>
      <w:r w:rsidR="00B074E8" w:rsidRPr="00375327">
        <w:rPr>
          <w:rFonts w:cs="Times New Roman"/>
        </w:rPr>
        <w:t>Solodoch</w:t>
      </w:r>
      <w:proofErr w:type="spellEnd"/>
      <w:r w:rsidR="00B074E8" w:rsidRPr="00375327">
        <w:rPr>
          <w:rFonts w:cs="Times New Roman"/>
        </w:rPr>
        <w:t>, 2021)</w:t>
      </w:r>
      <w:r w:rsidR="00B074E8" w:rsidRPr="00375327">
        <w:fldChar w:fldCharType="end"/>
      </w:r>
      <w:r w:rsidR="00B074E8" w:rsidRPr="00375327">
        <w:t xml:space="preserve">, social policy </w:t>
      </w:r>
      <w:r w:rsidR="00B074E8" w:rsidRPr="00375327">
        <w:fldChar w:fldCharType="begin"/>
      </w:r>
      <w:r w:rsidR="00B074E8" w:rsidRPr="00375327">
        <w:instrText xml:space="preserve"> ADDIN ZOTERO_ITEM CSL_CITATION {"citationID":"9596G2h7","properties":{"formattedCitation":"(Chong et al., 2001; Shiell &amp; Seymour, 2002)","plainCitation":"(Chong et al., 2001; Shiell &amp; Seymour, 2002)","noteIndex":0},"citationItems":[{"id":175,"uris":["http://zotero.org/users/local/JUaXhF9K/items/UVRSJXDV"],"itemData":{"id":175,"type":"article-journal","abstract":"The relative influence of self-interest and values on policy preferences was assessed experimentally in a national survey that posed questions about three contemporary political issues—Social Security reform, the home mortgage interest tax deduction, and health care benefits for domestic partners. For each issue, respondents were randomly assigned to one of three priming conditions that influenced the frame of reference for their policy evaluations. The results show that people are more likely to recognize their own self-interest, and to act upon it, when their stakes in the policy are clear or when they have been primed to think about the personal costs and benefits of the policy. This relationship is somewhat weakened but not eliminated when sociotropic considerations are primed. People with a smaller stake in an issue are less likely to behave on the basis of self-interest and more likely to be influenced by their values and symbolic predispositions, especially when exposed to information that cues sociotropic concerns, group identifications, or value orientations.","container-title":"Political Psychology","DOI":"10.1111/0162-895X.00253","ISSN":"1467-9221","issue":"3","language":"en","note":"_eprint: https://onlinelibrary.wiley.com/doi/pdf/10.1111/0162-895X.00253","page":"541-570","source":"Wiley Online Library","title":"When Self-Interest Matters","volume":"22","author":[{"family":"Chong","given":"Dennis"},{"family":"Citrin","given":"Jack"},{"family":"Conley","given":"Patricia"}],"issued":{"date-parts":[["2001"]]}}},{"id":180,"uris":["http://zotero.org/users/local/JUaXhF9K/items/6XC7EPQI"],"itemData":{"id":180,"type":"article-journal","abstract":"This paper reports the results of a telephone survey to elicit preferences for public or private health insurance. The survey adopted a method described by Hudson and Jones that allows respondents to distinguish between self‐interest and altruistic motivations. A random sample of 403 people drawn from the central Sydney area participated in the survey. The results suggest strong altruistic support for publicly funded health care even among those whose self‐interest is better served by tax‐financed incentives to take out private insurance. This result undermines the assumption in the public choice literature that people will vote for a tax policy only if it is in their self‐interest.","archive_location":"world","container-title":"International Journal of Social Economics","DOI":"10.1108/03068290210423505","ISSN":"0306-8293","language":"en","note":"publisher: MCB UP Ltd","source":"www.emerald.com","title":"Preferences for public health insurance: egotism or altruism?","title-short":"Preferences for public health insurance","URL":"https://www.emerald.com/insight/content/doi/10.1108/03068290210423505/full/html","author":[{"family":"Shiell","given":"Alan"},{"family":"Seymour","given":"Janelle"}],"accessed":{"date-parts":[["2021",8,30]]},"issued":{"date-parts":[["2002",5,1]]}}}],"schema":"https://github.com/citation-style-language/schema/raw/master/csl-citation.json"} </w:instrText>
      </w:r>
      <w:r w:rsidR="00B074E8" w:rsidRPr="00375327">
        <w:fldChar w:fldCharType="separate"/>
      </w:r>
      <w:r w:rsidR="00B074E8" w:rsidRPr="00375327">
        <w:rPr>
          <w:rFonts w:cs="Times New Roman"/>
        </w:rPr>
        <w:t xml:space="preserve">(Chong et al., 2001; </w:t>
      </w:r>
      <w:proofErr w:type="spellStart"/>
      <w:r w:rsidR="00B074E8" w:rsidRPr="00375327">
        <w:rPr>
          <w:rFonts w:cs="Times New Roman"/>
        </w:rPr>
        <w:t>Shiell</w:t>
      </w:r>
      <w:proofErr w:type="spellEnd"/>
      <w:r w:rsidR="00B074E8" w:rsidRPr="00375327">
        <w:rPr>
          <w:rFonts w:cs="Times New Roman"/>
        </w:rPr>
        <w:t xml:space="preserve"> &amp; Seymour, 2002)</w:t>
      </w:r>
      <w:r w:rsidR="00B074E8" w:rsidRPr="00375327">
        <w:fldChar w:fldCharType="end"/>
      </w:r>
      <w:r w:rsidR="00B074E8" w:rsidRPr="00375327">
        <w:t xml:space="preserve">, taxation policy </w:t>
      </w:r>
      <w:r w:rsidR="00B074E8" w:rsidRPr="00375327">
        <w:rPr>
          <w:rFonts w:cs="Times New Roman"/>
        </w:rPr>
        <w:t>(</w:t>
      </w:r>
      <w:proofErr w:type="spellStart"/>
      <w:r w:rsidR="00B074E8" w:rsidRPr="00375327">
        <w:rPr>
          <w:rFonts w:cs="Times New Roman"/>
        </w:rPr>
        <w:t>Klor</w:t>
      </w:r>
      <w:proofErr w:type="spellEnd"/>
      <w:r w:rsidR="00B074E8" w:rsidRPr="00375327">
        <w:rPr>
          <w:rFonts w:cs="Times New Roman"/>
        </w:rPr>
        <w:t xml:space="preserve"> &amp; </w:t>
      </w:r>
      <w:proofErr w:type="spellStart"/>
      <w:r w:rsidR="00B074E8" w:rsidRPr="00375327">
        <w:rPr>
          <w:rFonts w:cs="Times New Roman"/>
        </w:rPr>
        <w:t>Shayo</w:t>
      </w:r>
      <w:proofErr w:type="spellEnd"/>
      <w:r w:rsidR="00B074E8" w:rsidRPr="00375327">
        <w:rPr>
          <w:rFonts w:cs="Times New Roman"/>
        </w:rPr>
        <w:t>, 2010)</w:t>
      </w:r>
      <w:r w:rsidR="00B074E8" w:rsidRPr="00375327">
        <w:t>, a</w:t>
      </w:r>
      <w:r w:rsidRPr="00375327">
        <w:t xml:space="preserve">nd, to some extent, in trade policy </w:t>
      </w:r>
      <w:r w:rsidRPr="00375327">
        <w:fldChar w:fldCharType="begin"/>
      </w:r>
      <w:r w:rsidRPr="00375327">
        <w:instrText xml:space="preserve"> ADDIN ZOTERO_ITEM CSL_CITATION {"citationID":"TI7xp8dF","properties":{"formattedCitation":"(Schaffer &amp; Spilker, 2019)","plainCitation":"(Schaffer &amp; Spilker, 2019)","noteIndex":0},"citationItems":[{"id":3,"uris":["http://zotero.org/users/local/JUaXhF9K/items/SB2M7XGW"],"itemData":{"id":3,"type":"article-journal","abstract":"Economic self-interest has been central to explaining individual trade preferences. Depending on the theoretical trade model different variables influence individuals’ attitude towards globalization and existing research has come to different conclusions as to whether individuals’ preferences are dependent on skill level, income or the sector of employment. Other studies depart from economic self-interest by arguing that it is not self-interest that motivates individuals to form their preference, but country-level economic factors (sociotropic considerations) instead. We argue that one needs to approach trade preference formation from an information-based perspective and we test experimentally how people react if they are aware that they personally or nationally will gain or lose from trade and which of the two aspects are more important. By using survey experiments embedded in a representative national survey in the U.S. we are able to differentiate whether a person was triggered by ego- or sociotropic benefits/costs of free trade.","container-title":"Review of International Political Economy","DOI":"10.1080/09692290.2019.1642232","ISSN":"0969-2290","issue":"6","note":"publisher: Routledge\n_eprint: https://doi.org/10.1080/09692290.2019.1642232","page":"1266-1292","source":"Taylor and Francis+NEJM","title":"Self-interest versus sociotropic considerations: an information-based perspective to understanding individuals’ trade preferences","title-short":"Self-interest versus sociotropic considerations","volume":"26","author":[{"family":"Schaffer","given":"Lena Maria"},{"family":"Spilker","given":"Gabriele"}],"issued":{"date-parts":[["2019",11,2]]}}}],"schema":"https://github.com/citation-style-language/schema/raw/master/csl-citation.json"} </w:instrText>
      </w:r>
      <w:r w:rsidRPr="00375327">
        <w:fldChar w:fldCharType="separate"/>
      </w:r>
      <w:r w:rsidRPr="00375327">
        <w:rPr>
          <w:rFonts w:cs="Times New Roman"/>
        </w:rPr>
        <w:t xml:space="preserve">(Schaffer &amp; </w:t>
      </w:r>
      <w:proofErr w:type="spellStart"/>
      <w:r w:rsidRPr="00375327">
        <w:rPr>
          <w:rFonts w:cs="Times New Roman"/>
        </w:rPr>
        <w:t>Spilker</w:t>
      </w:r>
      <w:proofErr w:type="spellEnd"/>
      <w:r w:rsidRPr="00375327">
        <w:rPr>
          <w:rFonts w:cs="Times New Roman"/>
        </w:rPr>
        <w:t>, 2019)</w:t>
      </w:r>
      <w:r w:rsidRPr="00375327">
        <w:fldChar w:fldCharType="end"/>
      </w:r>
    </w:p>
    <w:p w14:paraId="430E6A64" w14:textId="1B1453D3" w:rsidR="00653A6D" w:rsidRPr="00375327" w:rsidRDefault="00653A6D" w:rsidP="00691CAC">
      <w:pPr>
        <w:jc w:val="both"/>
      </w:pPr>
    </w:p>
    <w:p w14:paraId="664EF4CD" w14:textId="444E2949" w:rsidR="000917DC" w:rsidRPr="00375327" w:rsidRDefault="00FD4348" w:rsidP="00691CAC">
      <w:pPr>
        <w:pStyle w:val="Heading2"/>
        <w:jc w:val="both"/>
      </w:pPr>
      <w:r w:rsidRPr="00375327">
        <w:t xml:space="preserve">The case of </w:t>
      </w:r>
      <w:r w:rsidR="00C03CCB" w:rsidRPr="00375327">
        <w:t>an EU fiscal capacity</w:t>
      </w:r>
    </w:p>
    <w:p w14:paraId="081388CB" w14:textId="5AEA9622" w:rsidR="004E1796" w:rsidRPr="00375327" w:rsidRDefault="00B074E8" w:rsidP="00691CAC">
      <w:pPr>
        <w:jc w:val="both"/>
      </w:pPr>
      <w:r w:rsidRPr="00375327">
        <w:t xml:space="preserve">Hence, </w:t>
      </w:r>
      <w:r w:rsidR="004E1796" w:rsidRPr="00375327">
        <w:t>the mechanism of sociotropic concern can be a strong driver of attitudes towards policy</w:t>
      </w:r>
      <w:r w:rsidR="00A55796" w:rsidRPr="00375327">
        <w:t xml:space="preserve">. </w:t>
      </w:r>
      <w:r w:rsidR="00FD4348" w:rsidRPr="00375327">
        <w:t>This paper will investigate</w:t>
      </w:r>
      <w:r w:rsidR="004E1796" w:rsidRPr="00375327">
        <w:t xml:space="preserve"> to what extent such sociotropic concern drives policy attitudes toward the introduction of an EU fiscal capacity</w:t>
      </w:r>
      <w:r w:rsidR="00FD1DAF" w:rsidRPr="00375327">
        <w:t>. Th</w:t>
      </w:r>
      <w:r w:rsidR="004E1796" w:rsidRPr="00375327">
        <w:t xml:space="preserve">e benefits of such a policy for the collective welfare in the EU have been discussed at length: such an instrument would redistribute the negative effects of economic downturns across EU Member States, in particular those that are particularly felt within specific industries and thereby particularly problematic for countries where these industries are most located. This </w:t>
      </w:r>
      <w:r w:rsidR="00FD4348" w:rsidRPr="00375327">
        <w:t xml:space="preserve">makes the EU economy more resistant to such </w:t>
      </w:r>
      <w:r w:rsidR="00FD4348" w:rsidRPr="00375327">
        <w:lastRenderedPageBreak/>
        <w:t xml:space="preserve">economic downturns and thereby also </w:t>
      </w:r>
      <w:r w:rsidR="004E1796" w:rsidRPr="00375327">
        <w:t xml:space="preserve">stabilises </w:t>
      </w:r>
      <w:r w:rsidR="00FD4348" w:rsidRPr="00375327">
        <w:t>it</w:t>
      </w:r>
      <w:r w:rsidR="008E2F10" w:rsidRPr="00375327">
        <w:t xml:space="preserve"> </w:t>
      </w:r>
      <w:r w:rsidR="004E1796" w:rsidRPr="00375327">
        <w:rPr>
          <w:rFonts w:cs="Times New Roman"/>
        </w:rPr>
        <w:t>(</w:t>
      </w:r>
      <w:proofErr w:type="spellStart"/>
      <w:r w:rsidR="004E1796" w:rsidRPr="00375327">
        <w:rPr>
          <w:rFonts w:cs="Times New Roman"/>
        </w:rPr>
        <w:t>Beetsma</w:t>
      </w:r>
      <w:proofErr w:type="spellEnd"/>
      <w:r w:rsidR="004E1796" w:rsidRPr="00375327">
        <w:rPr>
          <w:rFonts w:cs="Times New Roman"/>
        </w:rPr>
        <w:t xml:space="preserve"> et al., 2020; European Commission, 2017, 2020)</w:t>
      </w:r>
      <w:r w:rsidR="004E1796" w:rsidRPr="00375327">
        <w:t xml:space="preserve">. Naturally, implementing such a policy </w:t>
      </w:r>
      <w:r w:rsidR="00D94EA4" w:rsidRPr="00375327">
        <w:t>will be supported by some parts of the EU pubic and opposed by others</w:t>
      </w:r>
      <w:r w:rsidR="004E1796" w:rsidRPr="00375327">
        <w:t xml:space="preserve">. </w:t>
      </w:r>
      <w:r w:rsidR="00D94EA4" w:rsidRPr="00375327">
        <w:t xml:space="preserve">While the former group might see similar benefits as </w:t>
      </w:r>
      <w:r w:rsidR="008E2F10" w:rsidRPr="00375327">
        <w:t xml:space="preserve">those </w:t>
      </w:r>
      <w:r w:rsidR="00D94EA4" w:rsidRPr="00375327">
        <w:t xml:space="preserve">experts </w:t>
      </w:r>
      <w:r w:rsidR="008E2F10" w:rsidRPr="00375327">
        <w:t xml:space="preserve">who endorse </w:t>
      </w:r>
      <w:r w:rsidR="00D94EA4" w:rsidRPr="00375327">
        <w:t xml:space="preserve">the policy, the latter group </w:t>
      </w:r>
      <w:r w:rsidR="004E1796" w:rsidRPr="00375327">
        <w:t xml:space="preserve">might be worried about the immediate costs of the policy, might have different expectations of the costs and benefits of the policy, or they might be worried about the costs and benefits of the policy to be unequally distributed over the Member States. </w:t>
      </w:r>
    </w:p>
    <w:p w14:paraId="72114E7E" w14:textId="1CFD2EB0" w:rsidR="00171ECE" w:rsidRPr="00375327" w:rsidRDefault="00171ECE" w:rsidP="00691CAC">
      <w:pPr>
        <w:jc w:val="both"/>
      </w:pPr>
    </w:p>
    <w:p w14:paraId="7FB122C5" w14:textId="6DE25882" w:rsidR="00104BF9" w:rsidRPr="00375327" w:rsidRDefault="00104BF9" w:rsidP="00691CAC">
      <w:pPr>
        <w:jc w:val="both"/>
      </w:pPr>
    </w:p>
    <w:p w14:paraId="1F6A6F03" w14:textId="387E3AA7" w:rsidR="00C03CCB" w:rsidRPr="00375327" w:rsidRDefault="00C03CCB" w:rsidP="00691CAC">
      <w:pPr>
        <w:pStyle w:val="Heading2"/>
        <w:jc w:val="both"/>
      </w:pPr>
      <w:r w:rsidRPr="00375327">
        <w:t>The role of causal beliefs</w:t>
      </w:r>
    </w:p>
    <w:p w14:paraId="7389AA12" w14:textId="77777777" w:rsidR="003F1920" w:rsidRPr="00375327" w:rsidRDefault="003F1920" w:rsidP="00691CAC">
      <w:pPr>
        <w:jc w:val="both"/>
      </w:pPr>
      <w:r w:rsidRPr="00375327">
        <w:t xml:space="preserve">Sources of support and opposition might each move through both the egotropic or the sociotropic mechanism. However, our knowledge of the latter mechanism is very limited in the EU context. In particular considering the general interest in the attitudinal dynamic across many subfields of political science, sociotropic concern has received surprisingly little attention in studies of attitudes toward the EU and its policies. Certainly, many have analysed public attitudes toward EU solidarity </w:t>
      </w:r>
      <w:r w:rsidRPr="00375327">
        <w:rPr>
          <w:rFonts w:cs="Times New Roman"/>
        </w:rPr>
        <w:t>(See Gerhards et al., 2019 for an extensive treatment of this literature)</w:t>
      </w:r>
      <w:r w:rsidRPr="00375327">
        <w:t xml:space="preserve">, but these studies cannot differentiate between the sociotropic and egotropic mechanisms. Although there are a few studies conducted within the EU context which frame their analysis in the sociotropic vs. egotropic framework, these all have important shortcomings that substantially limit our knowledge. </w:t>
      </w:r>
    </w:p>
    <w:p w14:paraId="1879FC63" w14:textId="77777777" w:rsidR="003F1920" w:rsidRPr="00375327" w:rsidRDefault="003F1920" w:rsidP="00691CAC">
      <w:pPr>
        <w:jc w:val="both"/>
      </w:pPr>
    </w:p>
    <w:p w14:paraId="060ED5ED" w14:textId="1DBE7A5C" w:rsidR="00F75960" w:rsidRPr="00375327" w:rsidRDefault="00415B85" w:rsidP="00691CAC">
      <w:pPr>
        <w:jc w:val="both"/>
      </w:pPr>
      <w:r w:rsidRPr="00375327">
        <w:t xml:space="preserve">For example, studies by </w:t>
      </w:r>
      <w:proofErr w:type="spellStart"/>
      <w:r w:rsidRPr="00375327">
        <w:t>Elkink</w:t>
      </w:r>
      <w:proofErr w:type="spellEnd"/>
      <w:r w:rsidRPr="00375327">
        <w:t xml:space="preserve"> et al. </w:t>
      </w:r>
      <w:r w:rsidRPr="00375327">
        <w:rPr>
          <w:rFonts w:cs="Times New Roman"/>
        </w:rPr>
        <w:t>(2019),</w:t>
      </w:r>
      <w:r w:rsidR="007A25D6" w:rsidRPr="00375327">
        <w:rPr>
          <w:rFonts w:cs="Times New Roman"/>
        </w:rPr>
        <w:t xml:space="preserve"> trying to estimate the role of sociotropic concern in </w:t>
      </w:r>
      <w:r w:rsidR="007A25D6" w:rsidRPr="00375327">
        <w:t>Irish citizens’ votes during two successive referendums on the Lisbon treaty, and</w:t>
      </w:r>
      <w:r w:rsidRPr="00375327">
        <w:rPr>
          <w:rFonts w:cs="Times New Roman"/>
        </w:rPr>
        <w:t xml:space="preserve"> Levy and Phan and</w:t>
      </w:r>
      <w:r w:rsidRPr="00375327">
        <w:t xml:space="preserve"> </w:t>
      </w:r>
      <w:proofErr w:type="spellStart"/>
      <w:r w:rsidRPr="00375327">
        <w:t>Llamazares</w:t>
      </w:r>
      <w:proofErr w:type="spellEnd"/>
      <w:r w:rsidRPr="00375327">
        <w:t xml:space="preserve"> and </w:t>
      </w:r>
      <w:proofErr w:type="spellStart"/>
      <w:r w:rsidRPr="00375327">
        <w:t>Gramacho</w:t>
      </w:r>
      <w:proofErr w:type="spellEnd"/>
      <w:r w:rsidRPr="00375327">
        <w:t xml:space="preserve"> </w:t>
      </w:r>
      <w:r w:rsidRPr="00375327">
        <w:rPr>
          <w:rFonts w:cs="Times New Roman"/>
        </w:rPr>
        <w:t>(2007),</w:t>
      </w:r>
      <w:r w:rsidR="007A25D6" w:rsidRPr="00375327">
        <w:rPr>
          <w:rFonts w:cs="Times New Roman"/>
        </w:rPr>
        <w:t xml:space="preserve"> focussing on support for the EU more generally, all operationalise egotropic concern too broadly</w:t>
      </w:r>
      <w:r w:rsidR="007A25D6" w:rsidRPr="00375327">
        <w:t xml:space="preserve">, namely as whether people are satisfied or not with their financial situation in general. Such a variable is very unlikely to capture whether people feel that European integration would harm </w:t>
      </w:r>
      <w:r w:rsidR="003F1920" w:rsidRPr="00375327">
        <w:t xml:space="preserve">or </w:t>
      </w:r>
      <w:r w:rsidR="007A25D6" w:rsidRPr="00375327">
        <w:t xml:space="preserve">benefit themselves personally, because of the vast number of factors that influence this financial situation that are unrelated </w:t>
      </w:r>
      <w:r w:rsidR="00E216AA" w:rsidRPr="00375327">
        <w:t>to the EU</w:t>
      </w:r>
      <w:r w:rsidR="007A25D6" w:rsidRPr="00375327">
        <w:t xml:space="preserve"> </w:t>
      </w:r>
      <w:r w:rsidR="007A25D6" w:rsidRPr="00375327">
        <w:rPr>
          <w:rFonts w:cs="Times New Roman"/>
        </w:rPr>
        <w:t>(Kramer, 1983)</w:t>
      </w:r>
      <w:r w:rsidR="007A25D6" w:rsidRPr="00375327">
        <w:t>.</w:t>
      </w:r>
      <w:r w:rsidR="00F75960" w:rsidRPr="00375327">
        <w:t xml:space="preserve"> In the case of Levy and Phan </w:t>
      </w:r>
      <w:r w:rsidR="00F75960" w:rsidRPr="00375327">
        <w:rPr>
          <w:rFonts w:cs="Times New Roman"/>
        </w:rPr>
        <w:t>(2014)</w:t>
      </w:r>
      <w:r w:rsidR="00F75960" w:rsidRPr="00375327">
        <w:t xml:space="preserve">, the operationalisation of sociotropic concern is similarly general, namely one’s perception of the state of the national economy. The causal chain running from this perception to support for the EU is long and has many weak links, and it requires us to assume that people consider the national economic situation to be </w:t>
      </w:r>
      <w:r w:rsidR="00F75960" w:rsidRPr="00375327">
        <w:lastRenderedPageBreak/>
        <w:t xml:space="preserve">(substantially) </w:t>
      </w:r>
      <w:r w:rsidR="00E216AA" w:rsidRPr="00375327">
        <w:t xml:space="preserve">influenced </w:t>
      </w:r>
      <w:r w:rsidR="00F75960" w:rsidRPr="00375327">
        <w:t xml:space="preserve">by EU membership. Hence, it is dubious to conclude that the explanation of the effect of this perception on support for the EU is due to sociotropic concern. </w:t>
      </w:r>
    </w:p>
    <w:p w14:paraId="3E9BD925" w14:textId="7BE62FEE" w:rsidR="00150E06" w:rsidRPr="00375327" w:rsidRDefault="00150E06" w:rsidP="00691CAC">
      <w:pPr>
        <w:jc w:val="both"/>
      </w:pPr>
    </w:p>
    <w:p w14:paraId="6B05A9F3" w14:textId="2F68CAB4" w:rsidR="0007674D" w:rsidRPr="00375327" w:rsidRDefault="00150E06" w:rsidP="00691CAC">
      <w:pPr>
        <w:jc w:val="both"/>
      </w:pPr>
      <w:r w:rsidRPr="00375327">
        <w:t xml:space="preserve">Another problematic approach used by studies conducted in the EU context is to measure support for the EU in general or for its policies while controlling for </w:t>
      </w:r>
      <w:r w:rsidR="006265F6" w:rsidRPr="00375327">
        <w:t xml:space="preserve">objectively measured </w:t>
      </w:r>
      <w:r w:rsidRPr="00375327">
        <w:t xml:space="preserve">socioeconomic status (SES). </w:t>
      </w:r>
      <w:r w:rsidR="00D606E6" w:rsidRPr="00375327">
        <w:t xml:space="preserve">One example is </w:t>
      </w:r>
      <w:r w:rsidR="0007674D" w:rsidRPr="00375327">
        <w:t xml:space="preserve">a study by </w:t>
      </w:r>
      <w:proofErr w:type="spellStart"/>
      <w:r w:rsidR="00D606E6" w:rsidRPr="00375327">
        <w:t>Baute</w:t>
      </w:r>
      <w:proofErr w:type="spellEnd"/>
      <w:r w:rsidR="00D606E6" w:rsidRPr="00375327">
        <w:t xml:space="preserve"> and Meuleman </w:t>
      </w:r>
      <w:r w:rsidR="00D606E6" w:rsidRPr="00375327">
        <w:rPr>
          <w:rFonts w:cs="Times New Roman"/>
        </w:rPr>
        <w:t>(2020)</w:t>
      </w:r>
      <w:r w:rsidR="0007674D" w:rsidRPr="00375327">
        <w:t xml:space="preserve">, who </w:t>
      </w:r>
      <w:r w:rsidR="00D606E6" w:rsidRPr="00375327">
        <w:t xml:space="preserve">show that support for a European minimum income scheme (EMI) </w:t>
      </w:r>
      <w:r w:rsidR="0007674D" w:rsidRPr="00375327">
        <w:t>is</w:t>
      </w:r>
      <w:r w:rsidR="00D606E6" w:rsidRPr="00375327">
        <w:t xml:space="preserve"> driven to a large extent by expectations of that scheme’s impact on the national level of social protection, </w:t>
      </w:r>
      <w:r w:rsidR="00767E42" w:rsidRPr="00375327">
        <w:t xml:space="preserve">independent </w:t>
      </w:r>
      <w:r w:rsidR="0007674D" w:rsidRPr="00375327">
        <w:t xml:space="preserve">from SES. Other examples utilising this approach are a study by </w:t>
      </w:r>
      <w:proofErr w:type="spellStart"/>
      <w:r w:rsidR="0007674D" w:rsidRPr="00375327">
        <w:t>Stoeckel</w:t>
      </w:r>
      <w:proofErr w:type="spellEnd"/>
      <w:r w:rsidR="0007674D" w:rsidRPr="00375327">
        <w:t xml:space="preserve"> and Kuhn </w:t>
      </w:r>
      <w:r w:rsidR="0007674D" w:rsidRPr="00375327">
        <w:fldChar w:fldCharType="begin"/>
      </w:r>
      <w:r w:rsidR="0007674D" w:rsidRPr="00375327">
        <w:instrText xml:space="preserve"> ADDIN ZOTERO_ITEM CSL_CITATION {"citationID":"dtBNSkVt","properties":{"formattedCitation":"(2014)","plainCitation":"(2014)","noteIndex":0},"citationItems":[{"id":35,"uris":["http://zotero.org/users/local/JUaXhF9K/items/RD4Q3ZHB"],"itemData":{"id":35,"type":"article-journal","abstract":"This article analyses preferences for European economic governance in the European sovereign debt crisis. We assess citizens' opinions on increased intergovernmental co-operation and supranational governance in the economic sphere. We argue that current efforts to tackle the euro crisis do not benefit the typical ‘winners of European integration’. Moreover, European economic governance constitutes an even greater perceived threat to national identity, especially in the member states that fare well economically. Hypotheses are tested using multilevel analysis of Eurobarometer survey wave EB 75.3 (2011).","container-title":"Journal of European Public Policy","DOI":"10.1080/13501763.2013.867892","ISSN":"1350-1763","issue":"4","note":"publisher: Routledge\n_eprint: https://doi.org/10.1080/13501763.2013.867892","page":"624-641","source":"Taylor and Francis+NEJM","title":"When European integration becomes costly: the euro crisis and public support for European economic governance","title-short":"When European integration becomes costly","volume":"21","author":[{"family":"Kuhn","given":"Theresa"},{"family":"Stoeckel","given":"Florian"}],"issued":{"date-parts":[["2014",4,21]]}},"suppress-author":true}],"schema":"https://github.com/citation-style-language/schema/raw/master/csl-citation.json"} </w:instrText>
      </w:r>
      <w:r w:rsidR="0007674D" w:rsidRPr="00375327">
        <w:fldChar w:fldCharType="separate"/>
      </w:r>
      <w:r w:rsidR="0007674D" w:rsidRPr="00375327">
        <w:rPr>
          <w:rFonts w:cs="Times New Roman"/>
        </w:rPr>
        <w:t>(2014)</w:t>
      </w:r>
      <w:r w:rsidR="0007674D" w:rsidRPr="00375327">
        <w:fldChar w:fldCharType="end"/>
      </w:r>
      <w:r w:rsidR="0007674D" w:rsidRPr="00375327">
        <w:t xml:space="preserve"> on support for EU economic governance and a study by </w:t>
      </w:r>
      <w:proofErr w:type="spellStart"/>
      <w:r w:rsidR="0007674D" w:rsidRPr="00375327">
        <w:t>Becthel</w:t>
      </w:r>
      <w:proofErr w:type="spellEnd"/>
      <w:r w:rsidR="0007674D" w:rsidRPr="00375327">
        <w:t xml:space="preserve"> et al. </w:t>
      </w:r>
      <w:r w:rsidR="0007674D" w:rsidRPr="00375327">
        <w:fldChar w:fldCharType="begin"/>
      </w:r>
      <w:r w:rsidR="0007674D" w:rsidRPr="00375327">
        <w:instrText xml:space="preserve"> ADDIN ZOTERO_ITEM CSL_CITATION {"citationID":"a2ZIn2aP","properties":{"formattedCitation":"(2014)","plainCitation":"(2014)","noteIndex":0},"citationItems":[{"id":60,"uris":["http://zotero.org/users/local/JUaXhF9K/items/VC36Q2Q6"],"itemData":{"id":60,"type":"article-journal","abstract":"Why do voters agree to bear the costs of bailing out other countries? Despite the prominence of public opinion in the ongoing debate over the eurozone bailouts, voters' preferences on the topic are poorly understood. We conduct the first systematic analysis of this issue using observational and experimental survey data from Germany, the country shouldering the largest share of the EU's financial rescue fund. Testing a range of theoretical explanations, we find that individuals' own economic standing has limited explanatory power in accounting for their position on the bailouts. In contrast, social dispositions such as altruism and cosmopolitanism robustly correlate with support for the bailouts. The results indicate that the divide in public opinion over the bailouts does not reflect distributive lines separating domestic winners and losers. Instead, the bailout debate is better understood as a foreign policy issue that pits economic nationalist sentiments versus greater cosmopolitan affinity and other-regarding concerns.","container-title":"American Journal of Political Science","DOI":"https://doi.org/10.1111/ajps.12079","ISSN":"1540-5907","issue":"4","language":"en","note":"_eprint: https://onlinelibrary.wiley.com/doi/pdf/10.1111/ajps.12079","page":"835-856","source":"Wiley Online Library","title":"Preferences for International Redistribution: The Divide over the Eurozone Bailouts","title-short":"Preferences for International Redistribution","volume":"58","author":[{"family":"Bechtel","given":"Michael M."},{"family":"Hainmueller","given":"Jens"},{"family":"Margalit","given":"Yotam"}],"issued":{"date-parts":[["2014"]]}},"suppress-author":true}],"schema":"https://github.com/citation-style-language/schema/raw/master/csl-citation.json"} </w:instrText>
      </w:r>
      <w:r w:rsidR="0007674D" w:rsidRPr="00375327">
        <w:fldChar w:fldCharType="separate"/>
      </w:r>
      <w:r w:rsidR="0007674D" w:rsidRPr="00375327">
        <w:rPr>
          <w:rFonts w:cs="Times New Roman"/>
        </w:rPr>
        <w:t>(2014)</w:t>
      </w:r>
      <w:r w:rsidR="0007674D" w:rsidRPr="00375327">
        <w:fldChar w:fldCharType="end"/>
      </w:r>
      <w:r w:rsidR="0007674D" w:rsidRPr="00375327">
        <w:t xml:space="preserve"> on support for the bailout measures during the </w:t>
      </w:r>
      <w:proofErr w:type="spellStart"/>
      <w:r w:rsidR="0007674D" w:rsidRPr="00375327">
        <w:t>eurocrisis</w:t>
      </w:r>
      <w:proofErr w:type="spellEnd"/>
      <w:r w:rsidR="0007674D" w:rsidRPr="00375327">
        <w:t xml:space="preserve">. </w:t>
      </w:r>
    </w:p>
    <w:p w14:paraId="4E4F5114" w14:textId="77777777" w:rsidR="00104BF9" w:rsidRPr="00375327" w:rsidRDefault="00104BF9" w:rsidP="00691CAC">
      <w:pPr>
        <w:jc w:val="both"/>
      </w:pPr>
      <w:bookmarkStart w:id="0" w:name="_Hlk97308275"/>
    </w:p>
    <w:p w14:paraId="20059B08" w14:textId="72FA0C51" w:rsidR="00104BF9" w:rsidRPr="00375327" w:rsidRDefault="005F1294" w:rsidP="00691CAC">
      <w:pPr>
        <w:jc w:val="both"/>
      </w:pPr>
      <w:r w:rsidRPr="00375327">
        <w:t xml:space="preserve">In each of these three studies, </w:t>
      </w:r>
      <w:r w:rsidR="006265F6" w:rsidRPr="00375327">
        <w:t xml:space="preserve">objectively measured </w:t>
      </w:r>
      <w:r w:rsidRPr="00375327">
        <w:t>SES is considered a measurement of egotropic concern,</w:t>
      </w:r>
      <w:r w:rsidR="002651B0" w:rsidRPr="00375327">
        <w:t xml:space="preserve"> </w:t>
      </w:r>
      <w:r w:rsidR="006265F6" w:rsidRPr="00375327">
        <w:t>which would hence presumably allow the disentanglement with sociotropic concern</w:t>
      </w:r>
      <w:r w:rsidR="002651B0" w:rsidRPr="00375327">
        <w:t>.</w:t>
      </w:r>
      <w:r w:rsidR="006265F6" w:rsidRPr="00375327">
        <w:t xml:space="preserve"> </w:t>
      </w:r>
      <w:r w:rsidR="00056A4B" w:rsidRPr="00375327">
        <w:t>The assumption behind such an operationalisation is that SES influence</w:t>
      </w:r>
      <w:r w:rsidR="00E305E6" w:rsidRPr="00375327">
        <w:t>s</w:t>
      </w:r>
      <w:r w:rsidR="00056A4B" w:rsidRPr="00375327">
        <w:t xml:space="preserve"> attitudes to European social policy because people will understand how their position is related to this policy in a political</w:t>
      </w:r>
      <w:r w:rsidR="003F1920" w:rsidRPr="00375327">
        <w:t>-</w:t>
      </w:r>
      <w:r w:rsidR="00056A4B" w:rsidRPr="00375327">
        <w:t xml:space="preserve">economic sense, and hence they will have a congruent perception of the policy’s impact on themselves. In other words, these studies assume what Rho and </w:t>
      </w:r>
      <w:proofErr w:type="spellStart"/>
      <w:r w:rsidR="00056A4B" w:rsidRPr="00375327">
        <w:t>Tomz</w:t>
      </w:r>
      <w:proofErr w:type="spellEnd"/>
      <w:r w:rsidR="00056A4B" w:rsidRPr="00375327">
        <w:t xml:space="preserve"> </w:t>
      </w:r>
      <w:r w:rsidR="00056A4B" w:rsidRPr="00375327">
        <w:rPr>
          <w:rFonts w:cs="Times New Roman"/>
        </w:rPr>
        <w:t>(2017)</w:t>
      </w:r>
      <w:r w:rsidR="00056A4B" w:rsidRPr="00375327">
        <w:t xml:space="preserve"> have called causal beliefs </w:t>
      </w:r>
      <w:r w:rsidR="00FF4C81" w:rsidRPr="00375327">
        <w:t xml:space="preserve">among </w:t>
      </w:r>
      <w:r w:rsidR="00056A4B" w:rsidRPr="00375327">
        <w:t xml:space="preserve">the population to be </w:t>
      </w:r>
      <w:r w:rsidR="00FF4C81" w:rsidRPr="00375327">
        <w:t xml:space="preserve">in line with </w:t>
      </w:r>
      <w:r w:rsidR="00056A4B" w:rsidRPr="00375327">
        <w:t>the causal expectations derived from political economic theory. However, and crucially, these causal beliefs are not measured themselves</w:t>
      </w:r>
      <w:r w:rsidR="00FF4C81" w:rsidRPr="00375327">
        <w:t>, but are deducted from objective SES measurements</w:t>
      </w:r>
      <w:r w:rsidR="00056A4B" w:rsidRPr="00375327">
        <w:t xml:space="preserve">. This is an important shortcoming of such studies, as people might not consider the policy’s impact from their socioeconomic position, as they might have a different interpretation of how the policy works and how this would impact them, or as the theories used by political economists to predict how objective SES indicators relate to the policy might be wrong or, more likely, not covered in full by the actual empirical </w:t>
      </w:r>
      <w:r w:rsidR="00FF4C81" w:rsidRPr="00375327">
        <w:t xml:space="preserve">material or </w:t>
      </w:r>
      <w:r w:rsidR="00056A4B" w:rsidRPr="00375327">
        <w:t xml:space="preserve">operationalisation used </w:t>
      </w:r>
      <w:r w:rsidR="00056A4B" w:rsidRPr="00375327">
        <w:rPr>
          <w:rFonts w:cs="Times New Roman"/>
        </w:rPr>
        <w:t xml:space="preserve">(Rho &amp; </w:t>
      </w:r>
      <w:proofErr w:type="spellStart"/>
      <w:r w:rsidR="00056A4B" w:rsidRPr="00375327">
        <w:rPr>
          <w:rFonts w:cs="Times New Roman"/>
        </w:rPr>
        <w:t>Tomz</w:t>
      </w:r>
      <w:proofErr w:type="spellEnd"/>
      <w:r w:rsidR="00056A4B" w:rsidRPr="00375327">
        <w:rPr>
          <w:rFonts w:cs="Times New Roman"/>
        </w:rPr>
        <w:t>, 2017; Rogers, 2014)</w:t>
      </w:r>
      <w:r w:rsidR="00056A4B" w:rsidRPr="00375327">
        <w:t xml:space="preserve">. For this reason, the subjectively assessed impact of the policy on oneself might be different from the factual impact of the policy. In addition, in many cases the actual effects of a policy are simply not entirely known. Hence, someone’s causal beliefs of the policy’s impact on themselves might be ‘incorrect’. If this is true, which seems likely in most cases, </w:t>
      </w:r>
      <w:r w:rsidR="00E305E6" w:rsidRPr="00375327">
        <w:t>(</w:t>
      </w:r>
      <w:r w:rsidR="00056A4B" w:rsidRPr="00375327">
        <w:t>obfuscated</w:t>
      </w:r>
      <w:r w:rsidR="00E305E6" w:rsidRPr="00375327">
        <w:t>)</w:t>
      </w:r>
      <w:r w:rsidR="00056A4B" w:rsidRPr="00375327">
        <w:t xml:space="preserve"> </w:t>
      </w:r>
      <w:r w:rsidR="00E305E6" w:rsidRPr="00375327">
        <w:t xml:space="preserve">egotropic </w:t>
      </w:r>
      <w:r w:rsidR="00056A4B" w:rsidRPr="00375327">
        <w:t>concern cannot be measured using indicators of SES, and thus genuine sociotropic concern cannot be tested</w:t>
      </w:r>
      <w:r w:rsidR="007913E9" w:rsidRPr="00375327">
        <w:t xml:space="preserve"> with such a setup</w:t>
      </w:r>
      <w:r w:rsidR="00056A4B" w:rsidRPr="00375327">
        <w:t xml:space="preserve">. </w:t>
      </w:r>
      <w:r w:rsidR="00104BF9" w:rsidRPr="00375327">
        <w:t>As such, none of the studies on sociotropic concern so far conducted within the EU context actually disentangle egoistic and sociotropic concern</w:t>
      </w:r>
      <w:r w:rsidR="007913E9" w:rsidRPr="00375327">
        <w:t xml:space="preserve"> and allow for solid conclusions on the balance between the two</w:t>
      </w:r>
      <w:r w:rsidR="00104BF9" w:rsidRPr="00375327">
        <w:t xml:space="preserve">. </w:t>
      </w:r>
    </w:p>
    <w:p w14:paraId="6D2F989F" w14:textId="77777777" w:rsidR="00056A4B" w:rsidRPr="00375327" w:rsidRDefault="00056A4B" w:rsidP="00D712B1"/>
    <w:p w14:paraId="379A4243" w14:textId="0409D0D8" w:rsidR="00692509" w:rsidRPr="00375327" w:rsidRDefault="007913E9" w:rsidP="00375327">
      <w:pPr>
        <w:pStyle w:val="Heading2"/>
      </w:pPr>
      <w:r w:rsidRPr="00375327">
        <w:t>The community as heterogeneous</w:t>
      </w:r>
    </w:p>
    <w:bookmarkEnd w:id="0"/>
    <w:p w14:paraId="337ED5BF" w14:textId="7A04AD88" w:rsidR="00692509" w:rsidRPr="00375327" w:rsidRDefault="00965584" w:rsidP="00691CAC">
      <w:pPr>
        <w:jc w:val="both"/>
      </w:pPr>
      <w:r w:rsidRPr="00375327">
        <w:t xml:space="preserve">The studies so far conducted that are indicative of sociotropic concern in support for EU policies also have a major theoretical shortcoming. </w:t>
      </w:r>
      <w:r w:rsidR="007913E9" w:rsidRPr="00375327">
        <w:t xml:space="preserve">Each of these studies </w:t>
      </w:r>
      <w:r w:rsidR="00216432" w:rsidRPr="00375327">
        <w:t>investigate sociotropic concern with the national level. In other words, they try to test whether expectations of EU policy on the country influence support for them</w:t>
      </w:r>
      <w:r w:rsidR="007913E9" w:rsidRPr="00375327">
        <w:t xml:space="preserve"> through concern with the collective welfare of the national community</w:t>
      </w:r>
      <w:r w:rsidR="00216432" w:rsidRPr="00375327">
        <w:t xml:space="preserve">. </w:t>
      </w:r>
      <w:r w:rsidR="00783589" w:rsidRPr="00375327">
        <w:t xml:space="preserve">This is a sensible focus </w:t>
      </w:r>
      <w:r w:rsidR="00642C03" w:rsidRPr="00375327">
        <w:t xml:space="preserve">due to the strong sense of identity that people derive from their national citizenship </w:t>
      </w:r>
      <w:r w:rsidR="00022319" w:rsidRPr="00375327">
        <w:fldChar w:fldCharType="begin"/>
      </w:r>
      <w:r w:rsidR="00022319" w:rsidRPr="00375327">
        <w:instrText xml:space="preserve"> ADDIN ZOTERO_ITEM CSL_CITATION {"citationID":"sm3uf7Iv","properties":{"formattedCitation":"(Miller, 2008; Schildkraut, 2014)","plainCitation":"(Miller, 2008; Schildkraut, 2014)","noteIndex":0},"citationItems":[{"id":238,"uris":["http://zotero.org/users/local/JUaXhF9K/items/T7PRJZG7"],"itemData":{"id":238,"type":"article-journal","container-title":"Journal of Political Philosophy","DOI":"10.1111/j.1467-9760.2007.00295.x","ISSN":"1467-9760","issue":"4","language":"en","note":"_eprint: https://onlinelibrary.wiley.com/doi/pdf/10.1111/j.1467-9760.2007.00295.x","page":"371-390","source":"Wiley Online Library","title":"Immigrants, Nations, and Citizenship*","volume":"16","author":[{"family":"Miller","given":"David"}],"issued":{"date-parts":[["2008"]]}}},{"id":236,"uris":["http://zotero.org/users/local/JUaXhF9K/items/PU3G3355"],"itemData":{"id":236,"type":"article-journal","abstract":"This review examines empirical research about American national identity. It focuses on the social and political causes and consequences of (a) how people deﬁne what being American means and (b) their degree of attachment to being American. It explains why scholars increasingly view American identity as a social identity and reviews arguments for why political scientists should investigate American identity as both an independent and a dependent variable. Existing research documents a high degree of consensus across demographic groups regarding how American identity is deﬁned. It also reveals both beneﬁcial and harmful consequences of people strongly identifying as American. Empirical inquiries of American identity are motivated by demographic trends, especially the rise in immigration-driven diversity, but they are also deeply grounded in historical and philosophical assessments of the nature of American identity, and such scholarship is also discussed throughout the review.","container-title":"Annual Review of Political Science","DOI":"10.1146/annurev-polisci-080812-144642","ISSN":"1094-2939, 1545-1577","issue":"1","journalAbbreviation":"Annu. Rev. Polit. Sci.","language":"en","page":"441-460","source":"DOI.org (Crossref)","title":"Boundaries of American Identity: Evolving Understandings of “Us”","title-short":"Boundaries of American Identity","volume":"17","author":[{"family":"Schildkraut","given":"Deborah J."}],"issued":{"date-parts":[["2014",5,11]]}}}],"schema":"https://github.com/citation-style-language/schema/raw/master/csl-citation.json"} </w:instrText>
      </w:r>
      <w:r w:rsidR="00022319" w:rsidRPr="00375327">
        <w:fldChar w:fldCharType="separate"/>
      </w:r>
      <w:r w:rsidR="00022319" w:rsidRPr="00375327">
        <w:rPr>
          <w:rFonts w:cs="Times New Roman"/>
        </w:rPr>
        <w:t>(Miller, 2008; Schildkraut, 2014)</w:t>
      </w:r>
      <w:r w:rsidR="00022319" w:rsidRPr="00375327">
        <w:fldChar w:fldCharType="end"/>
      </w:r>
      <w:r w:rsidR="00783589" w:rsidRPr="00375327">
        <w:t xml:space="preserve">. However, </w:t>
      </w:r>
      <w:r w:rsidR="005F27CC" w:rsidRPr="00375327">
        <w:t xml:space="preserve">due to the supranational nature of EU policy, the community that is affected by these policies should be considered as heterogeneous. Due to the multilevel dimension of EU policy it does not only have effects on the national level, but also on the level of the EU as a whole, and sometimes even on a more local level as well. Hence, </w:t>
      </w:r>
      <w:r w:rsidR="00783589" w:rsidRPr="00375327">
        <w:t xml:space="preserve">in the case of EU policy, the mechanism of sociotropic concern might be more complicated than in the case </w:t>
      </w:r>
      <w:r w:rsidR="00E57A01" w:rsidRPr="00375327">
        <w:t>of</w:t>
      </w:r>
      <w:r w:rsidR="00783589" w:rsidRPr="00375327">
        <w:t xml:space="preserve"> national policy, and hence this focus on the national community might be too narrow. </w:t>
      </w:r>
      <w:r w:rsidR="00692509" w:rsidRPr="00375327">
        <w:t xml:space="preserve">Most importantly, these levels can be in conflict with one another, as some policies are designed with the EU level in mind, possibly </w:t>
      </w:r>
      <w:r w:rsidR="005F27CC" w:rsidRPr="00375327">
        <w:t>with negative consequences for some</w:t>
      </w:r>
      <w:r w:rsidR="00692509" w:rsidRPr="00375327">
        <w:t xml:space="preserve"> member states or particularly to the benefit of specific  regions. </w:t>
      </w:r>
      <w:r w:rsidR="00F93264" w:rsidRPr="00375327">
        <w:t xml:space="preserve">For this reason, those concerned with the collective wellbeing might also be concerned with </w:t>
      </w:r>
      <w:r w:rsidR="00A930D7" w:rsidRPr="00375327">
        <w:t>the local community and the EU community</w:t>
      </w:r>
      <w:r w:rsidR="00F93264" w:rsidRPr="00375327">
        <w:t>, and hence these could also</w:t>
      </w:r>
      <w:r w:rsidR="00A930D7" w:rsidRPr="00375327">
        <w:t xml:space="preserve"> </w:t>
      </w:r>
      <w:r w:rsidR="004D7F8F" w:rsidRPr="00375327">
        <w:t xml:space="preserve">form </w:t>
      </w:r>
      <w:r w:rsidR="00A930D7" w:rsidRPr="00375327">
        <w:t xml:space="preserve">the community of reference in people’s sociotropic concern. </w:t>
      </w:r>
    </w:p>
    <w:p w14:paraId="021466FD" w14:textId="0DB6B526" w:rsidR="0016610B" w:rsidRPr="00375327" w:rsidRDefault="0016610B" w:rsidP="00691CAC">
      <w:pPr>
        <w:jc w:val="both"/>
      </w:pPr>
    </w:p>
    <w:p w14:paraId="22B36032" w14:textId="51516F2D" w:rsidR="00F27391" w:rsidRPr="00375327" w:rsidRDefault="004D7F8F" w:rsidP="00691CAC">
      <w:pPr>
        <w:jc w:val="both"/>
      </w:pPr>
      <w:r w:rsidRPr="00375327">
        <w:t>P</w:t>
      </w:r>
      <w:r w:rsidR="00F93264" w:rsidRPr="00375327">
        <w:t>rior research suggests that this can be the case for both alternative levels of community</w:t>
      </w:r>
      <w:r w:rsidR="00A930D7" w:rsidRPr="00375327">
        <w:t xml:space="preserve">. First, </w:t>
      </w:r>
      <w:r w:rsidR="0016610B" w:rsidRPr="00375327">
        <w:t xml:space="preserve">citizens are aware of the interests of their local community </w:t>
      </w:r>
      <w:r w:rsidR="00EF28FD" w:rsidRPr="00375327">
        <w:rPr>
          <w:rFonts w:cs="Times New Roman"/>
        </w:rPr>
        <w:t>(</w:t>
      </w:r>
      <w:proofErr w:type="spellStart"/>
      <w:r w:rsidR="00EF28FD" w:rsidRPr="00375327">
        <w:rPr>
          <w:rFonts w:cs="Times New Roman"/>
        </w:rPr>
        <w:t>Alkon</w:t>
      </w:r>
      <w:proofErr w:type="spellEnd"/>
      <w:r w:rsidR="00EF28FD" w:rsidRPr="00375327">
        <w:rPr>
          <w:rFonts w:cs="Times New Roman"/>
        </w:rPr>
        <w:t xml:space="preserve">, 2017; </w:t>
      </w:r>
      <w:proofErr w:type="spellStart"/>
      <w:r w:rsidR="00EF28FD" w:rsidRPr="00375327">
        <w:rPr>
          <w:rFonts w:cs="Times New Roman"/>
        </w:rPr>
        <w:t>Brinegar</w:t>
      </w:r>
      <w:proofErr w:type="spellEnd"/>
      <w:r w:rsidR="00EF28FD" w:rsidRPr="00375327">
        <w:rPr>
          <w:rFonts w:cs="Times New Roman"/>
        </w:rPr>
        <w:t xml:space="preserve"> et al., 2004)</w:t>
      </w:r>
      <w:r w:rsidR="0016610B" w:rsidRPr="00375327">
        <w:t xml:space="preserve">. </w:t>
      </w:r>
      <w:r w:rsidRPr="00375327">
        <w:t>Second</w:t>
      </w:r>
      <w:r w:rsidR="00BB164C" w:rsidRPr="00375327">
        <w:t xml:space="preserve">, </w:t>
      </w:r>
      <w:r w:rsidR="007055DE" w:rsidRPr="00375327">
        <w:t xml:space="preserve">identities are also formed through the local community, </w:t>
      </w:r>
      <w:r w:rsidR="00BB164C" w:rsidRPr="00375327">
        <w:t xml:space="preserve">and </w:t>
      </w:r>
      <w:r w:rsidR="007055DE" w:rsidRPr="00375327">
        <w:t xml:space="preserve">sometimes </w:t>
      </w:r>
      <w:r w:rsidR="00BB164C" w:rsidRPr="00375327">
        <w:t>these identities actually override the national identity</w:t>
      </w:r>
      <w:r w:rsidRPr="00375327">
        <w:t xml:space="preserve"> </w:t>
      </w:r>
      <w:r w:rsidRPr="00375327">
        <w:fldChar w:fldCharType="begin"/>
      </w:r>
      <w:r w:rsidRPr="00375327">
        <w:instrText xml:space="preserve"> ADDIN ZOTERO_ITEM CSL_CITATION {"citationID":"Lpi4r84s","properties":{"formattedCitation":"(Walsh, 2012)","plainCitation":"(Walsh, 2012)","noteIndex":0},"citationItems":[{"id":240,"uris":["http://zotero.org/users/local/JUaXhF9K/items/HF8AJW3L"],"itemData":{"id":240,"type":"article-journal","abstract":"Why do people vote against their interests? Previous explanations miss something fundamental because they do not consider the work of group consciousness. Based on participant observation of conversations from May 2007 to May 2011 among 37 regularly occurring groups in 27 communities sampled across Wisconsin, this study shows that in some places, people have a class- and place-based identity that is intertwined with a perception of deprivation. The rural consciousness revealed here shows people attributing rural deprivation to the decision making of (urban) political elites, who disregard and disrespect rural residents and rural lifestyles. Thus these rural residents favor limited government, even though such a stance might seem contradictory to their economic self-interests. The results encourage us to consider the role of group consciousness-based perspectives rather than pitting interests against values as explanations for preferences. Also, the study suggests that public opinion research more seriously include listening to the public.","container-title":"American Political Science Review","DOI":"10.1017/S0003055412000305","ISSN":"1537-5943, 0003-0554","issue":"3","language":"en","note":"publisher: Cambridge University Press","page":"517-532","source":"Cambridge University Press","title":"Putting Inequality in Its Place: Rural Consciousness and the Power of Perspective","title-short":"Putting Inequality in Its Place","volume":"106","author":[{"family":"Walsh","given":"Katherine Cramer"}],"issued":{"date-parts":[["2012",8]]}}}],"schema":"https://github.com/citation-style-language/schema/raw/master/csl-citation.json"} </w:instrText>
      </w:r>
      <w:r w:rsidRPr="00375327">
        <w:fldChar w:fldCharType="separate"/>
      </w:r>
      <w:r w:rsidRPr="00375327">
        <w:rPr>
          <w:rFonts w:cs="Times New Roman"/>
        </w:rPr>
        <w:t>(Walsh, 2012)</w:t>
      </w:r>
      <w:r w:rsidRPr="00375327">
        <w:fldChar w:fldCharType="end"/>
      </w:r>
      <w:r w:rsidR="00BB164C" w:rsidRPr="00375327">
        <w:t xml:space="preserve">. </w:t>
      </w:r>
      <w:r w:rsidR="00594B2F" w:rsidRPr="00375327">
        <w:t xml:space="preserve">That affectionate feelings toward the local community can actually cause sociotropic concern with this community is shown by </w:t>
      </w:r>
      <w:r w:rsidR="004204C9" w:rsidRPr="00375327">
        <w:t xml:space="preserve">Johnston et al. </w:t>
      </w:r>
      <w:r w:rsidR="002467D6" w:rsidRPr="00375327">
        <w:rPr>
          <w:rFonts w:cs="Times New Roman"/>
        </w:rPr>
        <w:t>(2000)</w:t>
      </w:r>
      <w:r w:rsidR="002467D6" w:rsidRPr="00375327">
        <w:t xml:space="preserve">, </w:t>
      </w:r>
      <w:r w:rsidR="004204C9" w:rsidRPr="00375327">
        <w:t>Rogers</w:t>
      </w:r>
      <w:r w:rsidR="002467D6" w:rsidRPr="00375327">
        <w:t xml:space="preserve"> </w:t>
      </w:r>
      <w:r w:rsidR="002467D6" w:rsidRPr="00375327">
        <w:rPr>
          <w:rFonts w:cs="Times New Roman"/>
        </w:rPr>
        <w:t>(2014)</w:t>
      </w:r>
      <w:r w:rsidR="002467D6" w:rsidRPr="00375327">
        <w:t xml:space="preserve"> and Rogers and </w:t>
      </w:r>
      <w:proofErr w:type="spellStart"/>
      <w:r w:rsidR="002467D6" w:rsidRPr="00375327">
        <w:t>Tyszler</w:t>
      </w:r>
      <w:proofErr w:type="spellEnd"/>
      <w:r w:rsidR="002467D6" w:rsidRPr="00375327">
        <w:t xml:space="preserve"> </w:t>
      </w:r>
      <w:r w:rsidR="002467D6" w:rsidRPr="00375327">
        <w:rPr>
          <w:rFonts w:cs="Times New Roman"/>
        </w:rPr>
        <w:t>(2018)</w:t>
      </w:r>
      <w:r w:rsidR="00594B2F" w:rsidRPr="00375327">
        <w:t xml:space="preserve">, who find </w:t>
      </w:r>
      <w:r w:rsidR="004204C9" w:rsidRPr="00375327">
        <w:t xml:space="preserve">that local economic conditions, and subjective perceptions thereof, </w:t>
      </w:r>
      <w:r w:rsidR="003F671B" w:rsidRPr="00375327">
        <w:t xml:space="preserve">were virtually as important as (perceived) national economic conditions in </w:t>
      </w:r>
      <w:r w:rsidR="004204C9" w:rsidRPr="00375327">
        <w:t>explaining support for political actors and institutions</w:t>
      </w:r>
      <w:r w:rsidR="002467D6" w:rsidRPr="00375327">
        <w:t>.</w:t>
      </w:r>
      <w:r w:rsidR="0005736E" w:rsidRPr="00375327">
        <w:t xml:space="preserve"> </w:t>
      </w:r>
    </w:p>
    <w:p w14:paraId="31DA14A0" w14:textId="1655FDF7" w:rsidR="0005736E" w:rsidRPr="00375327" w:rsidRDefault="0005736E" w:rsidP="00691CAC">
      <w:pPr>
        <w:jc w:val="both"/>
      </w:pPr>
    </w:p>
    <w:p w14:paraId="7D2834C9" w14:textId="1C88D969" w:rsidR="00455314" w:rsidRPr="00375327" w:rsidRDefault="00BA7192" w:rsidP="00691CAC">
      <w:pPr>
        <w:jc w:val="both"/>
      </w:pPr>
      <w:r w:rsidRPr="00375327">
        <w:t xml:space="preserve">Similarly, the EU community as a whole might also be the community of reference. </w:t>
      </w:r>
      <w:r w:rsidR="007E19E7" w:rsidRPr="00375327">
        <w:t>European integration increasingly connects the citizens of different member states</w:t>
      </w:r>
      <w:r w:rsidR="005E01C0" w:rsidRPr="00375327">
        <w:t xml:space="preserve">, and has thereby created a community of which the interests can be in conflict with communities of reference </w:t>
      </w:r>
      <w:r w:rsidR="005E01C0" w:rsidRPr="00375327">
        <w:lastRenderedPageBreak/>
        <w:t>on a</w:t>
      </w:r>
      <w:r w:rsidRPr="00375327">
        <w:t xml:space="preserve">nother </w:t>
      </w:r>
      <w:r w:rsidR="005E01C0" w:rsidRPr="00375327">
        <w:t>level.</w:t>
      </w:r>
      <w:r w:rsidR="00B81AF0" w:rsidRPr="00375327">
        <w:t xml:space="preserve"> </w:t>
      </w:r>
      <w:r w:rsidR="008906C3" w:rsidRPr="00375327">
        <w:t>R</w:t>
      </w:r>
      <w:r w:rsidR="00463868" w:rsidRPr="00375327">
        <w:t xml:space="preserve">esearch on intra- and transnational solidarity </w:t>
      </w:r>
      <w:r w:rsidR="00683254" w:rsidRPr="00375327">
        <w:t>with</w:t>
      </w:r>
      <w:r w:rsidR="00463868" w:rsidRPr="00375327">
        <w:t xml:space="preserve">in the EU </w:t>
      </w:r>
      <w:r w:rsidR="008906C3" w:rsidRPr="00375327">
        <w:t xml:space="preserve">has shown </w:t>
      </w:r>
      <w:r w:rsidR="00AA6BA1" w:rsidRPr="00375327">
        <w:t xml:space="preserve">that citizens certainly </w:t>
      </w:r>
      <w:r w:rsidRPr="00375327">
        <w:t xml:space="preserve">are supportive of </w:t>
      </w:r>
      <w:r w:rsidR="007C1B47" w:rsidRPr="00375327">
        <w:t xml:space="preserve">EU social policy </w:t>
      </w:r>
      <w:r w:rsidR="00436073" w:rsidRPr="00375327">
        <w:rPr>
          <w:rFonts w:cs="Times New Roman"/>
          <w:lang w:val="en-US"/>
        </w:rPr>
        <w:t>(</w:t>
      </w:r>
      <w:proofErr w:type="spellStart"/>
      <w:r w:rsidR="00436073" w:rsidRPr="00375327">
        <w:rPr>
          <w:rFonts w:cs="Times New Roman"/>
          <w:lang w:val="en-US"/>
        </w:rPr>
        <w:t>Baute</w:t>
      </w:r>
      <w:proofErr w:type="spellEnd"/>
      <w:r w:rsidR="00436073" w:rsidRPr="00375327">
        <w:rPr>
          <w:rFonts w:cs="Times New Roman"/>
          <w:lang w:val="en-US"/>
        </w:rPr>
        <w:t xml:space="preserve"> &amp; Meuleman, 2020; Bechtel et al., 2014; Gerhards et al., 2019)</w:t>
      </w:r>
      <w:r w:rsidR="001D5091" w:rsidRPr="00375327">
        <w:rPr>
          <w:lang w:val="en-US"/>
        </w:rPr>
        <w:t xml:space="preserve">, and </w:t>
      </w:r>
      <w:proofErr w:type="spellStart"/>
      <w:r w:rsidR="001D5091" w:rsidRPr="00375327">
        <w:rPr>
          <w:lang w:val="en-US"/>
        </w:rPr>
        <w:t>Triandafyllidou</w:t>
      </w:r>
      <w:proofErr w:type="spellEnd"/>
      <w:r w:rsidR="001D5091" w:rsidRPr="00375327">
        <w:rPr>
          <w:lang w:val="en-US"/>
        </w:rPr>
        <w:t xml:space="preserve"> </w:t>
      </w:r>
      <w:r w:rsidR="001D5091" w:rsidRPr="00375327">
        <w:rPr>
          <w:rFonts w:cs="Times New Roman"/>
        </w:rPr>
        <w:t>(2008)</w:t>
      </w:r>
      <w:r w:rsidR="001D5091" w:rsidRPr="00375327">
        <w:t xml:space="preserve"> shows that even though people might perceive European integration not to be in the best interest of themselves or their nation, they can still be motivated to support it.</w:t>
      </w:r>
      <w:r w:rsidR="00F10A48" w:rsidRPr="00375327">
        <w:t xml:space="preserve"> </w:t>
      </w:r>
    </w:p>
    <w:p w14:paraId="358D042C" w14:textId="7DE5D5C9" w:rsidR="00314B9E" w:rsidRPr="00375327" w:rsidRDefault="00314B9E" w:rsidP="00691CAC">
      <w:pPr>
        <w:jc w:val="both"/>
      </w:pPr>
    </w:p>
    <w:p w14:paraId="50B6DB8B" w14:textId="48FDBAE0" w:rsidR="00314B9E" w:rsidRPr="00375327" w:rsidRDefault="00314B9E" w:rsidP="00691CAC">
      <w:pPr>
        <w:jc w:val="both"/>
      </w:pPr>
      <w:r w:rsidRPr="00375327">
        <w:t xml:space="preserve">Hence, to investigate sociotropic concern as a factor influencing attitudes to an EU fiscal capacity it is essential to empirically consider </w:t>
      </w:r>
      <w:r w:rsidR="00344332" w:rsidRPr="00375327">
        <w:t xml:space="preserve">the </w:t>
      </w:r>
      <w:r w:rsidR="003E5724" w:rsidRPr="00375327">
        <w:t xml:space="preserve">community as heterogeneous, and hence the </w:t>
      </w:r>
      <w:r w:rsidR="00344332" w:rsidRPr="00375327">
        <w:t xml:space="preserve">possibility of multiple communities of reference. Moreover, </w:t>
      </w:r>
      <w:r w:rsidR="003E5724" w:rsidRPr="00375327">
        <w:t>as discussed above</w:t>
      </w:r>
      <w:r w:rsidR="00344332" w:rsidRPr="00375327">
        <w:t xml:space="preserve"> this investigation also necessitates the incorporation of causal beliefs of the policy’s effects on oneself and on one’s community </w:t>
      </w:r>
      <w:r w:rsidR="009F632C" w:rsidRPr="00375327">
        <w:t xml:space="preserve">into its methodology. </w:t>
      </w:r>
      <w:r w:rsidRPr="00375327">
        <w:t xml:space="preserve">Hence, </w:t>
      </w:r>
      <w:r w:rsidR="003E5724" w:rsidRPr="00375327">
        <w:t xml:space="preserve">this paper will </w:t>
      </w:r>
      <w:r w:rsidRPr="00375327">
        <w:t xml:space="preserve">assess causal beliefs of the effects of a fiscal capacity for all of these levels of community, as well as for oneself. </w:t>
      </w:r>
      <w:r w:rsidR="009F632C" w:rsidRPr="00375327">
        <w:t>This leads to the following set of hypotheses:</w:t>
      </w:r>
    </w:p>
    <w:p w14:paraId="12114102" w14:textId="48C3CE08" w:rsidR="00314B9E" w:rsidRPr="00375327" w:rsidRDefault="00314B9E" w:rsidP="00691CAC">
      <w:pPr>
        <w:jc w:val="both"/>
      </w:pPr>
    </w:p>
    <w:p w14:paraId="6740722B" w14:textId="555D249D" w:rsidR="003E5724" w:rsidRPr="00375327" w:rsidRDefault="003E5724" w:rsidP="00691CAC">
      <w:pPr>
        <w:jc w:val="both"/>
      </w:pPr>
      <w:r w:rsidRPr="00375327">
        <w:t>Hypothesis 1a: Positive (negative) beliefs of a positive effect of an EU fiscal capacity on the local community increase (decrease) support for this policy independent from beliefs of an EU fiscal capacity on oneself.</w:t>
      </w:r>
    </w:p>
    <w:p w14:paraId="1AC3DEA0" w14:textId="77777777" w:rsidR="003E5724" w:rsidRPr="00375327" w:rsidRDefault="003E5724" w:rsidP="00691CAC">
      <w:pPr>
        <w:jc w:val="both"/>
      </w:pPr>
    </w:p>
    <w:p w14:paraId="75477CFF" w14:textId="04C1D6E3" w:rsidR="00314B9E" w:rsidRPr="00375327" w:rsidRDefault="009F632C" w:rsidP="00691CAC">
      <w:pPr>
        <w:jc w:val="both"/>
      </w:pPr>
      <w:r w:rsidRPr="00375327">
        <w:t xml:space="preserve">Hypothesis </w:t>
      </w:r>
      <w:r w:rsidR="003E5724" w:rsidRPr="00375327">
        <w:t>2</w:t>
      </w:r>
      <w:r w:rsidRPr="00375327">
        <w:t>a: Belie</w:t>
      </w:r>
      <w:r w:rsidR="00A8389A" w:rsidRPr="00375327">
        <w:t>fs</w:t>
      </w:r>
      <w:r w:rsidRPr="00375327">
        <w:t xml:space="preserve"> of a positive (negative) effect of an EU fiscal capacity on the country as a whole increase (decrease) support for this policy </w:t>
      </w:r>
      <w:bookmarkStart w:id="1" w:name="_Hlk98934878"/>
      <w:r w:rsidRPr="00375327">
        <w:t>independent from believes of an EU fiscal capacity on oneself</w:t>
      </w:r>
      <w:bookmarkEnd w:id="1"/>
      <w:r w:rsidRPr="00375327">
        <w:t>.</w:t>
      </w:r>
    </w:p>
    <w:p w14:paraId="76558567" w14:textId="49EBABDD" w:rsidR="00314B9E" w:rsidRPr="00375327" w:rsidRDefault="00314B9E" w:rsidP="00691CAC">
      <w:pPr>
        <w:jc w:val="both"/>
      </w:pPr>
    </w:p>
    <w:p w14:paraId="2E42B8C3" w14:textId="28F07EEC" w:rsidR="00314B9E" w:rsidRPr="00375327" w:rsidRDefault="009F632C" w:rsidP="00691CAC">
      <w:pPr>
        <w:jc w:val="both"/>
      </w:pPr>
      <w:r w:rsidRPr="00375327">
        <w:t>Hypothesis 3a: Positive (negative) belie</w:t>
      </w:r>
      <w:r w:rsidR="00A8389A" w:rsidRPr="00375327">
        <w:t>f</w:t>
      </w:r>
      <w:r w:rsidRPr="00375327">
        <w:t>s of a positive effect of an EU fiscal capacity on the EU as a whole increase (decrease) support for this policy independent from belie</w:t>
      </w:r>
      <w:r w:rsidR="00A8389A" w:rsidRPr="00375327">
        <w:t>f</w:t>
      </w:r>
      <w:r w:rsidRPr="00375327">
        <w:t>s of an EU fiscal capacity on oneself.</w:t>
      </w:r>
    </w:p>
    <w:p w14:paraId="1F9F0EC4" w14:textId="34062A7A" w:rsidR="009F6CFA" w:rsidRPr="00375327" w:rsidRDefault="009F6CFA" w:rsidP="00691CAC">
      <w:pPr>
        <w:jc w:val="both"/>
      </w:pPr>
    </w:p>
    <w:p w14:paraId="33B3822A" w14:textId="3F137275" w:rsidR="009F6CFA" w:rsidRPr="00375327" w:rsidRDefault="009F6CFA" w:rsidP="00691CAC">
      <w:pPr>
        <w:jc w:val="both"/>
      </w:pPr>
      <w:r w:rsidRPr="00375327">
        <w:t xml:space="preserve">In addition, we can expect causal beliefs </w:t>
      </w:r>
      <w:r w:rsidR="00472FE4" w:rsidRPr="00375327">
        <w:t>for any of the levels of community</w:t>
      </w:r>
      <w:r w:rsidRPr="00375327">
        <w:t xml:space="preserve"> to be particularly influential the more on</w:t>
      </w:r>
      <w:r w:rsidR="00BA7192" w:rsidRPr="00375327">
        <w:t>e</w:t>
      </w:r>
      <w:r w:rsidRPr="00375327">
        <w:t xml:space="preserve"> feels emotionally attached to </w:t>
      </w:r>
      <w:r w:rsidR="00472FE4" w:rsidRPr="00375327">
        <w:t>that respective community</w:t>
      </w:r>
      <w:r w:rsidRPr="00375327">
        <w:t xml:space="preserve"> </w:t>
      </w:r>
      <w:r w:rsidRPr="00375327">
        <w:rPr>
          <w:rFonts w:cs="Times New Roman"/>
        </w:rPr>
        <w:t>(Levy &amp; Phan, 2014)</w:t>
      </w:r>
      <w:r w:rsidRPr="00375327">
        <w:t xml:space="preserve">. Such feelings of attachment express to what extent people are oriented to others in their community, and show the extent to which they feel as belonging to this community </w:t>
      </w:r>
      <w:r w:rsidRPr="00375327">
        <w:rPr>
          <w:rFonts w:cs="Times New Roman"/>
        </w:rPr>
        <w:t>(</w:t>
      </w:r>
      <w:proofErr w:type="spellStart"/>
      <w:r w:rsidRPr="00375327">
        <w:rPr>
          <w:rFonts w:cs="Times New Roman"/>
        </w:rPr>
        <w:t>Deutschmann</w:t>
      </w:r>
      <w:proofErr w:type="spellEnd"/>
      <w:r w:rsidRPr="00375327">
        <w:rPr>
          <w:rFonts w:cs="Times New Roman"/>
        </w:rPr>
        <w:t xml:space="preserve"> et al., 2018)</w:t>
      </w:r>
      <w:r w:rsidRPr="00375327">
        <w:t xml:space="preserve">. </w:t>
      </w:r>
      <w:r w:rsidR="00472FE4" w:rsidRPr="00375327">
        <w:t xml:space="preserve">However, </w:t>
      </w:r>
      <w:r w:rsidR="002D7D6D" w:rsidRPr="00375327">
        <w:t>since multiple levels of community are expected to play a role in considerations for the collective welfare simultaneously</w:t>
      </w:r>
      <w:r w:rsidR="00472FE4" w:rsidRPr="00375327">
        <w:t xml:space="preserve">, </w:t>
      </w:r>
      <w:r w:rsidR="002D7D6D" w:rsidRPr="00375327">
        <w:t xml:space="preserve">the function of attachment can be expected to be somewhat more complex. In particular, as causal beliefs of the policy’s effects on different levels of community might be mutually conflicting, people will need to </w:t>
      </w:r>
      <w:r w:rsidR="002D7D6D" w:rsidRPr="00375327">
        <w:lastRenderedPageBreak/>
        <w:t>make trade-offs between their concern for these different levels of community. Hence, we would expect attachment to play a role only if someone feels more attached to one of the levels of community than the other two</w:t>
      </w:r>
      <w:r w:rsidR="007159CF" w:rsidRPr="00375327">
        <w:t xml:space="preserve"> </w:t>
      </w:r>
      <w:r w:rsidR="007159CF" w:rsidRPr="00375327">
        <w:rPr>
          <w:rFonts w:cs="Times New Roman"/>
        </w:rPr>
        <w:t>(</w:t>
      </w:r>
      <w:proofErr w:type="spellStart"/>
      <w:r w:rsidR="007159CF" w:rsidRPr="00375327">
        <w:rPr>
          <w:rFonts w:cs="Times New Roman"/>
        </w:rPr>
        <w:t>Nicoli</w:t>
      </w:r>
      <w:proofErr w:type="spellEnd"/>
      <w:r w:rsidR="007159CF" w:rsidRPr="00375327">
        <w:rPr>
          <w:rFonts w:cs="Times New Roman"/>
        </w:rPr>
        <w:t xml:space="preserve"> et al., 2020)</w:t>
      </w:r>
      <w:r w:rsidR="007159CF" w:rsidRPr="00375327">
        <w:t xml:space="preserve">. Moreover, we would expect such exclusive attachment to increase the importance of causal beliefs the larger the distance between </w:t>
      </w:r>
      <w:r w:rsidR="006A7A8D" w:rsidRPr="00375327">
        <w:t>the highest and the lower level</w:t>
      </w:r>
      <w:r w:rsidR="007159CF" w:rsidRPr="00375327">
        <w:t xml:space="preserve"> of attachment is. This leads to the following hypotheses:</w:t>
      </w:r>
    </w:p>
    <w:p w14:paraId="43BA7391" w14:textId="0AA87E28" w:rsidR="009F6CFA" w:rsidRPr="00375327" w:rsidRDefault="009F6CFA" w:rsidP="00691CAC">
      <w:pPr>
        <w:jc w:val="both"/>
      </w:pPr>
    </w:p>
    <w:p w14:paraId="7A3351D0" w14:textId="6A3BD268" w:rsidR="003E5724" w:rsidRPr="00375327" w:rsidRDefault="003E5724" w:rsidP="00691CAC">
      <w:pPr>
        <w:jc w:val="both"/>
      </w:pPr>
      <w:r w:rsidRPr="00375327">
        <w:t xml:space="preserve">Hypothesis 1b: The effect postulated under hypothesis 2a is stronger the more one feels exclusively attached to one’s local community.  </w:t>
      </w:r>
    </w:p>
    <w:p w14:paraId="7CFC681E" w14:textId="77777777" w:rsidR="003E5724" w:rsidRPr="00375327" w:rsidRDefault="003E5724" w:rsidP="00691CAC">
      <w:pPr>
        <w:jc w:val="both"/>
      </w:pPr>
    </w:p>
    <w:p w14:paraId="6B9869C7" w14:textId="7036A070" w:rsidR="009F6CFA" w:rsidRPr="00375327" w:rsidRDefault="009F6CFA" w:rsidP="00691CAC">
      <w:pPr>
        <w:jc w:val="both"/>
      </w:pPr>
      <w:r w:rsidRPr="00375327">
        <w:t xml:space="preserve">Hypothesis </w:t>
      </w:r>
      <w:r w:rsidR="003E5724" w:rsidRPr="00375327">
        <w:t>2</w:t>
      </w:r>
      <w:r w:rsidR="007159CF" w:rsidRPr="00375327">
        <w:t>b</w:t>
      </w:r>
      <w:r w:rsidRPr="00375327">
        <w:t>: The effect postulated under hypothesis 1</w:t>
      </w:r>
      <w:r w:rsidR="008841E4" w:rsidRPr="00375327">
        <w:t>a</w:t>
      </w:r>
      <w:r w:rsidRPr="00375327">
        <w:t xml:space="preserve"> is </w:t>
      </w:r>
      <w:r w:rsidR="008841E4" w:rsidRPr="00375327">
        <w:t>stronger</w:t>
      </w:r>
      <w:r w:rsidRPr="00375327">
        <w:t xml:space="preserve"> the more one </w:t>
      </w:r>
      <w:r w:rsidR="007159CF" w:rsidRPr="00375327">
        <w:t xml:space="preserve">feels exclusively attached to </w:t>
      </w:r>
      <w:r w:rsidRPr="00375327">
        <w:t>one’s country.</w:t>
      </w:r>
    </w:p>
    <w:p w14:paraId="7D3DEA4B" w14:textId="77777777" w:rsidR="007159CF" w:rsidRPr="00375327" w:rsidRDefault="007159CF" w:rsidP="00691CAC">
      <w:pPr>
        <w:jc w:val="both"/>
      </w:pPr>
    </w:p>
    <w:p w14:paraId="12867C77" w14:textId="49E85465" w:rsidR="00455314" w:rsidRPr="00375327" w:rsidRDefault="00455314" w:rsidP="00691CAC">
      <w:pPr>
        <w:jc w:val="both"/>
      </w:pPr>
      <w:r w:rsidRPr="00375327">
        <w:t xml:space="preserve">Hypothesis </w:t>
      </w:r>
      <w:r w:rsidR="007159CF" w:rsidRPr="00375327">
        <w:t>3b</w:t>
      </w:r>
      <w:r w:rsidRPr="00375327">
        <w:t xml:space="preserve">: The effect postulated under hypothesis </w:t>
      </w:r>
      <w:r w:rsidR="008841E4" w:rsidRPr="00375327">
        <w:t>3a</w:t>
      </w:r>
      <w:r w:rsidR="009F6CFA" w:rsidRPr="00375327">
        <w:t xml:space="preserve"> </w:t>
      </w:r>
      <w:r w:rsidRPr="00375327">
        <w:t xml:space="preserve">is stronger the more one feels </w:t>
      </w:r>
      <w:r w:rsidR="007159CF" w:rsidRPr="00375327">
        <w:t xml:space="preserve">exclusively </w:t>
      </w:r>
      <w:r w:rsidRPr="00375327">
        <w:t>attached to the EU.</w:t>
      </w:r>
    </w:p>
    <w:p w14:paraId="70FA9189" w14:textId="57AE35B8" w:rsidR="009F632C" w:rsidRPr="00375327" w:rsidRDefault="009F632C" w:rsidP="00691CAC">
      <w:pPr>
        <w:jc w:val="both"/>
      </w:pPr>
    </w:p>
    <w:p w14:paraId="514FC4E9" w14:textId="58D3B2BC" w:rsidR="009F632C" w:rsidRPr="00375327" w:rsidRDefault="009F632C" w:rsidP="00691CAC">
      <w:pPr>
        <w:jc w:val="both"/>
      </w:pPr>
      <w:r w:rsidRPr="00375327">
        <w:t>The next section discusse</w:t>
      </w:r>
      <w:r w:rsidR="00072BE4" w:rsidRPr="00375327">
        <w:t>s</w:t>
      </w:r>
      <w:r w:rsidRPr="00375327">
        <w:t xml:space="preserve"> how these hypotheses will be tested.</w:t>
      </w:r>
    </w:p>
    <w:p w14:paraId="37CB47BE" w14:textId="77777777" w:rsidR="00692509" w:rsidRPr="00375327" w:rsidRDefault="00692509" w:rsidP="00692509"/>
    <w:p w14:paraId="14C26FC6" w14:textId="5E6DD702" w:rsidR="002B009D" w:rsidRPr="00375327" w:rsidRDefault="007F3F40" w:rsidP="007F3F40">
      <w:pPr>
        <w:pStyle w:val="Heading1"/>
      </w:pPr>
      <w:bookmarkStart w:id="2" w:name="_Hlk97308674"/>
      <w:r w:rsidRPr="007F3F40">
        <w:t xml:space="preserve">3. </w:t>
      </w:r>
      <w:r w:rsidR="002B009D" w:rsidRPr="00375327">
        <w:t>Methodology</w:t>
      </w:r>
    </w:p>
    <w:bookmarkEnd w:id="2"/>
    <w:p w14:paraId="401ED27B" w14:textId="474A255A" w:rsidR="00026958" w:rsidRPr="00375327" w:rsidRDefault="00026958" w:rsidP="00D27FBC">
      <w:pPr>
        <w:pStyle w:val="Heading2"/>
      </w:pPr>
      <w:r w:rsidRPr="00375327">
        <w:t>The dataset</w:t>
      </w:r>
    </w:p>
    <w:p w14:paraId="22EC5521" w14:textId="60A1755D" w:rsidR="00D9159E" w:rsidRPr="00375327" w:rsidRDefault="00026958" w:rsidP="00691CAC">
      <w:pPr>
        <w:jc w:val="both"/>
      </w:pPr>
      <w:r w:rsidRPr="00375327">
        <w:t>To test these expectations, a dataset resulting from a</w:t>
      </w:r>
      <w:r w:rsidR="007642A6" w:rsidRPr="00375327">
        <w:t>n online</w:t>
      </w:r>
      <w:r w:rsidRPr="00375327">
        <w:t xml:space="preserve"> survey designed specifically to investigate support for a EU fiscal capacity will be used. </w:t>
      </w:r>
      <w:r w:rsidR="00E91FF4" w:rsidRPr="00375327">
        <w:t xml:space="preserve">This survey was fielded by IPSOS among its panel on behalf of the University of Amsterdam in </w:t>
      </w:r>
      <w:r w:rsidR="007642A6" w:rsidRPr="00375327">
        <w:t>late March 2020</w:t>
      </w:r>
      <w:r w:rsidR="00E91FF4" w:rsidRPr="00375327">
        <w:t xml:space="preserve">. The sample includes respondents from </w:t>
      </w:r>
      <w:r w:rsidR="007642A6" w:rsidRPr="00375327">
        <w:t>France, Germany, Italy, the Netherlands and Spain, with approximately 2000 respondents per country</w:t>
      </w:r>
      <w:r w:rsidR="00E91FF4" w:rsidRPr="00375327">
        <w:t xml:space="preserve"> for a total of </w:t>
      </w:r>
      <w:r w:rsidR="007642A6" w:rsidRPr="00375327">
        <w:t>10050</w:t>
      </w:r>
      <w:r w:rsidR="00E91FF4" w:rsidRPr="00375327">
        <w:t xml:space="preserve"> respondents. </w:t>
      </w:r>
      <w:r w:rsidR="007642A6" w:rsidRPr="00375327">
        <w:t>These countries were selected to capture a range of macroeconomic conditions</w:t>
      </w:r>
      <w:r w:rsidR="008D595B" w:rsidRPr="00375327">
        <w:t xml:space="preserve">, economic structure and stance towards EU fiscal integration. </w:t>
      </w:r>
      <w:r w:rsidR="003A07D9" w:rsidRPr="00375327">
        <w:t xml:space="preserve">Quotas were employed during the sampling process to ensure representativeness of the country population for </w:t>
      </w:r>
      <w:r w:rsidR="008D595B" w:rsidRPr="00375327">
        <w:t>age, education level, gender</w:t>
      </w:r>
      <w:r w:rsidR="0081452A" w:rsidRPr="00375327">
        <w:t xml:space="preserve">, </w:t>
      </w:r>
      <w:r w:rsidR="008D595B" w:rsidRPr="00375327">
        <w:t>NUTS-1 region of residence</w:t>
      </w:r>
      <w:r w:rsidR="0081452A" w:rsidRPr="00375327">
        <w:t xml:space="preserve"> and income.</w:t>
      </w:r>
      <w:r w:rsidR="0081452A" w:rsidRPr="00375327">
        <w:rPr>
          <w:rStyle w:val="FootnoteReference"/>
        </w:rPr>
        <w:footnoteReference w:id="2"/>
      </w:r>
      <w:r w:rsidR="0081452A" w:rsidRPr="00375327">
        <w:t xml:space="preserve"> </w:t>
      </w:r>
    </w:p>
    <w:p w14:paraId="4B54685D" w14:textId="77777777" w:rsidR="0081452A" w:rsidRPr="00375327" w:rsidRDefault="0081452A" w:rsidP="00691CAC">
      <w:pPr>
        <w:jc w:val="both"/>
      </w:pPr>
    </w:p>
    <w:p w14:paraId="680258CF" w14:textId="73DD3410" w:rsidR="004E6845" w:rsidRPr="00375327" w:rsidRDefault="00D9159E" w:rsidP="00691CAC">
      <w:pPr>
        <w:jc w:val="both"/>
      </w:pPr>
      <w:r w:rsidRPr="00375327">
        <w:lastRenderedPageBreak/>
        <w:t xml:space="preserve">The dependent variable, support for an EU fiscal capacity, is based on a conjoint experiment. Conjoint experiments are survey-embedded experiments that confront respondents with a series of choices between ‘packages’, in this case, alternative proposals for an EU fiscal capacity. </w:t>
      </w:r>
      <w:r w:rsidR="0081452A" w:rsidRPr="00375327">
        <w:t xml:space="preserve">The experiment was introduced with a framing, the full text of which can be found in the appendix. </w:t>
      </w:r>
      <w:r w:rsidRPr="00375327">
        <w:t xml:space="preserve">Each of these proposals differed on </w:t>
      </w:r>
      <w:r w:rsidR="00053FCB" w:rsidRPr="00375327">
        <w:t>6</w:t>
      </w:r>
      <w:r w:rsidRPr="00375327">
        <w:t xml:space="preserve"> dimensions, namely </w:t>
      </w:r>
      <w:r w:rsidR="004E6845" w:rsidRPr="00375327">
        <w:t xml:space="preserve">(1) whether </w:t>
      </w:r>
      <w:r w:rsidR="00D04A77" w:rsidRPr="00375327">
        <w:t>there are conditions for countries to receive support in terms of restraining overall public debt levels,</w:t>
      </w:r>
      <w:r w:rsidR="004E6845" w:rsidRPr="00375327">
        <w:t xml:space="preserve"> (2) </w:t>
      </w:r>
      <w:r w:rsidR="00D04A77" w:rsidRPr="00375327">
        <w:t>restrictions on how the support is spent</w:t>
      </w:r>
      <w:r w:rsidR="004E6845" w:rsidRPr="00375327">
        <w:t>, (3</w:t>
      </w:r>
      <w:r w:rsidR="00436081" w:rsidRPr="00375327">
        <w:t xml:space="preserve">) </w:t>
      </w:r>
      <w:r w:rsidR="003F143C" w:rsidRPr="00375327">
        <w:t xml:space="preserve">the extent to which the European Commission monitors the implementation of the policy </w:t>
      </w:r>
      <w:r w:rsidR="003F3443" w:rsidRPr="00375327">
        <w:t xml:space="preserve">and is allowed to interfere in national economic politics by </w:t>
      </w:r>
      <w:r w:rsidR="00053FCB" w:rsidRPr="00375327">
        <w:t>providing recommendations</w:t>
      </w:r>
      <w:r w:rsidR="003F3443" w:rsidRPr="00375327">
        <w:t xml:space="preserve"> for addressing economic problems of particular Member States,</w:t>
      </w:r>
      <w:r w:rsidR="00436081" w:rsidRPr="00375327">
        <w:t xml:space="preserve"> (4) whether the policy will introduce redistribution of common recourses between the participating Member States, (5) what the effects of the policy will be on the height of domestic taxation and (6) whether the</w:t>
      </w:r>
      <w:r w:rsidR="002E1D03" w:rsidRPr="00375327">
        <w:t xml:space="preserve">re are sanctions </w:t>
      </w:r>
      <w:r w:rsidR="00436081" w:rsidRPr="00375327">
        <w:t xml:space="preserve">in the case of non-compliance </w:t>
      </w:r>
      <w:r w:rsidR="002E1D03" w:rsidRPr="00375327">
        <w:t xml:space="preserve">by a Member State </w:t>
      </w:r>
      <w:r w:rsidR="00436081" w:rsidRPr="00375327">
        <w:t xml:space="preserve">with the conditions of the policy. </w:t>
      </w:r>
      <w:r w:rsidR="004E6845" w:rsidRPr="00375327">
        <w:t xml:space="preserve"> </w:t>
      </w:r>
    </w:p>
    <w:p w14:paraId="0A40884D" w14:textId="77777777" w:rsidR="004E6845" w:rsidRPr="00375327" w:rsidRDefault="004E6845" w:rsidP="00691CAC">
      <w:pPr>
        <w:jc w:val="both"/>
      </w:pPr>
    </w:p>
    <w:p w14:paraId="7DF0B470" w14:textId="4175A956" w:rsidR="002E51E4" w:rsidRPr="00375327" w:rsidRDefault="00D2319A" w:rsidP="00691CAC">
      <w:pPr>
        <w:jc w:val="both"/>
      </w:pPr>
      <w:r w:rsidRPr="00375327">
        <w:t xml:space="preserve">The actual </w:t>
      </w:r>
      <w:r w:rsidR="00053FCB" w:rsidRPr="00375327">
        <w:t>characteristics</w:t>
      </w:r>
      <w:r w:rsidRPr="00375327">
        <w:t xml:space="preserve"> </w:t>
      </w:r>
      <w:r w:rsidR="00053FCB" w:rsidRPr="00375327">
        <w:t xml:space="preserve">shown for these dimensions </w:t>
      </w:r>
      <w:r w:rsidRPr="00375327">
        <w:t xml:space="preserve">are randomly picked from a prepared set, allowing for many different combinations of the dimensions, and hence many different possible policy packages. Respondents are asked to conduct three iterations of the experiment, in each of which they </w:t>
      </w:r>
      <w:r w:rsidR="00746FE8" w:rsidRPr="00375327">
        <w:t xml:space="preserve">express their support for each proposal on a </w:t>
      </w:r>
      <w:r w:rsidR="002E1D03" w:rsidRPr="00375327">
        <w:t xml:space="preserve">5-point </w:t>
      </w:r>
      <w:r w:rsidR="00746FE8" w:rsidRPr="00375327">
        <w:t xml:space="preserve">scale ranging </w:t>
      </w:r>
      <w:r w:rsidR="00683254" w:rsidRPr="00375327">
        <w:t xml:space="preserve">from </w:t>
      </w:r>
      <w:r w:rsidR="00746FE8" w:rsidRPr="00375327">
        <w:t xml:space="preserve">‘strongly </w:t>
      </w:r>
      <w:r w:rsidR="002E1D03" w:rsidRPr="00375327">
        <w:t xml:space="preserve">against’ </w:t>
      </w:r>
      <w:r w:rsidR="00746FE8" w:rsidRPr="00375327">
        <w:t xml:space="preserve">to ‘strongly </w:t>
      </w:r>
      <w:r w:rsidR="002E1D03" w:rsidRPr="00375327">
        <w:t>in favour’</w:t>
      </w:r>
      <w:r w:rsidR="00746FE8" w:rsidRPr="00375327">
        <w:t>, resulting in a</w:t>
      </w:r>
      <w:r w:rsidR="00746FE8" w:rsidRPr="00375327">
        <w:rPr>
          <w:i/>
          <w:iCs/>
        </w:rPr>
        <w:t xml:space="preserve"> </w:t>
      </w:r>
      <w:r w:rsidR="00053FCB" w:rsidRPr="00375327">
        <w:rPr>
          <w:i/>
          <w:iCs/>
        </w:rPr>
        <w:t>rating</w:t>
      </w:r>
      <w:r w:rsidR="00746FE8" w:rsidRPr="00375327">
        <w:t xml:space="preserve"> variable. Hence, the dataset consists of six observations per individual, for each of which the</w:t>
      </w:r>
      <w:r w:rsidR="00053FCB" w:rsidRPr="00375327">
        <w:t xml:space="preserve"> rating</w:t>
      </w:r>
      <w:r w:rsidR="00746FE8" w:rsidRPr="00375327">
        <w:rPr>
          <w:i/>
          <w:iCs/>
        </w:rPr>
        <w:t xml:space="preserve"> </w:t>
      </w:r>
      <w:r w:rsidR="00746FE8" w:rsidRPr="00375327">
        <w:t>variable indicates how strongly the package was supported.</w:t>
      </w:r>
    </w:p>
    <w:p w14:paraId="4444308F" w14:textId="77777777" w:rsidR="002E51E4" w:rsidRPr="00375327" w:rsidRDefault="002E51E4" w:rsidP="00691CAC">
      <w:pPr>
        <w:jc w:val="both"/>
      </w:pPr>
    </w:p>
    <w:p w14:paraId="2B3F09F4" w14:textId="51813FFA" w:rsidR="008E6B95" w:rsidRPr="00375327" w:rsidRDefault="002E51E4" w:rsidP="00691CAC">
      <w:pPr>
        <w:jc w:val="both"/>
      </w:pPr>
      <w:r w:rsidRPr="00375327">
        <w:t xml:space="preserve">The main purpose of a conjoint experiment is to estimate how the dimension characteristics influence support for the policy. As these characteristics are picked randomly for each policy package presented, the estimated effects allow a causal interpretation </w:t>
      </w:r>
      <w:r w:rsidRPr="00375327">
        <w:rPr>
          <w:rFonts w:cs="Times New Roman"/>
        </w:rPr>
        <w:t>(</w:t>
      </w:r>
      <w:proofErr w:type="spellStart"/>
      <w:r w:rsidRPr="00375327">
        <w:rPr>
          <w:rFonts w:cs="Times New Roman"/>
        </w:rPr>
        <w:t>Hainmueller</w:t>
      </w:r>
      <w:proofErr w:type="spellEnd"/>
      <w:r w:rsidRPr="00375327">
        <w:rPr>
          <w:rFonts w:cs="Times New Roman"/>
        </w:rPr>
        <w:t xml:space="preserve"> et al., 2014)</w:t>
      </w:r>
      <w:r w:rsidRPr="00375327">
        <w:t xml:space="preserve">. </w:t>
      </w:r>
      <w:r w:rsidR="00ED0299" w:rsidRPr="00375327">
        <w:t xml:space="preserve">For our purpose here however, </w:t>
      </w:r>
      <w:r w:rsidRPr="00375327">
        <w:t xml:space="preserve">these relationships are not the focal point of interest. Instead, we are interested in how support for the policy in general is influenced by sociotropic and egotropic concern. </w:t>
      </w:r>
      <w:r w:rsidR="00ED0299" w:rsidRPr="00375327">
        <w:t>Therefore,</w:t>
      </w:r>
      <w:r w:rsidR="008E6B95" w:rsidRPr="00375327">
        <w:t xml:space="preserve"> the dimension characteristics will not be discussed in detail here</w:t>
      </w:r>
      <w:r w:rsidR="001D2E05">
        <w:t xml:space="preserve"> </w:t>
      </w:r>
      <w:r w:rsidR="00B3579D" w:rsidRPr="00375327">
        <w:t xml:space="preserve">and their effects are suppressed from the tables when discussing the analysis results. </w:t>
      </w:r>
      <w:r w:rsidR="008E6B95" w:rsidRPr="00375327">
        <w:t xml:space="preserve">The findings of the experiment are discussed in detail by </w:t>
      </w:r>
      <w:proofErr w:type="spellStart"/>
      <w:r w:rsidR="008E6B95" w:rsidRPr="00375327">
        <w:t>Beetsma</w:t>
      </w:r>
      <w:proofErr w:type="spellEnd"/>
      <w:r w:rsidR="008E6B95" w:rsidRPr="00375327">
        <w:t xml:space="preserve"> et al. </w:t>
      </w:r>
      <w:r w:rsidR="008E6B95" w:rsidRPr="00375327">
        <w:rPr>
          <w:rFonts w:cs="Times New Roman"/>
        </w:rPr>
        <w:t>(2020)</w:t>
      </w:r>
      <w:r w:rsidR="008E6B95" w:rsidRPr="00375327">
        <w:t>.</w:t>
      </w:r>
    </w:p>
    <w:p w14:paraId="6FFA43AE" w14:textId="77777777" w:rsidR="00026958" w:rsidRPr="00375327" w:rsidRDefault="00026958" w:rsidP="002B009D"/>
    <w:p w14:paraId="0E077B6F" w14:textId="4BA726DC" w:rsidR="00026958" w:rsidRPr="00375327" w:rsidRDefault="00026958" w:rsidP="00D27FBC">
      <w:pPr>
        <w:pStyle w:val="Heading2"/>
      </w:pPr>
      <w:r w:rsidRPr="00375327">
        <w:lastRenderedPageBreak/>
        <w:t>Operationalisation of core concepts</w:t>
      </w:r>
    </w:p>
    <w:p w14:paraId="0C60D38E" w14:textId="6406CFE7" w:rsidR="00915D50" w:rsidRPr="00375327" w:rsidRDefault="00B3579D" w:rsidP="00691CAC">
      <w:pPr>
        <w:jc w:val="both"/>
      </w:pPr>
      <w:r w:rsidRPr="00375327">
        <w:t xml:space="preserve">As discussed in the theoretical framework, estimating </w:t>
      </w:r>
      <w:r w:rsidR="00FA376B" w:rsidRPr="00375327">
        <w:t xml:space="preserve">egotropic and </w:t>
      </w:r>
      <w:r w:rsidRPr="00375327">
        <w:t xml:space="preserve">sociotropic concern requires us to measure beliefs of a policy’s causal effect on one’s personal welfare, and on the welfare of the community of reference. Therefore, this </w:t>
      </w:r>
      <w:r w:rsidR="00A85BFC" w:rsidRPr="00375327">
        <w:t xml:space="preserve">research will operationalise </w:t>
      </w:r>
      <w:r w:rsidR="00FA376B" w:rsidRPr="00375327">
        <w:t>egotropic</w:t>
      </w:r>
      <w:r w:rsidR="00A85BFC" w:rsidRPr="00375327">
        <w:t xml:space="preserve"> and sociotropic concern directly through </w:t>
      </w:r>
      <w:r w:rsidR="00EE59DD" w:rsidRPr="00375327">
        <w:t>believes of the effects of an EU fiscal capacity</w:t>
      </w:r>
      <w:r w:rsidR="00A85BFC" w:rsidRPr="00375327">
        <w:t xml:space="preserve">. </w:t>
      </w:r>
      <w:r w:rsidR="00FA376B" w:rsidRPr="00375327">
        <w:t xml:space="preserve">In addition, it has been discussed that the community of reference should be empirically questioned rather than assumed, and that the local and supranational community are both candidates for the community of reference in considerations of the general welfare, in addition to the national community. </w:t>
      </w:r>
      <w:r w:rsidR="00FC2719" w:rsidRPr="00375327">
        <w:t xml:space="preserve">Therefore, </w:t>
      </w:r>
      <w:r w:rsidR="00FC2719" w:rsidRPr="00375327">
        <w:rPr>
          <w:i/>
          <w:iCs/>
        </w:rPr>
        <w:t>egotropic concern</w:t>
      </w:r>
      <w:r w:rsidR="00FC2719" w:rsidRPr="00375327">
        <w:t xml:space="preserve"> and </w:t>
      </w:r>
      <w:r w:rsidR="00FC2719" w:rsidRPr="00375327">
        <w:rPr>
          <w:i/>
          <w:iCs/>
        </w:rPr>
        <w:t>sociotropic concern</w:t>
      </w:r>
      <w:r w:rsidR="00FC2719" w:rsidRPr="00375327">
        <w:t xml:space="preserve"> are operationalised through beliefs of the effects of a fiscal capacity on oneself, on the local community, the national community, and the EU as a whole.</w:t>
      </w:r>
      <w:r w:rsidR="00915D50" w:rsidRPr="00375327">
        <w:t xml:space="preserve"> Specifically, the question asked was ‘You have seen many alternatives of European mutual assistance programmes. You might have supported some and opposed others. Overall, could you tell us how the principle of mutual assistance would, in your opinion, affect the situation of: (1) yourself personally, (2) your region, (3) your country and (4) Europe as a whole’.</w:t>
      </w:r>
      <w:r w:rsidR="006A7EE8" w:rsidRPr="00375327">
        <w:rPr>
          <w:rStyle w:val="FootnoteReference"/>
        </w:rPr>
        <w:footnoteReference w:id="3"/>
      </w:r>
      <w:r w:rsidR="00915D50" w:rsidRPr="00375327">
        <w:t xml:space="preserve"> For each of these categories, respondents indicated </w:t>
      </w:r>
      <w:r w:rsidR="00B426A7" w:rsidRPr="00375327">
        <w:t xml:space="preserve">their belief on a 5-point scale, anchored at the outer ends with ‘very negatively’ (1) and ‘very positively’ (5).  </w:t>
      </w:r>
    </w:p>
    <w:p w14:paraId="42468D81" w14:textId="77777777" w:rsidR="00915D50" w:rsidRPr="00375327" w:rsidRDefault="00915D50" w:rsidP="00691CAC">
      <w:pPr>
        <w:jc w:val="both"/>
      </w:pPr>
    </w:p>
    <w:p w14:paraId="6621C73E" w14:textId="5458A048" w:rsidR="003417F6" w:rsidRPr="00375327" w:rsidRDefault="00EB6A5F" w:rsidP="00691CAC">
      <w:pPr>
        <w:jc w:val="both"/>
      </w:pPr>
      <w:r w:rsidRPr="00375327">
        <w:t xml:space="preserve">This </w:t>
      </w:r>
      <w:r w:rsidR="00915D50" w:rsidRPr="00375327">
        <w:t xml:space="preserve">operationalisation </w:t>
      </w:r>
      <w:r w:rsidRPr="00375327">
        <w:t xml:space="preserve">allows the relationship between egocentric concern and sociotropic concern to be investigated </w:t>
      </w:r>
      <w:r w:rsidR="00B6254F" w:rsidRPr="00375327">
        <w:t>orthogonally</w:t>
      </w:r>
      <w:r w:rsidRPr="00375327">
        <w:t xml:space="preserve">, thereby allowing an estimation of the importance of sociotropic concern </w:t>
      </w:r>
      <w:r w:rsidR="00B6254F" w:rsidRPr="00375327">
        <w:t>as an independent factor</w:t>
      </w:r>
      <w:r w:rsidRPr="00375327">
        <w:t xml:space="preserve">. In a situation where egocentric concern is the main driver of policy attitudes, a positive perception of the policy’s effects on oneself will lead to support, while negative perceptions will lead to opposition. Conversely, in a situation where sociotropic concern is the main driver of policy attitudes, a positive perception of the policy’s effects on the community will lead to support, and vice versa. </w:t>
      </w:r>
    </w:p>
    <w:p w14:paraId="6709CAD0" w14:textId="77777777" w:rsidR="008A44E9" w:rsidRPr="00375327" w:rsidRDefault="008A44E9" w:rsidP="00691CAC">
      <w:pPr>
        <w:jc w:val="both"/>
      </w:pPr>
    </w:p>
    <w:p w14:paraId="40D4236D" w14:textId="49AE1D38" w:rsidR="00B277FE" w:rsidRPr="00375327" w:rsidRDefault="00FA0325" w:rsidP="00691CAC">
      <w:pPr>
        <w:jc w:val="both"/>
      </w:pPr>
      <w:r w:rsidRPr="00375327">
        <w:t>The survey also asked about respondents’ a</w:t>
      </w:r>
      <w:r w:rsidR="00715B99" w:rsidRPr="00375327">
        <w:t xml:space="preserve">ttachment </w:t>
      </w:r>
      <w:r w:rsidRPr="00375327">
        <w:t xml:space="preserve">to </w:t>
      </w:r>
      <w:r w:rsidR="00715B99" w:rsidRPr="00375327">
        <w:t>each of the levels of community</w:t>
      </w:r>
      <w:r w:rsidRPr="00375327">
        <w:t>, which</w:t>
      </w:r>
      <w:r w:rsidR="00715B99" w:rsidRPr="00375327">
        <w:t xml:space="preserve"> </w:t>
      </w:r>
      <w:r w:rsidR="00683254" w:rsidRPr="00375327">
        <w:t xml:space="preserve">are </w:t>
      </w:r>
      <w:r w:rsidR="00715B99" w:rsidRPr="00375327">
        <w:t>measured on a scale from 0 to 10</w:t>
      </w:r>
      <w:r w:rsidRPr="00375327">
        <w:t xml:space="preserve">. Here, </w:t>
      </w:r>
      <w:r w:rsidR="009304A2" w:rsidRPr="00375327">
        <w:t xml:space="preserve">local attachment is operationalised </w:t>
      </w:r>
      <w:r w:rsidR="00683254" w:rsidRPr="00375327">
        <w:t xml:space="preserve">through </w:t>
      </w:r>
      <w:r w:rsidR="009304A2" w:rsidRPr="00375327">
        <w:t>attachment to one’s region.</w:t>
      </w:r>
      <w:r w:rsidRPr="00375327">
        <w:rPr>
          <w:vertAlign w:val="superscript"/>
        </w:rPr>
        <w:t>3</w:t>
      </w:r>
      <w:r w:rsidR="00715B99" w:rsidRPr="00375327">
        <w:rPr>
          <w:vertAlign w:val="superscript"/>
        </w:rPr>
        <w:t xml:space="preserve"> </w:t>
      </w:r>
      <w:r w:rsidR="00B426A7" w:rsidRPr="00375327">
        <w:t xml:space="preserve">To assess whether </w:t>
      </w:r>
      <w:r w:rsidR="005E0D28" w:rsidRPr="00375327">
        <w:t>the relationship between perceived policy effects on the three levels of community and policy support is conditional on</w:t>
      </w:r>
      <w:r w:rsidR="00B95023" w:rsidRPr="00375327">
        <w:t xml:space="preserve"> exclusive</w:t>
      </w:r>
      <w:r w:rsidR="005E0D28" w:rsidRPr="00375327">
        <w:t xml:space="preserve"> attachment to the </w:t>
      </w:r>
      <w:r w:rsidR="00B95023" w:rsidRPr="00375327">
        <w:t xml:space="preserve">respective </w:t>
      </w:r>
      <w:r w:rsidR="005E0D28" w:rsidRPr="00375327">
        <w:t>level</w:t>
      </w:r>
      <w:r w:rsidR="00B95023" w:rsidRPr="00375327">
        <w:t xml:space="preserve"> </w:t>
      </w:r>
      <w:r w:rsidR="005E0D28" w:rsidRPr="00375327">
        <w:t xml:space="preserve">of community, </w:t>
      </w:r>
      <w:r w:rsidR="00B95023" w:rsidRPr="00375327">
        <w:rPr>
          <w:i/>
          <w:iCs/>
        </w:rPr>
        <w:t>exclusive attachment</w:t>
      </w:r>
      <w:r w:rsidR="00B95023" w:rsidRPr="00375327">
        <w:t xml:space="preserve"> </w:t>
      </w:r>
      <w:r w:rsidR="00B277FE" w:rsidRPr="00375327">
        <w:t xml:space="preserve">variables have </w:t>
      </w:r>
      <w:r w:rsidR="00B95023" w:rsidRPr="00375327">
        <w:t xml:space="preserve">been created which </w:t>
      </w:r>
      <w:r w:rsidR="00B277FE" w:rsidRPr="00375327">
        <w:t xml:space="preserve">equal the difference between the level of attachment to a particular level of </w:t>
      </w:r>
      <w:r w:rsidR="00B277FE" w:rsidRPr="00375327">
        <w:lastRenderedPageBreak/>
        <w:t xml:space="preserve">community and the level of attachment to a level of community that </w:t>
      </w:r>
      <w:r w:rsidRPr="00375327">
        <w:t>has the second highest level of attachment</w:t>
      </w:r>
      <w:r w:rsidR="00715B99" w:rsidRPr="00375327">
        <w:t xml:space="preserve">, on the condition that the level of attachment to the former </w:t>
      </w:r>
      <w:r w:rsidR="00B277FE" w:rsidRPr="00375327">
        <w:t xml:space="preserve">is the highest out of </w:t>
      </w:r>
      <w:r w:rsidR="00715B99" w:rsidRPr="00375327">
        <w:t xml:space="preserve">the </w:t>
      </w:r>
      <w:r w:rsidR="00B277FE" w:rsidRPr="00375327">
        <w:t>three</w:t>
      </w:r>
      <w:r w:rsidR="00715B99" w:rsidRPr="00375327">
        <w:t>. Otherwise, the variable equals zero. For example, if a respondent’s level</w:t>
      </w:r>
      <w:r w:rsidR="007832F8" w:rsidRPr="00375327">
        <w:t xml:space="preserve"> </w:t>
      </w:r>
      <w:r w:rsidR="00715B99" w:rsidRPr="00375327">
        <w:t xml:space="preserve">of attachment to the region, country and EU </w:t>
      </w:r>
      <w:r w:rsidR="00683254" w:rsidRPr="00375327">
        <w:t xml:space="preserve">have a score of </w:t>
      </w:r>
      <w:r w:rsidR="00715B99" w:rsidRPr="00375327">
        <w:t xml:space="preserve">5, </w:t>
      </w:r>
      <w:r w:rsidR="007832F8" w:rsidRPr="00375327">
        <w:t xml:space="preserve">9 </w:t>
      </w:r>
      <w:r w:rsidR="00715B99" w:rsidRPr="00375327">
        <w:t xml:space="preserve"> and 7 respectively, that respondent has </w:t>
      </w:r>
      <w:r w:rsidR="009304A2" w:rsidRPr="00375327">
        <w:t xml:space="preserve">national exclusive attachment score </w:t>
      </w:r>
      <w:r w:rsidR="00715B99" w:rsidRPr="00375327">
        <w:t xml:space="preserve">of </w:t>
      </w:r>
      <w:r w:rsidR="007832F8" w:rsidRPr="00375327">
        <w:t>2</w:t>
      </w:r>
      <w:r w:rsidR="00715B99" w:rsidRPr="00375327">
        <w:t xml:space="preserve">, and 0 for the local and the EU community. </w:t>
      </w:r>
    </w:p>
    <w:p w14:paraId="3ECC7E7D" w14:textId="77777777" w:rsidR="006B2534" w:rsidRPr="00375327" w:rsidRDefault="006B2534" w:rsidP="00AD6C07"/>
    <w:p w14:paraId="42D06B7B" w14:textId="52CF3041" w:rsidR="003417F6" w:rsidRPr="00375327" w:rsidRDefault="003417F6" w:rsidP="00D27FBC">
      <w:pPr>
        <w:pStyle w:val="Heading2"/>
      </w:pPr>
      <w:r w:rsidRPr="00375327">
        <w:t>Control variables</w:t>
      </w:r>
    </w:p>
    <w:p w14:paraId="2F663517" w14:textId="08B40AC2" w:rsidR="002807DF" w:rsidRPr="00375327" w:rsidRDefault="003417F6" w:rsidP="00691CAC">
      <w:pPr>
        <w:jc w:val="both"/>
      </w:pPr>
      <w:r w:rsidRPr="00375327">
        <w:t xml:space="preserve">The analyses will control for demographic characteristics, including </w:t>
      </w:r>
      <w:r w:rsidRPr="00375327">
        <w:rPr>
          <w:i/>
          <w:iCs/>
        </w:rPr>
        <w:t>age</w:t>
      </w:r>
      <w:r w:rsidRPr="00375327">
        <w:t xml:space="preserve">, </w:t>
      </w:r>
      <w:r w:rsidRPr="00375327">
        <w:rPr>
          <w:i/>
          <w:iCs/>
        </w:rPr>
        <w:t>gender</w:t>
      </w:r>
      <w:r w:rsidRPr="00375327">
        <w:t xml:space="preserve">, </w:t>
      </w:r>
      <w:r w:rsidR="00883AFF" w:rsidRPr="00375327">
        <w:rPr>
          <w:i/>
          <w:iCs/>
        </w:rPr>
        <w:t>education</w:t>
      </w:r>
      <w:r w:rsidR="00883AFF" w:rsidRPr="00375327">
        <w:t>, measured with the country-specific degrees and subsequently harmonised into ISCED levels</w:t>
      </w:r>
      <w:r w:rsidR="00934B56" w:rsidRPr="00375327">
        <w:t xml:space="preserve">, and </w:t>
      </w:r>
      <w:r w:rsidR="00934B56" w:rsidRPr="00375327">
        <w:rPr>
          <w:i/>
          <w:iCs/>
        </w:rPr>
        <w:t>income</w:t>
      </w:r>
      <w:r w:rsidR="00934B56" w:rsidRPr="00375327">
        <w:t xml:space="preserve">, </w:t>
      </w:r>
      <w:r w:rsidR="007251EE" w:rsidRPr="00375327">
        <w:t xml:space="preserve">originally indicated as household income in deciles and subsequently equivalised according to household composition. </w:t>
      </w:r>
      <w:r w:rsidR="007251EE" w:rsidRPr="00375327">
        <w:rPr>
          <w:i/>
          <w:iCs/>
        </w:rPr>
        <w:t>General p</w:t>
      </w:r>
      <w:r w:rsidRPr="00375327">
        <w:rPr>
          <w:i/>
          <w:iCs/>
        </w:rPr>
        <w:t>olitical ideology</w:t>
      </w:r>
      <w:r w:rsidRPr="00375327">
        <w:t xml:space="preserve"> might influence perceptions </w:t>
      </w:r>
      <w:r w:rsidR="002807DF" w:rsidRPr="00375327">
        <w:t>of the policy’s effects</w:t>
      </w:r>
      <w:r w:rsidR="007251EE" w:rsidRPr="00375327">
        <w:t xml:space="preserve">, and is operationalised by having respondents place themselves on an axis ranging from 0 (left) to 10 (right). </w:t>
      </w:r>
      <w:r w:rsidR="0029278F" w:rsidRPr="00375327">
        <w:t xml:space="preserve">Additionally, attitudes toward the EU might similarly influence beliefs of the policy’s effects. Hence, </w:t>
      </w:r>
      <w:r w:rsidR="0029278F" w:rsidRPr="00375327">
        <w:rPr>
          <w:i/>
          <w:iCs/>
        </w:rPr>
        <w:t xml:space="preserve">exclusive national identity </w:t>
      </w:r>
      <w:r w:rsidR="0029278F" w:rsidRPr="00375327">
        <w:t xml:space="preserve">is included to measure attitudes toward the EU, as a myriad of studies have shown such identity to strongly and consistently predict opposition toward the EU and its policies </w:t>
      </w:r>
      <w:r w:rsidR="0029278F" w:rsidRPr="00375327">
        <w:rPr>
          <w:rFonts w:cs="Times New Roman"/>
        </w:rPr>
        <w:t>(</w:t>
      </w:r>
      <w:proofErr w:type="spellStart"/>
      <w:r w:rsidR="0029278F" w:rsidRPr="00375327">
        <w:rPr>
          <w:rFonts w:cs="Times New Roman"/>
        </w:rPr>
        <w:t>Hooghe</w:t>
      </w:r>
      <w:proofErr w:type="spellEnd"/>
      <w:r w:rsidR="0029278F" w:rsidRPr="00375327">
        <w:rPr>
          <w:rFonts w:cs="Times New Roman"/>
        </w:rPr>
        <w:t xml:space="preserve"> &amp; Marks, 2005)</w:t>
      </w:r>
      <w:r w:rsidR="0029278F" w:rsidRPr="00375327">
        <w:t xml:space="preserve">. </w:t>
      </w:r>
      <w:r w:rsidR="008707FF" w:rsidRPr="00375327">
        <w:t xml:space="preserve">This variable equals 1 if identity is conceived of solely in terms of the nation, and 0 if it is conceived of as a mix between EU identity and national identity, or EU only. </w:t>
      </w:r>
    </w:p>
    <w:p w14:paraId="41CBDA11" w14:textId="44799851" w:rsidR="0029278F" w:rsidRPr="00375327" w:rsidRDefault="0029278F" w:rsidP="00691CAC">
      <w:pPr>
        <w:jc w:val="both"/>
      </w:pPr>
    </w:p>
    <w:p w14:paraId="07D5229D" w14:textId="73E35A3F" w:rsidR="0029278F" w:rsidRPr="00375327" w:rsidRDefault="0029278F" w:rsidP="00691CAC">
      <w:pPr>
        <w:jc w:val="both"/>
      </w:pPr>
      <w:r w:rsidRPr="00375327">
        <w:t xml:space="preserve">The complete question wording for all variables can be found in the appendix. </w:t>
      </w:r>
    </w:p>
    <w:p w14:paraId="0779A3FA" w14:textId="77777777" w:rsidR="002807DF" w:rsidRPr="00375327" w:rsidRDefault="002807DF" w:rsidP="002B009D"/>
    <w:p w14:paraId="14670607" w14:textId="686D2A21" w:rsidR="00F41DD4" w:rsidRPr="00375327" w:rsidRDefault="007F3F40" w:rsidP="007F3F40">
      <w:pPr>
        <w:pStyle w:val="Heading1"/>
      </w:pPr>
      <w:r>
        <w:t xml:space="preserve">4. </w:t>
      </w:r>
      <w:r w:rsidR="00F41DD4" w:rsidRPr="00375327">
        <w:t>Results</w:t>
      </w:r>
    </w:p>
    <w:p w14:paraId="2FE9E22B" w14:textId="65841BFB" w:rsidR="00AC1B35" w:rsidRPr="00375327" w:rsidRDefault="00D26471" w:rsidP="00D27FBC">
      <w:pPr>
        <w:pStyle w:val="Heading2"/>
      </w:pPr>
      <w:r>
        <w:t>Distribution of causal beliefs</w:t>
      </w:r>
    </w:p>
    <w:p w14:paraId="21EC51B9" w14:textId="31C9699E" w:rsidR="00023C01" w:rsidRPr="00375327" w:rsidRDefault="006F66DC" w:rsidP="00691CAC">
      <w:pPr>
        <w:jc w:val="both"/>
      </w:pPr>
      <w:r w:rsidRPr="00375327">
        <w:t xml:space="preserve">Before diving into the relationship between beliefs of the policy’s effect on oneself and the community and policy support, it is worthwhile to first take a look at the distributions of these causal beliefs. Figure </w:t>
      </w:r>
      <w:r w:rsidR="00683254" w:rsidRPr="00375327">
        <w:t xml:space="preserve">1 </w:t>
      </w:r>
      <w:r w:rsidRPr="00375327">
        <w:t>shows a kernel density plot for these beliefs as pertaining to the individual and to each of the levels of community</w:t>
      </w:r>
      <w:r w:rsidR="00FD3725" w:rsidRPr="00375327">
        <w:t xml:space="preserve">, with the mean values of these beliefs plotted as vertical lines. </w:t>
      </w:r>
    </w:p>
    <w:p w14:paraId="3425F116" w14:textId="3D7EB7A3" w:rsidR="00AC1B35" w:rsidRPr="00375327" w:rsidRDefault="00A62276" w:rsidP="00A62276">
      <w:pPr>
        <w:jc w:val="center"/>
        <w:rPr>
          <w:i/>
          <w:iCs/>
        </w:rPr>
      </w:pPr>
      <w:r w:rsidRPr="00375327">
        <w:rPr>
          <w:i/>
          <w:iCs/>
          <w:noProof/>
        </w:rPr>
        <w:lastRenderedPageBreak/>
        <w:drawing>
          <wp:inline distT="0" distB="0" distL="0" distR="0" wp14:anchorId="117035FA" wp14:editId="08EB1484">
            <wp:extent cx="5486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6699F0F3" w14:textId="03021DDD" w:rsidR="00B604CB" w:rsidRPr="00375327" w:rsidRDefault="00236C40" w:rsidP="00691CAC">
      <w:pPr>
        <w:jc w:val="both"/>
      </w:pPr>
      <w:r w:rsidRPr="00375327">
        <w:t xml:space="preserve">This graph </w:t>
      </w:r>
      <w:r w:rsidR="00A62276" w:rsidRPr="00375327">
        <w:t>f</w:t>
      </w:r>
      <w:r w:rsidRPr="00375327">
        <w:t>irst of all</w:t>
      </w:r>
      <w:r w:rsidR="00A62276" w:rsidRPr="00375327">
        <w:t xml:space="preserve"> </w:t>
      </w:r>
      <w:r w:rsidRPr="00375327">
        <w:t xml:space="preserve">shows that the perceived effects of the policy </w:t>
      </w:r>
      <w:r w:rsidR="00156F32" w:rsidRPr="00375327">
        <w:t xml:space="preserve">on the different levels of community </w:t>
      </w:r>
      <w:r w:rsidR="007832F8" w:rsidRPr="00375327">
        <w:t>have a relatively similar distribution</w:t>
      </w:r>
      <w:r w:rsidRPr="00375327">
        <w:t xml:space="preserve">, and </w:t>
      </w:r>
      <w:r w:rsidR="007832F8" w:rsidRPr="00375327">
        <w:t xml:space="preserve">are </w:t>
      </w:r>
      <w:r w:rsidR="00B604CB" w:rsidRPr="00375327">
        <w:t>on average</w:t>
      </w:r>
      <w:r w:rsidRPr="00375327">
        <w:t xml:space="preserve"> positive. The policy’s effects are considered most positive for the EU as a whole (average score of 3.30) followed by the country (3.19), the region (3.18) and the individual (</w:t>
      </w:r>
      <w:r w:rsidR="00B604CB" w:rsidRPr="00375327">
        <w:t xml:space="preserve">3.08). Second, the distributions show that </w:t>
      </w:r>
      <w:r w:rsidR="00E80A27" w:rsidRPr="00375327">
        <w:t xml:space="preserve">more people perceive the policy to have positive effects on the higher levels of community, in particular on the EU and national community, while less people perceive the policy to have positive effects on themselves and on their local community. </w:t>
      </w:r>
      <w:r w:rsidR="00B604CB" w:rsidRPr="00375327">
        <w:t xml:space="preserve">However, this does not mean that perceptions of negative effects on oneself are more frequent than on the community levels, as instead people most frequently perceive a ‘neutral’ effect on themselves, as shown in the </w:t>
      </w:r>
      <w:r w:rsidR="004A14FC" w:rsidRPr="00375327">
        <w:t xml:space="preserve">dense distribution around the middle value of 3. Third, negative perceptions are lowest in density, and seem roughly as frequent for each of the different levels, except for the perceived effects on the national community, which are perceived by slightly more people than negative effects on the other levels of community or the ego.  </w:t>
      </w:r>
    </w:p>
    <w:p w14:paraId="4DE40306" w14:textId="3F54CAE1" w:rsidR="007E636E" w:rsidRPr="00375327" w:rsidRDefault="007E636E" w:rsidP="00691CAC">
      <w:pPr>
        <w:jc w:val="both"/>
      </w:pPr>
    </w:p>
    <w:p w14:paraId="718330A8" w14:textId="5E503B74" w:rsidR="000D4529" w:rsidRPr="00375327" w:rsidRDefault="00E80A27" w:rsidP="00691CAC">
      <w:pPr>
        <w:jc w:val="both"/>
      </w:pPr>
      <w:r w:rsidRPr="00375327">
        <w:t>However,</w:t>
      </w:r>
      <w:r w:rsidR="007E636E" w:rsidRPr="00375327">
        <w:t xml:space="preserve"> to what extent do people actually differentiate in their causal beliefs</w:t>
      </w:r>
      <w:r w:rsidR="00F05B22" w:rsidRPr="00375327">
        <w:t>? Table 1 shows the pairwise</w:t>
      </w:r>
      <w:r w:rsidR="00301BBC" w:rsidRPr="00375327">
        <w:t xml:space="preserve"> Spearman</w:t>
      </w:r>
      <w:r w:rsidR="00F05B22" w:rsidRPr="00375327">
        <w:t xml:space="preserve"> correlations between the perceived effects on each of the levels of community and oneself. Generally speaking and unsurprisingly, there are quite strong correlations between these different perceived effects</w:t>
      </w:r>
      <w:r w:rsidR="00035917" w:rsidRPr="00375327">
        <w:t xml:space="preserve">, showing that when the policy is believed to have a positive (negative) effect on oneself or one level of community, it is </w:t>
      </w:r>
      <w:r w:rsidRPr="00375327">
        <w:t xml:space="preserve">generally </w:t>
      </w:r>
      <w:r w:rsidR="00035917" w:rsidRPr="00375327">
        <w:t xml:space="preserve">also </w:t>
      </w:r>
      <w:r w:rsidR="00035917" w:rsidRPr="00375327">
        <w:lastRenderedPageBreak/>
        <w:t xml:space="preserve">perceived to have a positive (negative) effect on another level of community </w:t>
      </w:r>
      <w:r w:rsidRPr="00375327">
        <w:t>(or oneself)</w:t>
      </w:r>
      <w:r w:rsidR="00035917" w:rsidRPr="00375327">
        <w:t xml:space="preserve">. Yet at the same time, these correlations are far from perfect, indicating that these perceptions are nonetheless differentiated. </w:t>
      </w:r>
      <w:r w:rsidR="000D4529" w:rsidRPr="00375327">
        <w:t xml:space="preserve">A second noteworthy feature is that these correlations are ordered. </w:t>
      </w:r>
      <w:r w:rsidR="00BB2188" w:rsidRPr="00375327">
        <w:t xml:space="preserve">The correlation between the perceived effect on the ego and the perceived effect on the community is lower in strength the larger the encompassing community is. </w:t>
      </w:r>
      <w:r w:rsidR="00DD2BC5" w:rsidRPr="00375327">
        <w:t xml:space="preserve">Similarly, people differentiate more between their causal beliefs the larger the ‘distance’ between the </w:t>
      </w:r>
      <w:r w:rsidR="00301BBC" w:rsidRPr="00375327">
        <w:t xml:space="preserve">border of two levels of community is. </w:t>
      </w:r>
    </w:p>
    <w:p w14:paraId="2B77A4D7" w14:textId="77777777" w:rsidR="00301BBC" w:rsidRPr="00375327" w:rsidRDefault="00301BBC" w:rsidP="00AC1B35"/>
    <w:tbl>
      <w:tblPr>
        <w:tblW w:w="4801" w:type="dxa"/>
        <w:jc w:val="center"/>
        <w:tblLook w:val="04A0" w:firstRow="1" w:lastRow="0" w:firstColumn="1" w:lastColumn="0" w:noHBand="0" w:noVBand="1"/>
      </w:tblPr>
      <w:tblGrid>
        <w:gridCol w:w="1040"/>
        <w:gridCol w:w="879"/>
        <w:gridCol w:w="921"/>
        <w:gridCol w:w="1040"/>
        <w:gridCol w:w="921"/>
      </w:tblGrid>
      <w:tr w:rsidR="000D4529" w:rsidRPr="00375327" w14:paraId="4D4D3B2E" w14:textId="77777777" w:rsidTr="00301BBC">
        <w:trPr>
          <w:trHeight w:val="310"/>
          <w:jc w:val="center"/>
        </w:trPr>
        <w:tc>
          <w:tcPr>
            <w:tcW w:w="4801" w:type="dxa"/>
            <w:gridSpan w:val="5"/>
            <w:tcBorders>
              <w:top w:val="nil"/>
              <w:left w:val="nil"/>
              <w:bottom w:val="nil"/>
              <w:right w:val="nil"/>
            </w:tcBorders>
            <w:shd w:val="clear" w:color="auto" w:fill="auto"/>
            <w:noWrap/>
            <w:vAlign w:val="bottom"/>
            <w:hideMark/>
          </w:tcPr>
          <w:p w14:paraId="1C1E3112" w14:textId="66F87BBC" w:rsidR="000D4529" w:rsidRPr="00375327" w:rsidRDefault="000D4529" w:rsidP="000D4529">
            <w:pPr>
              <w:spacing w:line="240" w:lineRule="auto"/>
              <w:rPr>
                <w:rFonts w:eastAsia="Times New Roman" w:cs="Times New Roman"/>
                <w:color w:val="000000"/>
                <w:szCs w:val="24"/>
              </w:rPr>
            </w:pPr>
            <w:r w:rsidRPr="00375327">
              <w:rPr>
                <w:rFonts w:eastAsia="Times New Roman" w:cs="Times New Roman"/>
                <w:color w:val="000000"/>
                <w:szCs w:val="24"/>
              </w:rPr>
              <w:t xml:space="preserve">Table </w:t>
            </w:r>
            <w:r w:rsidR="00752096" w:rsidRPr="00375327">
              <w:rPr>
                <w:rFonts w:eastAsia="Times New Roman" w:cs="Times New Roman"/>
                <w:color w:val="000000"/>
                <w:szCs w:val="24"/>
              </w:rPr>
              <w:t>1</w:t>
            </w:r>
            <w:r w:rsidRPr="00375327">
              <w:rPr>
                <w:rFonts w:eastAsia="Times New Roman" w:cs="Times New Roman"/>
                <w:color w:val="000000"/>
                <w:szCs w:val="24"/>
              </w:rPr>
              <w:t>. Spearman correlations of perceived causal effects of an EU fiscal capacity</w:t>
            </w:r>
          </w:p>
        </w:tc>
      </w:tr>
      <w:tr w:rsidR="000D4529" w:rsidRPr="00375327" w14:paraId="0ABA147A" w14:textId="77777777" w:rsidTr="00301BBC">
        <w:trPr>
          <w:trHeight w:val="290"/>
          <w:jc w:val="center"/>
        </w:trPr>
        <w:tc>
          <w:tcPr>
            <w:tcW w:w="1040" w:type="dxa"/>
            <w:tcBorders>
              <w:top w:val="nil"/>
              <w:left w:val="nil"/>
              <w:bottom w:val="single" w:sz="4" w:space="0" w:color="auto"/>
              <w:right w:val="nil"/>
            </w:tcBorders>
            <w:shd w:val="clear" w:color="auto" w:fill="auto"/>
            <w:noWrap/>
            <w:vAlign w:val="bottom"/>
            <w:hideMark/>
          </w:tcPr>
          <w:p w14:paraId="26E44408"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 </w:t>
            </w:r>
          </w:p>
        </w:tc>
        <w:tc>
          <w:tcPr>
            <w:tcW w:w="879" w:type="dxa"/>
            <w:tcBorders>
              <w:top w:val="nil"/>
              <w:left w:val="nil"/>
              <w:bottom w:val="single" w:sz="4" w:space="0" w:color="auto"/>
              <w:right w:val="nil"/>
            </w:tcBorders>
            <w:shd w:val="clear" w:color="auto" w:fill="auto"/>
            <w:noWrap/>
            <w:vAlign w:val="bottom"/>
            <w:hideMark/>
          </w:tcPr>
          <w:p w14:paraId="1E12A519"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Ego</w:t>
            </w:r>
          </w:p>
        </w:tc>
        <w:tc>
          <w:tcPr>
            <w:tcW w:w="921" w:type="dxa"/>
            <w:tcBorders>
              <w:top w:val="nil"/>
              <w:left w:val="nil"/>
              <w:bottom w:val="single" w:sz="4" w:space="0" w:color="auto"/>
              <w:right w:val="nil"/>
            </w:tcBorders>
            <w:shd w:val="clear" w:color="auto" w:fill="auto"/>
            <w:noWrap/>
            <w:vAlign w:val="bottom"/>
            <w:hideMark/>
          </w:tcPr>
          <w:p w14:paraId="4C5480C8"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Region</w:t>
            </w:r>
          </w:p>
        </w:tc>
        <w:tc>
          <w:tcPr>
            <w:tcW w:w="1040" w:type="dxa"/>
            <w:tcBorders>
              <w:top w:val="nil"/>
              <w:left w:val="nil"/>
              <w:bottom w:val="single" w:sz="4" w:space="0" w:color="auto"/>
              <w:right w:val="nil"/>
            </w:tcBorders>
            <w:shd w:val="clear" w:color="auto" w:fill="auto"/>
            <w:noWrap/>
            <w:vAlign w:val="bottom"/>
            <w:hideMark/>
          </w:tcPr>
          <w:p w14:paraId="60DD442F"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Country</w:t>
            </w:r>
          </w:p>
        </w:tc>
        <w:tc>
          <w:tcPr>
            <w:tcW w:w="921" w:type="dxa"/>
            <w:tcBorders>
              <w:top w:val="nil"/>
              <w:left w:val="nil"/>
              <w:bottom w:val="single" w:sz="4" w:space="0" w:color="auto"/>
              <w:right w:val="nil"/>
            </w:tcBorders>
            <w:shd w:val="clear" w:color="auto" w:fill="auto"/>
            <w:noWrap/>
            <w:vAlign w:val="bottom"/>
            <w:hideMark/>
          </w:tcPr>
          <w:p w14:paraId="238D9C83"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Europe</w:t>
            </w:r>
          </w:p>
        </w:tc>
      </w:tr>
      <w:tr w:rsidR="000D4529" w:rsidRPr="00375327" w14:paraId="78AE5AE8" w14:textId="77777777" w:rsidTr="00301BBC">
        <w:trPr>
          <w:trHeight w:val="290"/>
          <w:jc w:val="center"/>
        </w:trPr>
        <w:tc>
          <w:tcPr>
            <w:tcW w:w="1040" w:type="dxa"/>
            <w:tcBorders>
              <w:top w:val="nil"/>
              <w:left w:val="nil"/>
              <w:bottom w:val="nil"/>
              <w:right w:val="nil"/>
            </w:tcBorders>
            <w:shd w:val="clear" w:color="auto" w:fill="auto"/>
            <w:noWrap/>
            <w:vAlign w:val="bottom"/>
            <w:hideMark/>
          </w:tcPr>
          <w:p w14:paraId="1FB0395B"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Ego</w:t>
            </w:r>
          </w:p>
        </w:tc>
        <w:tc>
          <w:tcPr>
            <w:tcW w:w="879" w:type="dxa"/>
            <w:tcBorders>
              <w:top w:val="nil"/>
              <w:left w:val="nil"/>
              <w:bottom w:val="nil"/>
              <w:right w:val="nil"/>
            </w:tcBorders>
            <w:shd w:val="clear" w:color="auto" w:fill="auto"/>
            <w:noWrap/>
            <w:vAlign w:val="bottom"/>
            <w:hideMark/>
          </w:tcPr>
          <w:p w14:paraId="469511E7"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1</w:t>
            </w:r>
          </w:p>
        </w:tc>
        <w:tc>
          <w:tcPr>
            <w:tcW w:w="921" w:type="dxa"/>
            <w:tcBorders>
              <w:top w:val="nil"/>
              <w:left w:val="nil"/>
              <w:bottom w:val="nil"/>
              <w:right w:val="nil"/>
            </w:tcBorders>
            <w:shd w:val="clear" w:color="auto" w:fill="auto"/>
            <w:noWrap/>
            <w:vAlign w:val="bottom"/>
            <w:hideMark/>
          </w:tcPr>
          <w:p w14:paraId="5FDCAD72" w14:textId="77777777" w:rsidR="000D4529" w:rsidRPr="00375327" w:rsidRDefault="000D4529" w:rsidP="000D4529">
            <w:pPr>
              <w:spacing w:line="240" w:lineRule="auto"/>
              <w:jc w:val="right"/>
              <w:rPr>
                <w:rFonts w:eastAsia="Times New Roman" w:cs="Times New Roman"/>
                <w:color w:val="000000"/>
                <w:sz w:val="18"/>
                <w:szCs w:val="18"/>
              </w:rPr>
            </w:pPr>
          </w:p>
        </w:tc>
        <w:tc>
          <w:tcPr>
            <w:tcW w:w="1040" w:type="dxa"/>
            <w:tcBorders>
              <w:top w:val="nil"/>
              <w:left w:val="nil"/>
              <w:bottom w:val="nil"/>
              <w:right w:val="nil"/>
            </w:tcBorders>
            <w:shd w:val="clear" w:color="auto" w:fill="auto"/>
            <w:noWrap/>
            <w:vAlign w:val="bottom"/>
            <w:hideMark/>
          </w:tcPr>
          <w:p w14:paraId="2FF6E926" w14:textId="77777777" w:rsidR="000D4529" w:rsidRPr="00375327" w:rsidRDefault="000D4529" w:rsidP="000D4529">
            <w:pPr>
              <w:spacing w:line="240" w:lineRule="auto"/>
              <w:jc w:val="right"/>
              <w:rPr>
                <w:rFonts w:eastAsia="Times New Roman" w:cs="Times New Roman"/>
                <w:sz w:val="20"/>
                <w:szCs w:val="20"/>
              </w:rPr>
            </w:pPr>
          </w:p>
        </w:tc>
        <w:tc>
          <w:tcPr>
            <w:tcW w:w="921" w:type="dxa"/>
            <w:tcBorders>
              <w:top w:val="nil"/>
              <w:left w:val="nil"/>
              <w:bottom w:val="nil"/>
              <w:right w:val="nil"/>
            </w:tcBorders>
            <w:shd w:val="clear" w:color="auto" w:fill="auto"/>
            <w:noWrap/>
            <w:vAlign w:val="bottom"/>
            <w:hideMark/>
          </w:tcPr>
          <w:p w14:paraId="2E5B1E83" w14:textId="77777777" w:rsidR="000D4529" w:rsidRPr="00375327" w:rsidRDefault="000D4529" w:rsidP="000D4529">
            <w:pPr>
              <w:spacing w:line="240" w:lineRule="auto"/>
              <w:jc w:val="right"/>
              <w:rPr>
                <w:rFonts w:eastAsia="Times New Roman" w:cs="Times New Roman"/>
                <w:sz w:val="20"/>
                <w:szCs w:val="20"/>
              </w:rPr>
            </w:pPr>
          </w:p>
        </w:tc>
      </w:tr>
      <w:tr w:rsidR="000D4529" w:rsidRPr="00375327" w14:paraId="1CBD75EC" w14:textId="77777777" w:rsidTr="00301BBC">
        <w:trPr>
          <w:trHeight w:val="290"/>
          <w:jc w:val="center"/>
        </w:trPr>
        <w:tc>
          <w:tcPr>
            <w:tcW w:w="1040" w:type="dxa"/>
            <w:tcBorders>
              <w:top w:val="nil"/>
              <w:left w:val="nil"/>
              <w:bottom w:val="nil"/>
              <w:right w:val="nil"/>
            </w:tcBorders>
            <w:shd w:val="clear" w:color="auto" w:fill="auto"/>
            <w:noWrap/>
            <w:vAlign w:val="bottom"/>
            <w:hideMark/>
          </w:tcPr>
          <w:p w14:paraId="53E275E2"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Region</w:t>
            </w:r>
          </w:p>
        </w:tc>
        <w:tc>
          <w:tcPr>
            <w:tcW w:w="879" w:type="dxa"/>
            <w:tcBorders>
              <w:top w:val="nil"/>
              <w:left w:val="nil"/>
              <w:bottom w:val="nil"/>
              <w:right w:val="nil"/>
            </w:tcBorders>
            <w:shd w:val="clear" w:color="auto" w:fill="auto"/>
            <w:noWrap/>
            <w:vAlign w:val="bottom"/>
            <w:hideMark/>
          </w:tcPr>
          <w:p w14:paraId="31D145D4"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0.6296</w:t>
            </w:r>
          </w:p>
        </w:tc>
        <w:tc>
          <w:tcPr>
            <w:tcW w:w="921" w:type="dxa"/>
            <w:tcBorders>
              <w:top w:val="nil"/>
              <w:left w:val="nil"/>
              <w:bottom w:val="nil"/>
              <w:right w:val="nil"/>
            </w:tcBorders>
            <w:shd w:val="clear" w:color="auto" w:fill="auto"/>
            <w:noWrap/>
            <w:vAlign w:val="bottom"/>
            <w:hideMark/>
          </w:tcPr>
          <w:p w14:paraId="4470B0FB"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1</w:t>
            </w:r>
          </w:p>
        </w:tc>
        <w:tc>
          <w:tcPr>
            <w:tcW w:w="1040" w:type="dxa"/>
            <w:tcBorders>
              <w:top w:val="nil"/>
              <w:left w:val="nil"/>
              <w:bottom w:val="nil"/>
              <w:right w:val="nil"/>
            </w:tcBorders>
            <w:shd w:val="clear" w:color="auto" w:fill="auto"/>
            <w:noWrap/>
            <w:vAlign w:val="bottom"/>
            <w:hideMark/>
          </w:tcPr>
          <w:p w14:paraId="3242544B" w14:textId="77777777" w:rsidR="000D4529" w:rsidRPr="00375327" w:rsidRDefault="000D4529" w:rsidP="000D4529">
            <w:pPr>
              <w:spacing w:line="240" w:lineRule="auto"/>
              <w:jc w:val="right"/>
              <w:rPr>
                <w:rFonts w:eastAsia="Times New Roman" w:cs="Times New Roman"/>
                <w:color w:val="000000"/>
                <w:sz w:val="18"/>
                <w:szCs w:val="18"/>
              </w:rPr>
            </w:pPr>
          </w:p>
        </w:tc>
        <w:tc>
          <w:tcPr>
            <w:tcW w:w="921" w:type="dxa"/>
            <w:tcBorders>
              <w:top w:val="nil"/>
              <w:left w:val="nil"/>
              <w:bottom w:val="nil"/>
              <w:right w:val="nil"/>
            </w:tcBorders>
            <w:shd w:val="clear" w:color="auto" w:fill="auto"/>
            <w:noWrap/>
            <w:vAlign w:val="bottom"/>
            <w:hideMark/>
          </w:tcPr>
          <w:p w14:paraId="35A8832F" w14:textId="77777777" w:rsidR="000D4529" w:rsidRPr="00375327" w:rsidRDefault="000D4529" w:rsidP="000D4529">
            <w:pPr>
              <w:spacing w:line="240" w:lineRule="auto"/>
              <w:jc w:val="right"/>
              <w:rPr>
                <w:rFonts w:eastAsia="Times New Roman" w:cs="Times New Roman"/>
                <w:sz w:val="20"/>
                <w:szCs w:val="20"/>
              </w:rPr>
            </w:pPr>
          </w:p>
        </w:tc>
      </w:tr>
      <w:tr w:rsidR="000D4529" w:rsidRPr="00375327" w14:paraId="5118413E" w14:textId="77777777" w:rsidTr="00301BBC">
        <w:trPr>
          <w:trHeight w:val="290"/>
          <w:jc w:val="center"/>
        </w:trPr>
        <w:tc>
          <w:tcPr>
            <w:tcW w:w="1040" w:type="dxa"/>
            <w:tcBorders>
              <w:top w:val="nil"/>
              <w:left w:val="nil"/>
              <w:bottom w:val="nil"/>
              <w:right w:val="nil"/>
            </w:tcBorders>
            <w:shd w:val="clear" w:color="auto" w:fill="auto"/>
            <w:noWrap/>
            <w:vAlign w:val="bottom"/>
            <w:hideMark/>
          </w:tcPr>
          <w:p w14:paraId="2B619C07"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Country</w:t>
            </w:r>
          </w:p>
        </w:tc>
        <w:tc>
          <w:tcPr>
            <w:tcW w:w="879" w:type="dxa"/>
            <w:tcBorders>
              <w:top w:val="nil"/>
              <w:left w:val="nil"/>
              <w:bottom w:val="nil"/>
              <w:right w:val="nil"/>
            </w:tcBorders>
            <w:shd w:val="clear" w:color="auto" w:fill="auto"/>
            <w:noWrap/>
            <w:vAlign w:val="bottom"/>
            <w:hideMark/>
          </w:tcPr>
          <w:p w14:paraId="5AAB8259"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0.5555</w:t>
            </w:r>
          </w:p>
        </w:tc>
        <w:tc>
          <w:tcPr>
            <w:tcW w:w="921" w:type="dxa"/>
            <w:tcBorders>
              <w:top w:val="nil"/>
              <w:left w:val="nil"/>
              <w:bottom w:val="nil"/>
              <w:right w:val="nil"/>
            </w:tcBorders>
            <w:shd w:val="clear" w:color="auto" w:fill="auto"/>
            <w:noWrap/>
            <w:vAlign w:val="bottom"/>
            <w:hideMark/>
          </w:tcPr>
          <w:p w14:paraId="00B466F4"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0.6901</w:t>
            </w:r>
          </w:p>
        </w:tc>
        <w:tc>
          <w:tcPr>
            <w:tcW w:w="1040" w:type="dxa"/>
            <w:tcBorders>
              <w:top w:val="nil"/>
              <w:left w:val="nil"/>
              <w:bottom w:val="nil"/>
              <w:right w:val="nil"/>
            </w:tcBorders>
            <w:shd w:val="clear" w:color="auto" w:fill="auto"/>
            <w:noWrap/>
            <w:vAlign w:val="bottom"/>
            <w:hideMark/>
          </w:tcPr>
          <w:p w14:paraId="23DE5138"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1</w:t>
            </w:r>
          </w:p>
        </w:tc>
        <w:tc>
          <w:tcPr>
            <w:tcW w:w="921" w:type="dxa"/>
            <w:tcBorders>
              <w:top w:val="nil"/>
              <w:left w:val="nil"/>
              <w:bottom w:val="nil"/>
              <w:right w:val="nil"/>
            </w:tcBorders>
            <w:shd w:val="clear" w:color="auto" w:fill="auto"/>
            <w:noWrap/>
            <w:vAlign w:val="bottom"/>
            <w:hideMark/>
          </w:tcPr>
          <w:p w14:paraId="22DE9C20" w14:textId="77777777" w:rsidR="000D4529" w:rsidRPr="00375327" w:rsidRDefault="000D4529" w:rsidP="000D4529">
            <w:pPr>
              <w:spacing w:line="240" w:lineRule="auto"/>
              <w:jc w:val="right"/>
              <w:rPr>
                <w:rFonts w:eastAsia="Times New Roman" w:cs="Times New Roman"/>
                <w:color w:val="000000"/>
                <w:sz w:val="18"/>
                <w:szCs w:val="18"/>
              </w:rPr>
            </w:pPr>
          </w:p>
        </w:tc>
      </w:tr>
      <w:tr w:rsidR="000D4529" w:rsidRPr="00375327" w14:paraId="65D9BFBD" w14:textId="77777777" w:rsidTr="00301BBC">
        <w:trPr>
          <w:trHeight w:val="290"/>
          <w:jc w:val="center"/>
        </w:trPr>
        <w:tc>
          <w:tcPr>
            <w:tcW w:w="1040" w:type="dxa"/>
            <w:tcBorders>
              <w:top w:val="nil"/>
              <w:left w:val="nil"/>
              <w:bottom w:val="single" w:sz="4" w:space="0" w:color="auto"/>
              <w:right w:val="nil"/>
            </w:tcBorders>
            <w:shd w:val="clear" w:color="auto" w:fill="auto"/>
            <w:noWrap/>
            <w:vAlign w:val="bottom"/>
            <w:hideMark/>
          </w:tcPr>
          <w:p w14:paraId="2A8BBFE7"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Europe</w:t>
            </w:r>
          </w:p>
        </w:tc>
        <w:tc>
          <w:tcPr>
            <w:tcW w:w="879" w:type="dxa"/>
            <w:tcBorders>
              <w:top w:val="nil"/>
              <w:left w:val="nil"/>
              <w:bottom w:val="single" w:sz="4" w:space="0" w:color="auto"/>
              <w:right w:val="nil"/>
            </w:tcBorders>
            <w:shd w:val="clear" w:color="auto" w:fill="auto"/>
            <w:noWrap/>
            <w:vAlign w:val="bottom"/>
            <w:hideMark/>
          </w:tcPr>
          <w:p w14:paraId="4E4DD0F1"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0.4366</w:t>
            </w:r>
          </w:p>
        </w:tc>
        <w:tc>
          <w:tcPr>
            <w:tcW w:w="921" w:type="dxa"/>
            <w:tcBorders>
              <w:top w:val="nil"/>
              <w:left w:val="nil"/>
              <w:bottom w:val="single" w:sz="4" w:space="0" w:color="auto"/>
              <w:right w:val="nil"/>
            </w:tcBorders>
            <w:shd w:val="clear" w:color="auto" w:fill="auto"/>
            <w:noWrap/>
            <w:vAlign w:val="bottom"/>
            <w:hideMark/>
          </w:tcPr>
          <w:p w14:paraId="1A558718"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0.4802</w:t>
            </w:r>
          </w:p>
        </w:tc>
        <w:tc>
          <w:tcPr>
            <w:tcW w:w="1040" w:type="dxa"/>
            <w:tcBorders>
              <w:top w:val="nil"/>
              <w:left w:val="nil"/>
              <w:bottom w:val="single" w:sz="4" w:space="0" w:color="auto"/>
              <w:right w:val="nil"/>
            </w:tcBorders>
            <w:shd w:val="clear" w:color="auto" w:fill="auto"/>
            <w:noWrap/>
            <w:vAlign w:val="bottom"/>
            <w:hideMark/>
          </w:tcPr>
          <w:p w14:paraId="5E2C5984"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0.6156</w:t>
            </w:r>
          </w:p>
        </w:tc>
        <w:tc>
          <w:tcPr>
            <w:tcW w:w="921" w:type="dxa"/>
            <w:tcBorders>
              <w:top w:val="nil"/>
              <w:left w:val="nil"/>
              <w:bottom w:val="single" w:sz="4" w:space="0" w:color="auto"/>
              <w:right w:val="nil"/>
            </w:tcBorders>
            <w:shd w:val="clear" w:color="auto" w:fill="auto"/>
            <w:noWrap/>
            <w:vAlign w:val="bottom"/>
            <w:hideMark/>
          </w:tcPr>
          <w:p w14:paraId="667306D3" w14:textId="77777777" w:rsidR="000D4529" w:rsidRPr="00375327" w:rsidRDefault="000D4529" w:rsidP="000D4529">
            <w:pPr>
              <w:spacing w:line="240" w:lineRule="auto"/>
              <w:jc w:val="right"/>
              <w:rPr>
                <w:rFonts w:eastAsia="Times New Roman" w:cs="Times New Roman"/>
                <w:color w:val="000000"/>
                <w:sz w:val="18"/>
                <w:szCs w:val="18"/>
              </w:rPr>
            </w:pPr>
            <w:r w:rsidRPr="00375327">
              <w:rPr>
                <w:rFonts w:eastAsia="Times New Roman" w:cs="Times New Roman"/>
                <w:color w:val="000000"/>
                <w:sz w:val="18"/>
                <w:szCs w:val="18"/>
              </w:rPr>
              <w:t>1</w:t>
            </w:r>
          </w:p>
        </w:tc>
      </w:tr>
    </w:tbl>
    <w:p w14:paraId="1E099026" w14:textId="77777777" w:rsidR="00F05B22" w:rsidRPr="00375327" w:rsidRDefault="00F05B22" w:rsidP="00AC1B35"/>
    <w:p w14:paraId="19290765" w14:textId="560D6F07" w:rsidR="002E1E80" w:rsidRPr="00375327" w:rsidRDefault="002E1E80" w:rsidP="00AC1B35"/>
    <w:p w14:paraId="5C69485E" w14:textId="475639FE" w:rsidR="002E1E80" w:rsidRPr="00375327" w:rsidRDefault="00D26471" w:rsidP="00D27FBC">
      <w:pPr>
        <w:pStyle w:val="Heading2"/>
      </w:pPr>
      <w:r>
        <w:t>The effect of sociotropic concern on support for an EU fiscal capacity</w:t>
      </w:r>
    </w:p>
    <w:p w14:paraId="67FA9B9C" w14:textId="0F4AC45B" w:rsidR="00B438EF" w:rsidRPr="00375327" w:rsidRDefault="00DD2BC5" w:rsidP="00691CAC">
      <w:pPr>
        <w:jc w:val="both"/>
      </w:pPr>
      <w:r w:rsidRPr="00375327">
        <w:t xml:space="preserve">Next, we turn to the question of whether these causal beliefs </w:t>
      </w:r>
      <w:r w:rsidR="00301BBC" w:rsidRPr="00375327">
        <w:t xml:space="preserve">influence support for an EU fiscal capacity. </w:t>
      </w:r>
      <w:r w:rsidR="00752096" w:rsidRPr="00375327">
        <w:t xml:space="preserve">Table 2 shows </w:t>
      </w:r>
      <w:r w:rsidR="00B438EF" w:rsidRPr="00375327">
        <w:t>the results of a series of regression</w:t>
      </w:r>
      <w:r w:rsidR="00E80A27" w:rsidRPr="00375327">
        <w:t>s</w:t>
      </w:r>
      <w:r w:rsidR="00B438EF" w:rsidRPr="00375327">
        <w:t xml:space="preserve"> </w:t>
      </w:r>
      <w:r w:rsidR="00E80A27" w:rsidRPr="00375327">
        <w:t xml:space="preserve">on the rating given </w:t>
      </w:r>
      <w:r w:rsidR="00FE7A6F" w:rsidRPr="00375327">
        <w:t xml:space="preserve">to a policy package </w:t>
      </w:r>
      <w:r w:rsidR="00B438EF" w:rsidRPr="00375327">
        <w:t xml:space="preserve">on beliefs of the policy’s effects on oneself and the different levels of community, and the control variables. Note that the effects of the policy characteristics are </w:t>
      </w:r>
      <w:r w:rsidR="00FE7A6F" w:rsidRPr="00375327">
        <w:t xml:space="preserve">controlled for but </w:t>
      </w:r>
      <w:r w:rsidR="00B438EF" w:rsidRPr="00375327">
        <w:t xml:space="preserve">suppressed from the output, as are the fixed country effects. </w:t>
      </w:r>
    </w:p>
    <w:p w14:paraId="27AD5A85" w14:textId="77777777" w:rsidR="00B438EF" w:rsidRPr="00375327" w:rsidRDefault="00B438EF" w:rsidP="00691CAC">
      <w:pPr>
        <w:jc w:val="both"/>
      </w:pPr>
    </w:p>
    <w:p w14:paraId="7998AB36" w14:textId="540C6858" w:rsidR="00004F2C" w:rsidRPr="00375327" w:rsidRDefault="00B438EF" w:rsidP="00691CAC">
      <w:pPr>
        <w:jc w:val="both"/>
      </w:pPr>
      <w:r w:rsidRPr="00375327">
        <w:t>Models 1 to 4 regress the believes for the ego and each of the levels of the community separately</w:t>
      </w:r>
      <w:r w:rsidR="00FB12AF" w:rsidRPr="00375327">
        <w:t xml:space="preserve">. In each of these models, these causal beliefs have a strong effect on support for the policy. Model 1 shows </w:t>
      </w:r>
      <w:r w:rsidR="00004F2C" w:rsidRPr="00375327">
        <w:t>that the rating given to a particular proposal for an EU fiscal capacity is on average 0.149 higher (lower) for every 1-point increase (decrease) in the positivity (negativity) of the perceived effect of the policy on oneself. As shown in models 2 to 4, t</w:t>
      </w:r>
      <w:r w:rsidR="007F7A1C" w:rsidRPr="00375327">
        <w:t>he perceived effects on the different levels of community are also shown to strongly influence support for the policy:</w:t>
      </w:r>
      <w:r w:rsidR="00004F2C" w:rsidRPr="00375327">
        <w:t xml:space="preserve"> in these cases, a 1-point increase (decrease) in the positivity (negativity) of the perceived effect of the policy on the region, the nation and the EU as a whole is associated with a 0.130, 0.125 and 0.097 higher </w:t>
      </w:r>
      <w:r w:rsidR="00156F32" w:rsidRPr="00375327">
        <w:t xml:space="preserve">(lower) </w:t>
      </w:r>
      <w:r w:rsidR="00004F2C" w:rsidRPr="00375327">
        <w:t xml:space="preserve">rating </w:t>
      </w:r>
      <w:r w:rsidR="00945D0C" w:rsidRPr="00375327">
        <w:t xml:space="preserve">given to a proposal for the policy. </w:t>
      </w:r>
      <w:r w:rsidR="00527E18" w:rsidRPr="00375327">
        <w:t xml:space="preserve">All of these effects are significant on the .001 level. </w:t>
      </w:r>
    </w:p>
    <w:p w14:paraId="28BA1062" w14:textId="77777777" w:rsidR="00FB12AF" w:rsidRPr="00375327" w:rsidRDefault="00FB12AF" w:rsidP="00691CAC">
      <w:pPr>
        <w:jc w:val="both"/>
      </w:pPr>
    </w:p>
    <w:p w14:paraId="46F998DC" w14:textId="2FD4512E" w:rsidR="000D4529" w:rsidRPr="00375327" w:rsidRDefault="00945D0C" w:rsidP="00691CAC">
      <w:pPr>
        <w:jc w:val="both"/>
      </w:pPr>
      <w:r w:rsidRPr="00375327">
        <w:lastRenderedPageBreak/>
        <w:t xml:space="preserve">The most important question however is whether these community-level causal beliefs also have an effect </w:t>
      </w:r>
      <w:r w:rsidR="00156F32" w:rsidRPr="00375327">
        <w:t xml:space="preserve">on </w:t>
      </w:r>
      <w:r w:rsidRPr="00375327">
        <w:t xml:space="preserve">policy support while controlling for the perceived effects on oneself. To this end, model 5 includes each of these causal beliefs simultaneously. Here, the effects of causal beliefs for the ego and for each of the community levels are lower than when these are included separately, </w:t>
      </w:r>
      <w:r w:rsidR="00527E18" w:rsidRPr="00375327">
        <w:t xml:space="preserve">indicating that </w:t>
      </w:r>
      <w:r w:rsidR="00156F32" w:rsidRPr="00375327">
        <w:t xml:space="preserve">these separate effects </w:t>
      </w:r>
      <w:r w:rsidR="00527E18" w:rsidRPr="00375327">
        <w:t xml:space="preserve">are </w:t>
      </w:r>
      <w:r w:rsidR="00156F32" w:rsidRPr="00375327">
        <w:t xml:space="preserve">confounded </w:t>
      </w:r>
      <w:r w:rsidR="00527E18" w:rsidRPr="00375327">
        <w:t>by the other causal beliefs</w:t>
      </w:r>
      <w:r w:rsidR="000E6A51" w:rsidRPr="00375327">
        <w:t>.</w:t>
      </w:r>
      <w:r w:rsidR="00527E18" w:rsidRPr="00375327">
        <w:t xml:space="preserve"> </w:t>
      </w:r>
      <w:r w:rsidR="000E6A51" w:rsidRPr="00375327">
        <w:t xml:space="preserve">However, </w:t>
      </w:r>
      <w:r w:rsidRPr="00375327">
        <w:t>they remain significant at conventional levels</w:t>
      </w:r>
      <w:r w:rsidR="000E6A51" w:rsidRPr="00375327">
        <w:t>, confirming hypothesis 1a, 2a and 3a.</w:t>
      </w:r>
      <w:r w:rsidRPr="00375327">
        <w:t xml:space="preserve"> </w:t>
      </w:r>
      <w:r w:rsidR="00527E18" w:rsidRPr="00375327">
        <w:t xml:space="preserve">Interestingly, the effects of causal beliefs for the region and the EU as a whole are reduced </w:t>
      </w:r>
      <w:r w:rsidR="00320493" w:rsidRPr="00375327">
        <w:t xml:space="preserve">in their effect size </w:t>
      </w:r>
      <w:r w:rsidR="00527E18" w:rsidRPr="00375327">
        <w:t xml:space="preserve">more than </w:t>
      </w:r>
      <w:r w:rsidR="00320493" w:rsidRPr="00375327">
        <w:t xml:space="preserve">are </w:t>
      </w:r>
      <w:r w:rsidR="00527E18" w:rsidRPr="00375327">
        <w:t>beliefs for the ego and the country.</w:t>
      </w:r>
    </w:p>
    <w:p w14:paraId="51D6DD08" w14:textId="3AEA55BF" w:rsidR="003B3F52" w:rsidRPr="00375327" w:rsidRDefault="003B3F52" w:rsidP="00691CAC">
      <w:pPr>
        <w:jc w:val="both"/>
      </w:pPr>
    </w:p>
    <w:p w14:paraId="356CB7CB" w14:textId="77777777" w:rsidR="00752096" w:rsidRPr="00375327" w:rsidRDefault="00752096">
      <w:pPr>
        <w:spacing w:after="160" w:line="259" w:lineRule="auto"/>
        <w:sectPr w:rsidR="00752096" w:rsidRPr="00375327" w:rsidSect="00A17E9E">
          <w:pgSz w:w="11906" w:h="16838"/>
          <w:pgMar w:top="1440" w:right="1440" w:bottom="1440" w:left="1440" w:header="708" w:footer="708" w:gutter="0"/>
          <w:cols w:space="708"/>
          <w:docGrid w:linePitch="360"/>
        </w:sectPr>
      </w:pPr>
    </w:p>
    <w:tbl>
      <w:tblPr>
        <w:tblW w:w="5000" w:type="pct"/>
        <w:tblLook w:val="04A0" w:firstRow="1" w:lastRow="0" w:firstColumn="1" w:lastColumn="0" w:noHBand="0" w:noVBand="1"/>
      </w:tblPr>
      <w:tblGrid>
        <w:gridCol w:w="2430"/>
        <w:gridCol w:w="1099"/>
        <w:gridCol w:w="821"/>
        <w:gridCol w:w="1100"/>
        <w:gridCol w:w="821"/>
        <w:gridCol w:w="1100"/>
        <w:gridCol w:w="821"/>
        <w:gridCol w:w="1100"/>
        <w:gridCol w:w="821"/>
        <w:gridCol w:w="1100"/>
        <w:gridCol w:w="821"/>
        <w:gridCol w:w="1100"/>
        <w:gridCol w:w="824"/>
      </w:tblGrid>
      <w:tr w:rsidR="0080615F" w:rsidRPr="00375327" w14:paraId="5AB0046B" w14:textId="77777777" w:rsidTr="0080615F">
        <w:trPr>
          <w:trHeight w:val="310"/>
        </w:trPr>
        <w:tc>
          <w:tcPr>
            <w:tcW w:w="5000" w:type="pct"/>
            <w:gridSpan w:val="13"/>
            <w:tcBorders>
              <w:top w:val="nil"/>
              <w:left w:val="nil"/>
              <w:bottom w:val="nil"/>
              <w:right w:val="nil"/>
            </w:tcBorders>
            <w:shd w:val="clear" w:color="000000" w:fill="FFFFFF"/>
            <w:noWrap/>
            <w:vAlign w:val="center"/>
            <w:hideMark/>
          </w:tcPr>
          <w:p w14:paraId="3FC74507" w14:textId="77777777" w:rsidR="0080615F" w:rsidRPr="00375327" w:rsidRDefault="0080615F" w:rsidP="0080615F">
            <w:pPr>
              <w:spacing w:line="240" w:lineRule="auto"/>
              <w:rPr>
                <w:rFonts w:eastAsia="Times New Roman" w:cs="Times New Roman"/>
                <w:szCs w:val="24"/>
              </w:rPr>
            </w:pPr>
            <w:r w:rsidRPr="00375327">
              <w:rPr>
                <w:rFonts w:eastAsia="Times New Roman" w:cs="Times New Roman"/>
                <w:szCs w:val="24"/>
              </w:rPr>
              <w:lastRenderedPageBreak/>
              <w:t>Table 1. Regression of support for fiscal capacity on sociotropic concern</w:t>
            </w:r>
          </w:p>
        </w:tc>
      </w:tr>
      <w:tr w:rsidR="0080615F" w:rsidRPr="00375327" w14:paraId="5DA639E1" w14:textId="77777777" w:rsidTr="0080615F">
        <w:trPr>
          <w:trHeight w:val="290"/>
        </w:trPr>
        <w:tc>
          <w:tcPr>
            <w:tcW w:w="871" w:type="pct"/>
            <w:tcBorders>
              <w:top w:val="nil"/>
              <w:left w:val="nil"/>
              <w:bottom w:val="nil"/>
              <w:right w:val="nil"/>
            </w:tcBorders>
            <w:shd w:val="clear" w:color="000000" w:fill="FFFFFF"/>
            <w:noWrap/>
            <w:vAlign w:val="center"/>
            <w:hideMark/>
          </w:tcPr>
          <w:p w14:paraId="2DA665C6"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688" w:type="pct"/>
            <w:gridSpan w:val="2"/>
            <w:tcBorders>
              <w:top w:val="nil"/>
              <w:left w:val="nil"/>
              <w:bottom w:val="nil"/>
              <w:right w:val="nil"/>
            </w:tcBorders>
            <w:shd w:val="clear" w:color="000000" w:fill="FFFFFF"/>
            <w:noWrap/>
            <w:vAlign w:val="center"/>
            <w:hideMark/>
          </w:tcPr>
          <w:p w14:paraId="639B1BCB"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Model 1</w:t>
            </w:r>
          </w:p>
        </w:tc>
        <w:tc>
          <w:tcPr>
            <w:tcW w:w="688" w:type="pct"/>
            <w:gridSpan w:val="2"/>
            <w:tcBorders>
              <w:top w:val="nil"/>
              <w:left w:val="nil"/>
              <w:bottom w:val="nil"/>
              <w:right w:val="nil"/>
            </w:tcBorders>
            <w:shd w:val="clear" w:color="000000" w:fill="FFFFFF"/>
            <w:noWrap/>
            <w:vAlign w:val="center"/>
            <w:hideMark/>
          </w:tcPr>
          <w:p w14:paraId="508623CB"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Model 2</w:t>
            </w:r>
          </w:p>
        </w:tc>
        <w:tc>
          <w:tcPr>
            <w:tcW w:w="688" w:type="pct"/>
            <w:gridSpan w:val="2"/>
            <w:tcBorders>
              <w:top w:val="nil"/>
              <w:left w:val="nil"/>
              <w:bottom w:val="nil"/>
              <w:right w:val="nil"/>
            </w:tcBorders>
            <w:shd w:val="clear" w:color="000000" w:fill="FFFFFF"/>
            <w:noWrap/>
            <w:vAlign w:val="center"/>
            <w:hideMark/>
          </w:tcPr>
          <w:p w14:paraId="451815E9"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Model 3</w:t>
            </w:r>
          </w:p>
        </w:tc>
        <w:tc>
          <w:tcPr>
            <w:tcW w:w="688" w:type="pct"/>
            <w:gridSpan w:val="2"/>
            <w:tcBorders>
              <w:top w:val="nil"/>
              <w:left w:val="nil"/>
              <w:bottom w:val="nil"/>
              <w:right w:val="nil"/>
            </w:tcBorders>
            <w:shd w:val="clear" w:color="000000" w:fill="FFFFFF"/>
            <w:noWrap/>
            <w:vAlign w:val="center"/>
            <w:hideMark/>
          </w:tcPr>
          <w:p w14:paraId="480D6C74"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Model 4</w:t>
            </w:r>
          </w:p>
        </w:tc>
        <w:tc>
          <w:tcPr>
            <w:tcW w:w="688" w:type="pct"/>
            <w:gridSpan w:val="2"/>
            <w:tcBorders>
              <w:top w:val="nil"/>
              <w:left w:val="nil"/>
              <w:bottom w:val="nil"/>
              <w:right w:val="nil"/>
            </w:tcBorders>
            <w:shd w:val="clear" w:color="000000" w:fill="FFFFFF"/>
            <w:noWrap/>
            <w:vAlign w:val="center"/>
            <w:hideMark/>
          </w:tcPr>
          <w:p w14:paraId="46066BB1"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Model 5</w:t>
            </w:r>
          </w:p>
        </w:tc>
        <w:tc>
          <w:tcPr>
            <w:tcW w:w="688" w:type="pct"/>
            <w:gridSpan w:val="2"/>
            <w:tcBorders>
              <w:top w:val="nil"/>
              <w:left w:val="nil"/>
              <w:bottom w:val="nil"/>
              <w:right w:val="nil"/>
            </w:tcBorders>
            <w:shd w:val="clear" w:color="000000" w:fill="FFFFFF"/>
            <w:noWrap/>
            <w:vAlign w:val="center"/>
            <w:hideMark/>
          </w:tcPr>
          <w:p w14:paraId="7F5E3F10"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Model 6</w:t>
            </w:r>
          </w:p>
        </w:tc>
      </w:tr>
      <w:tr w:rsidR="0080615F" w:rsidRPr="00375327" w14:paraId="63165826" w14:textId="77777777" w:rsidTr="0080615F">
        <w:trPr>
          <w:trHeight w:val="290"/>
        </w:trPr>
        <w:tc>
          <w:tcPr>
            <w:tcW w:w="871" w:type="pct"/>
            <w:tcBorders>
              <w:top w:val="nil"/>
              <w:left w:val="nil"/>
              <w:bottom w:val="single" w:sz="12" w:space="0" w:color="auto"/>
              <w:right w:val="nil"/>
            </w:tcBorders>
            <w:shd w:val="clear" w:color="000000" w:fill="FFFFFF"/>
            <w:noWrap/>
            <w:vAlign w:val="center"/>
            <w:hideMark/>
          </w:tcPr>
          <w:p w14:paraId="4D074A5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394" w:type="pct"/>
            <w:tcBorders>
              <w:top w:val="nil"/>
              <w:left w:val="nil"/>
              <w:bottom w:val="single" w:sz="12" w:space="0" w:color="auto"/>
              <w:right w:val="nil"/>
            </w:tcBorders>
            <w:shd w:val="clear" w:color="000000" w:fill="FFFFFF"/>
            <w:noWrap/>
            <w:vAlign w:val="center"/>
            <w:hideMark/>
          </w:tcPr>
          <w:p w14:paraId="2BBB26F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B</w:t>
            </w:r>
          </w:p>
        </w:tc>
        <w:tc>
          <w:tcPr>
            <w:tcW w:w="294" w:type="pct"/>
            <w:tcBorders>
              <w:top w:val="nil"/>
              <w:left w:val="nil"/>
              <w:bottom w:val="single" w:sz="12" w:space="0" w:color="auto"/>
              <w:right w:val="nil"/>
            </w:tcBorders>
            <w:shd w:val="clear" w:color="000000" w:fill="FFFFFF"/>
            <w:noWrap/>
            <w:vAlign w:val="center"/>
            <w:hideMark/>
          </w:tcPr>
          <w:p w14:paraId="45D2E99C" w14:textId="77777777" w:rsidR="0080615F" w:rsidRPr="00375327" w:rsidRDefault="0080615F" w:rsidP="0080615F">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c>
          <w:tcPr>
            <w:tcW w:w="394" w:type="pct"/>
            <w:tcBorders>
              <w:top w:val="nil"/>
              <w:left w:val="nil"/>
              <w:bottom w:val="single" w:sz="12" w:space="0" w:color="auto"/>
              <w:right w:val="nil"/>
            </w:tcBorders>
            <w:shd w:val="clear" w:color="000000" w:fill="FFFFFF"/>
            <w:noWrap/>
            <w:vAlign w:val="center"/>
            <w:hideMark/>
          </w:tcPr>
          <w:p w14:paraId="4758E6A1"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B</w:t>
            </w:r>
          </w:p>
        </w:tc>
        <w:tc>
          <w:tcPr>
            <w:tcW w:w="294" w:type="pct"/>
            <w:tcBorders>
              <w:top w:val="nil"/>
              <w:left w:val="nil"/>
              <w:bottom w:val="single" w:sz="12" w:space="0" w:color="auto"/>
              <w:right w:val="nil"/>
            </w:tcBorders>
            <w:shd w:val="clear" w:color="000000" w:fill="FFFFFF"/>
            <w:noWrap/>
            <w:vAlign w:val="center"/>
            <w:hideMark/>
          </w:tcPr>
          <w:p w14:paraId="389489FA" w14:textId="77777777" w:rsidR="0080615F" w:rsidRPr="00375327" w:rsidRDefault="0080615F" w:rsidP="0080615F">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c>
          <w:tcPr>
            <w:tcW w:w="394" w:type="pct"/>
            <w:tcBorders>
              <w:top w:val="nil"/>
              <w:left w:val="nil"/>
              <w:bottom w:val="single" w:sz="12" w:space="0" w:color="auto"/>
              <w:right w:val="nil"/>
            </w:tcBorders>
            <w:shd w:val="clear" w:color="000000" w:fill="FFFFFF"/>
            <w:noWrap/>
            <w:vAlign w:val="center"/>
            <w:hideMark/>
          </w:tcPr>
          <w:p w14:paraId="357E0D58"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B</w:t>
            </w:r>
          </w:p>
        </w:tc>
        <w:tc>
          <w:tcPr>
            <w:tcW w:w="294" w:type="pct"/>
            <w:tcBorders>
              <w:top w:val="nil"/>
              <w:left w:val="nil"/>
              <w:bottom w:val="single" w:sz="12" w:space="0" w:color="auto"/>
              <w:right w:val="nil"/>
            </w:tcBorders>
            <w:shd w:val="clear" w:color="000000" w:fill="FFFFFF"/>
            <w:noWrap/>
            <w:vAlign w:val="center"/>
            <w:hideMark/>
          </w:tcPr>
          <w:p w14:paraId="3FD2B46C" w14:textId="77777777" w:rsidR="0080615F" w:rsidRPr="00375327" w:rsidRDefault="0080615F" w:rsidP="0080615F">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c>
          <w:tcPr>
            <w:tcW w:w="394" w:type="pct"/>
            <w:tcBorders>
              <w:top w:val="nil"/>
              <w:left w:val="nil"/>
              <w:bottom w:val="single" w:sz="12" w:space="0" w:color="auto"/>
              <w:right w:val="nil"/>
            </w:tcBorders>
            <w:shd w:val="clear" w:color="000000" w:fill="FFFFFF"/>
            <w:noWrap/>
            <w:vAlign w:val="center"/>
            <w:hideMark/>
          </w:tcPr>
          <w:p w14:paraId="116069B4"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B</w:t>
            </w:r>
          </w:p>
        </w:tc>
        <w:tc>
          <w:tcPr>
            <w:tcW w:w="294" w:type="pct"/>
            <w:tcBorders>
              <w:top w:val="nil"/>
              <w:left w:val="nil"/>
              <w:bottom w:val="single" w:sz="12" w:space="0" w:color="auto"/>
              <w:right w:val="nil"/>
            </w:tcBorders>
            <w:shd w:val="clear" w:color="000000" w:fill="FFFFFF"/>
            <w:noWrap/>
            <w:vAlign w:val="center"/>
            <w:hideMark/>
          </w:tcPr>
          <w:p w14:paraId="3AC3E965" w14:textId="77777777" w:rsidR="0080615F" w:rsidRPr="00375327" w:rsidRDefault="0080615F" w:rsidP="0080615F">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c>
          <w:tcPr>
            <w:tcW w:w="394" w:type="pct"/>
            <w:tcBorders>
              <w:top w:val="nil"/>
              <w:left w:val="nil"/>
              <w:bottom w:val="single" w:sz="12" w:space="0" w:color="auto"/>
              <w:right w:val="nil"/>
            </w:tcBorders>
            <w:shd w:val="clear" w:color="000000" w:fill="FFFFFF"/>
            <w:noWrap/>
            <w:vAlign w:val="center"/>
            <w:hideMark/>
          </w:tcPr>
          <w:p w14:paraId="08DD9AB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B</w:t>
            </w:r>
          </w:p>
        </w:tc>
        <w:tc>
          <w:tcPr>
            <w:tcW w:w="294" w:type="pct"/>
            <w:tcBorders>
              <w:top w:val="nil"/>
              <w:left w:val="nil"/>
              <w:bottom w:val="single" w:sz="12" w:space="0" w:color="auto"/>
              <w:right w:val="nil"/>
            </w:tcBorders>
            <w:shd w:val="clear" w:color="000000" w:fill="FFFFFF"/>
            <w:noWrap/>
            <w:vAlign w:val="center"/>
            <w:hideMark/>
          </w:tcPr>
          <w:p w14:paraId="38851BD9" w14:textId="77777777" w:rsidR="0080615F" w:rsidRPr="00375327" w:rsidRDefault="0080615F" w:rsidP="0080615F">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c>
          <w:tcPr>
            <w:tcW w:w="394" w:type="pct"/>
            <w:tcBorders>
              <w:top w:val="nil"/>
              <w:left w:val="nil"/>
              <w:bottom w:val="single" w:sz="12" w:space="0" w:color="auto"/>
              <w:right w:val="nil"/>
            </w:tcBorders>
            <w:shd w:val="clear" w:color="000000" w:fill="FFFFFF"/>
            <w:noWrap/>
            <w:vAlign w:val="center"/>
            <w:hideMark/>
          </w:tcPr>
          <w:p w14:paraId="658A249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B</w:t>
            </w:r>
          </w:p>
        </w:tc>
        <w:tc>
          <w:tcPr>
            <w:tcW w:w="294" w:type="pct"/>
            <w:tcBorders>
              <w:top w:val="nil"/>
              <w:left w:val="nil"/>
              <w:bottom w:val="single" w:sz="12" w:space="0" w:color="auto"/>
              <w:right w:val="nil"/>
            </w:tcBorders>
            <w:shd w:val="clear" w:color="000000" w:fill="FFFFFF"/>
            <w:noWrap/>
            <w:vAlign w:val="center"/>
            <w:hideMark/>
          </w:tcPr>
          <w:p w14:paraId="7FAB20CD" w14:textId="77777777" w:rsidR="0080615F" w:rsidRPr="00375327" w:rsidRDefault="0080615F" w:rsidP="0080615F">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r>
      <w:tr w:rsidR="0080615F" w:rsidRPr="00375327" w14:paraId="34EB0CE5" w14:textId="77777777" w:rsidTr="0080615F">
        <w:trPr>
          <w:trHeight w:val="290"/>
        </w:trPr>
        <w:tc>
          <w:tcPr>
            <w:tcW w:w="871" w:type="pct"/>
            <w:tcBorders>
              <w:top w:val="nil"/>
              <w:left w:val="nil"/>
              <w:bottom w:val="nil"/>
              <w:right w:val="nil"/>
            </w:tcBorders>
            <w:shd w:val="clear" w:color="000000" w:fill="FFFFFF"/>
            <w:noWrap/>
            <w:vAlign w:val="center"/>
            <w:hideMark/>
          </w:tcPr>
          <w:p w14:paraId="6B40976C"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Causal beliefs: ego</w:t>
            </w:r>
          </w:p>
        </w:tc>
        <w:tc>
          <w:tcPr>
            <w:tcW w:w="394" w:type="pct"/>
            <w:tcBorders>
              <w:top w:val="nil"/>
              <w:left w:val="nil"/>
              <w:bottom w:val="nil"/>
              <w:right w:val="nil"/>
            </w:tcBorders>
            <w:shd w:val="clear" w:color="000000" w:fill="FFFFFF"/>
            <w:noWrap/>
            <w:vAlign w:val="center"/>
            <w:hideMark/>
          </w:tcPr>
          <w:p w14:paraId="27FE007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0.149***</w:t>
            </w:r>
          </w:p>
        </w:tc>
        <w:tc>
          <w:tcPr>
            <w:tcW w:w="294" w:type="pct"/>
            <w:tcBorders>
              <w:top w:val="nil"/>
              <w:left w:val="nil"/>
              <w:bottom w:val="nil"/>
              <w:right w:val="nil"/>
            </w:tcBorders>
            <w:shd w:val="clear" w:color="000000" w:fill="FFFFFF"/>
            <w:noWrap/>
            <w:vAlign w:val="center"/>
            <w:hideMark/>
          </w:tcPr>
          <w:p w14:paraId="5664EDB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(0.009)</w:t>
            </w:r>
          </w:p>
        </w:tc>
        <w:tc>
          <w:tcPr>
            <w:tcW w:w="394" w:type="pct"/>
            <w:tcBorders>
              <w:top w:val="nil"/>
              <w:left w:val="nil"/>
              <w:bottom w:val="nil"/>
              <w:right w:val="nil"/>
            </w:tcBorders>
            <w:shd w:val="clear" w:color="000000" w:fill="FFFFFF"/>
            <w:noWrap/>
            <w:vAlign w:val="center"/>
            <w:hideMark/>
          </w:tcPr>
          <w:p w14:paraId="79002B1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294" w:type="pct"/>
            <w:tcBorders>
              <w:top w:val="nil"/>
              <w:left w:val="nil"/>
              <w:bottom w:val="nil"/>
              <w:right w:val="nil"/>
            </w:tcBorders>
            <w:shd w:val="clear" w:color="000000" w:fill="FFFFFF"/>
            <w:noWrap/>
            <w:vAlign w:val="center"/>
            <w:hideMark/>
          </w:tcPr>
          <w:p w14:paraId="1682189B"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394" w:type="pct"/>
            <w:tcBorders>
              <w:top w:val="nil"/>
              <w:left w:val="nil"/>
              <w:bottom w:val="nil"/>
              <w:right w:val="nil"/>
            </w:tcBorders>
            <w:shd w:val="clear" w:color="000000" w:fill="FFFFFF"/>
            <w:noWrap/>
            <w:vAlign w:val="center"/>
            <w:hideMark/>
          </w:tcPr>
          <w:p w14:paraId="17F6A08B"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294" w:type="pct"/>
            <w:tcBorders>
              <w:top w:val="nil"/>
              <w:left w:val="nil"/>
              <w:bottom w:val="nil"/>
              <w:right w:val="nil"/>
            </w:tcBorders>
            <w:shd w:val="clear" w:color="000000" w:fill="FFFFFF"/>
            <w:noWrap/>
            <w:vAlign w:val="center"/>
            <w:hideMark/>
          </w:tcPr>
          <w:p w14:paraId="6B79AABE"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394" w:type="pct"/>
            <w:tcBorders>
              <w:top w:val="nil"/>
              <w:left w:val="nil"/>
              <w:bottom w:val="nil"/>
              <w:right w:val="nil"/>
            </w:tcBorders>
            <w:shd w:val="clear" w:color="000000" w:fill="FFFFFF"/>
            <w:noWrap/>
            <w:vAlign w:val="center"/>
            <w:hideMark/>
          </w:tcPr>
          <w:p w14:paraId="35982858"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294" w:type="pct"/>
            <w:tcBorders>
              <w:top w:val="nil"/>
              <w:left w:val="nil"/>
              <w:bottom w:val="nil"/>
              <w:right w:val="nil"/>
            </w:tcBorders>
            <w:shd w:val="clear" w:color="000000" w:fill="FFFFFF"/>
            <w:noWrap/>
            <w:vAlign w:val="center"/>
            <w:hideMark/>
          </w:tcPr>
          <w:p w14:paraId="2950926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394" w:type="pct"/>
            <w:tcBorders>
              <w:top w:val="nil"/>
              <w:left w:val="nil"/>
              <w:bottom w:val="nil"/>
              <w:right w:val="nil"/>
            </w:tcBorders>
            <w:shd w:val="clear" w:color="000000" w:fill="FFFFFF"/>
            <w:noWrap/>
            <w:vAlign w:val="center"/>
            <w:hideMark/>
          </w:tcPr>
          <w:p w14:paraId="130D82D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0.078***</w:t>
            </w:r>
          </w:p>
        </w:tc>
        <w:tc>
          <w:tcPr>
            <w:tcW w:w="294" w:type="pct"/>
            <w:tcBorders>
              <w:top w:val="nil"/>
              <w:left w:val="nil"/>
              <w:bottom w:val="nil"/>
              <w:right w:val="nil"/>
            </w:tcBorders>
            <w:shd w:val="clear" w:color="000000" w:fill="FFFFFF"/>
            <w:noWrap/>
            <w:vAlign w:val="center"/>
            <w:hideMark/>
          </w:tcPr>
          <w:p w14:paraId="08612A88"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(0.009)</w:t>
            </w:r>
          </w:p>
        </w:tc>
        <w:tc>
          <w:tcPr>
            <w:tcW w:w="394" w:type="pct"/>
            <w:tcBorders>
              <w:top w:val="nil"/>
              <w:left w:val="nil"/>
              <w:bottom w:val="nil"/>
              <w:right w:val="nil"/>
            </w:tcBorders>
            <w:shd w:val="clear" w:color="000000" w:fill="FFFFFF"/>
            <w:noWrap/>
            <w:vAlign w:val="center"/>
            <w:hideMark/>
          </w:tcPr>
          <w:p w14:paraId="12A94E4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0.023***</w:t>
            </w:r>
          </w:p>
        </w:tc>
        <w:tc>
          <w:tcPr>
            <w:tcW w:w="294" w:type="pct"/>
            <w:tcBorders>
              <w:top w:val="nil"/>
              <w:left w:val="nil"/>
              <w:bottom w:val="nil"/>
              <w:right w:val="nil"/>
            </w:tcBorders>
            <w:shd w:val="clear" w:color="000000" w:fill="FFFFFF"/>
            <w:noWrap/>
            <w:vAlign w:val="center"/>
            <w:hideMark/>
          </w:tcPr>
          <w:p w14:paraId="042C5CA6"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(0.004)</w:t>
            </w:r>
          </w:p>
        </w:tc>
      </w:tr>
      <w:tr w:rsidR="0080615F" w:rsidRPr="00375327" w14:paraId="4B5C36FB" w14:textId="77777777" w:rsidTr="0080615F">
        <w:trPr>
          <w:trHeight w:val="290"/>
        </w:trPr>
        <w:tc>
          <w:tcPr>
            <w:tcW w:w="871" w:type="pct"/>
            <w:tcBorders>
              <w:top w:val="nil"/>
              <w:left w:val="nil"/>
              <w:bottom w:val="nil"/>
              <w:right w:val="nil"/>
            </w:tcBorders>
            <w:shd w:val="clear" w:color="000000" w:fill="FFFFFF"/>
            <w:noWrap/>
            <w:vAlign w:val="center"/>
            <w:hideMark/>
          </w:tcPr>
          <w:p w14:paraId="385A76B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Causal beliefs: region</w:t>
            </w:r>
          </w:p>
        </w:tc>
        <w:tc>
          <w:tcPr>
            <w:tcW w:w="394" w:type="pct"/>
            <w:tcBorders>
              <w:top w:val="nil"/>
              <w:left w:val="nil"/>
              <w:bottom w:val="nil"/>
              <w:right w:val="nil"/>
            </w:tcBorders>
            <w:shd w:val="clear" w:color="000000" w:fill="FFFFFF"/>
            <w:noWrap/>
            <w:vAlign w:val="center"/>
            <w:hideMark/>
          </w:tcPr>
          <w:p w14:paraId="01886BC6"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294" w:type="pct"/>
            <w:tcBorders>
              <w:top w:val="nil"/>
              <w:left w:val="nil"/>
              <w:bottom w:val="nil"/>
              <w:right w:val="nil"/>
            </w:tcBorders>
            <w:shd w:val="clear" w:color="000000" w:fill="FFFFFF"/>
            <w:noWrap/>
            <w:vAlign w:val="center"/>
            <w:hideMark/>
          </w:tcPr>
          <w:p w14:paraId="699B4DFD"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394" w:type="pct"/>
            <w:tcBorders>
              <w:top w:val="nil"/>
              <w:left w:val="nil"/>
              <w:bottom w:val="nil"/>
              <w:right w:val="nil"/>
            </w:tcBorders>
            <w:shd w:val="clear" w:color="000000" w:fill="FFFFFF"/>
            <w:noWrap/>
            <w:vAlign w:val="center"/>
            <w:hideMark/>
          </w:tcPr>
          <w:p w14:paraId="060BD28F"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0.130***</w:t>
            </w:r>
          </w:p>
        </w:tc>
        <w:tc>
          <w:tcPr>
            <w:tcW w:w="294" w:type="pct"/>
            <w:tcBorders>
              <w:top w:val="nil"/>
              <w:left w:val="nil"/>
              <w:bottom w:val="nil"/>
              <w:right w:val="nil"/>
            </w:tcBorders>
            <w:shd w:val="clear" w:color="000000" w:fill="FFFFFF"/>
            <w:noWrap/>
            <w:vAlign w:val="center"/>
            <w:hideMark/>
          </w:tcPr>
          <w:p w14:paraId="0E996941"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(0.008)</w:t>
            </w:r>
          </w:p>
        </w:tc>
        <w:tc>
          <w:tcPr>
            <w:tcW w:w="394" w:type="pct"/>
            <w:tcBorders>
              <w:top w:val="nil"/>
              <w:left w:val="nil"/>
              <w:bottom w:val="nil"/>
              <w:right w:val="nil"/>
            </w:tcBorders>
            <w:shd w:val="clear" w:color="000000" w:fill="FFFFFF"/>
            <w:noWrap/>
            <w:vAlign w:val="center"/>
            <w:hideMark/>
          </w:tcPr>
          <w:p w14:paraId="2E67AA0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294" w:type="pct"/>
            <w:tcBorders>
              <w:top w:val="nil"/>
              <w:left w:val="nil"/>
              <w:bottom w:val="nil"/>
              <w:right w:val="nil"/>
            </w:tcBorders>
            <w:shd w:val="clear" w:color="000000" w:fill="FFFFFF"/>
            <w:noWrap/>
            <w:vAlign w:val="center"/>
            <w:hideMark/>
          </w:tcPr>
          <w:p w14:paraId="59F25FA0"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394" w:type="pct"/>
            <w:tcBorders>
              <w:top w:val="nil"/>
              <w:left w:val="nil"/>
              <w:bottom w:val="nil"/>
              <w:right w:val="nil"/>
            </w:tcBorders>
            <w:shd w:val="clear" w:color="000000" w:fill="FFFFFF"/>
            <w:noWrap/>
            <w:vAlign w:val="center"/>
            <w:hideMark/>
          </w:tcPr>
          <w:p w14:paraId="424B66D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294" w:type="pct"/>
            <w:tcBorders>
              <w:top w:val="nil"/>
              <w:left w:val="nil"/>
              <w:bottom w:val="nil"/>
              <w:right w:val="nil"/>
            </w:tcBorders>
            <w:shd w:val="clear" w:color="000000" w:fill="FFFFFF"/>
            <w:noWrap/>
            <w:vAlign w:val="center"/>
            <w:hideMark/>
          </w:tcPr>
          <w:p w14:paraId="61B577FC"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394" w:type="pct"/>
            <w:tcBorders>
              <w:top w:val="nil"/>
              <w:left w:val="nil"/>
              <w:bottom w:val="nil"/>
              <w:right w:val="nil"/>
            </w:tcBorders>
            <w:shd w:val="clear" w:color="000000" w:fill="FFFFFF"/>
            <w:noWrap/>
            <w:vAlign w:val="center"/>
            <w:hideMark/>
          </w:tcPr>
          <w:p w14:paraId="09C8E0A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0.030**</w:t>
            </w:r>
          </w:p>
        </w:tc>
        <w:tc>
          <w:tcPr>
            <w:tcW w:w="294" w:type="pct"/>
            <w:tcBorders>
              <w:top w:val="nil"/>
              <w:left w:val="nil"/>
              <w:bottom w:val="nil"/>
              <w:right w:val="nil"/>
            </w:tcBorders>
            <w:shd w:val="clear" w:color="000000" w:fill="FFFFFF"/>
            <w:noWrap/>
            <w:vAlign w:val="center"/>
            <w:hideMark/>
          </w:tcPr>
          <w:p w14:paraId="7A5E5168"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(0.009)</w:t>
            </w:r>
          </w:p>
        </w:tc>
        <w:tc>
          <w:tcPr>
            <w:tcW w:w="394" w:type="pct"/>
            <w:tcBorders>
              <w:top w:val="nil"/>
              <w:left w:val="nil"/>
              <w:bottom w:val="nil"/>
              <w:right w:val="nil"/>
            </w:tcBorders>
            <w:shd w:val="clear" w:color="000000" w:fill="FFFFFF"/>
            <w:noWrap/>
            <w:vAlign w:val="center"/>
            <w:hideMark/>
          </w:tcPr>
          <w:p w14:paraId="0F66099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0.012**</w:t>
            </w:r>
          </w:p>
        </w:tc>
        <w:tc>
          <w:tcPr>
            <w:tcW w:w="294" w:type="pct"/>
            <w:tcBorders>
              <w:top w:val="nil"/>
              <w:left w:val="nil"/>
              <w:bottom w:val="nil"/>
              <w:right w:val="nil"/>
            </w:tcBorders>
            <w:shd w:val="clear" w:color="000000" w:fill="FFFFFF"/>
            <w:noWrap/>
            <w:vAlign w:val="center"/>
            <w:hideMark/>
          </w:tcPr>
          <w:p w14:paraId="588A43E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(0.004)</w:t>
            </w:r>
          </w:p>
        </w:tc>
      </w:tr>
      <w:tr w:rsidR="0080615F" w:rsidRPr="00375327" w14:paraId="2A3B01DF" w14:textId="77777777" w:rsidTr="0080615F">
        <w:trPr>
          <w:trHeight w:val="290"/>
        </w:trPr>
        <w:tc>
          <w:tcPr>
            <w:tcW w:w="871" w:type="pct"/>
            <w:tcBorders>
              <w:top w:val="nil"/>
              <w:left w:val="nil"/>
              <w:bottom w:val="nil"/>
              <w:right w:val="nil"/>
            </w:tcBorders>
            <w:shd w:val="clear" w:color="000000" w:fill="FFFFFF"/>
            <w:noWrap/>
            <w:vAlign w:val="center"/>
            <w:hideMark/>
          </w:tcPr>
          <w:p w14:paraId="2BB6264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Causal beliefs: country</w:t>
            </w:r>
          </w:p>
        </w:tc>
        <w:tc>
          <w:tcPr>
            <w:tcW w:w="394" w:type="pct"/>
            <w:tcBorders>
              <w:top w:val="nil"/>
              <w:left w:val="nil"/>
              <w:bottom w:val="nil"/>
              <w:right w:val="nil"/>
            </w:tcBorders>
            <w:shd w:val="clear" w:color="000000" w:fill="FFFFFF"/>
            <w:noWrap/>
            <w:vAlign w:val="center"/>
            <w:hideMark/>
          </w:tcPr>
          <w:p w14:paraId="05E67B1C"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294" w:type="pct"/>
            <w:tcBorders>
              <w:top w:val="nil"/>
              <w:left w:val="nil"/>
              <w:bottom w:val="nil"/>
              <w:right w:val="nil"/>
            </w:tcBorders>
            <w:shd w:val="clear" w:color="000000" w:fill="FFFFFF"/>
            <w:noWrap/>
            <w:vAlign w:val="center"/>
            <w:hideMark/>
          </w:tcPr>
          <w:p w14:paraId="760D9F6F"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394" w:type="pct"/>
            <w:tcBorders>
              <w:top w:val="nil"/>
              <w:left w:val="nil"/>
              <w:bottom w:val="nil"/>
              <w:right w:val="nil"/>
            </w:tcBorders>
            <w:shd w:val="clear" w:color="000000" w:fill="FFFFFF"/>
            <w:noWrap/>
            <w:vAlign w:val="center"/>
            <w:hideMark/>
          </w:tcPr>
          <w:p w14:paraId="03AA635C"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294" w:type="pct"/>
            <w:tcBorders>
              <w:top w:val="nil"/>
              <w:left w:val="nil"/>
              <w:bottom w:val="nil"/>
              <w:right w:val="nil"/>
            </w:tcBorders>
            <w:shd w:val="clear" w:color="000000" w:fill="FFFFFF"/>
            <w:noWrap/>
            <w:vAlign w:val="center"/>
            <w:hideMark/>
          </w:tcPr>
          <w:p w14:paraId="3AB2619E"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394" w:type="pct"/>
            <w:tcBorders>
              <w:top w:val="nil"/>
              <w:left w:val="nil"/>
              <w:bottom w:val="nil"/>
              <w:right w:val="nil"/>
            </w:tcBorders>
            <w:shd w:val="clear" w:color="000000" w:fill="FFFFFF"/>
            <w:noWrap/>
            <w:vAlign w:val="center"/>
            <w:hideMark/>
          </w:tcPr>
          <w:p w14:paraId="6857AFC8"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0.125***</w:t>
            </w:r>
          </w:p>
        </w:tc>
        <w:tc>
          <w:tcPr>
            <w:tcW w:w="294" w:type="pct"/>
            <w:tcBorders>
              <w:top w:val="nil"/>
              <w:left w:val="nil"/>
              <w:bottom w:val="nil"/>
              <w:right w:val="nil"/>
            </w:tcBorders>
            <w:shd w:val="clear" w:color="000000" w:fill="FFFFFF"/>
            <w:noWrap/>
            <w:vAlign w:val="center"/>
            <w:hideMark/>
          </w:tcPr>
          <w:p w14:paraId="06FF6D24"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(0.007)</w:t>
            </w:r>
          </w:p>
        </w:tc>
        <w:tc>
          <w:tcPr>
            <w:tcW w:w="394" w:type="pct"/>
            <w:tcBorders>
              <w:top w:val="nil"/>
              <w:left w:val="nil"/>
              <w:bottom w:val="nil"/>
              <w:right w:val="nil"/>
            </w:tcBorders>
            <w:shd w:val="clear" w:color="000000" w:fill="FFFFFF"/>
            <w:noWrap/>
            <w:vAlign w:val="center"/>
            <w:hideMark/>
          </w:tcPr>
          <w:p w14:paraId="100ABD9F"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294" w:type="pct"/>
            <w:tcBorders>
              <w:top w:val="nil"/>
              <w:left w:val="nil"/>
              <w:bottom w:val="nil"/>
              <w:right w:val="nil"/>
            </w:tcBorders>
            <w:shd w:val="clear" w:color="000000" w:fill="FFFFFF"/>
            <w:noWrap/>
            <w:vAlign w:val="center"/>
            <w:hideMark/>
          </w:tcPr>
          <w:p w14:paraId="07193171"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394" w:type="pct"/>
            <w:tcBorders>
              <w:top w:val="nil"/>
              <w:left w:val="nil"/>
              <w:bottom w:val="nil"/>
              <w:right w:val="nil"/>
            </w:tcBorders>
            <w:shd w:val="clear" w:color="000000" w:fill="FFFFFF"/>
            <w:noWrap/>
            <w:vAlign w:val="center"/>
            <w:hideMark/>
          </w:tcPr>
          <w:p w14:paraId="6C8A63C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0.060***</w:t>
            </w:r>
          </w:p>
        </w:tc>
        <w:tc>
          <w:tcPr>
            <w:tcW w:w="294" w:type="pct"/>
            <w:tcBorders>
              <w:top w:val="nil"/>
              <w:left w:val="nil"/>
              <w:bottom w:val="nil"/>
              <w:right w:val="nil"/>
            </w:tcBorders>
            <w:shd w:val="clear" w:color="000000" w:fill="FFFFFF"/>
            <w:noWrap/>
            <w:vAlign w:val="center"/>
            <w:hideMark/>
          </w:tcPr>
          <w:p w14:paraId="14221406"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(0.009)</w:t>
            </w:r>
          </w:p>
        </w:tc>
        <w:tc>
          <w:tcPr>
            <w:tcW w:w="394" w:type="pct"/>
            <w:tcBorders>
              <w:top w:val="nil"/>
              <w:left w:val="nil"/>
              <w:bottom w:val="nil"/>
              <w:right w:val="nil"/>
            </w:tcBorders>
            <w:shd w:val="clear" w:color="000000" w:fill="FFFFFF"/>
            <w:noWrap/>
            <w:vAlign w:val="center"/>
            <w:hideMark/>
          </w:tcPr>
          <w:p w14:paraId="7A66D81C"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0.019***</w:t>
            </w:r>
          </w:p>
        </w:tc>
        <w:tc>
          <w:tcPr>
            <w:tcW w:w="294" w:type="pct"/>
            <w:tcBorders>
              <w:top w:val="nil"/>
              <w:left w:val="nil"/>
              <w:bottom w:val="nil"/>
              <w:right w:val="nil"/>
            </w:tcBorders>
            <w:shd w:val="clear" w:color="000000" w:fill="FFFFFF"/>
            <w:noWrap/>
            <w:vAlign w:val="center"/>
            <w:hideMark/>
          </w:tcPr>
          <w:p w14:paraId="567D9146"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(0.004)</w:t>
            </w:r>
          </w:p>
        </w:tc>
      </w:tr>
      <w:tr w:rsidR="0080615F" w:rsidRPr="00375327" w14:paraId="23BCE8BA" w14:textId="77777777" w:rsidTr="0080615F">
        <w:trPr>
          <w:trHeight w:val="290"/>
        </w:trPr>
        <w:tc>
          <w:tcPr>
            <w:tcW w:w="871" w:type="pct"/>
            <w:tcBorders>
              <w:top w:val="nil"/>
              <w:left w:val="nil"/>
              <w:bottom w:val="nil"/>
              <w:right w:val="nil"/>
            </w:tcBorders>
            <w:shd w:val="clear" w:color="000000" w:fill="FFFFFF"/>
            <w:noWrap/>
            <w:vAlign w:val="center"/>
            <w:hideMark/>
          </w:tcPr>
          <w:p w14:paraId="34C3A0E1"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Causal beliefs: Europe</w:t>
            </w:r>
          </w:p>
        </w:tc>
        <w:tc>
          <w:tcPr>
            <w:tcW w:w="394" w:type="pct"/>
            <w:tcBorders>
              <w:top w:val="nil"/>
              <w:left w:val="nil"/>
              <w:bottom w:val="nil"/>
              <w:right w:val="nil"/>
            </w:tcBorders>
            <w:shd w:val="clear" w:color="000000" w:fill="FFFFFF"/>
            <w:noWrap/>
            <w:vAlign w:val="center"/>
            <w:hideMark/>
          </w:tcPr>
          <w:p w14:paraId="4FFF9B8C"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294" w:type="pct"/>
            <w:tcBorders>
              <w:top w:val="nil"/>
              <w:left w:val="nil"/>
              <w:bottom w:val="nil"/>
              <w:right w:val="nil"/>
            </w:tcBorders>
            <w:shd w:val="clear" w:color="000000" w:fill="FFFFFF"/>
            <w:noWrap/>
            <w:vAlign w:val="center"/>
            <w:hideMark/>
          </w:tcPr>
          <w:p w14:paraId="1BFF3276"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394" w:type="pct"/>
            <w:tcBorders>
              <w:top w:val="nil"/>
              <w:left w:val="nil"/>
              <w:bottom w:val="nil"/>
              <w:right w:val="nil"/>
            </w:tcBorders>
            <w:shd w:val="clear" w:color="000000" w:fill="FFFFFF"/>
            <w:noWrap/>
            <w:vAlign w:val="center"/>
            <w:hideMark/>
          </w:tcPr>
          <w:p w14:paraId="283FA23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294" w:type="pct"/>
            <w:tcBorders>
              <w:top w:val="nil"/>
              <w:left w:val="nil"/>
              <w:bottom w:val="nil"/>
              <w:right w:val="nil"/>
            </w:tcBorders>
            <w:shd w:val="clear" w:color="000000" w:fill="FFFFFF"/>
            <w:noWrap/>
            <w:vAlign w:val="center"/>
            <w:hideMark/>
          </w:tcPr>
          <w:p w14:paraId="2C3F37E1"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394" w:type="pct"/>
            <w:tcBorders>
              <w:top w:val="nil"/>
              <w:left w:val="nil"/>
              <w:bottom w:val="nil"/>
              <w:right w:val="nil"/>
            </w:tcBorders>
            <w:shd w:val="clear" w:color="000000" w:fill="FFFFFF"/>
            <w:noWrap/>
            <w:vAlign w:val="center"/>
            <w:hideMark/>
          </w:tcPr>
          <w:p w14:paraId="104F7E0B"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294" w:type="pct"/>
            <w:tcBorders>
              <w:top w:val="nil"/>
              <w:left w:val="nil"/>
              <w:bottom w:val="nil"/>
              <w:right w:val="nil"/>
            </w:tcBorders>
            <w:shd w:val="clear" w:color="000000" w:fill="FFFFFF"/>
            <w:noWrap/>
            <w:vAlign w:val="center"/>
            <w:hideMark/>
          </w:tcPr>
          <w:p w14:paraId="54A3348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w:t>
            </w:r>
          </w:p>
        </w:tc>
        <w:tc>
          <w:tcPr>
            <w:tcW w:w="394" w:type="pct"/>
            <w:tcBorders>
              <w:top w:val="nil"/>
              <w:left w:val="nil"/>
              <w:bottom w:val="nil"/>
              <w:right w:val="nil"/>
            </w:tcBorders>
            <w:shd w:val="clear" w:color="000000" w:fill="FFFFFF"/>
            <w:noWrap/>
            <w:vAlign w:val="center"/>
            <w:hideMark/>
          </w:tcPr>
          <w:p w14:paraId="1422F24B"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0.097***</w:t>
            </w:r>
          </w:p>
        </w:tc>
        <w:tc>
          <w:tcPr>
            <w:tcW w:w="294" w:type="pct"/>
            <w:tcBorders>
              <w:top w:val="nil"/>
              <w:left w:val="nil"/>
              <w:bottom w:val="nil"/>
              <w:right w:val="nil"/>
            </w:tcBorders>
            <w:shd w:val="clear" w:color="000000" w:fill="FFFFFF"/>
            <w:noWrap/>
            <w:vAlign w:val="center"/>
            <w:hideMark/>
          </w:tcPr>
          <w:p w14:paraId="1BB5D328"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(0.007)</w:t>
            </w:r>
          </w:p>
        </w:tc>
        <w:tc>
          <w:tcPr>
            <w:tcW w:w="394" w:type="pct"/>
            <w:tcBorders>
              <w:top w:val="nil"/>
              <w:left w:val="nil"/>
              <w:bottom w:val="nil"/>
              <w:right w:val="nil"/>
            </w:tcBorders>
            <w:shd w:val="clear" w:color="000000" w:fill="FFFFFF"/>
            <w:noWrap/>
            <w:vAlign w:val="center"/>
            <w:hideMark/>
          </w:tcPr>
          <w:p w14:paraId="297269F1"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0.019*</w:t>
            </w:r>
          </w:p>
        </w:tc>
        <w:tc>
          <w:tcPr>
            <w:tcW w:w="294" w:type="pct"/>
            <w:tcBorders>
              <w:top w:val="nil"/>
              <w:left w:val="nil"/>
              <w:bottom w:val="nil"/>
              <w:right w:val="nil"/>
            </w:tcBorders>
            <w:shd w:val="clear" w:color="000000" w:fill="FFFFFF"/>
            <w:noWrap/>
            <w:vAlign w:val="center"/>
            <w:hideMark/>
          </w:tcPr>
          <w:p w14:paraId="2557162C"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(0.008)</w:t>
            </w:r>
          </w:p>
        </w:tc>
        <w:tc>
          <w:tcPr>
            <w:tcW w:w="394" w:type="pct"/>
            <w:tcBorders>
              <w:top w:val="nil"/>
              <w:left w:val="nil"/>
              <w:bottom w:val="nil"/>
              <w:right w:val="nil"/>
            </w:tcBorders>
            <w:shd w:val="clear" w:color="000000" w:fill="FFFFFF"/>
            <w:noWrap/>
            <w:vAlign w:val="center"/>
            <w:hideMark/>
          </w:tcPr>
          <w:p w14:paraId="18FA64BD"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0.021***</w:t>
            </w:r>
          </w:p>
        </w:tc>
        <w:tc>
          <w:tcPr>
            <w:tcW w:w="294" w:type="pct"/>
            <w:tcBorders>
              <w:top w:val="nil"/>
              <w:left w:val="nil"/>
              <w:bottom w:val="nil"/>
              <w:right w:val="nil"/>
            </w:tcBorders>
            <w:shd w:val="clear" w:color="000000" w:fill="FFFFFF"/>
            <w:noWrap/>
            <w:vAlign w:val="center"/>
            <w:hideMark/>
          </w:tcPr>
          <w:p w14:paraId="58F7567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(0.003)</w:t>
            </w:r>
          </w:p>
        </w:tc>
      </w:tr>
      <w:tr w:rsidR="0080615F" w:rsidRPr="00375327" w14:paraId="1E36C4B5" w14:textId="77777777" w:rsidTr="0080615F">
        <w:trPr>
          <w:trHeight w:val="290"/>
        </w:trPr>
        <w:tc>
          <w:tcPr>
            <w:tcW w:w="871" w:type="pct"/>
            <w:tcBorders>
              <w:top w:val="nil"/>
              <w:left w:val="nil"/>
              <w:bottom w:val="nil"/>
              <w:right w:val="nil"/>
            </w:tcBorders>
            <w:shd w:val="clear" w:color="000000" w:fill="FFFFFF"/>
            <w:noWrap/>
            <w:vAlign w:val="center"/>
            <w:hideMark/>
          </w:tcPr>
          <w:p w14:paraId="2138E4B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Age</w:t>
            </w:r>
          </w:p>
        </w:tc>
        <w:tc>
          <w:tcPr>
            <w:tcW w:w="394" w:type="pct"/>
            <w:tcBorders>
              <w:top w:val="nil"/>
              <w:left w:val="nil"/>
              <w:bottom w:val="nil"/>
              <w:right w:val="nil"/>
            </w:tcBorders>
            <w:shd w:val="clear" w:color="000000" w:fill="FFFFFF"/>
            <w:noWrap/>
            <w:vAlign w:val="center"/>
            <w:hideMark/>
          </w:tcPr>
          <w:p w14:paraId="1EAAFC5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-0.001***</w:t>
            </w:r>
          </w:p>
        </w:tc>
        <w:tc>
          <w:tcPr>
            <w:tcW w:w="294" w:type="pct"/>
            <w:tcBorders>
              <w:top w:val="nil"/>
              <w:left w:val="nil"/>
              <w:bottom w:val="nil"/>
              <w:right w:val="nil"/>
            </w:tcBorders>
            <w:shd w:val="clear" w:color="000000" w:fill="FFFFFF"/>
            <w:noWrap/>
            <w:vAlign w:val="center"/>
            <w:hideMark/>
          </w:tcPr>
          <w:p w14:paraId="209FC13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394" w:type="pct"/>
            <w:tcBorders>
              <w:top w:val="nil"/>
              <w:left w:val="nil"/>
              <w:bottom w:val="nil"/>
              <w:right w:val="nil"/>
            </w:tcBorders>
            <w:shd w:val="clear" w:color="000000" w:fill="FFFFFF"/>
            <w:noWrap/>
            <w:vAlign w:val="center"/>
            <w:hideMark/>
          </w:tcPr>
          <w:p w14:paraId="2BC34CFE"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-0.002***</w:t>
            </w:r>
          </w:p>
        </w:tc>
        <w:tc>
          <w:tcPr>
            <w:tcW w:w="294" w:type="pct"/>
            <w:tcBorders>
              <w:top w:val="nil"/>
              <w:left w:val="nil"/>
              <w:bottom w:val="nil"/>
              <w:right w:val="nil"/>
            </w:tcBorders>
            <w:shd w:val="clear" w:color="000000" w:fill="FFFFFF"/>
            <w:noWrap/>
            <w:vAlign w:val="center"/>
            <w:hideMark/>
          </w:tcPr>
          <w:p w14:paraId="7E6D7E1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394" w:type="pct"/>
            <w:tcBorders>
              <w:top w:val="nil"/>
              <w:left w:val="nil"/>
              <w:bottom w:val="nil"/>
              <w:right w:val="nil"/>
            </w:tcBorders>
            <w:shd w:val="clear" w:color="000000" w:fill="FFFFFF"/>
            <w:noWrap/>
            <w:vAlign w:val="center"/>
            <w:hideMark/>
          </w:tcPr>
          <w:p w14:paraId="498B460B"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-0.002***</w:t>
            </w:r>
          </w:p>
        </w:tc>
        <w:tc>
          <w:tcPr>
            <w:tcW w:w="294" w:type="pct"/>
            <w:tcBorders>
              <w:top w:val="nil"/>
              <w:left w:val="nil"/>
              <w:bottom w:val="nil"/>
              <w:right w:val="nil"/>
            </w:tcBorders>
            <w:shd w:val="clear" w:color="000000" w:fill="FFFFFF"/>
            <w:noWrap/>
            <w:vAlign w:val="center"/>
            <w:hideMark/>
          </w:tcPr>
          <w:p w14:paraId="7F0B006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394" w:type="pct"/>
            <w:tcBorders>
              <w:top w:val="nil"/>
              <w:left w:val="nil"/>
              <w:bottom w:val="nil"/>
              <w:right w:val="nil"/>
            </w:tcBorders>
            <w:shd w:val="clear" w:color="000000" w:fill="FFFFFF"/>
            <w:noWrap/>
            <w:vAlign w:val="center"/>
            <w:hideMark/>
          </w:tcPr>
          <w:p w14:paraId="641BDC5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-0.002***</w:t>
            </w:r>
          </w:p>
        </w:tc>
        <w:tc>
          <w:tcPr>
            <w:tcW w:w="294" w:type="pct"/>
            <w:tcBorders>
              <w:top w:val="nil"/>
              <w:left w:val="nil"/>
              <w:bottom w:val="nil"/>
              <w:right w:val="nil"/>
            </w:tcBorders>
            <w:shd w:val="clear" w:color="000000" w:fill="FFFFFF"/>
            <w:noWrap/>
            <w:vAlign w:val="center"/>
            <w:hideMark/>
          </w:tcPr>
          <w:p w14:paraId="1BE0DCEF"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394" w:type="pct"/>
            <w:tcBorders>
              <w:top w:val="nil"/>
              <w:left w:val="nil"/>
              <w:bottom w:val="nil"/>
              <w:right w:val="nil"/>
            </w:tcBorders>
            <w:shd w:val="clear" w:color="000000" w:fill="FFFFFF"/>
            <w:noWrap/>
            <w:vAlign w:val="center"/>
            <w:hideMark/>
          </w:tcPr>
          <w:p w14:paraId="1C8882CF"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-0.002***</w:t>
            </w:r>
          </w:p>
        </w:tc>
        <w:tc>
          <w:tcPr>
            <w:tcW w:w="294" w:type="pct"/>
            <w:tcBorders>
              <w:top w:val="nil"/>
              <w:left w:val="nil"/>
              <w:bottom w:val="nil"/>
              <w:right w:val="nil"/>
            </w:tcBorders>
            <w:shd w:val="clear" w:color="000000" w:fill="FFFFFF"/>
            <w:noWrap/>
            <w:vAlign w:val="center"/>
            <w:hideMark/>
          </w:tcPr>
          <w:p w14:paraId="3C0F0BB4"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394" w:type="pct"/>
            <w:tcBorders>
              <w:top w:val="nil"/>
              <w:left w:val="nil"/>
              <w:bottom w:val="nil"/>
              <w:right w:val="nil"/>
            </w:tcBorders>
            <w:shd w:val="clear" w:color="000000" w:fill="FFFFFF"/>
            <w:noWrap/>
            <w:vAlign w:val="center"/>
            <w:hideMark/>
          </w:tcPr>
          <w:p w14:paraId="2840BD54"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294" w:type="pct"/>
            <w:tcBorders>
              <w:top w:val="nil"/>
              <w:left w:val="nil"/>
              <w:bottom w:val="nil"/>
              <w:right w:val="nil"/>
            </w:tcBorders>
            <w:shd w:val="clear" w:color="000000" w:fill="FFFFFF"/>
            <w:noWrap/>
            <w:vAlign w:val="center"/>
            <w:hideMark/>
          </w:tcPr>
          <w:p w14:paraId="56ABF730"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r>
      <w:tr w:rsidR="0080615F" w:rsidRPr="00375327" w14:paraId="08D79CF4" w14:textId="77777777" w:rsidTr="0080615F">
        <w:trPr>
          <w:trHeight w:val="290"/>
        </w:trPr>
        <w:tc>
          <w:tcPr>
            <w:tcW w:w="871" w:type="pct"/>
            <w:tcBorders>
              <w:top w:val="nil"/>
              <w:left w:val="nil"/>
              <w:bottom w:val="nil"/>
              <w:right w:val="nil"/>
            </w:tcBorders>
            <w:shd w:val="clear" w:color="000000" w:fill="FFFFFF"/>
            <w:noWrap/>
            <w:vAlign w:val="center"/>
            <w:hideMark/>
          </w:tcPr>
          <w:p w14:paraId="3625062E"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Income: low</w:t>
            </w:r>
          </w:p>
        </w:tc>
        <w:tc>
          <w:tcPr>
            <w:tcW w:w="394" w:type="pct"/>
            <w:tcBorders>
              <w:top w:val="nil"/>
              <w:left w:val="nil"/>
              <w:bottom w:val="nil"/>
              <w:right w:val="nil"/>
            </w:tcBorders>
            <w:shd w:val="clear" w:color="000000" w:fill="FFFFFF"/>
            <w:noWrap/>
            <w:vAlign w:val="center"/>
            <w:hideMark/>
          </w:tcPr>
          <w:p w14:paraId="456AF5E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294" w:type="pct"/>
            <w:tcBorders>
              <w:top w:val="nil"/>
              <w:left w:val="nil"/>
              <w:bottom w:val="nil"/>
              <w:right w:val="nil"/>
            </w:tcBorders>
            <w:shd w:val="clear" w:color="000000" w:fill="FFFFFF"/>
            <w:noWrap/>
            <w:vAlign w:val="center"/>
            <w:hideMark/>
          </w:tcPr>
          <w:p w14:paraId="3368FEBB"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w:t>
            </w:r>
          </w:p>
        </w:tc>
        <w:tc>
          <w:tcPr>
            <w:tcW w:w="394" w:type="pct"/>
            <w:tcBorders>
              <w:top w:val="nil"/>
              <w:left w:val="nil"/>
              <w:bottom w:val="nil"/>
              <w:right w:val="nil"/>
            </w:tcBorders>
            <w:shd w:val="clear" w:color="000000" w:fill="FFFFFF"/>
            <w:noWrap/>
            <w:vAlign w:val="center"/>
            <w:hideMark/>
          </w:tcPr>
          <w:p w14:paraId="5E0114E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294" w:type="pct"/>
            <w:tcBorders>
              <w:top w:val="nil"/>
              <w:left w:val="nil"/>
              <w:bottom w:val="nil"/>
              <w:right w:val="nil"/>
            </w:tcBorders>
            <w:shd w:val="clear" w:color="000000" w:fill="FFFFFF"/>
            <w:noWrap/>
            <w:vAlign w:val="center"/>
            <w:hideMark/>
          </w:tcPr>
          <w:p w14:paraId="6A8C2BB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w:t>
            </w:r>
          </w:p>
        </w:tc>
        <w:tc>
          <w:tcPr>
            <w:tcW w:w="394" w:type="pct"/>
            <w:tcBorders>
              <w:top w:val="nil"/>
              <w:left w:val="nil"/>
              <w:bottom w:val="nil"/>
              <w:right w:val="nil"/>
            </w:tcBorders>
            <w:shd w:val="clear" w:color="000000" w:fill="FFFFFF"/>
            <w:noWrap/>
            <w:vAlign w:val="center"/>
            <w:hideMark/>
          </w:tcPr>
          <w:p w14:paraId="1E7551F0"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294" w:type="pct"/>
            <w:tcBorders>
              <w:top w:val="nil"/>
              <w:left w:val="nil"/>
              <w:bottom w:val="nil"/>
              <w:right w:val="nil"/>
            </w:tcBorders>
            <w:shd w:val="clear" w:color="000000" w:fill="FFFFFF"/>
            <w:noWrap/>
            <w:vAlign w:val="center"/>
            <w:hideMark/>
          </w:tcPr>
          <w:p w14:paraId="15D52AD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w:t>
            </w:r>
          </w:p>
        </w:tc>
        <w:tc>
          <w:tcPr>
            <w:tcW w:w="394" w:type="pct"/>
            <w:tcBorders>
              <w:top w:val="nil"/>
              <w:left w:val="nil"/>
              <w:bottom w:val="nil"/>
              <w:right w:val="nil"/>
            </w:tcBorders>
            <w:shd w:val="clear" w:color="000000" w:fill="FFFFFF"/>
            <w:noWrap/>
            <w:vAlign w:val="center"/>
            <w:hideMark/>
          </w:tcPr>
          <w:p w14:paraId="2DD9855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294" w:type="pct"/>
            <w:tcBorders>
              <w:top w:val="nil"/>
              <w:left w:val="nil"/>
              <w:bottom w:val="nil"/>
              <w:right w:val="nil"/>
            </w:tcBorders>
            <w:shd w:val="clear" w:color="000000" w:fill="FFFFFF"/>
            <w:noWrap/>
            <w:vAlign w:val="center"/>
            <w:hideMark/>
          </w:tcPr>
          <w:p w14:paraId="0CDC875D"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w:t>
            </w:r>
          </w:p>
        </w:tc>
        <w:tc>
          <w:tcPr>
            <w:tcW w:w="394" w:type="pct"/>
            <w:tcBorders>
              <w:top w:val="nil"/>
              <w:left w:val="nil"/>
              <w:bottom w:val="nil"/>
              <w:right w:val="nil"/>
            </w:tcBorders>
            <w:shd w:val="clear" w:color="000000" w:fill="FFFFFF"/>
            <w:noWrap/>
            <w:vAlign w:val="center"/>
            <w:hideMark/>
          </w:tcPr>
          <w:p w14:paraId="0341B5D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294" w:type="pct"/>
            <w:tcBorders>
              <w:top w:val="nil"/>
              <w:left w:val="nil"/>
              <w:bottom w:val="nil"/>
              <w:right w:val="nil"/>
            </w:tcBorders>
            <w:shd w:val="clear" w:color="000000" w:fill="FFFFFF"/>
            <w:noWrap/>
            <w:vAlign w:val="center"/>
            <w:hideMark/>
          </w:tcPr>
          <w:p w14:paraId="0AE964F4"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w:t>
            </w:r>
          </w:p>
        </w:tc>
        <w:tc>
          <w:tcPr>
            <w:tcW w:w="394" w:type="pct"/>
            <w:tcBorders>
              <w:top w:val="nil"/>
              <w:left w:val="nil"/>
              <w:bottom w:val="nil"/>
              <w:right w:val="nil"/>
            </w:tcBorders>
            <w:shd w:val="clear" w:color="000000" w:fill="FFFFFF"/>
            <w:noWrap/>
            <w:vAlign w:val="center"/>
            <w:hideMark/>
          </w:tcPr>
          <w:p w14:paraId="36D29D71"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294" w:type="pct"/>
            <w:tcBorders>
              <w:top w:val="nil"/>
              <w:left w:val="nil"/>
              <w:bottom w:val="nil"/>
              <w:right w:val="nil"/>
            </w:tcBorders>
            <w:shd w:val="clear" w:color="000000" w:fill="FFFFFF"/>
            <w:noWrap/>
            <w:vAlign w:val="center"/>
            <w:hideMark/>
          </w:tcPr>
          <w:p w14:paraId="48EEB66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w:t>
            </w:r>
          </w:p>
        </w:tc>
      </w:tr>
      <w:tr w:rsidR="0080615F" w:rsidRPr="00375327" w14:paraId="4598CB82" w14:textId="77777777" w:rsidTr="0080615F">
        <w:trPr>
          <w:trHeight w:val="290"/>
        </w:trPr>
        <w:tc>
          <w:tcPr>
            <w:tcW w:w="871" w:type="pct"/>
            <w:tcBorders>
              <w:top w:val="nil"/>
              <w:left w:val="nil"/>
              <w:bottom w:val="nil"/>
              <w:right w:val="nil"/>
            </w:tcBorders>
            <w:shd w:val="clear" w:color="000000" w:fill="FFFFFF"/>
            <w:noWrap/>
            <w:vAlign w:val="center"/>
            <w:hideMark/>
          </w:tcPr>
          <w:p w14:paraId="52ACFDD4"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Income: middle</w:t>
            </w:r>
          </w:p>
        </w:tc>
        <w:tc>
          <w:tcPr>
            <w:tcW w:w="394" w:type="pct"/>
            <w:tcBorders>
              <w:top w:val="nil"/>
              <w:left w:val="nil"/>
              <w:bottom w:val="nil"/>
              <w:right w:val="nil"/>
            </w:tcBorders>
            <w:shd w:val="clear" w:color="000000" w:fill="FFFFFF"/>
            <w:noWrap/>
            <w:vAlign w:val="center"/>
            <w:hideMark/>
          </w:tcPr>
          <w:p w14:paraId="519288E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-0.014</w:t>
            </w:r>
          </w:p>
        </w:tc>
        <w:tc>
          <w:tcPr>
            <w:tcW w:w="294" w:type="pct"/>
            <w:tcBorders>
              <w:top w:val="nil"/>
              <w:left w:val="nil"/>
              <w:bottom w:val="nil"/>
              <w:right w:val="nil"/>
            </w:tcBorders>
            <w:shd w:val="clear" w:color="000000" w:fill="FFFFFF"/>
            <w:noWrap/>
            <w:vAlign w:val="center"/>
            <w:hideMark/>
          </w:tcPr>
          <w:p w14:paraId="7D9AEC6B"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(0.013)</w:t>
            </w:r>
          </w:p>
        </w:tc>
        <w:tc>
          <w:tcPr>
            <w:tcW w:w="394" w:type="pct"/>
            <w:tcBorders>
              <w:top w:val="nil"/>
              <w:left w:val="nil"/>
              <w:bottom w:val="nil"/>
              <w:right w:val="nil"/>
            </w:tcBorders>
            <w:shd w:val="clear" w:color="000000" w:fill="FFFFFF"/>
            <w:noWrap/>
            <w:vAlign w:val="center"/>
            <w:hideMark/>
          </w:tcPr>
          <w:p w14:paraId="3B6CB14B"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-0.012</w:t>
            </w:r>
          </w:p>
        </w:tc>
        <w:tc>
          <w:tcPr>
            <w:tcW w:w="294" w:type="pct"/>
            <w:tcBorders>
              <w:top w:val="nil"/>
              <w:left w:val="nil"/>
              <w:bottom w:val="nil"/>
              <w:right w:val="nil"/>
            </w:tcBorders>
            <w:shd w:val="clear" w:color="000000" w:fill="FFFFFF"/>
            <w:noWrap/>
            <w:vAlign w:val="center"/>
            <w:hideMark/>
          </w:tcPr>
          <w:p w14:paraId="53DA5DC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(0.013)</w:t>
            </w:r>
          </w:p>
        </w:tc>
        <w:tc>
          <w:tcPr>
            <w:tcW w:w="394" w:type="pct"/>
            <w:tcBorders>
              <w:top w:val="nil"/>
              <w:left w:val="nil"/>
              <w:bottom w:val="nil"/>
              <w:right w:val="nil"/>
            </w:tcBorders>
            <w:shd w:val="clear" w:color="000000" w:fill="FFFFFF"/>
            <w:noWrap/>
            <w:vAlign w:val="center"/>
            <w:hideMark/>
          </w:tcPr>
          <w:p w14:paraId="7B4CFC86"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-0.017</w:t>
            </w:r>
          </w:p>
        </w:tc>
        <w:tc>
          <w:tcPr>
            <w:tcW w:w="294" w:type="pct"/>
            <w:tcBorders>
              <w:top w:val="nil"/>
              <w:left w:val="nil"/>
              <w:bottom w:val="nil"/>
              <w:right w:val="nil"/>
            </w:tcBorders>
            <w:shd w:val="clear" w:color="000000" w:fill="FFFFFF"/>
            <w:noWrap/>
            <w:vAlign w:val="center"/>
            <w:hideMark/>
          </w:tcPr>
          <w:p w14:paraId="5380A15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(0.013)</w:t>
            </w:r>
          </w:p>
        </w:tc>
        <w:tc>
          <w:tcPr>
            <w:tcW w:w="394" w:type="pct"/>
            <w:tcBorders>
              <w:top w:val="nil"/>
              <w:left w:val="nil"/>
              <w:bottom w:val="nil"/>
              <w:right w:val="nil"/>
            </w:tcBorders>
            <w:shd w:val="clear" w:color="000000" w:fill="FFFFFF"/>
            <w:noWrap/>
            <w:vAlign w:val="center"/>
            <w:hideMark/>
          </w:tcPr>
          <w:p w14:paraId="08BA0F1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-0.014</w:t>
            </w:r>
          </w:p>
        </w:tc>
        <w:tc>
          <w:tcPr>
            <w:tcW w:w="294" w:type="pct"/>
            <w:tcBorders>
              <w:top w:val="nil"/>
              <w:left w:val="nil"/>
              <w:bottom w:val="nil"/>
              <w:right w:val="nil"/>
            </w:tcBorders>
            <w:shd w:val="clear" w:color="000000" w:fill="FFFFFF"/>
            <w:noWrap/>
            <w:vAlign w:val="center"/>
            <w:hideMark/>
          </w:tcPr>
          <w:p w14:paraId="64E11388"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(0.014)</w:t>
            </w:r>
          </w:p>
        </w:tc>
        <w:tc>
          <w:tcPr>
            <w:tcW w:w="394" w:type="pct"/>
            <w:tcBorders>
              <w:top w:val="nil"/>
              <w:left w:val="nil"/>
              <w:bottom w:val="nil"/>
              <w:right w:val="nil"/>
            </w:tcBorders>
            <w:shd w:val="clear" w:color="000000" w:fill="FFFFFF"/>
            <w:noWrap/>
            <w:vAlign w:val="center"/>
            <w:hideMark/>
          </w:tcPr>
          <w:p w14:paraId="29B73B20"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-0.017</w:t>
            </w:r>
          </w:p>
        </w:tc>
        <w:tc>
          <w:tcPr>
            <w:tcW w:w="294" w:type="pct"/>
            <w:tcBorders>
              <w:top w:val="nil"/>
              <w:left w:val="nil"/>
              <w:bottom w:val="nil"/>
              <w:right w:val="nil"/>
            </w:tcBorders>
            <w:shd w:val="clear" w:color="000000" w:fill="FFFFFF"/>
            <w:noWrap/>
            <w:vAlign w:val="center"/>
            <w:hideMark/>
          </w:tcPr>
          <w:p w14:paraId="7563F19F"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(0.013)</w:t>
            </w:r>
          </w:p>
        </w:tc>
        <w:tc>
          <w:tcPr>
            <w:tcW w:w="394" w:type="pct"/>
            <w:tcBorders>
              <w:top w:val="nil"/>
              <w:left w:val="nil"/>
              <w:bottom w:val="nil"/>
              <w:right w:val="nil"/>
            </w:tcBorders>
            <w:shd w:val="clear" w:color="000000" w:fill="FFFFFF"/>
            <w:noWrap/>
            <w:vAlign w:val="center"/>
            <w:hideMark/>
          </w:tcPr>
          <w:p w14:paraId="1639470B"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-0.004</w:t>
            </w:r>
          </w:p>
        </w:tc>
        <w:tc>
          <w:tcPr>
            <w:tcW w:w="294" w:type="pct"/>
            <w:tcBorders>
              <w:top w:val="nil"/>
              <w:left w:val="nil"/>
              <w:bottom w:val="nil"/>
              <w:right w:val="nil"/>
            </w:tcBorders>
            <w:shd w:val="clear" w:color="000000" w:fill="FFFFFF"/>
            <w:noWrap/>
            <w:vAlign w:val="center"/>
            <w:hideMark/>
          </w:tcPr>
          <w:p w14:paraId="2E67223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(0.006)</w:t>
            </w:r>
          </w:p>
        </w:tc>
      </w:tr>
      <w:tr w:rsidR="0080615F" w:rsidRPr="00375327" w14:paraId="67CD7B25" w14:textId="77777777" w:rsidTr="0080615F">
        <w:trPr>
          <w:trHeight w:val="290"/>
        </w:trPr>
        <w:tc>
          <w:tcPr>
            <w:tcW w:w="871" w:type="pct"/>
            <w:tcBorders>
              <w:top w:val="nil"/>
              <w:left w:val="nil"/>
              <w:bottom w:val="nil"/>
              <w:right w:val="nil"/>
            </w:tcBorders>
            <w:shd w:val="clear" w:color="000000" w:fill="FFFFFF"/>
            <w:noWrap/>
            <w:vAlign w:val="center"/>
            <w:hideMark/>
          </w:tcPr>
          <w:p w14:paraId="11C41C2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Income: high</w:t>
            </w:r>
          </w:p>
        </w:tc>
        <w:tc>
          <w:tcPr>
            <w:tcW w:w="394" w:type="pct"/>
            <w:tcBorders>
              <w:top w:val="nil"/>
              <w:left w:val="nil"/>
              <w:bottom w:val="nil"/>
              <w:right w:val="nil"/>
            </w:tcBorders>
            <w:shd w:val="clear" w:color="000000" w:fill="FFFFFF"/>
            <w:noWrap/>
            <w:vAlign w:val="center"/>
            <w:hideMark/>
          </w:tcPr>
          <w:p w14:paraId="2B7913E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-0.026</w:t>
            </w:r>
          </w:p>
        </w:tc>
        <w:tc>
          <w:tcPr>
            <w:tcW w:w="294" w:type="pct"/>
            <w:tcBorders>
              <w:top w:val="nil"/>
              <w:left w:val="nil"/>
              <w:bottom w:val="nil"/>
              <w:right w:val="nil"/>
            </w:tcBorders>
            <w:shd w:val="clear" w:color="000000" w:fill="FFFFFF"/>
            <w:noWrap/>
            <w:vAlign w:val="center"/>
            <w:hideMark/>
          </w:tcPr>
          <w:p w14:paraId="5EFC876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(0.015)</w:t>
            </w:r>
          </w:p>
        </w:tc>
        <w:tc>
          <w:tcPr>
            <w:tcW w:w="394" w:type="pct"/>
            <w:tcBorders>
              <w:top w:val="nil"/>
              <w:left w:val="nil"/>
              <w:bottom w:val="nil"/>
              <w:right w:val="nil"/>
            </w:tcBorders>
            <w:shd w:val="clear" w:color="000000" w:fill="FFFFFF"/>
            <w:noWrap/>
            <w:vAlign w:val="center"/>
            <w:hideMark/>
          </w:tcPr>
          <w:p w14:paraId="18E3BDD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-0.028</w:t>
            </w:r>
          </w:p>
        </w:tc>
        <w:tc>
          <w:tcPr>
            <w:tcW w:w="294" w:type="pct"/>
            <w:tcBorders>
              <w:top w:val="nil"/>
              <w:left w:val="nil"/>
              <w:bottom w:val="nil"/>
              <w:right w:val="nil"/>
            </w:tcBorders>
            <w:shd w:val="clear" w:color="000000" w:fill="FFFFFF"/>
            <w:noWrap/>
            <w:vAlign w:val="center"/>
            <w:hideMark/>
          </w:tcPr>
          <w:p w14:paraId="73F6636D"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(0.015)</w:t>
            </w:r>
          </w:p>
        </w:tc>
        <w:tc>
          <w:tcPr>
            <w:tcW w:w="394" w:type="pct"/>
            <w:tcBorders>
              <w:top w:val="nil"/>
              <w:left w:val="nil"/>
              <w:bottom w:val="nil"/>
              <w:right w:val="nil"/>
            </w:tcBorders>
            <w:shd w:val="clear" w:color="000000" w:fill="FFFFFF"/>
            <w:noWrap/>
            <w:vAlign w:val="center"/>
            <w:hideMark/>
          </w:tcPr>
          <w:p w14:paraId="4E513EA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-0.027</w:t>
            </w:r>
          </w:p>
        </w:tc>
        <w:tc>
          <w:tcPr>
            <w:tcW w:w="294" w:type="pct"/>
            <w:tcBorders>
              <w:top w:val="nil"/>
              <w:left w:val="nil"/>
              <w:bottom w:val="nil"/>
              <w:right w:val="nil"/>
            </w:tcBorders>
            <w:shd w:val="clear" w:color="000000" w:fill="FFFFFF"/>
            <w:noWrap/>
            <w:vAlign w:val="center"/>
            <w:hideMark/>
          </w:tcPr>
          <w:p w14:paraId="1DDCDEBD"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(0.015)</w:t>
            </w:r>
          </w:p>
        </w:tc>
        <w:tc>
          <w:tcPr>
            <w:tcW w:w="394" w:type="pct"/>
            <w:tcBorders>
              <w:top w:val="nil"/>
              <w:left w:val="nil"/>
              <w:bottom w:val="nil"/>
              <w:right w:val="nil"/>
            </w:tcBorders>
            <w:shd w:val="clear" w:color="000000" w:fill="FFFFFF"/>
            <w:noWrap/>
            <w:vAlign w:val="center"/>
            <w:hideMark/>
          </w:tcPr>
          <w:p w14:paraId="3D59C53D"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-0.026</w:t>
            </w:r>
          </w:p>
        </w:tc>
        <w:tc>
          <w:tcPr>
            <w:tcW w:w="294" w:type="pct"/>
            <w:tcBorders>
              <w:top w:val="nil"/>
              <w:left w:val="nil"/>
              <w:bottom w:val="nil"/>
              <w:right w:val="nil"/>
            </w:tcBorders>
            <w:shd w:val="clear" w:color="000000" w:fill="FFFFFF"/>
            <w:noWrap/>
            <w:vAlign w:val="center"/>
            <w:hideMark/>
          </w:tcPr>
          <w:p w14:paraId="37F08110"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(0.015)</w:t>
            </w:r>
          </w:p>
        </w:tc>
        <w:tc>
          <w:tcPr>
            <w:tcW w:w="394" w:type="pct"/>
            <w:tcBorders>
              <w:top w:val="nil"/>
              <w:left w:val="nil"/>
              <w:bottom w:val="nil"/>
              <w:right w:val="nil"/>
            </w:tcBorders>
            <w:shd w:val="clear" w:color="000000" w:fill="FFFFFF"/>
            <w:noWrap/>
            <w:vAlign w:val="center"/>
            <w:hideMark/>
          </w:tcPr>
          <w:p w14:paraId="20941CBB"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-0.030*</w:t>
            </w:r>
          </w:p>
        </w:tc>
        <w:tc>
          <w:tcPr>
            <w:tcW w:w="294" w:type="pct"/>
            <w:tcBorders>
              <w:top w:val="nil"/>
              <w:left w:val="nil"/>
              <w:bottom w:val="nil"/>
              <w:right w:val="nil"/>
            </w:tcBorders>
            <w:shd w:val="clear" w:color="000000" w:fill="FFFFFF"/>
            <w:noWrap/>
            <w:vAlign w:val="center"/>
            <w:hideMark/>
          </w:tcPr>
          <w:p w14:paraId="6D1EE43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(0.015)</w:t>
            </w:r>
          </w:p>
        </w:tc>
        <w:tc>
          <w:tcPr>
            <w:tcW w:w="394" w:type="pct"/>
            <w:tcBorders>
              <w:top w:val="nil"/>
              <w:left w:val="nil"/>
              <w:bottom w:val="nil"/>
              <w:right w:val="nil"/>
            </w:tcBorders>
            <w:shd w:val="clear" w:color="000000" w:fill="FFFFFF"/>
            <w:noWrap/>
            <w:vAlign w:val="center"/>
            <w:hideMark/>
          </w:tcPr>
          <w:p w14:paraId="5525C0E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-0.008</w:t>
            </w:r>
          </w:p>
        </w:tc>
        <w:tc>
          <w:tcPr>
            <w:tcW w:w="294" w:type="pct"/>
            <w:tcBorders>
              <w:top w:val="nil"/>
              <w:left w:val="nil"/>
              <w:bottom w:val="nil"/>
              <w:right w:val="nil"/>
            </w:tcBorders>
            <w:shd w:val="clear" w:color="000000" w:fill="FFFFFF"/>
            <w:noWrap/>
            <w:vAlign w:val="center"/>
            <w:hideMark/>
          </w:tcPr>
          <w:p w14:paraId="2465933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(0.007)</w:t>
            </w:r>
          </w:p>
        </w:tc>
      </w:tr>
      <w:tr w:rsidR="0080615F" w:rsidRPr="00375327" w14:paraId="761C9E0F" w14:textId="77777777" w:rsidTr="0080615F">
        <w:trPr>
          <w:trHeight w:val="290"/>
        </w:trPr>
        <w:tc>
          <w:tcPr>
            <w:tcW w:w="871" w:type="pct"/>
            <w:tcBorders>
              <w:top w:val="nil"/>
              <w:left w:val="nil"/>
              <w:bottom w:val="nil"/>
              <w:right w:val="nil"/>
            </w:tcBorders>
            <w:shd w:val="clear" w:color="000000" w:fill="FFFFFF"/>
            <w:noWrap/>
            <w:vAlign w:val="center"/>
            <w:hideMark/>
          </w:tcPr>
          <w:p w14:paraId="50FA364C"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Income: refused</w:t>
            </w:r>
          </w:p>
        </w:tc>
        <w:tc>
          <w:tcPr>
            <w:tcW w:w="394" w:type="pct"/>
            <w:tcBorders>
              <w:top w:val="nil"/>
              <w:left w:val="nil"/>
              <w:bottom w:val="nil"/>
              <w:right w:val="nil"/>
            </w:tcBorders>
            <w:shd w:val="clear" w:color="000000" w:fill="FFFFFF"/>
            <w:noWrap/>
            <w:vAlign w:val="center"/>
            <w:hideMark/>
          </w:tcPr>
          <w:p w14:paraId="2A01E51E"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-0.064**</w:t>
            </w:r>
          </w:p>
        </w:tc>
        <w:tc>
          <w:tcPr>
            <w:tcW w:w="294" w:type="pct"/>
            <w:tcBorders>
              <w:top w:val="nil"/>
              <w:left w:val="nil"/>
              <w:bottom w:val="nil"/>
              <w:right w:val="nil"/>
            </w:tcBorders>
            <w:shd w:val="clear" w:color="000000" w:fill="FFFFFF"/>
            <w:noWrap/>
            <w:vAlign w:val="center"/>
            <w:hideMark/>
          </w:tcPr>
          <w:p w14:paraId="25BF6BC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(0.020)</w:t>
            </w:r>
          </w:p>
        </w:tc>
        <w:tc>
          <w:tcPr>
            <w:tcW w:w="394" w:type="pct"/>
            <w:tcBorders>
              <w:top w:val="nil"/>
              <w:left w:val="nil"/>
              <w:bottom w:val="nil"/>
              <w:right w:val="nil"/>
            </w:tcBorders>
            <w:shd w:val="clear" w:color="000000" w:fill="FFFFFF"/>
            <w:noWrap/>
            <w:vAlign w:val="center"/>
            <w:hideMark/>
          </w:tcPr>
          <w:p w14:paraId="3B961D10"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-0.059**</w:t>
            </w:r>
          </w:p>
        </w:tc>
        <w:tc>
          <w:tcPr>
            <w:tcW w:w="294" w:type="pct"/>
            <w:tcBorders>
              <w:top w:val="nil"/>
              <w:left w:val="nil"/>
              <w:bottom w:val="nil"/>
              <w:right w:val="nil"/>
            </w:tcBorders>
            <w:shd w:val="clear" w:color="000000" w:fill="FFFFFF"/>
            <w:noWrap/>
            <w:vAlign w:val="center"/>
            <w:hideMark/>
          </w:tcPr>
          <w:p w14:paraId="08E5C70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(0.021)</w:t>
            </w:r>
          </w:p>
        </w:tc>
        <w:tc>
          <w:tcPr>
            <w:tcW w:w="394" w:type="pct"/>
            <w:tcBorders>
              <w:top w:val="nil"/>
              <w:left w:val="nil"/>
              <w:bottom w:val="nil"/>
              <w:right w:val="nil"/>
            </w:tcBorders>
            <w:shd w:val="clear" w:color="000000" w:fill="FFFFFF"/>
            <w:noWrap/>
            <w:vAlign w:val="center"/>
            <w:hideMark/>
          </w:tcPr>
          <w:p w14:paraId="7210432F"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-0.056**</w:t>
            </w:r>
          </w:p>
        </w:tc>
        <w:tc>
          <w:tcPr>
            <w:tcW w:w="294" w:type="pct"/>
            <w:tcBorders>
              <w:top w:val="nil"/>
              <w:left w:val="nil"/>
              <w:bottom w:val="nil"/>
              <w:right w:val="nil"/>
            </w:tcBorders>
            <w:shd w:val="clear" w:color="000000" w:fill="FFFFFF"/>
            <w:noWrap/>
            <w:vAlign w:val="center"/>
            <w:hideMark/>
          </w:tcPr>
          <w:p w14:paraId="74EE4966"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(0.020)</w:t>
            </w:r>
          </w:p>
        </w:tc>
        <w:tc>
          <w:tcPr>
            <w:tcW w:w="394" w:type="pct"/>
            <w:tcBorders>
              <w:top w:val="nil"/>
              <w:left w:val="nil"/>
              <w:bottom w:val="nil"/>
              <w:right w:val="nil"/>
            </w:tcBorders>
            <w:shd w:val="clear" w:color="000000" w:fill="FFFFFF"/>
            <w:noWrap/>
            <w:vAlign w:val="center"/>
            <w:hideMark/>
          </w:tcPr>
          <w:p w14:paraId="7482BA7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-0.061**</w:t>
            </w:r>
          </w:p>
        </w:tc>
        <w:tc>
          <w:tcPr>
            <w:tcW w:w="294" w:type="pct"/>
            <w:tcBorders>
              <w:top w:val="nil"/>
              <w:left w:val="nil"/>
              <w:bottom w:val="nil"/>
              <w:right w:val="nil"/>
            </w:tcBorders>
            <w:shd w:val="clear" w:color="000000" w:fill="FFFFFF"/>
            <w:noWrap/>
            <w:vAlign w:val="center"/>
            <w:hideMark/>
          </w:tcPr>
          <w:p w14:paraId="5638ADDD"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(0.021)</w:t>
            </w:r>
          </w:p>
        </w:tc>
        <w:tc>
          <w:tcPr>
            <w:tcW w:w="394" w:type="pct"/>
            <w:tcBorders>
              <w:top w:val="nil"/>
              <w:left w:val="nil"/>
              <w:bottom w:val="nil"/>
              <w:right w:val="nil"/>
            </w:tcBorders>
            <w:shd w:val="clear" w:color="000000" w:fill="FFFFFF"/>
            <w:noWrap/>
            <w:vAlign w:val="center"/>
            <w:hideMark/>
          </w:tcPr>
          <w:p w14:paraId="5772E581"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-0.055**</w:t>
            </w:r>
          </w:p>
        </w:tc>
        <w:tc>
          <w:tcPr>
            <w:tcW w:w="294" w:type="pct"/>
            <w:tcBorders>
              <w:top w:val="nil"/>
              <w:left w:val="nil"/>
              <w:bottom w:val="nil"/>
              <w:right w:val="nil"/>
            </w:tcBorders>
            <w:shd w:val="clear" w:color="000000" w:fill="FFFFFF"/>
            <w:noWrap/>
            <w:vAlign w:val="center"/>
            <w:hideMark/>
          </w:tcPr>
          <w:p w14:paraId="6DDB671E"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(0.020)</w:t>
            </w:r>
          </w:p>
        </w:tc>
        <w:tc>
          <w:tcPr>
            <w:tcW w:w="394" w:type="pct"/>
            <w:tcBorders>
              <w:top w:val="nil"/>
              <w:left w:val="nil"/>
              <w:bottom w:val="nil"/>
              <w:right w:val="nil"/>
            </w:tcBorders>
            <w:shd w:val="clear" w:color="000000" w:fill="FFFFFF"/>
            <w:noWrap/>
            <w:vAlign w:val="center"/>
            <w:hideMark/>
          </w:tcPr>
          <w:p w14:paraId="150FE14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-0.053***</w:t>
            </w:r>
          </w:p>
        </w:tc>
        <w:tc>
          <w:tcPr>
            <w:tcW w:w="294" w:type="pct"/>
            <w:tcBorders>
              <w:top w:val="nil"/>
              <w:left w:val="nil"/>
              <w:bottom w:val="nil"/>
              <w:right w:val="nil"/>
            </w:tcBorders>
            <w:shd w:val="clear" w:color="000000" w:fill="FFFFFF"/>
            <w:noWrap/>
            <w:vAlign w:val="center"/>
            <w:hideMark/>
          </w:tcPr>
          <w:p w14:paraId="1D418874"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(0.011)</w:t>
            </w:r>
          </w:p>
        </w:tc>
      </w:tr>
      <w:tr w:rsidR="0080615F" w:rsidRPr="00375327" w14:paraId="1738BBC3" w14:textId="77777777" w:rsidTr="0080615F">
        <w:trPr>
          <w:trHeight w:val="290"/>
        </w:trPr>
        <w:tc>
          <w:tcPr>
            <w:tcW w:w="871" w:type="pct"/>
            <w:tcBorders>
              <w:top w:val="nil"/>
              <w:left w:val="nil"/>
              <w:bottom w:val="nil"/>
              <w:right w:val="nil"/>
            </w:tcBorders>
            <w:shd w:val="clear" w:color="000000" w:fill="FFFFFF"/>
            <w:noWrap/>
            <w:vAlign w:val="center"/>
            <w:hideMark/>
          </w:tcPr>
          <w:p w14:paraId="42E8901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Gender</w:t>
            </w:r>
          </w:p>
        </w:tc>
        <w:tc>
          <w:tcPr>
            <w:tcW w:w="394" w:type="pct"/>
            <w:tcBorders>
              <w:top w:val="nil"/>
              <w:left w:val="nil"/>
              <w:bottom w:val="nil"/>
              <w:right w:val="nil"/>
            </w:tcBorders>
            <w:shd w:val="clear" w:color="000000" w:fill="FFFFFF"/>
            <w:noWrap/>
            <w:vAlign w:val="center"/>
            <w:hideMark/>
          </w:tcPr>
          <w:p w14:paraId="6EEBEEA8"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-0.012</w:t>
            </w:r>
          </w:p>
        </w:tc>
        <w:tc>
          <w:tcPr>
            <w:tcW w:w="294" w:type="pct"/>
            <w:tcBorders>
              <w:top w:val="nil"/>
              <w:left w:val="nil"/>
              <w:bottom w:val="nil"/>
              <w:right w:val="nil"/>
            </w:tcBorders>
            <w:shd w:val="clear" w:color="000000" w:fill="FFFFFF"/>
            <w:noWrap/>
            <w:vAlign w:val="center"/>
            <w:hideMark/>
          </w:tcPr>
          <w:p w14:paraId="6C2FA75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(0.011)</w:t>
            </w:r>
          </w:p>
        </w:tc>
        <w:tc>
          <w:tcPr>
            <w:tcW w:w="394" w:type="pct"/>
            <w:tcBorders>
              <w:top w:val="nil"/>
              <w:left w:val="nil"/>
              <w:bottom w:val="nil"/>
              <w:right w:val="nil"/>
            </w:tcBorders>
            <w:shd w:val="clear" w:color="000000" w:fill="FFFFFF"/>
            <w:noWrap/>
            <w:vAlign w:val="center"/>
            <w:hideMark/>
          </w:tcPr>
          <w:p w14:paraId="7B341F81"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-0.008</w:t>
            </w:r>
          </w:p>
        </w:tc>
        <w:tc>
          <w:tcPr>
            <w:tcW w:w="294" w:type="pct"/>
            <w:tcBorders>
              <w:top w:val="nil"/>
              <w:left w:val="nil"/>
              <w:bottom w:val="nil"/>
              <w:right w:val="nil"/>
            </w:tcBorders>
            <w:shd w:val="clear" w:color="000000" w:fill="FFFFFF"/>
            <w:noWrap/>
            <w:vAlign w:val="center"/>
            <w:hideMark/>
          </w:tcPr>
          <w:p w14:paraId="19A982C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(0.011)</w:t>
            </w:r>
          </w:p>
        </w:tc>
        <w:tc>
          <w:tcPr>
            <w:tcW w:w="394" w:type="pct"/>
            <w:tcBorders>
              <w:top w:val="nil"/>
              <w:left w:val="nil"/>
              <w:bottom w:val="nil"/>
              <w:right w:val="nil"/>
            </w:tcBorders>
            <w:shd w:val="clear" w:color="000000" w:fill="FFFFFF"/>
            <w:noWrap/>
            <w:vAlign w:val="center"/>
            <w:hideMark/>
          </w:tcPr>
          <w:p w14:paraId="170B3AA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-0.010</w:t>
            </w:r>
          </w:p>
        </w:tc>
        <w:tc>
          <w:tcPr>
            <w:tcW w:w="294" w:type="pct"/>
            <w:tcBorders>
              <w:top w:val="nil"/>
              <w:left w:val="nil"/>
              <w:bottom w:val="nil"/>
              <w:right w:val="nil"/>
            </w:tcBorders>
            <w:shd w:val="clear" w:color="000000" w:fill="FFFFFF"/>
            <w:noWrap/>
            <w:vAlign w:val="center"/>
            <w:hideMark/>
          </w:tcPr>
          <w:p w14:paraId="24D5E62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(0.011)</w:t>
            </w:r>
          </w:p>
        </w:tc>
        <w:tc>
          <w:tcPr>
            <w:tcW w:w="394" w:type="pct"/>
            <w:tcBorders>
              <w:top w:val="nil"/>
              <w:left w:val="nil"/>
              <w:bottom w:val="nil"/>
              <w:right w:val="nil"/>
            </w:tcBorders>
            <w:shd w:val="clear" w:color="000000" w:fill="FFFFFF"/>
            <w:noWrap/>
            <w:vAlign w:val="center"/>
            <w:hideMark/>
          </w:tcPr>
          <w:p w14:paraId="3CEAEC3D"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-0.010</w:t>
            </w:r>
          </w:p>
        </w:tc>
        <w:tc>
          <w:tcPr>
            <w:tcW w:w="294" w:type="pct"/>
            <w:tcBorders>
              <w:top w:val="nil"/>
              <w:left w:val="nil"/>
              <w:bottom w:val="nil"/>
              <w:right w:val="nil"/>
            </w:tcBorders>
            <w:shd w:val="clear" w:color="000000" w:fill="FFFFFF"/>
            <w:noWrap/>
            <w:vAlign w:val="center"/>
            <w:hideMark/>
          </w:tcPr>
          <w:p w14:paraId="1B75AEFD"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(0.011)</w:t>
            </w:r>
          </w:p>
        </w:tc>
        <w:tc>
          <w:tcPr>
            <w:tcW w:w="394" w:type="pct"/>
            <w:tcBorders>
              <w:top w:val="nil"/>
              <w:left w:val="nil"/>
              <w:bottom w:val="nil"/>
              <w:right w:val="nil"/>
            </w:tcBorders>
            <w:shd w:val="clear" w:color="000000" w:fill="FFFFFF"/>
            <w:noWrap/>
            <w:vAlign w:val="center"/>
            <w:hideMark/>
          </w:tcPr>
          <w:p w14:paraId="0CC6D6B0"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-0.008</w:t>
            </w:r>
          </w:p>
        </w:tc>
        <w:tc>
          <w:tcPr>
            <w:tcW w:w="294" w:type="pct"/>
            <w:tcBorders>
              <w:top w:val="nil"/>
              <w:left w:val="nil"/>
              <w:bottom w:val="nil"/>
              <w:right w:val="nil"/>
            </w:tcBorders>
            <w:shd w:val="clear" w:color="000000" w:fill="FFFFFF"/>
            <w:noWrap/>
            <w:vAlign w:val="center"/>
            <w:hideMark/>
          </w:tcPr>
          <w:p w14:paraId="4326C8F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(0.011)</w:t>
            </w:r>
          </w:p>
        </w:tc>
        <w:tc>
          <w:tcPr>
            <w:tcW w:w="394" w:type="pct"/>
            <w:tcBorders>
              <w:top w:val="nil"/>
              <w:left w:val="nil"/>
              <w:bottom w:val="nil"/>
              <w:right w:val="nil"/>
            </w:tcBorders>
            <w:shd w:val="clear" w:color="000000" w:fill="FFFFFF"/>
            <w:noWrap/>
            <w:vAlign w:val="center"/>
            <w:hideMark/>
          </w:tcPr>
          <w:p w14:paraId="41F7CFCB"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-0.016**</w:t>
            </w:r>
          </w:p>
        </w:tc>
        <w:tc>
          <w:tcPr>
            <w:tcW w:w="294" w:type="pct"/>
            <w:tcBorders>
              <w:top w:val="nil"/>
              <w:left w:val="nil"/>
              <w:bottom w:val="nil"/>
              <w:right w:val="nil"/>
            </w:tcBorders>
            <w:shd w:val="clear" w:color="000000" w:fill="FFFFFF"/>
            <w:noWrap/>
            <w:vAlign w:val="center"/>
            <w:hideMark/>
          </w:tcPr>
          <w:p w14:paraId="5AEB7D74"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(0.005)</w:t>
            </w:r>
          </w:p>
        </w:tc>
      </w:tr>
      <w:tr w:rsidR="0080615F" w:rsidRPr="00375327" w14:paraId="12CAE43C" w14:textId="77777777" w:rsidTr="0080615F">
        <w:trPr>
          <w:trHeight w:val="290"/>
        </w:trPr>
        <w:tc>
          <w:tcPr>
            <w:tcW w:w="871" w:type="pct"/>
            <w:tcBorders>
              <w:top w:val="nil"/>
              <w:left w:val="nil"/>
              <w:bottom w:val="nil"/>
              <w:right w:val="nil"/>
            </w:tcBorders>
            <w:shd w:val="clear" w:color="000000" w:fill="FFFFFF"/>
            <w:noWrap/>
            <w:vAlign w:val="center"/>
            <w:hideMark/>
          </w:tcPr>
          <w:p w14:paraId="7687DB8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Education level</w:t>
            </w:r>
          </w:p>
        </w:tc>
        <w:tc>
          <w:tcPr>
            <w:tcW w:w="394" w:type="pct"/>
            <w:tcBorders>
              <w:top w:val="nil"/>
              <w:left w:val="nil"/>
              <w:bottom w:val="nil"/>
              <w:right w:val="nil"/>
            </w:tcBorders>
            <w:shd w:val="clear" w:color="000000" w:fill="FFFFFF"/>
            <w:noWrap/>
            <w:vAlign w:val="center"/>
            <w:hideMark/>
          </w:tcPr>
          <w:p w14:paraId="54FE23B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-0.005</w:t>
            </w:r>
          </w:p>
        </w:tc>
        <w:tc>
          <w:tcPr>
            <w:tcW w:w="294" w:type="pct"/>
            <w:tcBorders>
              <w:top w:val="nil"/>
              <w:left w:val="nil"/>
              <w:bottom w:val="nil"/>
              <w:right w:val="nil"/>
            </w:tcBorders>
            <w:shd w:val="clear" w:color="000000" w:fill="FFFFFF"/>
            <w:noWrap/>
            <w:vAlign w:val="center"/>
            <w:hideMark/>
          </w:tcPr>
          <w:p w14:paraId="34ACCA38"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(0.003)</w:t>
            </w:r>
          </w:p>
        </w:tc>
        <w:tc>
          <w:tcPr>
            <w:tcW w:w="394" w:type="pct"/>
            <w:tcBorders>
              <w:top w:val="nil"/>
              <w:left w:val="nil"/>
              <w:bottom w:val="nil"/>
              <w:right w:val="nil"/>
            </w:tcBorders>
            <w:shd w:val="clear" w:color="000000" w:fill="FFFFFF"/>
            <w:noWrap/>
            <w:vAlign w:val="center"/>
            <w:hideMark/>
          </w:tcPr>
          <w:p w14:paraId="63D69CA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-0.005</w:t>
            </w:r>
          </w:p>
        </w:tc>
        <w:tc>
          <w:tcPr>
            <w:tcW w:w="294" w:type="pct"/>
            <w:tcBorders>
              <w:top w:val="nil"/>
              <w:left w:val="nil"/>
              <w:bottom w:val="nil"/>
              <w:right w:val="nil"/>
            </w:tcBorders>
            <w:shd w:val="clear" w:color="000000" w:fill="FFFFFF"/>
            <w:noWrap/>
            <w:vAlign w:val="center"/>
            <w:hideMark/>
          </w:tcPr>
          <w:p w14:paraId="3B44E2D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(0.003)</w:t>
            </w:r>
          </w:p>
        </w:tc>
        <w:tc>
          <w:tcPr>
            <w:tcW w:w="394" w:type="pct"/>
            <w:tcBorders>
              <w:top w:val="nil"/>
              <w:left w:val="nil"/>
              <w:bottom w:val="nil"/>
              <w:right w:val="nil"/>
            </w:tcBorders>
            <w:shd w:val="clear" w:color="000000" w:fill="FFFFFF"/>
            <w:noWrap/>
            <w:vAlign w:val="center"/>
            <w:hideMark/>
          </w:tcPr>
          <w:p w14:paraId="5CBE93E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-0.006</w:t>
            </w:r>
          </w:p>
        </w:tc>
        <w:tc>
          <w:tcPr>
            <w:tcW w:w="294" w:type="pct"/>
            <w:tcBorders>
              <w:top w:val="nil"/>
              <w:left w:val="nil"/>
              <w:bottom w:val="nil"/>
              <w:right w:val="nil"/>
            </w:tcBorders>
            <w:shd w:val="clear" w:color="000000" w:fill="FFFFFF"/>
            <w:noWrap/>
            <w:vAlign w:val="center"/>
            <w:hideMark/>
          </w:tcPr>
          <w:p w14:paraId="163D5AFE"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(0.003)</w:t>
            </w:r>
          </w:p>
        </w:tc>
        <w:tc>
          <w:tcPr>
            <w:tcW w:w="394" w:type="pct"/>
            <w:tcBorders>
              <w:top w:val="nil"/>
              <w:left w:val="nil"/>
              <w:bottom w:val="nil"/>
              <w:right w:val="nil"/>
            </w:tcBorders>
            <w:shd w:val="clear" w:color="000000" w:fill="FFFFFF"/>
            <w:noWrap/>
            <w:vAlign w:val="center"/>
            <w:hideMark/>
          </w:tcPr>
          <w:p w14:paraId="4AD873B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-0.008**</w:t>
            </w:r>
          </w:p>
        </w:tc>
        <w:tc>
          <w:tcPr>
            <w:tcW w:w="294" w:type="pct"/>
            <w:tcBorders>
              <w:top w:val="nil"/>
              <w:left w:val="nil"/>
              <w:bottom w:val="nil"/>
              <w:right w:val="nil"/>
            </w:tcBorders>
            <w:shd w:val="clear" w:color="000000" w:fill="FFFFFF"/>
            <w:noWrap/>
            <w:vAlign w:val="center"/>
            <w:hideMark/>
          </w:tcPr>
          <w:p w14:paraId="6CDC7BE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(0.003)</w:t>
            </w:r>
          </w:p>
        </w:tc>
        <w:tc>
          <w:tcPr>
            <w:tcW w:w="394" w:type="pct"/>
            <w:tcBorders>
              <w:top w:val="nil"/>
              <w:left w:val="nil"/>
              <w:bottom w:val="nil"/>
              <w:right w:val="nil"/>
            </w:tcBorders>
            <w:shd w:val="clear" w:color="000000" w:fill="FFFFFF"/>
            <w:noWrap/>
            <w:vAlign w:val="center"/>
            <w:hideMark/>
          </w:tcPr>
          <w:p w14:paraId="618A959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-0.006*</w:t>
            </w:r>
          </w:p>
        </w:tc>
        <w:tc>
          <w:tcPr>
            <w:tcW w:w="294" w:type="pct"/>
            <w:tcBorders>
              <w:top w:val="nil"/>
              <w:left w:val="nil"/>
              <w:bottom w:val="nil"/>
              <w:right w:val="nil"/>
            </w:tcBorders>
            <w:shd w:val="clear" w:color="000000" w:fill="FFFFFF"/>
            <w:noWrap/>
            <w:vAlign w:val="center"/>
            <w:hideMark/>
          </w:tcPr>
          <w:p w14:paraId="1C99130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(0.003)</w:t>
            </w:r>
          </w:p>
        </w:tc>
        <w:tc>
          <w:tcPr>
            <w:tcW w:w="394" w:type="pct"/>
            <w:tcBorders>
              <w:top w:val="nil"/>
              <w:left w:val="nil"/>
              <w:bottom w:val="nil"/>
              <w:right w:val="nil"/>
            </w:tcBorders>
            <w:shd w:val="clear" w:color="000000" w:fill="FFFFFF"/>
            <w:noWrap/>
            <w:vAlign w:val="center"/>
            <w:hideMark/>
          </w:tcPr>
          <w:p w14:paraId="377BB93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0.004**</w:t>
            </w:r>
          </w:p>
        </w:tc>
        <w:tc>
          <w:tcPr>
            <w:tcW w:w="294" w:type="pct"/>
            <w:tcBorders>
              <w:top w:val="nil"/>
              <w:left w:val="nil"/>
              <w:bottom w:val="nil"/>
              <w:right w:val="nil"/>
            </w:tcBorders>
            <w:shd w:val="clear" w:color="000000" w:fill="FFFFFF"/>
            <w:noWrap/>
            <w:vAlign w:val="center"/>
            <w:hideMark/>
          </w:tcPr>
          <w:p w14:paraId="207DBD10"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(0.001)</w:t>
            </w:r>
          </w:p>
        </w:tc>
      </w:tr>
      <w:tr w:rsidR="0080615F" w:rsidRPr="00375327" w14:paraId="65051E92" w14:textId="77777777" w:rsidTr="0080615F">
        <w:trPr>
          <w:trHeight w:val="290"/>
        </w:trPr>
        <w:tc>
          <w:tcPr>
            <w:tcW w:w="871" w:type="pct"/>
            <w:tcBorders>
              <w:top w:val="nil"/>
              <w:left w:val="nil"/>
              <w:bottom w:val="nil"/>
              <w:right w:val="nil"/>
            </w:tcBorders>
            <w:shd w:val="clear" w:color="000000" w:fill="FFFFFF"/>
            <w:noWrap/>
            <w:vAlign w:val="center"/>
            <w:hideMark/>
          </w:tcPr>
          <w:p w14:paraId="0CA287F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General ideology</w:t>
            </w:r>
          </w:p>
        </w:tc>
        <w:tc>
          <w:tcPr>
            <w:tcW w:w="394" w:type="pct"/>
            <w:tcBorders>
              <w:top w:val="nil"/>
              <w:left w:val="nil"/>
              <w:bottom w:val="nil"/>
              <w:right w:val="nil"/>
            </w:tcBorders>
            <w:shd w:val="clear" w:color="000000" w:fill="FFFFFF"/>
            <w:noWrap/>
            <w:vAlign w:val="center"/>
            <w:hideMark/>
          </w:tcPr>
          <w:p w14:paraId="52471B7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294" w:type="pct"/>
            <w:tcBorders>
              <w:top w:val="nil"/>
              <w:left w:val="nil"/>
              <w:bottom w:val="nil"/>
              <w:right w:val="nil"/>
            </w:tcBorders>
            <w:shd w:val="clear" w:color="000000" w:fill="FFFFFF"/>
            <w:noWrap/>
            <w:vAlign w:val="center"/>
            <w:hideMark/>
          </w:tcPr>
          <w:p w14:paraId="0CF4C2E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(0.002)</w:t>
            </w:r>
          </w:p>
        </w:tc>
        <w:tc>
          <w:tcPr>
            <w:tcW w:w="394" w:type="pct"/>
            <w:tcBorders>
              <w:top w:val="nil"/>
              <w:left w:val="nil"/>
              <w:bottom w:val="nil"/>
              <w:right w:val="nil"/>
            </w:tcBorders>
            <w:shd w:val="clear" w:color="000000" w:fill="FFFFFF"/>
            <w:noWrap/>
            <w:vAlign w:val="center"/>
            <w:hideMark/>
          </w:tcPr>
          <w:p w14:paraId="24E5CD4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-0.001</w:t>
            </w:r>
          </w:p>
        </w:tc>
        <w:tc>
          <w:tcPr>
            <w:tcW w:w="294" w:type="pct"/>
            <w:tcBorders>
              <w:top w:val="nil"/>
              <w:left w:val="nil"/>
              <w:bottom w:val="nil"/>
              <w:right w:val="nil"/>
            </w:tcBorders>
            <w:shd w:val="clear" w:color="000000" w:fill="FFFFFF"/>
            <w:noWrap/>
            <w:vAlign w:val="center"/>
            <w:hideMark/>
          </w:tcPr>
          <w:p w14:paraId="1F00902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(0.002)</w:t>
            </w:r>
          </w:p>
        </w:tc>
        <w:tc>
          <w:tcPr>
            <w:tcW w:w="394" w:type="pct"/>
            <w:tcBorders>
              <w:top w:val="nil"/>
              <w:left w:val="nil"/>
              <w:bottom w:val="nil"/>
              <w:right w:val="nil"/>
            </w:tcBorders>
            <w:shd w:val="clear" w:color="000000" w:fill="FFFFFF"/>
            <w:noWrap/>
            <w:vAlign w:val="center"/>
            <w:hideMark/>
          </w:tcPr>
          <w:p w14:paraId="73A62770"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0.001</w:t>
            </w:r>
          </w:p>
        </w:tc>
        <w:tc>
          <w:tcPr>
            <w:tcW w:w="294" w:type="pct"/>
            <w:tcBorders>
              <w:top w:val="nil"/>
              <w:left w:val="nil"/>
              <w:bottom w:val="nil"/>
              <w:right w:val="nil"/>
            </w:tcBorders>
            <w:shd w:val="clear" w:color="000000" w:fill="FFFFFF"/>
            <w:noWrap/>
            <w:vAlign w:val="center"/>
            <w:hideMark/>
          </w:tcPr>
          <w:p w14:paraId="4843F1A4"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(0.002)</w:t>
            </w:r>
          </w:p>
        </w:tc>
        <w:tc>
          <w:tcPr>
            <w:tcW w:w="394" w:type="pct"/>
            <w:tcBorders>
              <w:top w:val="nil"/>
              <w:left w:val="nil"/>
              <w:bottom w:val="nil"/>
              <w:right w:val="nil"/>
            </w:tcBorders>
            <w:shd w:val="clear" w:color="000000" w:fill="FFFFFF"/>
            <w:noWrap/>
            <w:vAlign w:val="center"/>
            <w:hideMark/>
          </w:tcPr>
          <w:p w14:paraId="719A0774"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0.000</w:t>
            </w:r>
          </w:p>
        </w:tc>
        <w:tc>
          <w:tcPr>
            <w:tcW w:w="294" w:type="pct"/>
            <w:tcBorders>
              <w:top w:val="nil"/>
              <w:left w:val="nil"/>
              <w:bottom w:val="nil"/>
              <w:right w:val="nil"/>
            </w:tcBorders>
            <w:shd w:val="clear" w:color="000000" w:fill="FFFFFF"/>
            <w:noWrap/>
            <w:vAlign w:val="center"/>
            <w:hideMark/>
          </w:tcPr>
          <w:p w14:paraId="3D1CD60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(0.002)</w:t>
            </w:r>
          </w:p>
        </w:tc>
        <w:tc>
          <w:tcPr>
            <w:tcW w:w="394" w:type="pct"/>
            <w:tcBorders>
              <w:top w:val="nil"/>
              <w:left w:val="nil"/>
              <w:bottom w:val="nil"/>
              <w:right w:val="nil"/>
            </w:tcBorders>
            <w:shd w:val="clear" w:color="000000" w:fill="FFFFFF"/>
            <w:noWrap/>
            <w:vAlign w:val="center"/>
            <w:hideMark/>
          </w:tcPr>
          <w:p w14:paraId="164C22DD"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0.001</w:t>
            </w:r>
          </w:p>
        </w:tc>
        <w:tc>
          <w:tcPr>
            <w:tcW w:w="294" w:type="pct"/>
            <w:tcBorders>
              <w:top w:val="nil"/>
              <w:left w:val="nil"/>
              <w:bottom w:val="nil"/>
              <w:right w:val="nil"/>
            </w:tcBorders>
            <w:shd w:val="clear" w:color="000000" w:fill="FFFFFF"/>
            <w:noWrap/>
            <w:vAlign w:val="center"/>
            <w:hideMark/>
          </w:tcPr>
          <w:p w14:paraId="01E23AF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(0.002)</w:t>
            </w:r>
          </w:p>
        </w:tc>
        <w:tc>
          <w:tcPr>
            <w:tcW w:w="394" w:type="pct"/>
            <w:tcBorders>
              <w:top w:val="nil"/>
              <w:left w:val="nil"/>
              <w:bottom w:val="nil"/>
              <w:right w:val="nil"/>
            </w:tcBorders>
            <w:shd w:val="clear" w:color="000000" w:fill="FFFFFF"/>
            <w:noWrap/>
            <w:vAlign w:val="center"/>
            <w:hideMark/>
          </w:tcPr>
          <w:p w14:paraId="5EFD2F4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0.001</w:t>
            </w:r>
          </w:p>
        </w:tc>
        <w:tc>
          <w:tcPr>
            <w:tcW w:w="294" w:type="pct"/>
            <w:tcBorders>
              <w:top w:val="nil"/>
              <w:left w:val="nil"/>
              <w:bottom w:val="nil"/>
              <w:right w:val="nil"/>
            </w:tcBorders>
            <w:shd w:val="clear" w:color="000000" w:fill="FFFFFF"/>
            <w:noWrap/>
            <w:vAlign w:val="center"/>
            <w:hideMark/>
          </w:tcPr>
          <w:p w14:paraId="320AD7C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(0.001)</w:t>
            </w:r>
          </w:p>
        </w:tc>
      </w:tr>
      <w:tr w:rsidR="0080615F" w:rsidRPr="00375327" w14:paraId="4B62294E" w14:textId="77777777" w:rsidTr="0080615F">
        <w:trPr>
          <w:trHeight w:val="290"/>
        </w:trPr>
        <w:tc>
          <w:tcPr>
            <w:tcW w:w="871" w:type="pct"/>
            <w:tcBorders>
              <w:top w:val="nil"/>
              <w:left w:val="nil"/>
              <w:bottom w:val="nil"/>
              <w:right w:val="nil"/>
            </w:tcBorders>
            <w:shd w:val="clear" w:color="000000" w:fill="FFFFFF"/>
            <w:noWrap/>
            <w:vAlign w:val="center"/>
            <w:hideMark/>
          </w:tcPr>
          <w:p w14:paraId="1072BE1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Exclusive nationalist</w:t>
            </w:r>
          </w:p>
        </w:tc>
        <w:tc>
          <w:tcPr>
            <w:tcW w:w="394" w:type="pct"/>
            <w:tcBorders>
              <w:top w:val="nil"/>
              <w:left w:val="nil"/>
              <w:bottom w:val="nil"/>
              <w:right w:val="nil"/>
            </w:tcBorders>
            <w:shd w:val="clear" w:color="000000" w:fill="FFFFFF"/>
            <w:noWrap/>
            <w:vAlign w:val="center"/>
            <w:hideMark/>
          </w:tcPr>
          <w:p w14:paraId="1CF3B6F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-0.032*</w:t>
            </w:r>
          </w:p>
        </w:tc>
        <w:tc>
          <w:tcPr>
            <w:tcW w:w="294" w:type="pct"/>
            <w:tcBorders>
              <w:top w:val="nil"/>
              <w:left w:val="nil"/>
              <w:bottom w:val="nil"/>
              <w:right w:val="nil"/>
            </w:tcBorders>
            <w:shd w:val="clear" w:color="000000" w:fill="FFFFFF"/>
            <w:noWrap/>
            <w:vAlign w:val="center"/>
            <w:hideMark/>
          </w:tcPr>
          <w:p w14:paraId="4CBF4BE4"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(0.013)</w:t>
            </w:r>
          </w:p>
        </w:tc>
        <w:tc>
          <w:tcPr>
            <w:tcW w:w="394" w:type="pct"/>
            <w:tcBorders>
              <w:top w:val="nil"/>
              <w:left w:val="nil"/>
              <w:bottom w:val="nil"/>
              <w:right w:val="nil"/>
            </w:tcBorders>
            <w:shd w:val="clear" w:color="000000" w:fill="FFFFFF"/>
            <w:noWrap/>
            <w:vAlign w:val="center"/>
            <w:hideMark/>
          </w:tcPr>
          <w:p w14:paraId="61CF571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-0.034**</w:t>
            </w:r>
          </w:p>
        </w:tc>
        <w:tc>
          <w:tcPr>
            <w:tcW w:w="294" w:type="pct"/>
            <w:tcBorders>
              <w:top w:val="nil"/>
              <w:left w:val="nil"/>
              <w:bottom w:val="nil"/>
              <w:right w:val="nil"/>
            </w:tcBorders>
            <w:shd w:val="clear" w:color="000000" w:fill="FFFFFF"/>
            <w:noWrap/>
            <w:vAlign w:val="center"/>
            <w:hideMark/>
          </w:tcPr>
          <w:p w14:paraId="6A4C474C"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(0.013)</w:t>
            </w:r>
          </w:p>
        </w:tc>
        <w:tc>
          <w:tcPr>
            <w:tcW w:w="394" w:type="pct"/>
            <w:tcBorders>
              <w:top w:val="nil"/>
              <w:left w:val="nil"/>
              <w:bottom w:val="nil"/>
              <w:right w:val="nil"/>
            </w:tcBorders>
            <w:shd w:val="clear" w:color="000000" w:fill="FFFFFF"/>
            <w:noWrap/>
            <w:vAlign w:val="center"/>
            <w:hideMark/>
          </w:tcPr>
          <w:p w14:paraId="0B580ED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-0.017</w:t>
            </w:r>
          </w:p>
        </w:tc>
        <w:tc>
          <w:tcPr>
            <w:tcW w:w="294" w:type="pct"/>
            <w:tcBorders>
              <w:top w:val="nil"/>
              <w:left w:val="nil"/>
              <w:bottom w:val="nil"/>
              <w:right w:val="nil"/>
            </w:tcBorders>
            <w:shd w:val="clear" w:color="000000" w:fill="FFFFFF"/>
            <w:noWrap/>
            <w:vAlign w:val="center"/>
            <w:hideMark/>
          </w:tcPr>
          <w:p w14:paraId="4C3D4A7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(0.013)</w:t>
            </w:r>
          </w:p>
        </w:tc>
        <w:tc>
          <w:tcPr>
            <w:tcW w:w="394" w:type="pct"/>
            <w:tcBorders>
              <w:top w:val="nil"/>
              <w:left w:val="nil"/>
              <w:bottom w:val="nil"/>
              <w:right w:val="nil"/>
            </w:tcBorders>
            <w:shd w:val="clear" w:color="000000" w:fill="FFFFFF"/>
            <w:noWrap/>
            <w:vAlign w:val="center"/>
            <w:hideMark/>
          </w:tcPr>
          <w:p w14:paraId="665E3EDF"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-0.021</w:t>
            </w:r>
          </w:p>
        </w:tc>
        <w:tc>
          <w:tcPr>
            <w:tcW w:w="294" w:type="pct"/>
            <w:tcBorders>
              <w:top w:val="nil"/>
              <w:left w:val="nil"/>
              <w:bottom w:val="nil"/>
              <w:right w:val="nil"/>
            </w:tcBorders>
            <w:shd w:val="clear" w:color="000000" w:fill="FFFFFF"/>
            <w:noWrap/>
            <w:vAlign w:val="center"/>
            <w:hideMark/>
          </w:tcPr>
          <w:p w14:paraId="489EDF1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(0.013)</w:t>
            </w:r>
          </w:p>
        </w:tc>
        <w:tc>
          <w:tcPr>
            <w:tcW w:w="394" w:type="pct"/>
            <w:tcBorders>
              <w:top w:val="nil"/>
              <w:left w:val="nil"/>
              <w:bottom w:val="nil"/>
              <w:right w:val="nil"/>
            </w:tcBorders>
            <w:shd w:val="clear" w:color="000000" w:fill="FFFFFF"/>
            <w:noWrap/>
            <w:vAlign w:val="center"/>
            <w:hideMark/>
          </w:tcPr>
          <w:p w14:paraId="11E0FBF4"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-0.010</w:t>
            </w:r>
          </w:p>
        </w:tc>
        <w:tc>
          <w:tcPr>
            <w:tcW w:w="294" w:type="pct"/>
            <w:tcBorders>
              <w:top w:val="nil"/>
              <w:left w:val="nil"/>
              <w:bottom w:val="nil"/>
              <w:right w:val="nil"/>
            </w:tcBorders>
            <w:shd w:val="clear" w:color="000000" w:fill="FFFFFF"/>
            <w:noWrap/>
            <w:vAlign w:val="center"/>
            <w:hideMark/>
          </w:tcPr>
          <w:p w14:paraId="7F2E728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(0.013)</w:t>
            </w:r>
          </w:p>
        </w:tc>
        <w:tc>
          <w:tcPr>
            <w:tcW w:w="394" w:type="pct"/>
            <w:tcBorders>
              <w:top w:val="nil"/>
              <w:left w:val="nil"/>
              <w:bottom w:val="nil"/>
              <w:right w:val="nil"/>
            </w:tcBorders>
            <w:shd w:val="clear" w:color="000000" w:fill="FFFFFF"/>
            <w:noWrap/>
            <w:vAlign w:val="center"/>
            <w:hideMark/>
          </w:tcPr>
          <w:p w14:paraId="33EC189B"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-0.010</w:t>
            </w:r>
          </w:p>
        </w:tc>
        <w:tc>
          <w:tcPr>
            <w:tcW w:w="294" w:type="pct"/>
            <w:tcBorders>
              <w:top w:val="nil"/>
              <w:left w:val="nil"/>
              <w:bottom w:val="nil"/>
              <w:right w:val="nil"/>
            </w:tcBorders>
            <w:shd w:val="clear" w:color="000000" w:fill="FFFFFF"/>
            <w:noWrap/>
            <w:vAlign w:val="center"/>
            <w:hideMark/>
          </w:tcPr>
          <w:p w14:paraId="0378C67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(0.006)</w:t>
            </w:r>
          </w:p>
        </w:tc>
      </w:tr>
      <w:tr w:rsidR="0080615F" w:rsidRPr="00375327" w14:paraId="3D42D63B" w14:textId="77777777" w:rsidTr="0080615F">
        <w:trPr>
          <w:trHeight w:val="290"/>
        </w:trPr>
        <w:tc>
          <w:tcPr>
            <w:tcW w:w="871" w:type="pct"/>
            <w:tcBorders>
              <w:top w:val="nil"/>
              <w:left w:val="nil"/>
              <w:bottom w:val="nil"/>
              <w:right w:val="nil"/>
            </w:tcBorders>
            <w:shd w:val="clear" w:color="000000" w:fill="FFFFFF"/>
            <w:noWrap/>
            <w:vAlign w:val="center"/>
            <w:hideMark/>
          </w:tcPr>
          <w:p w14:paraId="0FD77506"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Conjoint framing</w:t>
            </w:r>
          </w:p>
        </w:tc>
        <w:tc>
          <w:tcPr>
            <w:tcW w:w="394" w:type="pct"/>
            <w:tcBorders>
              <w:top w:val="nil"/>
              <w:left w:val="nil"/>
              <w:bottom w:val="nil"/>
              <w:right w:val="nil"/>
            </w:tcBorders>
            <w:shd w:val="clear" w:color="000000" w:fill="FFFFFF"/>
            <w:noWrap/>
            <w:vAlign w:val="center"/>
            <w:hideMark/>
          </w:tcPr>
          <w:p w14:paraId="57B118EE"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-0.004</w:t>
            </w:r>
          </w:p>
        </w:tc>
        <w:tc>
          <w:tcPr>
            <w:tcW w:w="294" w:type="pct"/>
            <w:tcBorders>
              <w:top w:val="nil"/>
              <w:left w:val="nil"/>
              <w:bottom w:val="nil"/>
              <w:right w:val="nil"/>
            </w:tcBorders>
            <w:shd w:val="clear" w:color="000000" w:fill="FFFFFF"/>
            <w:noWrap/>
            <w:vAlign w:val="center"/>
            <w:hideMark/>
          </w:tcPr>
          <w:p w14:paraId="401653AE"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(0.010)</w:t>
            </w:r>
          </w:p>
        </w:tc>
        <w:tc>
          <w:tcPr>
            <w:tcW w:w="394" w:type="pct"/>
            <w:tcBorders>
              <w:top w:val="nil"/>
              <w:left w:val="nil"/>
              <w:bottom w:val="nil"/>
              <w:right w:val="nil"/>
            </w:tcBorders>
            <w:shd w:val="clear" w:color="000000" w:fill="FFFFFF"/>
            <w:noWrap/>
            <w:vAlign w:val="center"/>
            <w:hideMark/>
          </w:tcPr>
          <w:p w14:paraId="3394FF4C"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-0.004</w:t>
            </w:r>
          </w:p>
        </w:tc>
        <w:tc>
          <w:tcPr>
            <w:tcW w:w="294" w:type="pct"/>
            <w:tcBorders>
              <w:top w:val="nil"/>
              <w:left w:val="nil"/>
              <w:bottom w:val="nil"/>
              <w:right w:val="nil"/>
            </w:tcBorders>
            <w:shd w:val="clear" w:color="000000" w:fill="FFFFFF"/>
            <w:noWrap/>
            <w:vAlign w:val="center"/>
            <w:hideMark/>
          </w:tcPr>
          <w:p w14:paraId="7612CC3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(0.010)</w:t>
            </w:r>
          </w:p>
        </w:tc>
        <w:tc>
          <w:tcPr>
            <w:tcW w:w="394" w:type="pct"/>
            <w:tcBorders>
              <w:top w:val="nil"/>
              <w:left w:val="nil"/>
              <w:bottom w:val="nil"/>
              <w:right w:val="nil"/>
            </w:tcBorders>
            <w:shd w:val="clear" w:color="000000" w:fill="FFFFFF"/>
            <w:noWrap/>
            <w:vAlign w:val="center"/>
            <w:hideMark/>
          </w:tcPr>
          <w:p w14:paraId="4A31505E"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-0.005</w:t>
            </w:r>
          </w:p>
        </w:tc>
        <w:tc>
          <w:tcPr>
            <w:tcW w:w="294" w:type="pct"/>
            <w:tcBorders>
              <w:top w:val="nil"/>
              <w:left w:val="nil"/>
              <w:bottom w:val="nil"/>
              <w:right w:val="nil"/>
            </w:tcBorders>
            <w:shd w:val="clear" w:color="000000" w:fill="FFFFFF"/>
            <w:noWrap/>
            <w:vAlign w:val="center"/>
            <w:hideMark/>
          </w:tcPr>
          <w:p w14:paraId="60E4FFB0"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(0.010)</w:t>
            </w:r>
          </w:p>
        </w:tc>
        <w:tc>
          <w:tcPr>
            <w:tcW w:w="394" w:type="pct"/>
            <w:tcBorders>
              <w:top w:val="nil"/>
              <w:left w:val="nil"/>
              <w:bottom w:val="nil"/>
              <w:right w:val="nil"/>
            </w:tcBorders>
            <w:shd w:val="clear" w:color="000000" w:fill="FFFFFF"/>
            <w:noWrap/>
            <w:vAlign w:val="center"/>
            <w:hideMark/>
          </w:tcPr>
          <w:p w14:paraId="4C31DF1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-0.004</w:t>
            </w:r>
          </w:p>
        </w:tc>
        <w:tc>
          <w:tcPr>
            <w:tcW w:w="294" w:type="pct"/>
            <w:tcBorders>
              <w:top w:val="nil"/>
              <w:left w:val="nil"/>
              <w:bottom w:val="nil"/>
              <w:right w:val="nil"/>
            </w:tcBorders>
            <w:shd w:val="clear" w:color="000000" w:fill="FFFFFF"/>
            <w:noWrap/>
            <w:vAlign w:val="center"/>
            <w:hideMark/>
          </w:tcPr>
          <w:p w14:paraId="3048ABF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(0.011)</w:t>
            </w:r>
          </w:p>
        </w:tc>
        <w:tc>
          <w:tcPr>
            <w:tcW w:w="394" w:type="pct"/>
            <w:tcBorders>
              <w:top w:val="nil"/>
              <w:left w:val="nil"/>
              <w:bottom w:val="nil"/>
              <w:right w:val="nil"/>
            </w:tcBorders>
            <w:shd w:val="clear" w:color="000000" w:fill="FFFFFF"/>
            <w:noWrap/>
            <w:vAlign w:val="center"/>
            <w:hideMark/>
          </w:tcPr>
          <w:p w14:paraId="6EF9A2BA"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-0.004</w:t>
            </w:r>
          </w:p>
        </w:tc>
        <w:tc>
          <w:tcPr>
            <w:tcW w:w="294" w:type="pct"/>
            <w:tcBorders>
              <w:top w:val="nil"/>
              <w:left w:val="nil"/>
              <w:bottom w:val="nil"/>
              <w:right w:val="nil"/>
            </w:tcBorders>
            <w:shd w:val="clear" w:color="000000" w:fill="FFFFFF"/>
            <w:noWrap/>
            <w:vAlign w:val="center"/>
            <w:hideMark/>
          </w:tcPr>
          <w:p w14:paraId="79E4B9C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(0.010)</w:t>
            </w:r>
          </w:p>
        </w:tc>
        <w:tc>
          <w:tcPr>
            <w:tcW w:w="394" w:type="pct"/>
            <w:tcBorders>
              <w:top w:val="nil"/>
              <w:left w:val="nil"/>
              <w:bottom w:val="nil"/>
              <w:right w:val="nil"/>
            </w:tcBorders>
            <w:shd w:val="clear" w:color="000000" w:fill="FFFFFF"/>
            <w:noWrap/>
            <w:vAlign w:val="center"/>
            <w:hideMark/>
          </w:tcPr>
          <w:p w14:paraId="56B7B2AD"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-0.001</w:t>
            </w:r>
          </w:p>
        </w:tc>
        <w:tc>
          <w:tcPr>
            <w:tcW w:w="294" w:type="pct"/>
            <w:tcBorders>
              <w:top w:val="nil"/>
              <w:left w:val="nil"/>
              <w:bottom w:val="nil"/>
              <w:right w:val="nil"/>
            </w:tcBorders>
            <w:shd w:val="clear" w:color="000000" w:fill="FFFFFF"/>
            <w:noWrap/>
            <w:vAlign w:val="center"/>
            <w:hideMark/>
          </w:tcPr>
          <w:p w14:paraId="604E7747"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(0.005)</w:t>
            </w:r>
          </w:p>
        </w:tc>
      </w:tr>
      <w:tr w:rsidR="0080615F" w:rsidRPr="00375327" w14:paraId="6C424FD8" w14:textId="77777777" w:rsidTr="0080615F">
        <w:trPr>
          <w:trHeight w:val="290"/>
        </w:trPr>
        <w:tc>
          <w:tcPr>
            <w:tcW w:w="871" w:type="pct"/>
            <w:tcBorders>
              <w:top w:val="nil"/>
              <w:left w:val="nil"/>
              <w:bottom w:val="single" w:sz="4" w:space="0" w:color="auto"/>
              <w:right w:val="nil"/>
            </w:tcBorders>
            <w:shd w:val="clear" w:color="000000" w:fill="FFFFFF"/>
            <w:noWrap/>
            <w:vAlign w:val="center"/>
            <w:hideMark/>
          </w:tcPr>
          <w:p w14:paraId="48215D71"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Constant</w:t>
            </w:r>
          </w:p>
        </w:tc>
        <w:tc>
          <w:tcPr>
            <w:tcW w:w="394" w:type="pct"/>
            <w:tcBorders>
              <w:top w:val="nil"/>
              <w:left w:val="nil"/>
              <w:bottom w:val="single" w:sz="4" w:space="0" w:color="auto"/>
              <w:right w:val="nil"/>
            </w:tcBorders>
            <w:shd w:val="clear" w:color="000000" w:fill="FFFFFF"/>
            <w:noWrap/>
            <w:vAlign w:val="center"/>
            <w:hideMark/>
          </w:tcPr>
          <w:p w14:paraId="430A80E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2.645***</w:t>
            </w:r>
          </w:p>
        </w:tc>
        <w:tc>
          <w:tcPr>
            <w:tcW w:w="294" w:type="pct"/>
            <w:tcBorders>
              <w:top w:val="nil"/>
              <w:left w:val="nil"/>
              <w:bottom w:val="single" w:sz="4" w:space="0" w:color="auto"/>
              <w:right w:val="nil"/>
            </w:tcBorders>
            <w:shd w:val="clear" w:color="000000" w:fill="FFFFFF"/>
            <w:noWrap/>
            <w:vAlign w:val="center"/>
            <w:hideMark/>
          </w:tcPr>
          <w:p w14:paraId="04FF26DC"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(0.044)</w:t>
            </w:r>
          </w:p>
        </w:tc>
        <w:tc>
          <w:tcPr>
            <w:tcW w:w="394" w:type="pct"/>
            <w:tcBorders>
              <w:top w:val="nil"/>
              <w:left w:val="nil"/>
              <w:bottom w:val="single" w:sz="4" w:space="0" w:color="auto"/>
              <w:right w:val="nil"/>
            </w:tcBorders>
            <w:shd w:val="clear" w:color="000000" w:fill="FFFFFF"/>
            <w:noWrap/>
            <w:vAlign w:val="center"/>
            <w:hideMark/>
          </w:tcPr>
          <w:p w14:paraId="4B8287B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2.704***</w:t>
            </w:r>
          </w:p>
        </w:tc>
        <w:tc>
          <w:tcPr>
            <w:tcW w:w="294" w:type="pct"/>
            <w:tcBorders>
              <w:top w:val="nil"/>
              <w:left w:val="nil"/>
              <w:bottom w:val="single" w:sz="4" w:space="0" w:color="auto"/>
              <w:right w:val="nil"/>
            </w:tcBorders>
            <w:shd w:val="clear" w:color="000000" w:fill="FFFFFF"/>
            <w:noWrap/>
            <w:vAlign w:val="center"/>
            <w:hideMark/>
          </w:tcPr>
          <w:p w14:paraId="699D1706"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(0.042)</w:t>
            </w:r>
          </w:p>
        </w:tc>
        <w:tc>
          <w:tcPr>
            <w:tcW w:w="394" w:type="pct"/>
            <w:tcBorders>
              <w:top w:val="nil"/>
              <w:left w:val="nil"/>
              <w:bottom w:val="single" w:sz="4" w:space="0" w:color="auto"/>
              <w:right w:val="nil"/>
            </w:tcBorders>
            <w:shd w:val="clear" w:color="000000" w:fill="FFFFFF"/>
            <w:noWrap/>
            <w:vAlign w:val="center"/>
            <w:hideMark/>
          </w:tcPr>
          <w:p w14:paraId="4A892D1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2.707***</w:t>
            </w:r>
          </w:p>
        </w:tc>
        <w:tc>
          <w:tcPr>
            <w:tcW w:w="294" w:type="pct"/>
            <w:tcBorders>
              <w:top w:val="nil"/>
              <w:left w:val="nil"/>
              <w:bottom w:val="single" w:sz="4" w:space="0" w:color="auto"/>
              <w:right w:val="nil"/>
            </w:tcBorders>
            <w:shd w:val="clear" w:color="000000" w:fill="FFFFFF"/>
            <w:noWrap/>
            <w:vAlign w:val="center"/>
            <w:hideMark/>
          </w:tcPr>
          <w:p w14:paraId="0B93215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(0.041)</w:t>
            </w:r>
          </w:p>
        </w:tc>
        <w:tc>
          <w:tcPr>
            <w:tcW w:w="394" w:type="pct"/>
            <w:tcBorders>
              <w:top w:val="nil"/>
              <w:left w:val="nil"/>
              <w:bottom w:val="single" w:sz="4" w:space="0" w:color="auto"/>
              <w:right w:val="nil"/>
            </w:tcBorders>
            <w:shd w:val="clear" w:color="000000" w:fill="FFFFFF"/>
            <w:noWrap/>
            <w:vAlign w:val="center"/>
            <w:hideMark/>
          </w:tcPr>
          <w:p w14:paraId="26722474"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2.790***</w:t>
            </w:r>
          </w:p>
        </w:tc>
        <w:tc>
          <w:tcPr>
            <w:tcW w:w="294" w:type="pct"/>
            <w:tcBorders>
              <w:top w:val="nil"/>
              <w:left w:val="nil"/>
              <w:bottom w:val="single" w:sz="4" w:space="0" w:color="auto"/>
              <w:right w:val="nil"/>
            </w:tcBorders>
            <w:shd w:val="clear" w:color="000000" w:fill="FFFFFF"/>
            <w:noWrap/>
            <w:vAlign w:val="center"/>
            <w:hideMark/>
          </w:tcPr>
          <w:p w14:paraId="03ED2B92"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(0.043)</w:t>
            </w:r>
          </w:p>
        </w:tc>
        <w:tc>
          <w:tcPr>
            <w:tcW w:w="394" w:type="pct"/>
            <w:tcBorders>
              <w:top w:val="nil"/>
              <w:left w:val="nil"/>
              <w:bottom w:val="single" w:sz="4" w:space="0" w:color="auto"/>
              <w:right w:val="nil"/>
            </w:tcBorders>
            <w:shd w:val="clear" w:color="000000" w:fill="FFFFFF"/>
            <w:noWrap/>
            <w:vAlign w:val="center"/>
            <w:hideMark/>
          </w:tcPr>
          <w:p w14:paraId="3CAD20B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2.512***</w:t>
            </w:r>
          </w:p>
        </w:tc>
        <w:tc>
          <w:tcPr>
            <w:tcW w:w="294" w:type="pct"/>
            <w:tcBorders>
              <w:top w:val="nil"/>
              <w:left w:val="nil"/>
              <w:bottom w:val="single" w:sz="4" w:space="0" w:color="auto"/>
              <w:right w:val="nil"/>
            </w:tcBorders>
            <w:shd w:val="clear" w:color="000000" w:fill="FFFFFF"/>
            <w:noWrap/>
            <w:vAlign w:val="center"/>
            <w:hideMark/>
          </w:tcPr>
          <w:p w14:paraId="58CCA116"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(0.048)</w:t>
            </w:r>
          </w:p>
        </w:tc>
        <w:tc>
          <w:tcPr>
            <w:tcW w:w="394" w:type="pct"/>
            <w:tcBorders>
              <w:top w:val="nil"/>
              <w:left w:val="nil"/>
              <w:bottom w:val="single" w:sz="4" w:space="0" w:color="auto"/>
              <w:right w:val="nil"/>
            </w:tcBorders>
            <w:shd w:val="clear" w:color="000000" w:fill="FFFFFF"/>
            <w:noWrap/>
            <w:vAlign w:val="center"/>
            <w:hideMark/>
          </w:tcPr>
          <w:p w14:paraId="3D4CA0F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0.058**</w:t>
            </w:r>
          </w:p>
        </w:tc>
        <w:tc>
          <w:tcPr>
            <w:tcW w:w="294" w:type="pct"/>
            <w:tcBorders>
              <w:top w:val="nil"/>
              <w:left w:val="nil"/>
              <w:bottom w:val="single" w:sz="4" w:space="0" w:color="auto"/>
              <w:right w:val="nil"/>
            </w:tcBorders>
            <w:shd w:val="clear" w:color="000000" w:fill="FFFFFF"/>
            <w:noWrap/>
            <w:vAlign w:val="center"/>
            <w:hideMark/>
          </w:tcPr>
          <w:p w14:paraId="3FC7BA49"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(0.021)</w:t>
            </w:r>
          </w:p>
        </w:tc>
      </w:tr>
      <w:tr w:rsidR="0080615F" w:rsidRPr="00375327" w14:paraId="582B5233" w14:textId="77777777" w:rsidTr="0080615F">
        <w:trPr>
          <w:trHeight w:val="230"/>
        </w:trPr>
        <w:tc>
          <w:tcPr>
            <w:tcW w:w="871" w:type="pct"/>
            <w:tcBorders>
              <w:top w:val="nil"/>
              <w:left w:val="nil"/>
              <w:bottom w:val="nil"/>
              <w:right w:val="nil"/>
            </w:tcBorders>
            <w:shd w:val="clear" w:color="000000" w:fill="FFFFFF"/>
            <w:noWrap/>
            <w:vAlign w:val="center"/>
            <w:hideMark/>
          </w:tcPr>
          <w:p w14:paraId="46FDFCB1"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Dependent variable</w:t>
            </w:r>
          </w:p>
        </w:tc>
        <w:tc>
          <w:tcPr>
            <w:tcW w:w="688" w:type="pct"/>
            <w:gridSpan w:val="2"/>
            <w:tcBorders>
              <w:top w:val="single" w:sz="4" w:space="0" w:color="auto"/>
              <w:left w:val="nil"/>
              <w:bottom w:val="nil"/>
              <w:right w:val="nil"/>
            </w:tcBorders>
            <w:shd w:val="clear" w:color="000000" w:fill="FFFFFF"/>
            <w:noWrap/>
            <w:vAlign w:val="center"/>
            <w:hideMark/>
          </w:tcPr>
          <w:p w14:paraId="18D3E972"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Package rating</w:t>
            </w:r>
          </w:p>
        </w:tc>
        <w:tc>
          <w:tcPr>
            <w:tcW w:w="688" w:type="pct"/>
            <w:gridSpan w:val="2"/>
            <w:tcBorders>
              <w:top w:val="single" w:sz="4" w:space="0" w:color="auto"/>
              <w:left w:val="nil"/>
              <w:bottom w:val="nil"/>
              <w:right w:val="nil"/>
            </w:tcBorders>
            <w:shd w:val="clear" w:color="000000" w:fill="FFFFFF"/>
            <w:noWrap/>
            <w:vAlign w:val="center"/>
            <w:hideMark/>
          </w:tcPr>
          <w:p w14:paraId="14AF7769"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Package rating</w:t>
            </w:r>
          </w:p>
        </w:tc>
        <w:tc>
          <w:tcPr>
            <w:tcW w:w="688" w:type="pct"/>
            <w:gridSpan w:val="2"/>
            <w:tcBorders>
              <w:top w:val="single" w:sz="4" w:space="0" w:color="auto"/>
              <w:left w:val="nil"/>
              <w:bottom w:val="nil"/>
              <w:right w:val="nil"/>
            </w:tcBorders>
            <w:shd w:val="clear" w:color="000000" w:fill="FFFFFF"/>
            <w:noWrap/>
            <w:vAlign w:val="center"/>
            <w:hideMark/>
          </w:tcPr>
          <w:p w14:paraId="2A84A514"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Package rating</w:t>
            </w:r>
          </w:p>
        </w:tc>
        <w:tc>
          <w:tcPr>
            <w:tcW w:w="688" w:type="pct"/>
            <w:gridSpan w:val="2"/>
            <w:tcBorders>
              <w:top w:val="single" w:sz="4" w:space="0" w:color="auto"/>
              <w:left w:val="nil"/>
              <w:bottom w:val="nil"/>
              <w:right w:val="nil"/>
            </w:tcBorders>
            <w:shd w:val="clear" w:color="000000" w:fill="FFFFFF"/>
            <w:noWrap/>
            <w:vAlign w:val="center"/>
            <w:hideMark/>
          </w:tcPr>
          <w:p w14:paraId="3DBDB101"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Package rating</w:t>
            </w:r>
          </w:p>
        </w:tc>
        <w:tc>
          <w:tcPr>
            <w:tcW w:w="688" w:type="pct"/>
            <w:gridSpan w:val="2"/>
            <w:tcBorders>
              <w:top w:val="single" w:sz="4" w:space="0" w:color="auto"/>
              <w:left w:val="nil"/>
              <w:bottom w:val="nil"/>
              <w:right w:val="nil"/>
            </w:tcBorders>
            <w:shd w:val="clear" w:color="000000" w:fill="FFFFFF"/>
            <w:noWrap/>
            <w:vAlign w:val="center"/>
            <w:hideMark/>
          </w:tcPr>
          <w:p w14:paraId="313C4ACE"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Package rating</w:t>
            </w:r>
          </w:p>
        </w:tc>
        <w:tc>
          <w:tcPr>
            <w:tcW w:w="688" w:type="pct"/>
            <w:gridSpan w:val="2"/>
            <w:tcBorders>
              <w:top w:val="single" w:sz="4" w:space="0" w:color="auto"/>
              <w:left w:val="nil"/>
              <w:bottom w:val="nil"/>
              <w:right w:val="nil"/>
            </w:tcBorders>
            <w:shd w:val="clear" w:color="000000" w:fill="FFFFFF"/>
            <w:noWrap/>
            <w:vAlign w:val="center"/>
            <w:hideMark/>
          </w:tcPr>
          <w:p w14:paraId="710E99B3"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Package support</w:t>
            </w:r>
          </w:p>
        </w:tc>
      </w:tr>
      <w:tr w:rsidR="0080615F" w:rsidRPr="00375327" w14:paraId="332BDDE4" w14:textId="77777777" w:rsidTr="0080615F">
        <w:trPr>
          <w:trHeight w:val="290"/>
        </w:trPr>
        <w:tc>
          <w:tcPr>
            <w:tcW w:w="871" w:type="pct"/>
            <w:tcBorders>
              <w:top w:val="nil"/>
              <w:left w:val="nil"/>
              <w:bottom w:val="nil"/>
              <w:right w:val="nil"/>
            </w:tcBorders>
            <w:shd w:val="clear" w:color="000000" w:fill="FFFFFF"/>
            <w:noWrap/>
            <w:vAlign w:val="center"/>
            <w:hideMark/>
          </w:tcPr>
          <w:p w14:paraId="10FD573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Observations</w:t>
            </w:r>
          </w:p>
        </w:tc>
        <w:tc>
          <w:tcPr>
            <w:tcW w:w="688" w:type="pct"/>
            <w:gridSpan w:val="2"/>
            <w:tcBorders>
              <w:top w:val="nil"/>
              <w:left w:val="nil"/>
              <w:bottom w:val="nil"/>
              <w:right w:val="nil"/>
            </w:tcBorders>
            <w:shd w:val="clear" w:color="000000" w:fill="FFFFFF"/>
            <w:noWrap/>
            <w:vAlign w:val="center"/>
            <w:hideMark/>
          </w:tcPr>
          <w:p w14:paraId="62073636"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45024</w:t>
            </w:r>
          </w:p>
        </w:tc>
        <w:tc>
          <w:tcPr>
            <w:tcW w:w="688" w:type="pct"/>
            <w:gridSpan w:val="2"/>
            <w:tcBorders>
              <w:top w:val="nil"/>
              <w:left w:val="nil"/>
              <w:bottom w:val="nil"/>
              <w:right w:val="nil"/>
            </w:tcBorders>
            <w:shd w:val="clear" w:color="000000" w:fill="FFFFFF"/>
            <w:noWrap/>
            <w:vAlign w:val="center"/>
            <w:hideMark/>
          </w:tcPr>
          <w:p w14:paraId="49B7AB08"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45024</w:t>
            </w:r>
          </w:p>
        </w:tc>
        <w:tc>
          <w:tcPr>
            <w:tcW w:w="688" w:type="pct"/>
            <w:gridSpan w:val="2"/>
            <w:tcBorders>
              <w:top w:val="nil"/>
              <w:left w:val="nil"/>
              <w:bottom w:val="nil"/>
              <w:right w:val="nil"/>
            </w:tcBorders>
            <w:shd w:val="clear" w:color="000000" w:fill="FFFFFF"/>
            <w:noWrap/>
            <w:vAlign w:val="center"/>
            <w:hideMark/>
          </w:tcPr>
          <w:p w14:paraId="26291D96"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45024</w:t>
            </w:r>
          </w:p>
        </w:tc>
        <w:tc>
          <w:tcPr>
            <w:tcW w:w="688" w:type="pct"/>
            <w:gridSpan w:val="2"/>
            <w:tcBorders>
              <w:top w:val="nil"/>
              <w:left w:val="nil"/>
              <w:bottom w:val="nil"/>
              <w:right w:val="nil"/>
            </w:tcBorders>
            <w:shd w:val="clear" w:color="000000" w:fill="FFFFFF"/>
            <w:noWrap/>
            <w:vAlign w:val="center"/>
            <w:hideMark/>
          </w:tcPr>
          <w:p w14:paraId="1260C881"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45024</w:t>
            </w:r>
          </w:p>
        </w:tc>
        <w:tc>
          <w:tcPr>
            <w:tcW w:w="688" w:type="pct"/>
            <w:gridSpan w:val="2"/>
            <w:tcBorders>
              <w:top w:val="nil"/>
              <w:left w:val="nil"/>
              <w:bottom w:val="nil"/>
              <w:right w:val="nil"/>
            </w:tcBorders>
            <w:shd w:val="clear" w:color="000000" w:fill="FFFFFF"/>
            <w:noWrap/>
            <w:vAlign w:val="center"/>
            <w:hideMark/>
          </w:tcPr>
          <w:p w14:paraId="25F8BB81"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45024</w:t>
            </w:r>
          </w:p>
        </w:tc>
        <w:tc>
          <w:tcPr>
            <w:tcW w:w="688" w:type="pct"/>
            <w:gridSpan w:val="2"/>
            <w:tcBorders>
              <w:top w:val="nil"/>
              <w:left w:val="nil"/>
              <w:bottom w:val="nil"/>
              <w:right w:val="nil"/>
            </w:tcBorders>
            <w:shd w:val="clear" w:color="000000" w:fill="FFFFFF"/>
            <w:noWrap/>
            <w:vAlign w:val="center"/>
            <w:hideMark/>
          </w:tcPr>
          <w:p w14:paraId="523E1802"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45024</w:t>
            </w:r>
          </w:p>
        </w:tc>
      </w:tr>
      <w:tr w:rsidR="0080615F" w:rsidRPr="00375327" w14:paraId="34910FD3" w14:textId="77777777" w:rsidTr="0080615F">
        <w:trPr>
          <w:trHeight w:val="290"/>
        </w:trPr>
        <w:tc>
          <w:tcPr>
            <w:tcW w:w="871" w:type="pct"/>
            <w:tcBorders>
              <w:top w:val="nil"/>
              <w:left w:val="nil"/>
              <w:bottom w:val="single" w:sz="12" w:space="0" w:color="auto"/>
              <w:right w:val="nil"/>
            </w:tcBorders>
            <w:shd w:val="clear" w:color="000000" w:fill="FFFFFF"/>
            <w:noWrap/>
            <w:vAlign w:val="center"/>
            <w:hideMark/>
          </w:tcPr>
          <w:p w14:paraId="34EC5383"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Adjusted R-squared</w:t>
            </w:r>
          </w:p>
        </w:tc>
        <w:tc>
          <w:tcPr>
            <w:tcW w:w="688" w:type="pct"/>
            <w:gridSpan w:val="2"/>
            <w:tcBorders>
              <w:top w:val="nil"/>
              <w:left w:val="nil"/>
              <w:bottom w:val="single" w:sz="12" w:space="0" w:color="auto"/>
              <w:right w:val="nil"/>
            </w:tcBorders>
            <w:shd w:val="clear" w:color="000000" w:fill="FFFFFF"/>
            <w:noWrap/>
            <w:vAlign w:val="center"/>
            <w:hideMark/>
          </w:tcPr>
          <w:p w14:paraId="694CA0B4"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0.045</w:t>
            </w:r>
          </w:p>
        </w:tc>
        <w:tc>
          <w:tcPr>
            <w:tcW w:w="688" w:type="pct"/>
            <w:gridSpan w:val="2"/>
            <w:tcBorders>
              <w:top w:val="nil"/>
              <w:left w:val="nil"/>
              <w:bottom w:val="single" w:sz="12" w:space="0" w:color="auto"/>
              <w:right w:val="nil"/>
            </w:tcBorders>
            <w:shd w:val="clear" w:color="000000" w:fill="FFFFFF"/>
            <w:noWrap/>
            <w:vAlign w:val="center"/>
            <w:hideMark/>
          </w:tcPr>
          <w:p w14:paraId="3BBE0A9C"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0.045</w:t>
            </w:r>
          </w:p>
        </w:tc>
        <w:tc>
          <w:tcPr>
            <w:tcW w:w="688" w:type="pct"/>
            <w:gridSpan w:val="2"/>
            <w:tcBorders>
              <w:top w:val="nil"/>
              <w:left w:val="nil"/>
              <w:bottom w:val="single" w:sz="12" w:space="0" w:color="auto"/>
              <w:right w:val="nil"/>
            </w:tcBorders>
            <w:shd w:val="clear" w:color="000000" w:fill="FFFFFF"/>
            <w:noWrap/>
            <w:vAlign w:val="center"/>
            <w:hideMark/>
          </w:tcPr>
          <w:p w14:paraId="04A9C7C2"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0.046</w:t>
            </w:r>
          </w:p>
        </w:tc>
        <w:tc>
          <w:tcPr>
            <w:tcW w:w="688" w:type="pct"/>
            <w:gridSpan w:val="2"/>
            <w:tcBorders>
              <w:top w:val="nil"/>
              <w:left w:val="nil"/>
              <w:bottom w:val="single" w:sz="12" w:space="0" w:color="auto"/>
              <w:right w:val="nil"/>
            </w:tcBorders>
            <w:shd w:val="clear" w:color="000000" w:fill="FFFFFF"/>
            <w:noWrap/>
            <w:vAlign w:val="center"/>
            <w:hideMark/>
          </w:tcPr>
          <w:p w14:paraId="00612317"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0.040</w:t>
            </w:r>
          </w:p>
        </w:tc>
        <w:tc>
          <w:tcPr>
            <w:tcW w:w="688" w:type="pct"/>
            <w:gridSpan w:val="2"/>
            <w:tcBorders>
              <w:top w:val="nil"/>
              <w:left w:val="nil"/>
              <w:bottom w:val="single" w:sz="12" w:space="0" w:color="auto"/>
              <w:right w:val="nil"/>
            </w:tcBorders>
            <w:shd w:val="clear" w:color="000000" w:fill="FFFFFF"/>
            <w:noWrap/>
            <w:vAlign w:val="center"/>
            <w:hideMark/>
          </w:tcPr>
          <w:p w14:paraId="298BD304"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0.050</w:t>
            </w:r>
          </w:p>
        </w:tc>
        <w:tc>
          <w:tcPr>
            <w:tcW w:w="688" w:type="pct"/>
            <w:gridSpan w:val="2"/>
            <w:tcBorders>
              <w:top w:val="nil"/>
              <w:left w:val="nil"/>
              <w:bottom w:val="single" w:sz="12" w:space="0" w:color="auto"/>
              <w:right w:val="nil"/>
            </w:tcBorders>
            <w:shd w:val="clear" w:color="000000" w:fill="FFFFFF"/>
            <w:noWrap/>
            <w:vAlign w:val="center"/>
            <w:hideMark/>
          </w:tcPr>
          <w:p w14:paraId="742B19FE" w14:textId="77777777" w:rsidR="0080615F" w:rsidRPr="00375327" w:rsidRDefault="0080615F" w:rsidP="0080615F">
            <w:pPr>
              <w:spacing w:line="240" w:lineRule="auto"/>
              <w:jc w:val="center"/>
              <w:rPr>
                <w:rFonts w:eastAsia="Times New Roman" w:cs="Times New Roman"/>
                <w:sz w:val="18"/>
                <w:szCs w:val="18"/>
              </w:rPr>
            </w:pPr>
            <w:r w:rsidRPr="00375327">
              <w:rPr>
                <w:rFonts w:eastAsia="Times New Roman" w:cs="Times New Roman"/>
                <w:sz w:val="18"/>
                <w:szCs w:val="18"/>
              </w:rPr>
              <w:t>0.039</w:t>
            </w:r>
          </w:p>
        </w:tc>
      </w:tr>
      <w:tr w:rsidR="0080615F" w:rsidRPr="00375327" w14:paraId="1F044101" w14:textId="77777777" w:rsidTr="0080615F">
        <w:trPr>
          <w:trHeight w:val="290"/>
        </w:trPr>
        <w:tc>
          <w:tcPr>
            <w:tcW w:w="5000" w:type="pct"/>
            <w:gridSpan w:val="13"/>
            <w:tcBorders>
              <w:top w:val="nil"/>
              <w:left w:val="nil"/>
              <w:bottom w:val="nil"/>
              <w:right w:val="nil"/>
            </w:tcBorders>
            <w:shd w:val="clear" w:color="000000" w:fill="FFFFFF"/>
            <w:noWrap/>
            <w:vAlign w:val="center"/>
            <w:hideMark/>
          </w:tcPr>
          <w:p w14:paraId="3C18D085"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Note: standard errors in parentheses; conjoint dimension effects and country fixed effects suppressed from output; standard errors clustered on the individual level</w:t>
            </w:r>
          </w:p>
        </w:tc>
      </w:tr>
      <w:tr w:rsidR="0080615F" w:rsidRPr="00375327" w14:paraId="582D7C10" w14:textId="77777777" w:rsidTr="0080615F">
        <w:trPr>
          <w:trHeight w:val="290"/>
        </w:trPr>
        <w:tc>
          <w:tcPr>
            <w:tcW w:w="5000" w:type="pct"/>
            <w:gridSpan w:val="13"/>
            <w:tcBorders>
              <w:top w:val="nil"/>
              <w:left w:val="nil"/>
              <w:bottom w:val="nil"/>
              <w:right w:val="nil"/>
            </w:tcBorders>
            <w:shd w:val="clear" w:color="000000" w:fill="FFFFFF"/>
            <w:noWrap/>
            <w:vAlign w:val="center"/>
            <w:hideMark/>
          </w:tcPr>
          <w:p w14:paraId="013E902B" w14:textId="77777777" w:rsidR="0080615F" w:rsidRPr="00375327" w:rsidRDefault="0080615F" w:rsidP="0080615F">
            <w:pPr>
              <w:spacing w:line="240" w:lineRule="auto"/>
              <w:rPr>
                <w:rFonts w:eastAsia="Times New Roman" w:cs="Times New Roman"/>
                <w:sz w:val="18"/>
                <w:szCs w:val="18"/>
              </w:rPr>
            </w:pPr>
            <w:r w:rsidRPr="00375327">
              <w:rPr>
                <w:rFonts w:eastAsia="Times New Roman" w:cs="Times New Roman"/>
                <w:sz w:val="18"/>
                <w:szCs w:val="18"/>
              </w:rPr>
              <w:t>* p&lt;0.05, ** p&lt;0.01, *** p&lt;0.001</w:t>
            </w:r>
          </w:p>
        </w:tc>
      </w:tr>
    </w:tbl>
    <w:p w14:paraId="26D3B400" w14:textId="77777777" w:rsidR="00752096" w:rsidRPr="00375327" w:rsidRDefault="00752096">
      <w:pPr>
        <w:spacing w:after="160" w:line="259" w:lineRule="auto"/>
        <w:sectPr w:rsidR="00752096" w:rsidRPr="00375327" w:rsidSect="00752096">
          <w:pgSz w:w="16838" w:h="11906" w:orient="landscape"/>
          <w:pgMar w:top="1440" w:right="1440" w:bottom="1440" w:left="1440" w:header="708" w:footer="708" w:gutter="0"/>
          <w:cols w:space="708"/>
          <w:docGrid w:linePitch="360"/>
        </w:sectPr>
      </w:pPr>
    </w:p>
    <w:p w14:paraId="6D166F0D" w14:textId="08984997" w:rsidR="00074E4A" w:rsidRPr="00375327" w:rsidRDefault="00545D99" w:rsidP="00AC1B35">
      <w:r w:rsidRPr="00375327">
        <w:lastRenderedPageBreak/>
        <w:t xml:space="preserve"> </w:t>
      </w:r>
      <w:r w:rsidR="008E436B" w:rsidRPr="00375327">
        <w:rPr>
          <w:noProof/>
        </w:rPr>
        <w:drawing>
          <wp:inline distT="0" distB="0" distL="0" distR="0" wp14:anchorId="69B2ED22" wp14:editId="4472F11A">
            <wp:extent cx="5486400" cy="365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FC9C4EA" w14:textId="5CCFC85A" w:rsidR="00392434" w:rsidRPr="00375327" w:rsidRDefault="00FB1B41" w:rsidP="00691CAC">
      <w:pPr>
        <w:jc w:val="both"/>
      </w:pPr>
      <w:r w:rsidRPr="00375327">
        <w:t xml:space="preserve">In order to get a grasp on the magnitude of these effect sizes, figure </w:t>
      </w:r>
      <w:r w:rsidR="00A459CF" w:rsidRPr="00375327">
        <w:t>2 shows the predicted level of support for the EU fiscal capacity for different combinations of causal beliefs for the ego and the different levels of community</w:t>
      </w:r>
      <w:r w:rsidR="0080615F" w:rsidRPr="00375327">
        <w:t xml:space="preserve">. Here, the dependent variable has been recoded to indicate </w:t>
      </w:r>
      <w:r w:rsidR="008D0D04" w:rsidRPr="00375327">
        <w:t>support for a package (a rating of 4 or 5</w:t>
      </w:r>
      <w:r w:rsidR="00156F32" w:rsidRPr="00375327">
        <w:t>, model 6 in table 2</w:t>
      </w:r>
      <w:r w:rsidR="008D0D04" w:rsidRPr="00375327">
        <w:t>)</w:t>
      </w:r>
      <w:r w:rsidR="00FF6593" w:rsidRPr="00375327">
        <w:t>.</w:t>
      </w:r>
      <w:r w:rsidR="00A459CF" w:rsidRPr="00375327">
        <w:t xml:space="preserve"> </w:t>
      </w:r>
      <w:r w:rsidR="00FE7A6F" w:rsidRPr="00375327">
        <w:t>Plot 1</w:t>
      </w:r>
      <w:r w:rsidR="005332EF" w:rsidRPr="00375327">
        <w:t xml:space="preserve"> in the graph shows the level of support when all four causal beliefs are </w:t>
      </w:r>
      <w:r w:rsidR="00545D99" w:rsidRPr="00375327">
        <w:t>negative</w:t>
      </w:r>
      <w:r w:rsidR="005332EF" w:rsidRPr="00375327">
        <w:t xml:space="preserve"> (a score of </w:t>
      </w:r>
      <w:r w:rsidR="00545D99" w:rsidRPr="00375327">
        <w:t>1</w:t>
      </w:r>
      <w:r w:rsidR="005332EF" w:rsidRPr="00375327">
        <w:t xml:space="preserve">), which results in the policy being supported by </w:t>
      </w:r>
      <w:r w:rsidR="00545D99" w:rsidRPr="00375327">
        <w:t>26.4</w:t>
      </w:r>
      <w:r w:rsidR="005332EF" w:rsidRPr="00375327">
        <w:t xml:space="preserve"> percent of respondents. The four following plots show the level of support when one of these causal beliefs is </w:t>
      </w:r>
      <w:r w:rsidR="00545D99" w:rsidRPr="00375327">
        <w:t xml:space="preserve">positive </w:t>
      </w:r>
      <w:r w:rsidR="005332EF" w:rsidRPr="00375327">
        <w:t xml:space="preserve">(a score of </w:t>
      </w:r>
      <w:r w:rsidR="00545D99" w:rsidRPr="00375327">
        <w:t>5</w:t>
      </w:r>
      <w:r w:rsidR="005332EF" w:rsidRPr="00375327">
        <w:t>), while the others are positive (</w:t>
      </w:r>
      <w:r w:rsidR="00545D99" w:rsidRPr="00375327">
        <w:t>1</w:t>
      </w:r>
      <w:r w:rsidR="005332EF" w:rsidRPr="00375327">
        <w:t xml:space="preserve">). This shows that when the policy is believed to have a </w:t>
      </w:r>
      <w:r w:rsidR="00545D99" w:rsidRPr="00375327">
        <w:t>positive</w:t>
      </w:r>
      <w:r w:rsidR="005332EF" w:rsidRPr="00375327">
        <w:t xml:space="preserve"> effect on oneself</w:t>
      </w:r>
      <w:r w:rsidR="00545D99" w:rsidRPr="00375327">
        <w:t xml:space="preserve"> while it is believed to have a negative effect</w:t>
      </w:r>
      <w:r w:rsidR="005332EF" w:rsidRPr="00375327">
        <w:t xml:space="preserve"> on all the other levels of community</w:t>
      </w:r>
      <w:r w:rsidR="00F20C42" w:rsidRPr="00375327">
        <w:t xml:space="preserve">, the level of support is </w:t>
      </w:r>
      <w:r w:rsidR="00545D99" w:rsidRPr="00375327">
        <w:t>35.5</w:t>
      </w:r>
      <w:r w:rsidR="00F20C42" w:rsidRPr="00375327">
        <w:t xml:space="preserve"> percent</w:t>
      </w:r>
      <w:r w:rsidR="00FE7A6F" w:rsidRPr="00375327">
        <w:t>, indicating egotropic concern (plot 2)</w:t>
      </w:r>
      <w:r w:rsidR="00F20C42" w:rsidRPr="00375327">
        <w:t xml:space="preserve">. </w:t>
      </w:r>
      <w:r w:rsidR="00545D99" w:rsidRPr="00375327">
        <w:t>B</w:t>
      </w:r>
      <w:r w:rsidR="00F20C42" w:rsidRPr="00375327">
        <w:t xml:space="preserve">eliefs of </w:t>
      </w:r>
      <w:r w:rsidR="00545D99" w:rsidRPr="00375327">
        <w:t>positive</w:t>
      </w:r>
      <w:r w:rsidR="00F20C42" w:rsidRPr="00375327">
        <w:t xml:space="preserve"> effects for one level of community while beliefs for the ego and the other levels of community are </w:t>
      </w:r>
      <w:r w:rsidR="00545D99" w:rsidRPr="00375327">
        <w:t xml:space="preserve">negative increase </w:t>
      </w:r>
      <w:r w:rsidR="00F20C42" w:rsidRPr="00375327">
        <w:t xml:space="preserve">the level of support to </w:t>
      </w:r>
      <w:r w:rsidR="00545D99" w:rsidRPr="00375327">
        <w:t xml:space="preserve">31.3 </w:t>
      </w:r>
      <w:r w:rsidR="00F20C42" w:rsidRPr="00375327">
        <w:t xml:space="preserve">percent (region </w:t>
      </w:r>
      <w:r w:rsidR="00545D99" w:rsidRPr="00375327">
        <w:t>positive, plot 3</w:t>
      </w:r>
      <w:r w:rsidR="00F20C42" w:rsidRPr="00375327">
        <w:t xml:space="preserve">), </w:t>
      </w:r>
      <w:r w:rsidR="00545D99" w:rsidRPr="00375327">
        <w:t>34.0</w:t>
      </w:r>
      <w:r w:rsidR="00F20C42" w:rsidRPr="00375327">
        <w:t xml:space="preserve"> percent (country </w:t>
      </w:r>
      <w:r w:rsidR="00545D99" w:rsidRPr="00375327">
        <w:t>positive, plot 4</w:t>
      </w:r>
      <w:r w:rsidR="00F20C42" w:rsidRPr="00375327">
        <w:t xml:space="preserve">) and </w:t>
      </w:r>
      <w:r w:rsidR="00392434" w:rsidRPr="00375327">
        <w:t>34.6</w:t>
      </w:r>
      <w:r w:rsidR="00F20C42" w:rsidRPr="00375327">
        <w:t xml:space="preserve"> percent (EU </w:t>
      </w:r>
      <w:r w:rsidR="00392434" w:rsidRPr="00375327">
        <w:t>positive, plot 5</w:t>
      </w:r>
      <w:r w:rsidR="00074E4A" w:rsidRPr="00375327">
        <w:t xml:space="preserve">). </w:t>
      </w:r>
      <w:r w:rsidR="00392434" w:rsidRPr="00375327">
        <w:t>Lastly, even if the policy is believed to have negative effects on oneself</w:t>
      </w:r>
      <w:r w:rsidR="00321289" w:rsidRPr="00375327">
        <w:t xml:space="preserve"> but a positive effect on all the other levels of community</w:t>
      </w:r>
      <w:r w:rsidR="00392434" w:rsidRPr="00375327">
        <w:t xml:space="preserve">, the level of support reaches 47.3 percent </w:t>
      </w:r>
      <w:r w:rsidR="00FD622C" w:rsidRPr="00375327">
        <w:t xml:space="preserve">(plot 6). As such, causal beliefs for the different levels of community have a substantial impact on policy support, and the combined effect of these causal beliefs is stronger than that of perceived effects on oneself. </w:t>
      </w:r>
    </w:p>
    <w:p w14:paraId="24FC3CB2" w14:textId="77777777" w:rsidR="00392434" w:rsidRPr="00375327" w:rsidRDefault="00392434" w:rsidP="00AC1B35"/>
    <w:p w14:paraId="3A547E84" w14:textId="5686732E" w:rsidR="00FF6593" w:rsidRPr="00375327" w:rsidRDefault="00FF6593" w:rsidP="00AC1B35"/>
    <w:p w14:paraId="7EFD94C2" w14:textId="7FB19450" w:rsidR="00FF6593" w:rsidRPr="00375327" w:rsidRDefault="00FF6593" w:rsidP="00D27FBC">
      <w:pPr>
        <w:pStyle w:val="Heading2"/>
      </w:pPr>
      <w:r w:rsidRPr="00375327">
        <w:lastRenderedPageBreak/>
        <w:t>Community attachment</w:t>
      </w:r>
    </w:p>
    <w:p w14:paraId="7CA862C0" w14:textId="59F7E2CD" w:rsidR="00026F88" w:rsidRPr="00375327" w:rsidRDefault="007A295D" w:rsidP="00691CAC">
      <w:pPr>
        <w:jc w:val="both"/>
      </w:pPr>
      <w:r w:rsidRPr="00375327">
        <w:t xml:space="preserve">Next, </w:t>
      </w:r>
      <w:r w:rsidR="00FF6593" w:rsidRPr="00375327">
        <w:t xml:space="preserve">we turn to discuss whether these causal beliefs for the community are associated to stronger or weaker support </w:t>
      </w:r>
      <w:r w:rsidR="004D3BB8" w:rsidRPr="00375327">
        <w:t xml:space="preserve">under the condition that people feel more attached to one of the three levels of community than the other two. Table 2 shows the result of a split sample analysis, where the sample is split into groups of those who feel more attached to one particular </w:t>
      </w:r>
      <w:r w:rsidR="008A44E9" w:rsidRPr="00375327">
        <w:t xml:space="preserve">level of </w:t>
      </w:r>
      <w:r w:rsidR="004D3BB8" w:rsidRPr="00375327">
        <w:t xml:space="preserve">community. </w:t>
      </w:r>
      <w:r w:rsidR="004A567A" w:rsidRPr="00375327">
        <w:t xml:space="preserve">The results of this analysis are aligned with the hypotheses: </w:t>
      </w:r>
      <w:r w:rsidR="002B47E7" w:rsidRPr="00375327">
        <w:t xml:space="preserve"> c</w:t>
      </w:r>
      <w:r w:rsidR="004908FF" w:rsidRPr="00375327">
        <w:t xml:space="preserve">ausal beliefs of the policy’s effect on a particular level of community are more relevant for those who feel more attached to that level of community compared to those who feel more attached to any of the other levels of community. For example, causal beliefs for the region only have a significant effect on support for those who feel more attached </w:t>
      </w:r>
      <w:r w:rsidR="008025C9" w:rsidRPr="00375327">
        <w:t>to their region</w:t>
      </w:r>
      <w:r w:rsidR="00D11DDB" w:rsidRPr="00375327">
        <w:t xml:space="preserve"> (‘localists’</w:t>
      </w:r>
      <w:r w:rsidR="002B47E7" w:rsidRPr="00375327">
        <w:t>)</w:t>
      </w:r>
      <w:r w:rsidR="008025C9" w:rsidRPr="00375327">
        <w:t xml:space="preserve">, while the effect is smaller and nonsignificant for those who feel more attached to the country or the EU. However, this does not mean that causal beliefs for the </w:t>
      </w:r>
      <w:r w:rsidR="00026F88" w:rsidRPr="00375327">
        <w:t xml:space="preserve">levels of community that one does not feel more attached to are </w:t>
      </w:r>
      <w:r w:rsidR="00321289" w:rsidRPr="00375327">
        <w:t>irrelevant</w:t>
      </w:r>
      <w:r w:rsidR="00D11DDB" w:rsidRPr="00375327">
        <w:t xml:space="preserve">, as for example beliefs for the country are also influential among ‘localists’, while beliefs for the EU are also influential among ‘nationalists’. </w:t>
      </w:r>
    </w:p>
    <w:p w14:paraId="64D80B75" w14:textId="4F3C84B5" w:rsidR="00022A73" w:rsidRPr="00375327" w:rsidRDefault="00022A73" w:rsidP="00FF6593"/>
    <w:tbl>
      <w:tblPr>
        <w:tblW w:w="5000" w:type="pct"/>
        <w:tblLook w:val="04A0" w:firstRow="1" w:lastRow="0" w:firstColumn="1" w:lastColumn="0" w:noHBand="0" w:noVBand="1"/>
      </w:tblPr>
      <w:tblGrid>
        <w:gridCol w:w="2711"/>
        <w:gridCol w:w="1171"/>
        <w:gridCol w:w="936"/>
        <w:gridCol w:w="1170"/>
        <w:gridCol w:w="936"/>
        <w:gridCol w:w="1170"/>
        <w:gridCol w:w="932"/>
      </w:tblGrid>
      <w:tr w:rsidR="004D3BB8" w:rsidRPr="00375327" w14:paraId="5517012D" w14:textId="77777777" w:rsidTr="004D3BB8">
        <w:trPr>
          <w:trHeight w:val="310"/>
        </w:trPr>
        <w:tc>
          <w:tcPr>
            <w:tcW w:w="5000" w:type="pct"/>
            <w:gridSpan w:val="7"/>
            <w:tcBorders>
              <w:top w:val="nil"/>
              <w:left w:val="nil"/>
              <w:bottom w:val="nil"/>
              <w:right w:val="nil"/>
            </w:tcBorders>
            <w:shd w:val="clear" w:color="000000" w:fill="FFFFFF"/>
            <w:noWrap/>
            <w:vAlign w:val="center"/>
            <w:hideMark/>
          </w:tcPr>
          <w:p w14:paraId="7B0A4C1D" w14:textId="77777777" w:rsidR="004D3BB8" w:rsidRPr="00375327" w:rsidRDefault="004D3BB8" w:rsidP="004D3BB8">
            <w:pPr>
              <w:spacing w:line="240" w:lineRule="auto"/>
              <w:rPr>
                <w:rFonts w:eastAsia="Times New Roman" w:cs="Times New Roman"/>
                <w:szCs w:val="24"/>
              </w:rPr>
            </w:pPr>
            <w:r w:rsidRPr="00375327">
              <w:rPr>
                <w:rFonts w:eastAsia="Times New Roman" w:cs="Times New Roman"/>
                <w:szCs w:val="24"/>
              </w:rPr>
              <w:t>Table 2. Regression of support for fiscal capacity by exclusive attachment</w:t>
            </w:r>
          </w:p>
        </w:tc>
      </w:tr>
      <w:tr w:rsidR="004D3BB8" w:rsidRPr="00375327" w14:paraId="4DBD8DD1" w14:textId="77777777" w:rsidTr="004D3BB8">
        <w:trPr>
          <w:trHeight w:val="290"/>
        </w:trPr>
        <w:tc>
          <w:tcPr>
            <w:tcW w:w="1540" w:type="pct"/>
            <w:tcBorders>
              <w:top w:val="nil"/>
              <w:left w:val="nil"/>
              <w:bottom w:val="nil"/>
              <w:right w:val="nil"/>
            </w:tcBorders>
            <w:shd w:val="clear" w:color="000000" w:fill="FFFFFF"/>
            <w:noWrap/>
            <w:vAlign w:val="center"/>
            <w:hideMark/>
          </w:tcPr>
          <w:p w14:paraId="6E94F2F0"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 </w:t>
            </w:r>
          </w:p>
        </w:tc>
        <w:tc>
          <w:tcPr>
            <w:tcW w:w="1153" w:type="pct"/>
            <w:gridSpan w:val="2"/>
            <w:tcBorders>
              <w:top w:val="nil"/>
              <w:left w:val="nil"/>
              <w:bottom w:val="nil"/>
              <w:right w:val="nil"/>
            </w:tcBorders>
            <w:shd w:val="clear" w:color="000000" w:fill="FFFFFF"/>
            <w:noWrap/>
            <w:vAlign w:val="center"/>
            <w:hideMark/>
          </w:tcPr>
          <w:p w14:paraId="6338C7FD" w14:textId="0C5CBC5A" w:rsidR="004D3BB8" w:rsidRPr="00375327" w:rsidRDefault="004D3BB8" w:rsidP="004D3BB8">
            <w:pPr>
              <w:spacing w:line="240" w:lineRule="auto"/>
              <w:jc w:val="center"/>
              <w:rPr>
                <w:rFonts w:eastAsia="Times New Roman" w:cs="Times New Roman"/>
                <w:sz w:val="18"/>
                <w:szCs w:val="18"/>
              </w:rPr>
            </w:pPr>
            <w:r w:rsidRPr="00375327">
              <w:rPr>
                <w:rFonts w:eastAsia="Times New Roman" w:cs="Times New Roman"/>
                <w:sz w:val="18"/>
                <w:szCs w:val="18"/>
              </w:rPr>
              <w:t>Model 1: localist</w:t>
            </w:r>
          </w:p>
        </w:tc>
        <w:tc>
          <w:tcPr>
            <w:tcW w:w="1153" w:type="pct"/>
            <w:gridSpan w:val="2"/>
            <w:tcBorders>
              <w:top w:val="nil"/>
              <w:left w:val="nil"/>
              <w:bottom w:val="nil"/>
              <w:right w:val="nil"/>
            </w:tcBorders>
            <w:shd w:val="clear" w:color="000000" w:fill="FFFFFF"/>
            <w:noWrap/>
            <w:vAlign w:val="center"/>
            <w:hideMark/>
          </w:tcPr>
          <w:p w14:paraId="145D16D8" w14:textId="46A0122A" w:rsidR="004D3BB8" w:rsidRPr="00375327" w:rsidRDefault="004D3BB8" w:rsidP="004D3BB8">
            <w:pPr>
              <w:spacing w:line="240" w:lineRule="auto"/>
              <w:jc w:val="center"/>
              <w:rPr>
                <w:rFonts w:eastAsia="Times New Roman" w:cs="Times New Roman"/>
                <w:sz w:val="18"/>
                <w:szCs w:val="18"/>
              </w:rPr>
            </w:pPr>
            <w:r w:rsidRPr="00375327">
              <w:rPr>
                <w:rFonts w:eastAsia="Times New Roman" w:cs="Times New Roman"/>
                <w:sz w:val="18"/>
                <w:szCs w:val="18"/>
              </w:rPr>
              <w:t>Model 2: national</w:t>
            </w:r>
          </w:p>
        </w:tc>
        <w:tc>
          <w:tcPr>
            <w:tcW w:w="1153" w:type="pct"/>
            <w:gridSpan w:val="2"/>
            <w:tcBorders>
              <w:top w:val="nil"/>
              <w:left w:val="nil"/>
              <w:bottom w:val="nil"/>
              <w:right w:val="nil"/>
            </w:tcBorders>
            <w:shd w:val="clear" w:color="000000" w:fill="FFFFFF"/>
            <w:noWrap/>
            <w:vAlign w:val="center"/>
            <w:hideMark/>
          </w:tcPr>
          <w:p w14:paraId="52421F74" w14:textId="57FC7DEF" w:rsidR="004D3BB8" w:rsidRPr="00375327" w:rsidRDefault="004D3BB8" w:rsidP="004D3BB8">
            <w:pPr>
              <w:spacing w:line="240" w:lineRule="auto"/>
              <w:jc w:val="center"/>
              <w:rPr>
                <w:rFonts w:eastAsia="Times New Roman" w:cs="Times New Roman"/>
                <w:sz w:val="18"/>
                <w:szCs w:val="18"/>
              </w:rPr>
            </w:pPr>
            <w:r w:rsidRPr="00375327">
              <w:rPr>
                <w:rFonts w:eastAsia="Times New Roman" w:cs="Times New Roman"/>
                <w:sz w:val="18"/>
                <w:szCs w:val="18"/>
              </w:rPr>
              <w:t>Model 3: European</w:t>
            </w:r>
          </w:p>
        </w:tc>
      </w:tr>
      <w:tr w:rsidR="004D3BB8" w:rsidRPr="00375327" w14:paraId="5FDE673B" w14:textId="77777777" w:rsidTr="004D3BB8">
        <w:trPr>
          <w:trHeight w:val="290"/>
        </w:trPr>
        <w:tc>
          <w:tcPr>
            <w:tcW w:w="1540" w:type="pct"/>
            <w:tcBorders>
              <w:top w:val="nil"/>
              <w:left w:val="nil"/>
              <w:bottom w:val="single" w:sz="12" w:space="0" w:color="auto"/>
              <w:right w:val="nil"/>
            </w:tcBorders>
            <w:shd w:val="clear" w:color="000000" w:fill="FFFFFF"/>
            <w:noWrap/>
            <w:vAlign w:val="center"/>
            <w:hideMark/>
          </w:tcPr>
          <w:p w14:paraId="7BF65B3F"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 </w:t>
            </w:r>
          </w:p>
        </w:tc>
        <w:tc>
          <w:tcPr>
            <w:tcW w:w="645" w:type="pct"/>
            <w:tcBorders>
              <w:top w:val="nil"/>
              <w:left w:val="nil"/>
              <w:bottom w:val="single" w:sz="12" w:space="0" w:color="auto"/>
              <w:right w:val="nil"/>
            </w:tcBorders>
            <w:shd w:val="clear" w:color="000000" w:fill="FFFFFF"/>
            <w:noWrap/>
            <w:vAlign w:val="center"/>
            <w:hideMark/>
          </w:tcPr>
          <w:p w14:paraId="3517754D"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B</w:t>
            </w:r>
          </w:p>
        </w:tc>
        <w:tc>
          <w:tcPr>
            <w:tcW w:w="509" w:type="pct"/>
            <w:tcBorders>
              <w:top w:val="nil"/>
              <w:left w:val="nil"/>
              <w:bottom w:val="single" w:sz="12" w:space="0" w:color="auto"/>
              <w:right w:val="nil"/>
            </w:tcBorders>
            <w:shd w:val="clear" w:color="000000" w:fill="FFFFFF"/>
            <w:noWrap/>
            <w:vAlign w:val="center"/>
            <w:hideMark/>
          </w:tcPr>
          <w:p w14:paraId="5FFBD6B9" w14:textId="77777777" w:rsidR="004D3BB8" w:rsidRPr="00375327" w:rsidRDefault="004D3BB8" w:rsidP="004D3BB8">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c>
          <w:tcPr>
            <w:tcW w:w="645" w:type="pct"/>
            <w:tcBorders>
              <w:top w:val="nil"/>
              <w:left w:val="nil"/>
              <w:bottom w:val="single" w:sz="12" w:space="0" w:color="auto"/>
              <w:right w:val="nil"/>
            </w:tcBorders>
            <w:shd w:val="clear" w:color="000000" w:fill="FFFFFF"/>
            <w:noWrap/>
            <w:vAlign w:val="center"/>
            <w:hideMark/>
          </w:tcPr>
          <w:p w14:paraId="5B69698C"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B</w:t>
            </w:r>
          </w:p>
        </w:tc>
        <w:tc>
          <w:tcPr>
            <w:tcW w:w="509" w:type="pct"/>
            <w:tcBorders>
              <w:top w:val="nil"/>
              <w:left w:val="nil"/>
              <w:bottom w:val="single" w:sz="12" w:space="0" w:color="auto"/>
              <w:right w:val="nil"/>
            </w:tcBorders>
            <w:shd w:val="clear" w:color="000000" w:fill="FFFFFF"/>
            <w:noWrap/>
            <w:vAlign w:val="center"/>
            <w:hideMark/>
          </w:tcPr>
          <w:p w14:paraId="760300BD" w14:textId="77777777" w:rsidR="004D3BB8" w:rsidRPr="00375327" w:rsidRDefault="004D3BB8" w:rsidP="004D3BB8">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c>
          <w:tcPr>
            <w:tcW w:w="645" w:type="pct"/>
            <w:tcBorders>
              <w:top w:val="nil"/>
              <w:left w:val="nil"/>
              <w:bottom w:val="single" w:sz="12" w:space="0" w:color="auto"/>
              <w:right w:val="nil"/>
            </w:tcBorders>
            <w:shd w:val="clear" w:color="000000" w:fill="FFFFFF"/>
            <w:noWrap/>
            <w:vAlign w:val="center"/>
            <w:hideMark/>
          </w:tcPr>
          <w:p w14:paraId="6C404D8A"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B</w:t>
            </w:r>
          </w:p>
        </w:tc>
        <w:tc>
          <w:tcPr>
            <w:tcW w:w="509" w:type="pct"/>
            <w:tcBorders>
              <w:top w:val="nil"/>
              <w:left w:val="nil"/>
              <w:bottom w:val="single" w:sz="12" w:space="0" w:color="auto"/>
              <w:right w:val="nil"/>
            </w:tcBorders>
            <w:shd w:val="clear" w:color="000000" w:fill="FFFFFF"/>
            <w:noWrap/>
            <w:vAlign w:val="center"/>
            <w:hideMark/>
          </w:tcPr>
          <w:p w14:paraId="79EBA323" w14:textId="77777777" w:rsidR="004D3BB8" w:rsidRPr="00375327" w:rsidRDefault="004D3BB8" w:rsidP="004D3BB8">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r>
      <w:tr w:rsidR="004D3BB8" w:rsidRPr="00375327" w14:paraId="1B814EF3" w14:textId="77777777" w:rsidTr="004D3BB8">
        <w:trPr>
          <w:trHeight w:val="290"/>
        </w:trPr>
        <w:tc>
          <w:tcPr>
            <w:tcW w:w="1540" w:type="pct"/>
            <w:tcBorders>
              <w:top w:val="nil"/>
              <w:left w:val="nil"/>
              <w:bottom w:val="nil"/>
              <w:right w:val="nil"/>
            </w:tcBorders>
            <w:shd w:val="clear" w:color="000000" w:fill="FFFFFF"/>
            <w:noWrap/>
            <w:vAlign w:val="center"/>
            <w:hideMark/>
          </w:tcPr>
          <w:p w14:paraId="722B2377"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Causal beliefs: ego</w:t>
            </w:r>
          </w:p>
        </w:tc>
        <w:tc>
          <w:tcPr>
            <w:tcW w:w="645" w:type="pct"/>
            <w:tcBorders>
              <w:top w:val="nil"/>
              <w:left w:val="nil"/>
              <w:bottom w:val="nil"/>
              <w:right w:val="nil"/>
            </w:tcBorders>
            <w:shd w:val="clear" w:color="000000" w:fill="FFFFFF"/>
            <w:noWrap/>
            <w:vAlign w:val="center"/>
            <w:hideMark/>
          </w:tcPr>
          <w:p w14:paraId="7BFC6EAF"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0.077***</w:t>
            </w:r>
          </w:p>
        </w:tc>
        <w:tc>
          <w:tcPr>
            <w:tcW w:w="509" w:type="pct"/>
            <w:tcBorders>
              <w:top w:val="nil"/>
              <w:left w:val="nil"/>
              <w:bottom w:val="nil"/>
              <w:right w:val="nil"/>
            </w:tcBorders>
            <w:shd w:val="clear" w:color="000000" w:fill="FFFFFF"/>
            <w:noWrap/>
            <w:vAlign w:val="center"/>
            <w:hideMark/>
          </w:tcPr>
          <w:p w14:paraId="1E2F237E"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(0.022)</w:t>
            </w:r>
          </w:p>
        </w:tc>
        <w:tc>
          <w:tcPr>
            <w:tcW w:w="645" w:type="pct"/>
            <w:tcBorders>
              <w:top w:val="nil"/>
              <w:left w:val="nil"/>
              <w:bottom w:val="nil"/>
              <w:right w:val="nil"/>
            </w:tcBorders>
            <w:shd w:val="clear" w:color="000000" w:fill="FFFFFF"/>
            <w:noWrap/>
            <w:vAlign w:val="center"/>
            <w:hideMark/>
          </w:tcPr>
          <w:p w14:paraId="11714C41"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0.103***</w:t>
            </w:r>
          </w:p>
        </w:tc>
        <w:tc>
          <w:tcPr>
            <w:tcW w:w="509" w:type="pct"/>
            <w:tcBorders>
              <w:top w:val="nil"/>
              <w:left w:val="nil"/>
              <w:bottom w:val="nil"/>
              <w:right w:val="nil"/>
            </w:tcBorders>
            <w:shd w:val="clear" w:color="000000" w:fill="FFFFFF"/>
            <w:noWrap/>
            <w:vAlign w:val="center"/>
            <w:hideMark/>
          </w:tcPr>
          <w:p w14:paraId="428704EC"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(0.017)</w:t>
            </w:r>
          </w:p>
        </w:tc>
        <w:tc>
          <w:tcPr>
            <w:tcW w:w="645" w:type="pct"/>
            <w:tcBorders>
              <w:top w:val="nil"/>
              <w:left w:val="nil"/>
              <w:bottom w:val="nil"/>
              <w:right w:val="nil"/>
            </w:tcBorders>
            <w:shd w:val="clear" w:color="000000" w:fill="FFFFFF"/>
            <w:noWrap/>
            <w:vAlign w:val="center"/>
            <w:hideMark/>
          </w:tcPr>
          <w:p w14:paraId="50D4AB20"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0.052</w:t>
            </w:r>
          </w:p>
        </w:tc>
        <w:tc>
          <w:tcPr>
            <w:tcW w:w="509" w:type="pct"/>
            <w:tcBorders>
              <w:top w:val="nil"/>
              <w:left w:val="nil"/>
              <w:bottom w:val="nil"/>
              <w:right w:val="nil"/>
            </w:tcBorders>
            <w:shd w:val="clear" w:color="000000" w:fill="FFFFFF"/>
            <w:noWrap/>
            <w:vAlign w:val="center"/>
            <w:hideMark/>
          </w:tcPr>
          <w:p w14:paraId="09B5B8DB"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(0.031)</w:t>
            </w:r>
          </w:p>
        </w:tc>
      </w:tr>
      <w:tr w:rsidR="004D3BB8" w:rsidRPr="00375327" w14:paraId="6BCE1D17" w14:textId="77777777" w:rsidTr="004D3BB8">
        <w:trPr>
          <w:trHeight w:val="290"/>
        </w:trPr>
        <w:tc>
          <w:tcPr>
            <w:tcW w:w="1540" w:type="pct"/>
            <w:tcBorders>
              <w:top w:val="nil"/>
              <w:left w:val="nil"/>
              <w:bottom w:val="nil"/>
              <w:right w:val="nil"/>
            </w:tcBorders>
            <w:shd w:val="clear" w:color="000000" w:fill="FFFFFF"/>
            <w:noWrap/>
            <w:vAlign w:val="center"/>
            <w:hideMark/>
          </w:tcPr>
          <w:p w14:paraId="4ABE8C41"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Causal beliefs: region</w:t>
            </w:r>
          </w:p>
        </w:tc>
        <w:tc>
          <w:tcPr>
            <w:tcW w:w="645" w:type="pct"/>
            <w:tcBorders>
              <w:top w:val="nil"/>
              <w:left w:val="nil"/>
              <w:bottom w:val="nil"/>
              <w:right w:val="nil"/>
            </w:tcBorders>
            <w:shd w:val="clear" w:color="000000" w:fill="FFFFFF"/>
            <w:noWrap/>
            <w:vAlign w:val="center"/>
            <w:hideMark/>
          </w:tcPr>
          <w:p w14:paraId="0B177A80"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0.052*</w:t>
            </w:r>
          </w:p>
        </w:tc>
        <w:tc>
          <w:tcPr>
            <w:tcW w:w="509" w:type="pct"/>
            <w:tcBorders>
              <w:top w:val="nil"/>
              <w:left w:val="nil"/>
              <w:bottom w:val="nil"/>
              <w:right w:val="nil"/>
            </w:tcBorders>
            <w:shd w:val="clear" w:color="000000" w:fill="FFFFFF"/>
            <w:noWrap/>
            <w:vAlign w:val="center"/>
            <w:hideMark/>
          </w:tcPr>
          <w:p w14:paraId="1EC32EA8"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(0.021)</w:t>
            </w:r>
          </w:p>
        </w:tc>
        <w:tc>
          <w:tcPr>
            <w:tcW w:w="645" w:type="pct"/>
            <w:tcBorders>
              <w:top w:val="nil"/>
              <w:left w:val="nil"/>
              <w:bottom w:val="nil"/>
              <w:right w:val="nil"/>
            </w:tcBorders>
            <w:shd w:val="clear" w:color="000000" w:fill="FFFFFF"/>
            <w:noWrap/>
            <w:vAlign w:val="center"/>
            <w:hideMark/>
          </w:tcPr>
          <w:p w14:paraId="40E1B8AD"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0.010</w:t>
            </w:r>
          </w:p>
        </w:tc>
        <w:tc>
          <w:tcPr>
            <w:tcW w:w="509" w:type="pct"/>
            <w:tcBorders>
              <w:top w:val="nil"/>
              <w:left w:val="nil"/>
              <w:bottom w:val="nil"/>
              <w:right w:val="nil"/>
            </w:tcBorders>
            <w:shd w:val="clear" w:color="000000" w:fill="FFFFFF"/>
            <w:noWrap/>
            <w:vAlign w:val="center"/>
            <w:hideMark/>
          </w:tcPr>
          <w:p w14:paraId="2E768FED"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(0.016)</w:t>
            </w:r>
          </w:p>
        </w:tc>
        <w:tc>
          <w:tcPr>
            <w:tcW w:w="645" w:type="pct"/>
            <w:tcBorders>
              <w:top w:val="nil"/>
              <w:left w:val="nil"/>
              <w:bottom w:val="nil"/>
              <w:right w:val="nil"/>
            </w:tcBorders>
            <w:shd w:val="clear" w:color="000000" w:fill="FFFFFF"/>
            <w:noWrap/>
            <w:vAlign w:val="center"/>
            <w:hideMark/>
          </w:tcPr>
          <w:p w14:paraId="157C5117"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0.010</w:t>
            </w:r>
          </w:p>
        </w:tc>
        <w:tc>
          <w:tcPr>
            <w:tcW w:w="509" w:type="pct"/>
            <w:tcBorders>
              <w:top w:val="nil"/>
              <w:left w:val="nil"/>
              <w:bottom w:val="nil"/>
              <w:right w:val="nil"/>
            </w:tcBorders>
            <w:shd w:val="clear" w:color="000000" w:fill="FFFFFF"/>
            <w:noWrap/>
            <w:vAlign w:val="center"/>
            <w:hideMark/>
          </w:tcPr>
          <w:p w14:paraId="5D3F9899"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(0.036)</w:t>
            </w:r>
          </w:p>
        </w:tc>
      </w:tr>
      <w:tr w:rsidR="004D3BB8" w:rsidRPr="00375327" w14:paraId="10875F78" w14:textId="77777777" w:rsidTr="004D3BB8">
        <w:trPr>
          <w:trHeight w:val="290"/>
        </w:trPr>
        <w:tc>
          <w:tcPr>
            <w:tcW w:w="1540" w:type="pct"/>
            <w:tcBorders>
              <w:top w:val="nil"/>
              <w:left w:val="nil"/>
              <w:bottom w:val="nil"/>
              <w:right w:val="nil"/>
            </w:tcBorders>
            <w:shd w:val="clear" w:color="000000" w:fill="FFFFFF"/>
            <w:noWrap/>
            <w:vAlign w:val="center"/>
            <w:hideMark/>
          </w:tcPr>
          <w:p w14:paraId="5D3EF0B1"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Causal beliefs: country</w:t>
            </w:r>
          </w:p>
        </w:tc>
        <w:tc>
          <w:tcPr>
            <w:tcW w:w="645" w:type="pct"/>
            <w:tcBorders>
              <w:top w:val="nil"/>
              <w:left w:val="nil"/>
              <w:bottom w:val="nil"/>
              <w:right w:val="nil"/>
            </w:tcBorders>
            <w:shd w:val="clear" w:color="000000" w:fill="FFFFFF"/>
            <w:noWrap/>
            <w:vAlign w:val="center"/>
            <w:hideMark/>
          </w:tcPr>
          <w:p w14:paraId="52A4A186"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0.073***</w:t>
            </w:r>
          </w:p>
        </w:tc>
        <w:tc>
          <w:tcPr>
            <w:tcW w:w="509" w:type="pct"/>
            <w:tcBorders>
              <w:top w:val="nil"/>
              <w:left w:val="nil"/>
              <w:bottom w:val="nil"/>
              <w:right w:val="nil"/>
            </w:tcBorders>
            <w:shd w:val="clear" w:color="000000" w:fill="FFFFFF"/>
            <w:noWrap/>
            <w:vAlign w:val="center"/>
            <w:hideMark/>
          </w:tcPr>
          <w:p w14:paraId="10D568C0"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(0.019)</w:t>
            </w:r>
          </w:p>
        </w:tc>
        <w:tc>
          <w:tcPr>
            <w:tcW w:w="645" w:type="pct"/>
            <w:tcBorders>
              <w:top w:val="nil"/>
              <w:left w:val="nil"/>
              <w:bottom w:val="nil"/>
              <w:right w:val="nil"/>
            </w:tcBorders>
            <w:shd w:val="clear" w:color="000000" w:fill="FFFFFF"/>
            <w:noWrap/>
            <w:vAlign w:val="center"/>
            <w:hideMark/>
          </w:tcPr>
          <w:p w14:paraId="662043C5"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0.077***</w:t>
            </w:r>
          </w:p>
        </w:tc>
        <w:tc>
          <w:tcPr>
            <w:tcW w:w="509" w:type="pct"/>
            <w:tcBorders>
              <w:top w:val="nil"/>
              <w:left w:val="nil"/>
              <w:bottom w:val="nil"/>
              <w:right w:val="nil"/>
            </w:tcBorders>
            <w:shd w:val="clear" w:color="000000" w:fill="FFFFFF"/>
            <w:noWrap/>
            <w:vAlign w:val="center"/>
            <w:hideMark/>
          </w:tcPr>
          <w:p w14:paraId="7ED4DB57"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(0.014)</w:t>
            </w:r>
          </w:p>
        </w:tc>
        <w:tc>
          <w:tcPr>
            <w:tcW w:w="645" w:type="pct"/>
            <w:tcBorders>
              <w:top w:val="nil"/>
              <w:left w:val="nil"/>
              <w:bottom w:val="nil"/>
              <w:right w:val="nil"/>
            </w:tcBorders>
            <w:shd w:val="clear" w:color="000000" w:fill="FFFFFF"/>
            <w:noWrap/>
            <w:vAlign w:val="center"/>
            <w:hideMark/>
          </w:tcPr>
          <w:p w14:paraId="46EFA5B2"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-0.007</w:t>
            </w:r>
          </w:p>
        </w:tc>
        <w:tc>
          <w:tcPr>
            <w:tcW w:w="509" w:type="pct"/>
            <w:tcBorders>
              <w:top w:val="nil"/>
              <w:left w:val="nil"/>
              <w:bottom w:val="nil"/>
              <w:right w:val="nil"/>
            </w:tcBorders>
            <w:shd w:val="clear" w:color="000000" w:fill="FFFFFF"/>
            <w:noWrap/>
            <w:vAlign w:val="center"/>
            <w:hideMark/>
          </w:tcPr>
          <w:p w14:paraId="72B478B3"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(0.031)</w:t>
            </w:r>
          </w:p>
        </w:tc>
      </w:tr>
      <w:tr w:rsidR="004D3BB8" w:rsidRPr="00375327" w14:paraId="2758681E" w14:textId="77777777" w:rsidTr="004D3BB8">
        <w:trPr>
          <w:trHeight w:val="290"/>
        </w:trPr>
        <w:tc>
          <w:tcPr>
            <w:tcW w:w="1540" w:type="pct"/>
            <w:tcBorders>
              <w:top w:val="nil"/>
              <w:left w:val="nil"/>
              <w:bottom w:val="nil"/>
              <w:right w:val="nil"/>
            </w:tcBorders>
            <w:shd w:val="clear" w:color="000000" w:fill="FFFFFF"/>
            <w:noWrap/>
            <w:vAlign w:val="center"/>
            <w:hideMark/>
          </w:tcPr>
          <w:p w14:paraId="34663C8F"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Causal beliefs: Europe</w:t>
            </w:r>
          </w:p>
        </w:tc>
        <w:tc>
          <w:tcPr>
            <w:tcW w:w="645" w:type="pct"/>
            <w:tcBorders>
              <w:top w:val="nil"/>
              <w:left w:val="nil"/>
              <w:bottom w:val="nil"/>
              <w:right w:val="nil"/>
            </w:tcBorders>
            <w:shd w:val="clear" w:color="000000" w:fill="FFFFFF"/>
            <w:noWrap/>
            <w:vAlign w:val="center"/>
            <w:hideMark/>
          </w:tcPr>
          <w:p w14:paraId="512E1C1B"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-0.031</w:t>
            </w:r>
          </w:p>
        </w:tc>
        <w:tc>
          <w:tcPr>
            <w:tcW w:w="509" w:type="pct"/>
            <w:tcBorders>
              <w:top w:val="nil"/>
              <w:left w:val="nil"/>
              <w:bottom w:val="nil"/>
              <w:right w:val="nil"/>
            </w:tcBorders>
            <w:shd w:val="clear" w:color="000000" w:fill="FFFFFF"/>
            <w:noWrap/>
            <w:vAlign w:val="center"/>
            <w:hideMark/>
          </w:tcPr>
          <w:p w14:paraId="70F90FB2"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(0.017)</w:t>
            </w:r>
          </w:p>
        </w:tc>
        <w:tc>
          <w:tcPr>
            <w:tcW w:w="645" w:type="pct"/>
            <w:tcBorders>
              <w:top w:val="nil"/>
              <w:left w:val="nil"/>
              <w:bottom w:val="nil"/>
              <w:right w:val="nil"/>
            </w:tcBorders>
            <w:shd w:val="clear" w:color="000000" w:fill="FFFFFF"/>
            <w:noWrap/>
            <w:vAlign w:val="center"/>
            <w:hideMark/>
          </w:tcPr>
          <w:p w14:paraId="1DDC2257"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0.038**</w:t>
            </w:r>
          </w:p>
        </w:tc>
        <w:tc>
          <w:tcPr>
            <w:tcW w:w="509" w:type="pct"/>
            <w:tcBorders>
              <w:top w:val="nil"/>
              <w:left w:val="nil"/>
              <w:bottom w:val="nil"/>
              <w:right w:val="nil"/>
            </w:tcBorders>
            <w:shd w:val="clear" w:color="000000" w:fill="FFFFFF"/>
            <w:noWrap/>
            <w:vAlign w:val="center"/>
            <w:hideMark/>
          </w:tcPr>
          <w:p w14:paraId="211E350E"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(0.014)</w:t>
            </w:r>
          </w:p>
        </w:tc>
        <w:tc>
          <w:tcPr>
            <w:tcW w:w="645" w:type="pct"/>
            <w:tcBorders>
              <w:top w:val="nil"/>
              <w:left w:val="nil"/>
              <w:bottom w:val="nil"/>
              <w:right w:val="nil"/>
            </w:tcBorders>
            <w:shd w:val="clear" w:color="000000" w:fill="FFFFFF"/>
            <w:noWrap/>
            <w:vAlign w:val="center"/>
            <w:hideMark/>
          </w:tcPr>
          <w:p w14:paraId="1EE61E93"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0.058*</w:t>
            </w:r>
          </w:p>
        </w:tc>
        <w:tc>
          <w:tcPr>
            <w:tcW w:w="509" w:type="pct"/>
            <w:tcBorders>
              <w:top w:val="nil"/>
              <w:left w:val="nil"/>
              <w:bottom w:val="nil"/>
              <w:right w:val="nil"/>
            </w:tcBorders>
            <w:shd w:val="clear" w:color="000000" w:fill="FFFFFF"/>
            <w:noWrap/>
            <w:vAlign w:val="center"/>
            <w:hideMark/>
          </w:tcPr>
          <w:p w14:paraId="7D2FA1A0"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(0.027)</w:t>
            </w:r>
          </w:p>
        </w:tc>
      </w:tr>
      <w:tr w:rsidR="004D3BB8" w:rsidRPr="00375327" w14:paraId="27E6774C" w14:textId="77777777" w:rsidTr="004D3BB8">
        <w:trPr>
          <w:trHeight w:val="290"/>
        </w:trPr>
        <w:tc>
          <w:tcPr>
            <w:tcW w:w="1540" w:type="pct"/>
            <w:tcBorders>
              <w:top w:val="nil"/>
              <w:left w:val="nil"/>
              <w:bottom w:val="nil"/>
              <w:right w:val="nil"/>
            </w:tcBorders>
            <w:shd w:val="clear" w:color="000000" w:fill="FFFFFF"/>
            <w:noWrap/>
            <w:vAlign w:val="center"/>
            <w:hideMark/>
          </w:tcPr>
          <w:p w14:paraId="059F1D72"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Age</w:t>
            </w:r>
          </w:p>
        </w:tc>
        <w:tc>
          <w:tcPr>
            <w:tcW w:w="645" w:type="pct"/>
            <w:tcBorders>
              <w:top w:val="nil"/>
              <w:left w:val="nil"/>
              <w:bottom w:val="nil"/>
              <w:right w:val="nil"/>
            </w:tcBorders>
            <w:shd w:val="clear" w:color="000000" w:fill="FFFFFF"/>
            <w:noWrap/>
            <w:vAlign w:val="center"/>
            <w:hideMark/>
          </w:tcPr>
          <w:p w14:paraId="44394A06"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-0.001</w:t>
            </w:r>
          </w:p>
        </w:tc>
        <w:tc>
          <w:tcPr>
            <w:tcW w:w="509" w:type="pct"/>
            <w:tcBorders>
              <w:top w:val="nil"/>
              <w:left w:val="nil"/>
              <w:bottom w:val="nil"/>
              <w:right w:val="nil"/>
            </w:tcBorders>
            <w:shd w:val="clear" w:color="000000" w:fill="FFFFFF"/>
            <w:noWrap/>
            <w:vAlign w:val="center"/>
            <w:hideMark/>
          </w:tcPr>
          <w:p w14:paraId="64D99714"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(0.001)</w:t>
            </w:r>
          </w:p>
        </w:tc>
        <w:tc>
          <w:tcPr>
            <w:tcW w:w="645" w:type="pct"/>
            <w:tcBorders>
              <w:top w:val="nil"/>
              <w:left w:val="nil"/>
              <w:bottom w:val="nil"/>
              <w:right w:val="nil"/>
            </w:tcBorders>
            <w:shd w:val="clear" w:color="000000" w:fill="FFFFFF"/>
            <w:noWrap/>
            <w:vAlign w:val="center"/>
            <w:hideMark/>
          </w:tcPr>
          <w:p w14:paraId="0A85BE60"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-0.001**</w:t>
            </w:r>
          </w:p>
        </w:tc>
        <w:tc>
          <w:tcPr>
            <w:tcW w:w="509" w:type="pct"/>
            <w:tcBorders>
              <w:top w:val="nil"/>
              <w:left w:val="nil"/>
              <w:bottom w:val="nil"/>
              <w:right w:val="nil"/>
            </w:tcBorders>
            <w:shd w:val="clear" w:color="000000" w:fill="FFFFFF"/>
            <w:noWrap/>
            <w:vAlign w:val="center"/>
            <w:hideMark/>
          </w:tcPr>
          <w:p w14:paraId="47E50FC3"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(0.001)</w:t>
            </w:r>
          </w:p>
        </w:tc>
        <w:tc>
          <w:tcPr>
            <w:tcW w:w="645" w:type="pct"/>
            <w:tcBorders>
              <w:top w:val="nil"/>
              <w:left w:val="nil"/>
              <w:bottom w:val="nil"/>
              <w:right w:val="nil"/>
            </w:tcBorders>
            <w:shd w:val="clear" w:color="000000" w:fill="FFFFFF"/>
            <w:noWrap/>
            <w:vAlign w:val="center"/>
            <w:hideMark/>
          </w:tcPr>
          <w:p w14:paraId="399A9018"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-0.002</w:t>
            </w:r>
          </w:p>
        </w:tc>
        <w:tc>
          <w:tcPr>
            <w:tcW w:w="509" w:type="pct"/>
            <w:tcBorders>
              <w:top w:val="nil"/>
              <w:left w:val="nil"/>
              <w:bottom w:val="nil"/>
              <w:right w:val="nil"/>
            </w:tcBorders>
            <w:shd w:val="clear" w:color="000000" w:fill="FFFFFF"/>
            <w:noWrap/>
            <w:vAlign w:val="center"/>
            <w:hideMark/>
          </w:tcPr>
          <w:p w14:paraId="7996C3E7"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(0.001)</w:t>
            </w:r>
          </w:p>
        </w:tc>
      </w:tr>
      <w:tr w:rsidR="004D3BB8" w:rsidRPr="00375327" w14:paraId="34199D0F" w14:textId="77777777" w:rsidTr="004D3BB8">
        <w:trPr>
          <w:trHeight w:val="290"/>
        </w:trPr>
        <w:tc>
          <w:tcPr>
            <w:tcW w:w="1540" w:type="pct"/>
            <w:tcBorders>
              <w:top w:val="nil"/>
              <w:left w:val="nil"/>
              <w:bottom w:val="nil"/>
              <w:right w:val="nil"/>
            </w:tcBorders>
            <w:shd w:val="clear" w:color="000000" w:fill="FFFFFF"/>
            <w:noWrap/>
            <w:vAlign w:val="center"/>
            <w:hideMark/>
          </w:tcPr>
          <w:p w14:paraId="4F7B542F"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Income: low</w:t>
            </w:r>
          </w:p>
        </w:tc>
        <w:tc>
          <w:tcPr>
            <w:tcW w:w="645" w:type="pct"/>
            <w:tcBorders>
              <w:top w:val="nil"/>
              <w:left w:val="nil"/>
              <w:bottom w:val="nil"/>
              <w:right w:val="nil"/>
            </w:tcBorders>
            <w:shd w:val="clear" w:color="000000" w:fill="FFFFFF"/>
            <w:noWrap/>
            <w:vAlign w:val="center"/>
            <w:hideMark/>
          </w:tcPr>
          <w:p w14:paraId="4959640B"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0.000</w:t>
            </w:r>
          </w:p>
        </w:tc>
        <w:tc>
          <w:tcPr>
            <w:tcW w:w="509" w:type="pct"/>
            <w:tcBorders>
              <w:top w:val="nil"/>
              <w:left w:val="nil"/>
              <w:bottom w:val="nil"/>
              <w:right w:val="nil"/>
            </w:tcBorders>
            <w:shd w:val="clear" w:color="000000" w:fill="FFFFFF"/>
            <w:noWrap/>
            <w:vAlign w:val="center"/>
            <w:hideMark/>
          </w:tcPr>
          <w:p w14:paraId="055FD317"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w:t>
            </w:r>
          </w:p>
        </w:tc>
        <w:tc>
          <w:tcPr>
            <w:tcW w:w="645" w:type="pct"/>
            <w:tcBorders>
              <w:top w:val="nil"/>
              <w:left w:val="nil"/>
              <w:bottom w:val="nil"/>
              <w:right w:val="nil"/>
            </w:tcBorders>
            <w:shd w:val="clear" w:color="000000" w:fill="FFFFFF"/>
            <w:noWrap/>
            <w:vAlign w:val="center"/>
            <w:hideMark/>
          </w:tcPr>
          <w:p w14:paraId="4831CBB5"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0.000</w:t>
            </w:r>
          </w:p>
        </w:tc>
        <w:tc>
          <w:tcPr>
            <w:tcW w:w="509" w:type="pct"/>
            <w:tcBorders>
              <w:top w:val="nil"/>
              <w:left w:val="nil"/>
              <w:bottom w:val="nil"/>
              <w:right w:val="nil"/>
            </w:tcBorders>
            <w:shd w:val="clear" w:color="000000" w:fill="FFFFFF"/>
            <w:noWrap/>
            <w:vAlign w:val="center"/>
            <w:hideMark/>
          </w:tcPr>
          <w:p w14:paraId="3960BAFE"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w:t>
            </w:r>
          </w:p>
        </w:tc>
        <w:tc>
          <w:tcPr>
            <w:tcW w:w="645" w:type="pct"/>
            <w:tcBorders>
              <w:top w:val="nil"/>
              <w:left w:val="nil"/>
              <w:bottom w:val="nil"/>
              <w:right w:val="nil"/>
            </w:tcBorders>
            <w:shd w:val="clear" w:color="000000" w:fill="FFFFFF"/>
            <w:noWrap/>
            <w:vAlign w:val="center"/>
            <w:hideMark/>
          </w:tcPr>
          <w:p w14:paraId="4EF26CC0"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0.000</w:t>
            </w:r>
          </w:p>
        </w:tc>
        <w:tc>
          <w:tcPr>
            <w:tcW w:w="509" w:type="pct"/>
            <w:tcBorders>
              <w:top w:val="nil"/>
              <w:left w:val="nil"/>
              <w:bottom w:val="nil"/>
              <w:right w:val="nil"/>
            </w:tcBorders>
            <w:shd w:val="clear" w:color="000000" w:fill="FFFFFF"/>
            <w:noWrap/>
            <w:vAlign w:val="center"/>
            <w:hideMark/>
          </w:tcPr>
          <w:p w14:paraId="4542F0B8"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w:t>
            </w:r>
          </w:p>
        </w:tc>
      </w:tr>
      <w:tr w:rsidR="004D3BB8" w:rsidRPr="00375327" w14:paraId="6047DD5C" w14:textId="77777777" w:rsidTr="004D3BB8">
        <w:trPr>
          <w:trHeight w:val="290"/>
        </w:trPr>
        <w:tc>
          <w:tcPr>
            <w:tcW w:w="1540" w:type="pct"/>
            <w:tcBorders>
              <w:top w:val="nil"/>
              <w:left w:val="nil"/>
              <w:bottom w:val="nil"/>
              <w:right w:val="nil"/>
            </w:tcBorders>
            <w:shd w:val="clear" w:color="000000" w:fill="FFFFFF"/>
            <w:noWrap/>
            <w:vAlign w:val="center"/>
            <w:hideMark/>
          </w:tcPr>
          <w:p w14:paraId="55AB1699"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Income: middle</w:t>
            </w:r>
          </w:p>
        </w:tc>
        <w:tc>
          <w:tcPr>
            <w:tcW w:w="645" w:type="pct"/>
            <w:tcBorders>
              <w:top w:val="nil"/>
              <w:left w:val="nil"/>
              <w:bottom w:val="nil"/>
              <w:right w:val="nil"/>
            </w:tcBorders>
            <w:shd w:val="clear" w:color="000000" w:fill="FFFFFF"/>
            <w:noWrap/>
            <w:vAlign w:val="center"/>
            <w:hideMark/>
          </w:tcPr>
          <w:p w14:paraId="1F8ED6BB"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-0.041</w:t>
            </w:r>
          </w:p>
        </w:tc>
        <w:tc>
          <w:tcPr>
            <w:tcW w:w="509" w:type="pct"/>
            <w:tcBorders>
              <w:top w:val="nil"/>
              <w:left w:val="nil"/>
              <w:bottom w:val="nil"/>
              <w:right w:val="nil"/>
            </w:tcBorders>
            <w:shd w:val="clear" w:color="000000" w:fill="FFFFFF"/>
            <w:noWrap/>
            <w:vAlign w:val="center"/>
            <w:hideMark/>
          </w:tcPr>
          <w:p w14:paraId="45D09408"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(0.030)</w:t>
            </w:r>
          </w:p>
        </w:tc>
        <w:tc>
          <w:tcPr>
            <w:tcW w:w="645" w:type="pct"/>
            <w:tcBorders>
              <w:top w:val="nil"/>
              <w:left w:val="nil"/>
              <w:bottom w:val="nil"/>
              <w:right w:val="nil"/>
            </w:tcBorders>
            <w:shd w:val="clear" w:color="000000" w:fill="FFFFFF"/>
            <w:noWrap/>
            <w:vAlign w:val="center"/>
            <w:hideMark/>
          </w:tcPr>
          <w:p w14:paraId="6DCBD769"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0.037</w:t>
            </w:r>
          </w:p>
        </w:tc>
        <w:tc>
          <w:tcPr>
            <w:tcW w:w="509" w:type="pct"/>
            <w:tcBorders>
              <w:top w:val="nil"/>
              <w:left w:val="nil"/>
              <w:bottom w:val="nil"/>
              <w:right w:val="nil"/>
            </w:tcBorders>
            <w:shd w:val="clear" w:color="000000" w:fill="FFFFFF"/>
            <w:noWrap/>
            <w:vAlign w:val="center"/>
            <w:hideMark/>
          </w:tcPr>
          <w:p w14:paraId="4013D58D"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(0.023)</w:t>
            </w:r>
          </w:p>
        </w:tc>
        <w:tc>
          <w:tcPr>
            <w:tcW w:w="645" w:type="pct"/>
            <w:tcBorders>
              <w:top w:val="nil"/>
              <w:left w:val="nil"/>
              <w:bottom w:val="nil"/>
              <w:right w:val="nil"/>
            </w:tcBorders>
            <w:shd w:val="clear" w:color="000000" w:fill="FFFFFF"/>
            <w:noWrap/>
            <w:vAlign w:val="center"/>
            <w:hideMark/>
          </w:tcPr>
          <w:p w14:paraId="53F4462F"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0.055</w:t>
            </w:r>
          </w:p>
        </w:tc>
        <w:tc>
          <w:tcPr>
            <w:tcW w:w="509" w:type="pct"/>
            <w:tcBorders>
              <w:top w:val="nil"/>
              <w:left w:val="nil"/>
              <w:bottom w:val="nil"/>
              <w:right w:val="nil"/>
            </w:tcBorders>
            <w:shd w:val="clear" w:color="000000" w:fill="FFFFFF"/>
            <w:noWrap/>
            <w:vAlign w:val="center"/>
            <w:hideMark/>
          </w:tcPr>
          <w:p w14:paraId="5D35493F"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(0.053)</w:t>
            </w:r>
          </w:p>
        </w:tc>
      </w:tr>
      <w:tr w:rsidR="004D3BB8" w:rsidRPr="00375327" w14:paraId="2F706658" w14:textId="77777777" w:rsidTr="004D3BB8">
        <w:trPr>
          <w:trHeight w:val="290"/>
        </w:trPr>
        <w:tc>
          <w:tcPr>
            <w:tcW w:w="1540" w:type="pct"/>
            <w:tcBorders>
              <w:top w:val="nil"/>
              <w:left w:val="nil"/>
              <w:bottom w:val="nil"/>
              <w:right w:val="nil"/>
            </w:tcBorders>
            <w:shd w:val="clear" w:color="000000" w:fill="FFFFFF"/>
            <w:noWrap/>
            <w:vAlign w:val="center"/>
            <w:hideMark/>
          </w:tcPr>
          <w:p w14:paraId="40040CB5"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Income: high</w:t>
            </w:r>
          </w:p>
        </w:tc>
        <w:tc>
          <w:tcPr>
            <w:tcW w:w="645" w:type="pct"/>
            <w:tcBorders>
              <w:top w:val="nil"/>
              <w:left w:val="nil"/>
              <w:bottom w:val="nil"/>
              <w:right w:val="nil"/>
            </w:tcBorders>
            <w:shd w:val="clear" w:color="000000" w:fill="FFFFFF"/>
            <w:noWrap/>
            <w:vAlign w:val="center"/>
            <w:hideMark/>
          </w:tcPr>
          <w:p w14:paraId="76684003"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-0.049</w:t>
            </w:r>
          </w:p>
        </w:tc>
        <w:tc>
          <w:tcPr>
            <w:tcW w:w="509" w:type="pct"/>
            <w:tcBorders>
              <w:top w:val="nil"/>
              <w:left w:val="nil"/>
              <w:bottom w:val="nil"/>
              <w:right w:val="nil"/>
            </w:tcBorders>
            <w:shd w:val="clear" w:color="000000" w:fill="FFFFFF"/>
            <w:noWrap/>
            <w:vAlign w:val="center"/>
            <w:hideMark/>
          </w:tcPr>
          <w:p w14:paraId="186C9F24"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(0.036)</w:t>
            </w:r>
          </w:p>
        </w:tc>
        <w:tc>
          <w:tcPr>
            <w:tcW w:w="645" w:type="pct"/>
            <w:tcBorders>
              <w:top w:val="nil"/>
              <w:left w:val="nil"/>
              <w:bottom w:val="nil"/>
              <w:right w:val="nil"/>
            </w:tcBorders>
            <w:shd w:val="clear" w:color="000000" w:fill="FFFFFF"/>
            <w:noWrap/>
            <w:vAlign w:val="center"/>
            <w:hideMark/>
          </w:tcPr>
          <w:p w14:paraId="1A21D8DC"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0.008</w:t>
            </w:r>
          </w:p>
        </w:tc>
        <w:tc>
          <w:tcPr>
            <w:tcW w:w="509" w:type="pct"/>
            <w:tcBorders>
              <w:top w:val="nil"/>
              <w:left w:val="nil"/>
              <w:bottom w:val="nil"/>
              <w:right w:val="nil"/>
            </w:tcBorders>
            <w:shd w:val="clear" w:color="000000" w:fill="FFFFFF"/>
            <w:noWrap/>
            <w:vAlign w:val="center"/>
            <w:hideMark/>
          </w:tcPr>
          <w:p w14:paraId="1F892CEA"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(0.026)</w:t>
            </w:r>
          </w:p>
        </w:tc>
        <w:tc>
          <w:tcPr>
            <w:tcW w:w="645" w:type="pct"/>
            <w:tcBorders>
              <w:top w:val="nil"/>
              <w:left w:val="nil"/>
              <w:bottom w:val="nil"/>
              <w:right w:val="nil"/>
            </w:tcBorders>
            <w:shd w:val="clear" w:color="000000" w:fill="FFFFFF"/>
            <w:noWrap/>
            <w:vAlign w:val="center"/>
            <w:hideMark/>
          </w:tcPr>
          <w:p w14:paraId="6C8CE14D"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0.041</w:t>
            </w:r>
          </w:p>
        </w:tc>
        <w:tc>
          <w:tcPr>
            <w:tcW w:w="509" w:type="pct"/>
            <w:tcBorders>
              <w:top w:val="nil"/>
              <w:left w:val="nil"/>
              <w:bottom w:val="nil"/>
              <w:right w:val="nil"/>
            </w:tcBorders>
            <w:shd w:val="clear" w:color="000000" w:fill="FFFFFF"/>
            <w:noWrap/>
            <w:vAlign w:val="center"/>
            <w:hideMark/>
          </w:tcPr>
          <w:p w14:paraId="73AC2E12"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(0.050)</w:t>
            </w:r>
          </w:p>
        </w:tc>
      </w:tr>
      <w:tr w:rsidR="004D3BB8" w:rsidRPr="00375327" w14:paraId="479DE74F" w14:textId="77777777" w:rsidTr="004D3BB8">
        <w:trPr>
          <w:trHeight w:val="290"/>
        </w:trPr>
        <w:tc>
          <w:tcPr>
            <w:tcW w:w="1540" w:type="pct"/>
            <w:tcBorders>
              <w:top w:val="nil"/>
              <w:left w:val="nil"/>
              <w:bottom w:val="nil"/>
              <w:right w:val="nil"/>
            </w:tcBorders>
            <w:shd w:val="clear" w:color="000000" w:fill="FFFFFF"/>
            <w:noWrap/>
            <w:vAlign w:val="center"/>
            <w:hideMark/>
          </w:tcPr>
          <w:p w14:paraId="061316EA"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Income: refused</w:t>
            </w:r>
          </w:p>
        </w:tc>
        <w:tc>
          <w:tcPr>
            <w:tcW w:w="645" w:type="pct"/>
            <w:tcBorders>
              <w:top w:val="nil"/>
              <w:left w:val="nil"/>
              <w:bottom w:val="nil"/>
              <w:right w:val="nil"/>
            </w:tcBorders>
            <w:shd w:val="clear" w:color="000000" w:fill="FFFFFF"/>
            <w:noWrap/>
            <w:vAlign w:val="center"/>
            <w:hideMark/>
          </w:tcPr>
          <w:p w14:paraId="2562B36D"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-0.072</w:t>
            </w:r>
          </w:p>
        </w:tc>
        <w:tc>
          <w:tcPr>
            <w:tcW w:w="509" w:type="pct"/>
            <w:tcBorders>
              <w:top w:val="nil"/>
              <w:left w:val="nil"/>
              <w:bottom w:val="nil"/>
              <w:right w:val="nil"/>
            </w:tcBorders>
            <w:shd w:val="clear" w:color="000000" w:fill="FFFFFF"/>
            <w:noWrap/>
            <w:vAlign w:val="center"/>
            <w:hideMark/>
          </w:tcPr>
          <w:p w14:paraId="568A1AB6"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(0.046)</w:t>
            </w:r>
          </w:p>
        </w:tc>
        <w:tc>
          <w:tcPr>
            <w:tcW w:w="645" w:type="pct"/>
            <w:tcBorders>
              <w:top w:val="nil"/>
              <w:left w:val="nil"/>
              <w:bottom w:val="nil"/>
              <w:right w:val="nil"/>
            </w:tcBorders>
            <w:shd w:val="clear" w:color="000000" w:fill="FFFFFF"/>
            <w:noWrap/>
            <w:vAlign w:val="center"/>
            <w:hideMark/>
          </w:tcPr>
          <w:p w14:paraId="0B2FA837"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0.006</w:t>
            </w:r>
          </w:p>
        </w:tc>
        <w:tc>
          <w:tcPr>
            <w:tcW w:w="509" w:type="pct"/>
            <w:tcBorders>
              <w:top w:val="nil"/>
              <w:left w:val="nil"/>
              <w:bottom w:val="nil"/>
              <w:right w:val="nil"/>
            </w:tcBorders>
            <w:shd w:val="clear" w:color="000000" w:fill="FFFFFF"/>
            <w:noWrap/>
            <w:vAlign w:val="center"/>
            <w:hideMark/>
          </w:tcPr>
          <w:p w14:paraId="3E54EF44"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(0.037)</w:t>
            </w:r>
          </w:p>
        </w:tc>
        <w:tc>
          <w:tcPr>
            <w:tcW w:w="645" w:type="pct"/>
            <w:tcBorders>
              <w:top w:val="nil"/>
              <w:left w:val="nil"/>
              <w:bottom w:val="nil"/>
              <w:right w:val="nil"/>
            </w:tcBorders>
            <w:shd w:val="clear" w:color="000000" w:fill="FFFFFF"/>
            <w:noWrap/>
            <w:vAlign w:val="center"/>
            <w:hideMark/>
          </w:tcPr>
          <w:p w14:paraId="5B6BE0C3"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-0.069</w:t>
            </w:r>
          </w:p>
        </w:tc>
        <w:tc>
          <w:tcPr>
            <w:tcW w:w="509" w:type="pct"/>
            <w:tcBorders>
              <w:top w:val="nil"/>
              <w:left w:val="nil"/>
              <w:bottom w:val="nil"/>
              <w:right w:val="nil"/>
            </w:tcBorders>
            <w:shd w:val="clear" w:color="000000" w:fill="FFFFFF"/>
            <w:noWrap/>
            <w:vAlign w:val="center"/>
            <w:hideMark/>
          </w:tcPr>
          <w:p w14:paraId="549A899B"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(0.080)</w:t>
            </w:r>
          </w:p>
        </w:tc>
      </w:tr>
      <w:tr w:rsidR="004D3BB8" w:rsidRPr="00375327" w14:paraId="3C540D1D" w14:textId="77777777" w:rsidTr="004D3BB8">
        <w:trPr>
          <w:trHeight w:val="290"/>
        </w:trPr>
        <w:tc>
          <w:tcPr>
            <w:tcW w:w="1540" w:type="pct"/>
            <w:tcBorders>
              <w:top w:val="nil"/>
              <w:left w:val="nil"/>
              <w:bottom w:val="nil"/>
              <w:right w:val="nil"/>
            </w:tcBorders>
            <w:shd w:val="clear" w:color="000000" w:fill="FFFFFF"/>
            <w:noWrap/>
            <w:vAlign w:val="center"/>
            <w:hideMark/>
          </w:tcPr>
          <w:p w14:paraId="0FBFA00A"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Gender</w:t>
            </w:r>
          </w:p>
        </w:tc>
        <w:tc>
          <w:tcPr>
            <w:tcW w:w="645" w:type="pct"/>
            <w:tcBorders>
              <w:top w:val="nil"/>
              <w:left w:val="nil"/>
              <w:bottom w:val="nil"/>
              <w:right w:val="nil"/>
            </w:tcBorders>
            <w:shd w:val="clear" w:color="000000" w:fill="FFFFFF"/>
            <w:noWrap/>
            <w:vAlign w:val="center"/>
            <w:hideMark/>
          </w:tcPr>
          <w:p w14:paraId="456B470C"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-0.017</w:t>
            </w:r>
          </w:p>
        </w:tc>
        <w:tc>
          <w:tcPr>
            <w:tcW w:w="509" w:type="pct"/>
            <w:tcBorders>
              <w:top w:val="nil"/>
              <w:left w:val="nil"/>
              <w:bottom w:val="nil"/>
              <w:right w:val="nil"/>
            </w:tcBorders>
            <w:shd w:val="clear" w:color="000000" w:fill="FFFFFF"/>
            <w:noWrap/>
            <w:vAlign w:val="center"/>
            <w:hideMark/>
          </w:tcPr>
          <w:p w14:paraId="3F915FAA"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(0.025)</w:t>
            </w:r>
          </w:p>
        </w:tc>
        <w:tc>
          <w:tcPr>
            <w:tcW w:w="645" w:type="pct"/>
            <w:tcBorders>
              <w:top w:val="nil"/>
              <w:left w:val="nil"/>
              <w:bottom w:val="nil"/>
              <w:right w:val="nil"/>
            </w:tcBorders>
            <w:shd w:val="clear" w:color="000000" w:fill="FFFFFF"/>
            <w:noWrap/>
            <w:vAlign w:val="center"/>
            <w:hideMark/>
          </w:tcPr>
          <w:p w14:paraId="470FE176"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0.005</w:t>
            </w:r>
          </w:p>
        </w:tc>
        <w:tc>
          <w:tcPr>
            <w:tcW w:w="509" w:type="pct"/>
            <w:tcBorders>
              <w:top w:val="nil"/>
              <w:left w:val="nil"/>
              <w:bottom w:val="nil"/>
              <w:right w:val="nil"/>
            </w:tcBorders>
            <w:shd w:val="clear" w:color="000000" w:fill="FFFFFF"/>
            <w:noWrap/>
            <w:vAlign w:val="center"/>
            <w:hideMark/>
          </w:tcPr>
          <w:p w14:paraId="47494A80"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(0.019)</w:t>
            </w:r>
          </w:p>
        </w:tc>
        <w:tc>
          <w:tcPr>
            <w:tcW w:w="645" w:type="pct"/>
            <w:tcBorders>
              <w:top w:val="nil"/>
              <w:left w:val="nil"/>
              <w:bottom w:val="nil"/>
              <w:right w:val="nil"/>
            </w:tcBorders>
            <w:shd w:val="clear" w:color="000000" w:fill="FFFFFF"/>
            <w:noWrap/>
            <w:vAlign w:val="center"/>
            <w:hideMark/>
          </w:tcPr>
          <w:p w14:paraId="61BBFA26"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0.034</w:t>
            </w:r>
          </w:p>
        </w:tc>
        <w:tc>
          <w:tcPr>
            <w:tcW w:w="509" w:type="pct"/>
            <w:tcBorders>
              <w:top w:val="nil"/>
              <w:left w:val="nil"/>
              <w:bottom w:val="nil"/>
              <w:right w:val="nil"/>
            </w:tcBorders>
            <w:shd w:val="clear" w:color="000000" w:fill="FFFFFF"/>
            <w:noWrap/>
            <w:vAlign w:val="center"/>
            <w:hideMark/>
          </w:tcPr>
          <w:p w14:paraId="037861FE"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(0.042)</w:t>
            </w:r>
          </w:p>
        </w:tc>
      </w:tr>
      <w:tr w:rsidR="004D3BB8" w:rsidRPr="00375327" w14:paraId="75344984" w14:textId="77777777" w:rsidTr="004D3BB8">
        <w:trPr>
          <w:trHeight w:val="290"/>
        </w:trPr>
        <w:tc>
          <w:tcPr>
            <w:tcW w:w="1540" w:type="pct"/>
            <w:tcBorders>
              <w:top w:val="nil"/>
              <w:left w:val="nil"/>
              <w:bottom w:val="nil"/>
              <w:right w:val="nil"/>
            </w:tcBorders>
            <w:shd w:val="clear" w:color="000000" w:fill="FFFFFF"/>
            <w:noWrap/>
            <w:vAlign w:val="center"/>
            <w:hideMark/>
          </w:tcPr>
          <w:p w14:paraId="7F87E214"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Education level</w:t>
            </w:r>
          </w:p>
        </w:tc>
        <w:tc>
          <w:tcPr>
            <w:tcW w:w="645" w:type="pct"/>
            <w:tcBorders>
              <w:top w:val="nil"/>
              <w:left w:val="nil"/>
              <w:bottom w:val="nil"/>
              <w:right w:val="nil"/>
            </w:tcBorders>
            <w:shd w:val="clear" w:color="000000" w:fill="FFFFFF"/>
            <w:noWrap/>
            <w:vAlign w:val="center"/>
            <w:hideMark/>
          </w:tcPr>
          <w:p w14:paraId="1AF92396"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-0.000</w:t>
            </w:r>
          </w:p>
        </w:tc>
        <w:tc>
          <w:tcPr>
            <w:tcW w:w="509" w:type="pct"/>
            <w:tcBorders>
              <w:top w:val="nil"/>
              <w:left w:val="nil"/>
              <w:bottom w:val="nil"/>
              <w:right w:val="nil"/>
            </w:tcBorders>
            <w:shd w:val="clear" w:color="000000" w:fill="FFFFFF"/>
            <w:noWrap/>
            <w:vAlign w:val="center"/>
            <w:hideMark/>
          </w:tcPr>
          <w:p w14:paraId="62D6F0F4"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(0.007)</w:t>
            </w:r>
          </w:p>
        </w:tc>
        <w:tc>
          <w:tcPr>
            <w:tcW w:w="645" w:type="pct"/>
            <w:tcBorders>
              <w:top w:val="nil"/>
              <w:left w:val="nil"/>
              <w:bottom w:val="nil"/>
              <w:right w:val="nil"/>
            </w:tcBorders>
            <w:shd w:val="clear" w:color="000000" w:fill="FFFFFF"/>
            <w:noWrap/>
            <w:vAlign w:val="center"/>
            <w:hideMark/>
          </w:tcPr>
          <w:p w14:paraId="6AE6BB12"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-0.014**</w:t>
            </w:r>
          </w:p>
        </w:tc>
        <w:tc>
          <w:tcPr>
            <w:tcW w:w="509" w:type="pct"/>
            <w:tcBorders>
              <w:top w:val="nil"/>
              <w:left w:val="nil"/>
              <w:bottom w:val="nil"/>
              <w:right w:val="nil"/>
            </w:tcBorders>
            <w:shd w:val="clear" w:color="000000" w:fill="FFFFFF"/>
            <w:noWrap/>
            <w:vAlign w:val="center"/>
            <w:hideMark/>
          </w:tcPr>
          <w:p w14:paraId="30A39A1A"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(0.005)</w:t>
            </w:r>
          </w:p>
        </w:tc>
        <w:tc>
          <w:tcPr>
            <w:tcW w:w="645" w:type="pct"/>
            <w:tcBorders>
              <w:top w:val="nil"/>
              <w:left w:val="nil"/>
              <w:bottom w:val="nil"/>
              <w:right w:val="nil"/>
            </w:tcBorders>
            <w:shd w:val="clear" w:color="000000" w:fill="FFFFFF"/>
            <w:noWrap/>
            <w:vAlign w:val="center"/>
            <w:hideMark/>
          </w:tcPr>
          <w:p w14:paraId="0F5B94F7"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0.001</w:t>
            </w:r>
          </w:p>
        </w:tc>
        <w:tc>
          <w:tcPr>
            <w:tcW w:w="509" w:type="pct"/>
            <w:tcBorders>
              <w:top w:val="nil"/>
              <w:left w:val="nil"/>
              <w:bottom w:val="nil"/>
              <w:right w:val="nil"/>
            </w:tcBorders>
            <w:shd w:val="clear" w:color="000000" w:fill="FFFFFF"/>
            <w:noWrap/>
            <w:vAlign w:val="center"/>
            <w:hideMark/>
          </w:tcPr>
          <w:p w14:paraId="476E8014"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(0.010)</w:t>
            </w:r>
          </w:p>
        </w:tc>
      </w:tr>
      <w:tr w:rsidR="004D3BB8" w:rsidRPr="00375327" w14:paraId="019DA3AD" w14:textId="77777777" w:rsidTr="004D3BB8">
        <w:trPr>
          <w:trHeight w:val="290"/>
        </w:trPr>
        <w:tc>
          <w:tcPr>
            <w:tcW w:w="1540" w:type="pct"/>
            <w:tcBorders>
              <w:top w:val="nil"/>
              <w:left w:val="nil"/>
              <w:bottom w:val="nil"/>
              <w:right w:val="nil"/>
            </w:tcBorders>
            <w:shd w:val="clear" w:color="000000" w:fill="FFFFFF"/>
            <w:noWrap/>
            <w:vAlign w:val="center"/>
            <w:hideMark/>
          </w:tcPr>
          <w:p w14:paraId="71F54D61"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General ideology</w:t>
            </w:r>
          </w:p>
        </w:tc>
        <w:tc>
          <w:tcPr>
            <w:tcW w:w="645" w:type="pct"/>
            <w:tcBorders>
              <w:top w:val="nil"/>
              <w:left w:val="nil"/>
              <w:bottom w:val="nil"/>
              <w:right w:val="nil"/>
            </w:tcBorders>
            <w:shd w:val="clear" w:color="000000" w:fill="FFFFFF"/>
            <w:noWrap/>
            <w:vAlign w:val="center"/>
            <w:hideMark/>
          </w:tcPr>
          <w:p w14:paraId="6AA668F6"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-0.010</w:t>
            </w:r>
          </w:p>
        </w:tc>
        <w:tc>
          <w:tcPr>
            <w:tcW w:w="509" w:type="pct"/>
            <w:tcBorders>
              <w:top w:val="nil"/>
              <w:left w:val="nil"/>
              <w:bottom w:val="nil"/>
              <w:right w:val="nil"/>
            </w:tcBorders>
            <w:shd w:val="clear" w:color="000000" w:fill="FFFFFF"/>
            <w:noWrap/>
            <w:vAlign w:val="center"/>
            <w:hideMark/>
          </w:tcPr>
          <w:p w14:paraId="0D15A6C6"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(0.006)</w:t>
            </w:r>
          </w:p>
        </w:tc>
        <w:tc>
          <w:tcPr>
            <w:tcW w:w="645" w:type="pct"/>
            <w:tcBorders>
              <w:top w:val="nil"/>
              <w:left w:val="nil"/>
              <w:bottom w:val="nil"/>
              <w:right w:val="nil"/>
            </w:tcBorders>
            <w:shd w:val="clear" w:color="000000" w:fill="FFFFFF"/>
            <w:noWrap/>
            <w:vAlign w:val="center"/>
            <w:hideMark/>
          </w:tcPr>
          <w:p w14:paraId="12ABA1A5"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0.003</w:t>
            </w:r>
          </w:p>
        </w:tc>
        <w:tc>
          <w:tcPr>
            <w:tcW w:w="509" w:type="pct"/>
            <w:tcBorders>
              <w:top w:val="nil"/>
              <w:left w:val="nil"/>
              <w:bottom w:val="nil"/>
              <w:right w:val="nil"/>
            </w:tcBorders>
            <w:shd w:val="clear" w:color="000000" w:fill="FFFFFF"/>
            <w:noWrap/>
            <w:vAlign w:val="center"/>
            <w:hideMark/>
          </w:tcPr>
          <w:p w14:paraId="5D64F4C1"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(0.005)</w:t>
            </w:r>
          </w:p>
        </w:tc>
        <w:tc>
          <w:tcPr>
            <w:tcW w:w="645" w:type="pct"/>
            <w:tcBorders>
              <w:top w:val="nil"/>
              <w:left w:val="nil"/>
              <w:bottom w:val="nil"/>
              <w:right w:val="nil"/>
            </w:tcBorders>
            <w:shd w:val="clear" w:color="000000" w:fill="FFFFFF"/>
            <w:noWrap/>
            <w:vAlign w:val="center"/>
            <w:hideMark/>
          </w:tcPr>
          <w:p w14:paraId="050E8AB3"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0.008</w:t>
            </w:r>
          </w:p>
        </w:tc>
        <w:tc>
          <w:tcPr>
            <w:tcW w:w="509" w:type="pct"/>
            <w:tcBorders>
              <w:top w:val="nil"/>
              <w:left w:val="nil"/>
              <w:bottom w:val="nil"/>
              <w:right w:val="nil"/>
            </w:tcBorders>
            <w:shd w:val="clear" w:color="000000" w:fill="FFFFFF"/>
            <w:noWrap/>
            <w:vAlign w:val="center"/>
            <w:hideMark/>
          </w:tcPr>
          <w:p w14:paraId="19EBAECD"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(0.009)</w:t>
            </w:r>
          </w:p>
        </w:tc>
      </w:tr>
      <w:tr w:rsidR="004D3BB8" w:rsidRPr="00375327" w14:paraId="2D758093" w14:textId="77777777" w:rsidTr="004D3BB8">
        <w:trPr>
          <w:trHeight w:val="290"/>
        </w:trPr>
        <w:tc>
          <w:tcPr>
            <w:tcW w:w="1540" w:type="pct"/>
            <w:tcBorders>
              <w:top w:val="nil"/>
              <w:left w:val="nil"/>
              <w:bottom w:val="nil"/>
              <w:right w:val="nil"/>
            </w:tcBorders>
            <w:shd w:val="clear" w:color="000000" w:fill="FFFFFF"/>
            <w:noWrap/>
            <w:vAlign w:val="center"/>
            <w:hideMark/>
          </w:tcPr>
          <w:p w14:paraId="179CD5FA"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Exclusive nationalist</w:t>
            </w:r>
          </w:p>
        </w:tc>
        <w:tc>
          <w:tcPr>
            <w:tcW w:w="645" w:type="pct"/>
            <w:tcBorders>
              <w:top w:val="nil"/>
              <w:left w:val="nil"/>
              <w:bottom w:val="nil"/>
              <w:right w:val="nil"/>
            </w:tcBorders>
            <w:shd w:val="clear" w:color="000000" w:fill="FFFFFF"/>
            <w:noWrap/>
            <w:vAlign w:val="center"/>
            <w:hideMark/>
          </w:tcPr>
          <w:p w14:paraId="76C99F26"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-0.071*</w:t>
            </w:r>
          </w:p>
        </w:tc>
        <w:tc>
          <w:tcPr>
            <w:tcW w:w="509" w:type="pct"/>
            <w:tcBorders>
              <w:top w:val="nil"/>
              <w:left w:val="nil"/>
              <w:bottom w:val="nil"/>
              <w:right w:val="nil"/>
            </w:tcBorders>
            <w:shd w:val="clear" w:color="000000" w:fill="FFFFFF"/>
            <w:noWrap/>
            <w:vAlign w:val="center"/>
            <w:hideMark/>
          </w:tcPr>
          <w:p w14:paraId="2FEB7D83"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(0.028)</w:t>
            </w:r>
          </w:p>
        </w:tc>
        <w:tc>
          <w:tcPr>
            <w:tcW w:w="645" w:type="pct"/>
            <w:tcBorders>
              <w:top w:val="nil"/>
              <w:left w:val="nil"/>
              <w:bottom w:val="nil"/>
              <w:right w:val="nil"/>
            </w:tcBorders>
            <w:shd w:val="clear" w:color="000000" w:fill="FFFFFF"/>
            <w:noWrap/>
            <w:vAlign w:val="center"/>
            <w:hideMark/>
          </w:tcPr>
          <w:p w14:paraId="783AE0D4"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0.009</w:t>
            </w:r>
          </w:p>
        </w:tc>
        <w:tc>
          <w:tcPr>
            <w:tcW w:w="509" w:type="pct"/>
            <w:tcBorders>
              <w:top w:val="nil"/>
              <w:left w:val="nil"/>
              <w:bottom w:val="nil"/>
              <w:right w:val="nil"/>
            </w:tcBorders>
            <w:shd w:val="clear" w:color="000000" w:fill="FFFFFF"/>
            <w:noWrap/>
            <w:vAlign w:val="center"/>
            <w:hideMark/>
          </w:tcPr>
          <w:p w14:paraId="05D027D8"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(0.020)</w:t>
            </w:r>
          </w:p>
        </w:tc>
        <w:tc>
          <w:tcPr>
            <w:tcW w:w="645" w:type="pct"/>
            <w:tcBorders>
              <w:top w:val="nil"/>
              <w:left w:val="nil"/>
              <w:bottom w:val="nil"/>
              <w:right w:val="nil"/>
            </w:tcBorders>
            <w:shd w:val="clear" w:color="000000" w:fill="FFFFFF"/>
            <w:noWrap/>
            <w:vAlign w:val="center"/>
            <w:hideMark/>
          </w:tcPr>
          <w:p w14:paraId="1D9542A4"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-0.099</w:t>
            </w:r>
          </w:p>
        </w:tc>
        <w:tc>
          <w:tcPr>
            <w:tcW w:w="509" w:type="pct"/>
            <w:tcBorders>
              <w:top w:val="nil"/>
              <w:left w:val="nil"/>
              <w:bottom w:val="nil"/>
              <w:right w:val="nil"/>
            </w:tcBorders>
            <w:shd w:val="clear" w:color="000000" w:fill="FFFFFF"/>
            <w:noWrap/>
            <w:vAlign w:val="center"/>
            <w:hideMark/>
          </w:tcPr>
          <w:p w14:paraId="022A57C3"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(0.097)</w:t>
            </w:r>
          </w:p>
        </w:tc>
      </w:tr>
      <w:tr w:rsidR="004D3BB8" w:rsidRPr="00375327" w14:paraId="1283DBFC" w14:textId="77777777" w:rsidTr="004D3BB8">
        <w:trPr>
          <w:trHeight w:val="290"/>
        </w:trPr>
        <w:tc>
          <w:tcPr>
            <w:tcW w:w="1540" w:type="pct"/>
            <w:tcBorders>
              <w:top w:val="nil"/>
              <w:left w:val="nil"/>
              <w:bottom w:val="nil"/>
              <w:right w:val="nil"/>
            </w:tcBorders>
            <w:shd w:val="clear" w:color="000000" w:fill="FFFFFF"/>
            <w:noWrap/>
            <w:vAlign w:val="center"/>
            <w:hideMark/>
          </w:tcPr>
          <w:p w14:paraId="0FD24BBE"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Conjoint framing</w:t>
            </w:r>
          </w:p>
        </w:tc>
        <w:tc>
          <w:tcPr>
            <w:tcW w:w="645" w:type="pct"/>
            <w:tcBorders>
              <w:top w:val="nil"/>
              <w:left w:val="nil"/>
              <w:bottom w:val="nil"/>
              <w:right w:val="nil"/>
            </w:tcBorders>
            <w:shd w:val="clear" w:color="000000" w:fill="FFFFFF"/>
            <w:noWrap/>
            <w:vAlign w:val="center"/>
            <w:hideMark/>
          </w:tcPr>
          <w:p w14:paraId="11B07551"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-0.012</w:t>
            </w:r>
          </w:p>
        </w:tc>
        <w:tc>
          <w:tcPr>
            <w:tcW w:w="509" w:type="pct"/>
            <w:tcBorders>
              <w:top w:val="nil"/>
              <w:left w:val="nil"/>
              <w:bottom w:val="nil"/>
              <w:right w:val="nil"/>
            </w:tcBorders>
            <w:shd w:val="clear" w:color="000000" w:fill="FFFFFF"/>
            <w:noWrap/>
            <w:vAlign w:val="center"/>
            <w:hideMark/>
          </w:tcPr>
          <w:p w14:paraId="39916E3B"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(0.025)</w:t>
            </w:r>
          </w:p>
        </w:tc>
        <w:tc>
          <w:tcPr>
            <w:tcW w:w="645" w:type="pct"/>
            <w:tcBorders>
              <w:top w:val="nil"/>
              <w:left w:val="nil"/>
              <w:bottom w:val="nil"/>
              <w:right w:val="nil"/>
            </w:tcBorders>
            <w:shd w:val="clear" w:color="000000" w:fill="FFFFFF"/>
            <w:noWrap/>
            <w:vAlign w:val="center"/>
            <w:hideMark/>
          </w:tcPr>
          <w:p w14:paraId="1B3EA40E"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0.003</w:t>
            </w:r>
          </w:p>
        </w:tc>
        <w:tc>
          <w:tcPr>
            <w:tcW w:w="509" w:type="pct"/>
            <w:tcBorders>
              <w:top w:val="nil"/>
              <w:left w:val="nil"/>
              <w:bottom w:val="nil"/>
              <w:right w:val="nil"/>
            </w:tcBorders>
            <w:shd w:val="clear" w:color="000000" w:fill="FFFFFF"/>
            <w:noWrap/>
            <w:vAlign w:val="center"/>
            <w:hideMark/>
          </w:tcPr>
          <w:p w14:paraId="4D285FA9"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(0.018)</w:t>
            </w:r>
          </w:p>
        </w:tc>
        <w:tc>
          <w:tcPr>
            <w:tcW w:w="645" w:type="pct"/>
            <w:tcBorders>
              <w:top w:val="nil"/>
              <w:left w:val="nil"/>
              <w:bottom w:val="nil"/>
              <w:right w:val="nil"/>
            </w:tcBorders>
            <w:shd w:val="clear" w:color="000000" w:fill="FFFFFF"/>
            <w:noWrap/>
            <w:vAlign w:val="center"/>
            <w:hideMark/>
          </w:tcPr>
          <w:p w14:paraId="20EAC78A"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0.022</w:t>
            </w:r>
          </w:p>
        </w:tc>
        <w:tc>
          <w:tcPr>
            <w:tcW w:w="509" w:type="pct"/>
            <w:tcBorders>
              <w:top w:val="nil"/>
              <w:left w:val="nil"/>
              <w:bottom w:val="nil"/>
              <w:right w:val="nil"/>
            </w:tcBorders>
            <w:shd w:val="clear" w:color="000000" w:fill="FFFFFF"/>
            <w:noWrap/>
            <w:vAlign w:val="center"/>
            <w:hideMark/>
          </w:tcPr>
          <w:p w14:paraId="69F5B73F"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(0.038)</w:t>
            </w:r>
          </w:p>
        </w:tc>
      </w:tr>
      <w:tr w:rsidR="004D3BB8" w:rsidRPr="00375327" w14:paraId="3776123F" w14:textId="77777777" w:rsidTr="004D3BB8">
        <w:trPr>
          <w:trHeight w:val="290"/>
        </w:trPr>
        <w:tc>
          <w:tcPr>
            <w:tcW w:w="1540" w:type="pct"/>
            <w:tcBorders>
              <w:top w:val="nil"/>
              <w:left w:val="nil"/>
              <w:bottom w:val="single" w:sz="4" w:space="0" w:color="auto"/>
              <w:right w:val="nil"/>
            </w:tcBorders>
            <w:shd w:val="clear" w:color="000000" w:fill="FFFFFF"/>
            <w:noWrap/>
            <w:vAlign w:val="center"/>
            <w:hideMark/>
          </w:tcPr>
          <w:p w14:paraId="679AFBD5"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Constant</w:t>
            </w:r>
          </w:p>
        </w:tc>
        <w:tc>
          <w:tcPr>
            <w:tcW w:w="645" w:type="pct"/>
            <w:tcBorders>
              <w:top w:val="nil"/>
              <w:left w:val="nil"/>
              <w:bottom w:val="single" w:sz="4" w:space="0" w:color="auto"/>
              <w:right w:val="nil"/>
            </w:tcBorders>
            <w:shd w:val="clear" w:color="000000" w:fill="FFFFFF"/>
            <w:noWrap/>
            <w:vAlign w:val="center"/>
            <w:hideMark/>
          </w:tcPr>
          <w:p w14:paraId="3FBBF771"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2.740***</w:t>
            </w:r>
          </w:p>
        </w:tc>
        <w:tc>
          <w:tcPr>
            <w:tcW w:w="509" w:type="pct"/>
            <w:tcBorders>
              <w:top w:val="nil"/>
              <w:left w:val="nil"/>
              <w:bottom w:val="single" w:sz="4" w:space="0" w:color="auto"/>
              <w:right w:val="nil"/>
            </w:tcBorders>
            <w:shd w:val="clear" w:color="000000" w:fill="FFFFFF"/>
            <w:noWrap/>
            <w:vAlign w:val="center"/>
            <w:hideMark/>
          </w:tcPr>
          <w:p w14:paraId="29107475"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(0.109)</w:t>
            </w:r>
          </w:p>
        </w:tc>
        <w:tc>
          <w:tcPr>
            <w:tcW w:w="645" w:type="pct"/>
            <w:tcBorders>
              <w:top w:val="nil"/>
              <w:left w:val="nil"/>
              <w:bottom w:val="single" w:sz="4" w:space="0" w:color="auto"/>
              <w:right w:val="nil"/>
            </w:tcBorders>
            <w:shd w:val="clear" w:color="000000" w:fill="FFFFFF"/>
            <w:noWrap/>
            <w:vAlign w:val="center"/>
            <w:hideMark/>
          </w:tcPr>
          <w:p w14:paraId="77506E23"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2.335***</w:t>
            </w:r>
          </w:p>
        </w:tc>
        <w:tc>
          <w:tcPr>
            <w:tcW w:w="509" w:type="pct"/>
            <w:tcBorders>
              <w:top w:val="nil"/>
              <w:left w:val="nil"/>
              <w:bottom w:val="single" w:sz="4" w:space="0" w:color="auto"/>
              <w:right w:val="nil"/>
            </w:tcBorders>
            <w:shd w:val="clear" w:color="000000" w:fill="FFFFFF"/>
            <w:noWrap/>
            <w:vAlign w:val="center"/>
            <w:hideMark/>
          </w:tcPr>
          <w:p w14:paraId="639E3969"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(0.091)</w:t>
            </w:r>
          </w:p>
        </w:tc>
        <w:tc>
          <w:tcPr>
            <w:tcW w:w="645" w:type="pct"/>
            <w:tcBorders>
              <w:top w:val="nil"/>
              <w:left w:val="nil"/>
              <w:bottom w:val="single" w:sz="4" w:space="0" w:color="auto"/>
              <w:right w:val="nil"/>
            </w:tcBorders>
            <w:shd w:val="clear" w:color="000000" w:fill="FFFFFF"/>
            <w:noWrap/>
            <w:vAlign w:val="center"/>
            <w:hideMark/>
          </w:tcPr>
          <w:p w14:paraId="480D655C"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2.447***</w:t>
            </w:r>
          </w:p>
        </w:tc>
        <w:tc>
          <w:tcPr>
            <w:tcW w:w="509" w:type="pct"/>
            <w:tcBorders>
              <w:top w:val="nil"/>
              <w:left w:val="nil"/>
              <w:bottom w:val="single" w:sz="4" w:space="0" w:color="auto"/>
              <w:right w:val="nil"/>
            </w:tcBorders>
            <w:shd w:val="clear" w:color="000000" w:fill="FFFFFF"/>
            <w:noWrap/>
            <w:vAlign w:val="center"/>
            <w:hideMark/>
          </w:tcPr>
          <w:p w14:paraId="44F649B2"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(0.204)</w:t>
            </w:r>
          </w:p>
        </w:tc>
      </w:tr>
      <w:tr w:rsidR="004D3BB8" w:rsidRPr="00375327" w14:paraId="6CB8DD02" w14:textId="77777777" w:rsidTr="004D3BB8">
        <w:trPr>
          <w:trHeight w:val="290"/>
        </w:trPr>
        <w:tc>
          <w:tcPr>
            <w:tcW w:w="1540" w:type="pct"/>
            <w:tcBorders>
              <w:top w:val="nil"/>
              <w:left w:val="nil"/>
              <w:bottom w:val="nil"/>
              <w:right w:val="nil"/>
            </w:tcBorders>
            <w:shd w:val="clear" w:color="000000" w:fill="FFFFFF"/>
            <w:noWrap/>
            <w:vAlign w:val="center"/>
            <w:hideMark/>
          </w:tcPr>
          <w:p w14:paraId="47A6D9E5"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Observations</w:t>
            </w:r>
          </w:p>
        </w:tc>
        <w:tc>
          <w:tcPr>
            <w:tcW w:w="1153" w:type="pct"/>
            <w:gridSpan w:val="2"/>
            <w:tcBorders>
              <w:top w:val="nil"/>
              <w:left w:val="nil"/>
              <w:bottom w:val="nil"/>
              <w:right w:val="nil"/>
            </w:tcBorders>
            <w:shd w:val="clear" w:color="000000" w:fill="FFFFFF"/>
            <w:noWrap/>
            <w:vAlign w:val="center"/>
            <w:hideMark/>
          </w:tcPr>
          <w:p w14:paraId="67020C51" w14:textId="77777777" w:rsidR="004D3BB8" w:rsidRPr="00375327" w:rsidRDefault="004D3BB8" w:rsidP="004D3BB8">
            <w:pPr>
              <w:spacing w:line="240" w:lineRule="auto"/>
              <w:jc w:val="center"/>
              <w:rPr>
                <w:rFonts w:eastAsia="Times New Roman" w:cs="Times New Roman"/>
                <w:sz w:val="18"/>
                <w:szCs w:val="18"/>
              </w:rPr>
            </w:pPr>
            <w:r w:rsidRPr="00375327">
              <w:rPr>
                <w:rFonts w:eastAsia="Times New Roman" w:cs="Times New Roman"/>
                <w:sz w:val="18"/>
                <w:szCs w:val="18"/>
              </w:rPr>
              <w:t>7830</w:t>
            </w:r>
          </w:p>
        </w:tc>
        <w:tc>
          <w:tcPr>
            <w:tcW w:w="1153" w:type="pct"/>
            <w:gridSpan w:val="2"/>
            <w:tcBorders>
              <w:top w:val="nil"/>
              <w:left w:val="nil"/>
              <w:bottom w:val="nil"/>
              <w:right w:val="nil"/>
            </w:tcBorders>
            <w:shd w:val="clear" w:color="000000" w:fill="FFFFFF"/>
            <w:noWrap/>
            <w:vAlign w:val="center"/>
            <w:hideMark/>
          </w:tcPr>
          <w:p w14:paraId="549F6F5E" w14:textId="77777777" w:rsidR="004D3BB8" w:rsidRPr="00375327" w:rsidRDefault="004D3BB8" w:rsidP="004D3BB8">
            <w:pPr>
              <w:spacing w:line="240" w:lineRule="auto"/>
              <w:jc w:val="center"/>
              <w:rPr>
                <w:rFonts w:eastAsia="Times New Roman" w:cs="Times New Roman"/>
                <w:sz w:val="18"/>
                <w:szCs w:val="18"/>
              </w:rPr>
            </w:pPr>
            <w:r w:rsidRPr="00375327">
              <w:rPr>
                <w:rFonts w:eastAsia="Times New Roman" w:cs="Times New Roman"/>
                <w:sz w:val="18"/>
                <w:szCs w:val="18"/>
              </w:rPr>
              <w:t>14718</w:t>
            </w:r>
          </w:p>
        </w:tc>
        <w:tc>
          <w:tcPr>
            <w:tcW w:w="1153" w:type="pct"/>
            <w:gridSpan w:val="2"/>
            <w:tcBorders>
              <w:top w:val="nil"/>
              <w:left w:val="nil"/>
              <w:bottom w:val="nil"/>
              <w:right w:val="nil"/>
            </w:tcBorders>
            <w:shd w:val="clear" w:color="000000" w:fill="FFFFFF"/>
            <w:noWrap/>
            <w:vAlign w:val="center"/>
            <w:hideMark/>
          </w:tcPr>
          <w:p w14:paraId="0380513A" w14:textId="77777777" w:rsidR="004D3BB8" w:rsidRPr="00375327" w:rsidRDefault="004D3BB8" w:rsidP="004D3BB8">
            <w:pPr>
              <w:spacing w:line="240" w:lineRule="auto"/>
              <w:jc w:val="center"/>
              <w:rPr>
                <w:rFonts w:eastAsia="Times New Roman" w:cs="Times New Roman"/>
                <w:sz w:val="18"/>
                <w:szCs w:val="18"/>
              </w:rPr>
            </w:pPr>
            <w:r w:rsidRPr="00375327">
              <w:rPr>
                <w:rFonts w:eastAsia="Times New Roman" w:cs="Times New Roman"/>
                <w:sz w:val="18"/>
                <w:szCs w:val="18"/>
              </w:rPr>
              <w:t>2868</w:t>
            </w:r>
          </w:p>
        </w:tc>
      </w:tr>
      <w:tr w:rsidR="004D3BB8" w:rsidRPr="00375327" w14:paraId="7FEB1080" w14:textId="77777777" w:rsidTr="004D3BB8">
        <w:trPr>
          <w:trHeight w:val="290"/>
        </w:trPr>
        <w:tc>
          <w:tcPr>
            <w:tcW w:w="1540" w:type="pct"/>
            <w:tcBorders>
              <w:top w:val="nil"/>
              <w:left w:val="nil"/>
              <w:bottom w:val="single" w:sz="12" w:space="0" w:color="auto"/>
              <w:right w:val="nil"/>
            </w:tcBorders>
            <w:shd w:val="clear" w:color="000000" w:fill="FFFFFF"/>
            <w:noWrap/>
            <w:vAlign w:val="center"/>
            <w:hideMark/>
          </w:tcPr>
          <w:p w14:paraId="0B0385BF"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Adjusted R-squared</w:t>
            </w:r>
          </w:p>
        </w:tc>
        <w:tc>
          <w:tcPr>
            <w:tcW w:w="1153" w:type="pct"/>
            <w:gridSpan w:val="2"/>
            <w:tcBorders>
              <w:top w:val="nil"/>
              <w:left w:val="nil"/>
              <w:bottom w:val="single" w:sz="12" w:space="0" w:color="auto"/>
              <w:right w:val="nil"/>
            </w:tcBorders>
            <w:shd w:val="clear" w:color="000000" w:fill="FFFFFF"/>
            <w:noWrap/>
            <w:vAlign w:val="center"/>
            <w:hideMark/>
          </w:tcPr>
          <w:p w14:paraId="212EB925" w14:textId="77777777" w:rsidR="004D3BB8" w:rsidRPr="00375327" w:rsidRDefault="004D3BB8" w:rsidP="004D3BB8">
            <w:pPr>
              <w:spacing w:line="240" w:lineRule="auto"/>
              <w:jc w:val="center"/>
              <w:rPr>
                <w:rFonts w:eastAsia="Times New Roman" w:cs="Times New Roman"/>
                <w:sz w:val="18"/>
                <w:szCs w:val="18"/>
              </w:rPr>
            </w:pPr>
            <w:r w:rsidRPr="00375327">
              <w:rPr>
                <w:rFonts w:eastAsia="Times New Roman" w:cs="Times New Roman"/>
                <w:sz w:val="18"/>
                <w:szCs w:val="18"/>
              </w:rPr>
              <w:t>0.052</w:t>
            </w:r>
          </w:p>
        </w:tc>
        <w:tc>
          <w:tcPr>
            <w:tcW w:w="1153" w:type="pct"/>
            <w:gridSpan w:val="2"/>
            <w:tcBorders>
              <w:top w:val="nil"/>
              <w:left w:val="nil"/>
              <w:bottom w:val="single" w:sz="12" w:space="0" w:color="auto"/>
              <w:right w:val="nil"/>
            </w:tcBorders>
            <w:shd w:val="clear" w:color="000000" w:fill="FFFFFF"/>
            <w:noWrap/>
            <w:vAlign w:val="center"/>
            <w:hideMark/>
          </w:tcPr>
          <w:p w14:paraId="1881823B" w14:textId="77777777" w:rsidR="004D3BB8" w:rsidRPr="00375327" w:rsidRDefault="004D3BB8" w:rsidP="004D3BB8">
            <w:pPr>
              <w:spacing w:line="240" w:lineRule="auto"/>
              <w:jc w:val="center"/>
              <w:rPr>
                <w:rFonts w:eastAsia="Times New Roman" w:cs="Times New Roman"/>
                <w:sz w:val="18"/>
                <w:szCs w:val="18"/>
              </w:rPr>
            </w:pPr>
            <w:r w:rsidRPr="00375327">
              <w:rPr>
                <w:rFonts w:eastAsia="Times New Roman" w:cs="Times New Roman"/>
                <w:sz w:val="18"/>
                <w:szCs w:val="18"/>
              </w:rPr>
              <w:t>0.058</w:t>
            </w:r>
          </w:p>
        </w:tc>
        <w:tc>
          <w:tcPr>
            <w:tcW w:w="1153" w:type="pct"/>
            <w:gridSpan w:val="2"/>
            <w:tcBorders>
              <w:top w:val="nil"/>
              <w:left w:val="nil"/>
              <w:bottom w:val="single" w:sz="12" w:space="0" w:color="auto"/>
              <w:right w:val="nil"/>
            </w:tcBorders>
            <w:shd w:val="clear" w:color="000000" w:fill="FFFFFF"/>
            <w:noWrap/>
            <w:vAlign w:val="center"/>
            <w:hideMark/>
          </w:tcPr>
          <w:p w14:paraId="3B6DD758" w14:textId="77777777" w:rsidR="004D3BB8" w:rsidRPr="00375327" w:rsidRDefault="004D3BB8" w:rsidP="004D3BB8">
            <w:pPr>
              <w:spacing w:line="240" w:lineRule="auto"/>
              <w:jc w:val="center"/>
              <w:rPr>
                <w:rFonts w:eastAsia="Times New Roman" w:cs="Times New Roman"/>
                <w:sz w:val="18"/>
                <w:szCs w:val="18"/>
              </w:rPr>
            </w:pPr>
            <w:r w:rsidRPr="00375327">
              <w:rPr>
                <w:rFonts w:eastAsia="Times New Roman" w:cs="Times New Roman"/>
                <w:sz w:val="18"/>
                <w:szCs w:val="18"/>
              </w:rPr>
              <w:t>0.046</w:t>
            </w:r>
          </w:p>
        </w:tc>
      </w:tr>
      <w:tr w:rsidR="004D3BB8" w:rsidRPr="00375327" w14:paraId="24882E1C" w14:textId="77777777" w:rsidTr="004D3BB8">
        <w:trPr>
          <w:trHeight w:val="290"/>
        </w:trPr>
        <w:tc>
          <w:tcPr>
            <w:tcW w:w="5000" w:type="pct"/>
            <w:gridSpan w:val="7"/>
            <w:tcBorders>
              <w:top w:val="nil"/>
              <w:left w:val="nil"/>
              <w:bottom w:val="nil"/>
              <w:right w:val="nil"/>
            </w:tcBorders>
            <w:shd w:val="clear" w:color="000000" w:fill="FFFFFF"/>
            <w:noWrap/>
            <w:vAlign w:val="center"/>
            <w:hideMark/>
          </w:tcPr>
          <w:p w14:paraId="77E4EDEA"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Note: standard errors in parentheses; conjoint dimension effects and country fixed effects suppressed from output; standard errors clustered on the individual level</w:t>
            </w:r>
          </w:p>
        </w:tc>
      </w:tr>
      <w:tr w:rsidR="004D3BB8" w:rsidRPr="00375327" w14:paraId="7E81F174" w14:textId="77777777" w:rsidTr="004D3BB8">
        <w:trPr>
          <w:trHeight w:val="290"/>
        </w:trPr>
        <w:tc>
          <w:tcPr>
            <w:tcW w:w="5000" w:type="pct"/>
            <w:gridSpan w:val="7"/>
            <w:tcBorders>
              <w:top w:val="nil"/>
              <w:left w:val="nil"/>
              <w:bottom w:val="nil"/>
              <w:right w:val="nil"/>
            </w:tcBorders>
            <w:shd w:val="clear" w:color="000000" w:fill="FFFFFF"/>
            <w:noWrap/>
            <w:vAlign w:val="center"/>
            <w:hideMark/>
          </w:tcPr>
          <w:p w14:paraId="175DA4A4" w14:textId="77777777" w:rsidR="004D3BB8" w:rsidRPr="00375327" w:rsidRDefault="004D3BB8" w:rsidP="004D3BB8">
            <w:pPr>
              <w:spacing w:line="240" w:lineRule="auto"/>
              <w:rPr>
                <w:rFonts w:eastAsia="Times New Roman" w:cs="Times New Roman"/>
                <w:sz w:val="18"/>
                <w:szCs w:val="18"/>
              </w:rPr>
            </w:pPr>
            <w:r w:rsidRPr="00375327">
              <w:rPr>
                <w:rFonts w:eastAsia="Times New Roman" w:cs="Times New Roman"/>
                <w:sz w:val="18"/>
                <w:szCs w:val="18"/>
              </w:rPr>
              <w:t>* p&lt;0.05, ** p&lt;0.01, *** p&lt;0.001</w:t>
            </w:r>
          </w:p>
        </w:tc>
      </w:tr>
    </w:tbl>
    <w:p w14:paraId="653F6C1E" w14:textId="3B2D0FC6" w:rsidR="00E37F47" w:rsidRPr="00375327" w:rsidRDefault="00E37F47" w:rsidP="00E37F47"/>
    <w:p w14:paraId="4AC2E2C2" w14:textId="15C4CA49" w:rsidR="00D11DDB" w:rsidRPr="00375327" w:rsidRDefault="00D11DDB" w:rsidP="00691CAC">
      <w:pPr>
        <w:jc w:val="both"/>
      </w:pPr>
      <w:r w:rsidRPr="00375327">
        <w:t>In order to provide a formal test</w:t>
      </w:r>
      <w:r w:rsidR="002B47E7" w:rsidRPr="00375327">
        <w:t xml:space="preserve"> of the exclusive attachment mechanism</w:t>
      </w:r>
      <w:r w:rsidRPr="00375327">
        <w:t xml:space="preserve">, a full interaction model is estimated wherein causal beliefs for a particular level of community are interacted </w:t>
      </w:r>
      <w:r w:rsidR="00750082" w:rsidRPr="00375327">
        <w:lastRenderedPageBreak/>
        <w:t>with the degree of exclusive attachment for that particular level of community</w:t>
      </w:r>
      <w:r w:rsidR="000E6A51" w:rsidRPr="00375327">
        <w:t xml:space="preserve">. </w:t>
      </w:r>
      <w:r w:rsidR="00496717" w:rsidRPr="00375327">
        <w:t xml:space="preserve">This model includes the same set of controls as the models presented in table 2, except for exclusive nationalism, which can be considered as an alternative operationalisation for attachment to the nation and the EU (see the robustness section). </w:t>
      </w:r>
      <w:r w:rsidR="007A60F0" w:rsidRPr="00375327">
        <w:t>This results in a significant interaction between causal beliefs for the region and exclusive local attachment</w:t>
      </w:r>
      <w:r w:rsidR="00321289" w:rsidRPr="00375327">
        <w:t>,</w:t>
      </w:r>
      <w:r w:rsidR="007A60F0" w:rsidRPr="00375327">
        <w:t xml:space="preserve"> and causal beliefs for the country and exclusive national attachment, but not for EU causal beliefs and exclusive attachment to the EU. </w:t>
      </w:r>
      <w:r w:rsidR="00CB7C4A" w:rsidRPr="00375327">
        <w:t>The complete results are shown in appendix table A.</w:t>
      </w:r>
      <w:r w:rsidR="00307A80" w:rsidRPr="00375327">
        <w:t>1</w:t>
      </w:r>
      <w:r w:rsidR="00CB7C4A" w:rsidRPr="00375327">
        <w:t xml:space="preserve">, here the discussion will focus on </w:t>
      </w:r>
      <w:r w:rsidR="00FB5E5E" w:rsidRPr="00375327">
        <w:t>a graphical presentation of these results.</w:t>
      </w:r>
    </w:p>
    <w:p w14:paraId="01A16CCF" w14:textId="28D7EE75" w:rsidR="00D174B5" w:rsidRPr="00375327" w:rsidRDefault="00D174B5" w:rsidP="00691CAC">
      <w:pPr>
        <w:jc w:val="both"/>
      </w:pPr>
    </w:p>
    <w:p w14:paraId="4F8EA491" w14:textId="2D5DC05F" w:rsidR="009D024B" w:rsidRPr="00375327" w:rsidRDefault="00D174B5" w:rsidP="00691CAC">
      <w:pPr>
        <w:jc w:val="both"/>
      </w:pPr>
      <w:r w:rsidRPr="00375327">
        <w:t xml:space="preserve">Figure </w:t>
      </w:r>
      <w:r w:rsidR="00C75BFB" w:rsidRPr="00375327">
        <w:t>3</w:t>
      </w:r>
      <w:r w:rsidRPr="00375327">
        <w:t xml:space="preserve"> shows how the effect of causal beliefs for the region on the level of support for the policy changes on the basis of </w:t>
      </w:r>
      <w:r w:rsidR="009D024B" w:rsidRPr="00375327">
        <w:t>the level of exclusive attachment to the region. For those with no exclusive attachment to the region (a score of 0), the average rating given to a package is 3.16 for very negative perceived effects of the policy, while it is 3.25 for very positive perceived effects of the policy. For those who have a strong exclusive local attachment (a score of 10)</w:t>
      </w:r>
      <w:r w:rsidR="00C75BFB" w:rsidRPr="00375327">
        <w:t xml:space="preserve">, this difference is substantially bigger, from 2.39 for very negative perceived effects to 3.33 for very positive perceived effects. </w:t>
      </w:r>
      <w:r w:rsidR="007A60F0" w:rsidRPr="00375327">
        <w:t xml:space="preserve">Hence, the slope of causal beliefs differs for different levels of exclusive attachment, confirming hypothesis 1b. </w:t>
      </w:r>
    </w:p>
    <w:p w14:paraId="435FEA4E" w14:textId="0875D780" w:rsidR="00D11DDB" w:rsidRPr="00375327" w:rsidRDefault="00D11DDB" w:rsidP="00E37F47"/>
    <w:p w14:paraId="2BD8F26A" w14:textId="1DC581CA" w:rsidR="00FB5E5E" w:rsidRPr="00375327" w:rsidRDefault="00FB5E5E" w:rsidP="00E37F47">
      <w:r w:rsidRPr="00375327">
        <w:rPr>
          <w:noProof/>
        </w:rPr>
        <w:drawing>
          <wp:inline distT="0" distB="0" distL="0" distR="0" wp14:anchorId="182BD5C2" wp14:editId="1E5E5459">
            <wp:extent cx="5391443" cy="359429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736" cy="3594490"/>
                    </a:xfrm>
                    <a:prstGeom prst="rect">
                      <a:avLst/>
                    </a:prstGeom>
                    <a:noFill/>
                    <a:ln>
                      <a:noFill/>
                    </a:ln>
                  </pic:spPr>
                </pic:pic>
              </a:graphicData>
            </a:graphic>
          </wp:inline>
        </w:drawing>
      </w:r>
    </w:p>
    <w:p w14:paraId="1ACB7A73" w14:textId="0B25576F" w:rsidR="00C75BFB" w:rsidRPr="00375327" w:rsidRDefault="00C75BFB" w:rsidP="00E37F47">
      <w:pPr>
        <w:rPr>
          <w:noProof/>
        </w:rPr>
      </w:pPr>
    </w:p>
    <w:p w14:paraId="32980601" w14:textId="14EB539E" w:rsidR="00C75BFB" w:rsidRPr="00375327" w:rsidRDefault="00C75BFB" w:rsidP="00691CAC">
      <w:pPr>
        <w:jc w:val="both"/>
        <w:rPr>
          <w:noProof/>
        </w:rPr>
      </w:pPr>
      <w:r w:rsidRPr="00375327">
        <w:rPr>
          <w:noProof/>
        </w:rPr>
        <w:lastRenderedPageBreak/>
        <w:t xml:space="preserve">Figure 4 shows the effects of this interaction for country causal beliefs and exclusive national attachment. Here the difference in the effect of causal beliefs between those who do not exclusively attach to the nation and those who strongly do so is even larger: </w:t>
      </w:r>
      <w:r w:rsidR="004052B2" w:rsidRPr="00375327">
        <w:rPr>
          <w:noProof/>
        </w:rPr>
        <w:t xml:space="preserve">while the average policy rating varies from 3.11 to 3.30 for those who are not exclusively attached to the nation, it varies from 2.74 to 3.45 for those who have a strong exclusive attachment to the nation. </w:t>
      </w:r>
      <w:r w:rsidR="00CF10E9" w:rsidRPr="00375327">
        <w:rPr>
          <w:noProof/>
        </w:rPr>
        <w:t xml:space="preserve">This shows that hypothesis 2b is confirmed. </w:t>
      </w:r>
    </w:p>
    <w:p w14:paraId="2DFC5E68" w14:textId="77777777" w:rsidR="00FD622C" w:rsidRPr="00375327" w:rsidRDefault="00FD622C" w:rsidP="00E37F47">
      <w:pPr>
        <w:rPr>
          <w:noProof/>
        </w:rPr>
      </w:pPr>
    </w:p>
    <w:p w14:paraId="3D10D4A9" w14:textId="50D839F2" w:rsidR="00FB5E5E" w:rsidRPr="00375327" w:rsidRDefault="00FB5E5E" w:rsidP="00E37F47">
      <w:r w:rsidRPr="00375327">
        <w:rPr>
          <w:noProof/>
        </w:rPr>
        <w:drawing>
          <wp:inline distT="0" distB="0" distL="0" distR="0" wp14:anchorId="0755CDC3" wp14:editId="27E1BFE0">
            <wp:extent cx="5486400"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B48B8A9" w14:textId="5DEC0EA9" w:rsidR="005B7840" w:rsidRPr="00375327" w:rsidRDefault="00496717" w:rsidP="00691CAC">
      <w:pPr>
        <w:jc w:val="both"/>
      </w:pPr>
      <w:r w:rsidRPr="00375327">
        <w:t xml:space="preserve">Lastly, figure 5 shows how the effect of causal beliefs for Europe change conditional on exclusive EU attachment. In this case, causal beliefs also have a stronger effect among those who </w:t>
      </w:r>
      <w:r w:rsidR="00EC0631" w:rsidRPr="00375327">
        <w:t>to a larger extent feel attached to the EU, but in this case this interaction is not significant</w:t>
      </w:r>
      <w:r w:rsidR="00CF10E9" w:rsidRPr="00375327">
        <w:t>, leading to the refutation of hypothesis 3b.</w:t>
      </w:r>
    </w:p>
    <w:p w14:paraId="5AB1B8FE" w14:textId="40C6F9CF" w:rsidR="000D18CE" w:rsidRPr="00375327" w:rsidRDefault="00D174B5" w:rsidP="00E37F47">
      <w:r w:rsidRPr="00375327">
        <w:rPr>
          <w:noProof/>
        </w:rPr>
        <w:lastRenderedPageBreak/>
        <w:drawing>
          <wp:inline distT="0" distB="0" distL="0" distR="0" wp14:anchorId="540C5818" wp14:editId="0D0981D8">
            <wp:extent cx="5486400" cy="36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59B56C94" w14:textId="20134FE5" w:rsidR="00FB5E5E" w:rsidRPr="00375327" w:rsidRDefault="00FB5E5E" w:rsidP="00E37F47"/>
    <w:p w14:paraId="1FECCDC6" w14:textId="77777777" w:rsidR="00FB5E5E" w:rsidRPr="00375327" w:rsidRDefault="00FB5E5E" w:rsidP="00E37F47"/>
    <w:p w14:paraId="6436E442" w14:textId="77777777" w:rsidR="00D11DDB" w:rsidRPr="00375327" w:rsidRDefault="00D11DDB" w:rsidP="00E37F47"/>
    <w:p w14:paraId="714860B7" w14:textId="7744DE77" w:rsidR="0017308D" w:rsidRPr="00375327" w:rsidRDefault="0017308D" w:rsidP="00D27FBC">
      <w:pPr>
        <w:pStyle w:val="Heading2"/>
      </w:pPr>
      <w:r w:rsidRPr="00375327">
        <w:t>Robustness</w:t>
      </w:r>
    </w:p>
    <w:p w14:paraId="29543C16" w14:textId="6FA51241" w:rsidR="00692DA1" w:rsidRPr="00375327" w:rsidRDefault="00EC0631" w:rsidP="00691CAC">
      <w:pPr>
        <w:jc w:val="both"/>
      </w:pPr>
      <w:r w:rsidRPr="00375327">
        <w:t>The results presented above are robust across a series of alternative specifications.</w:t>
      </w:r>
      <w:r w:rsidR="00984C21" w:rsidRPr="00375327">
        <w:t xml:space="preserve"> </w:t>
      </w:r>
      <w:r w:rsidR="001604CE" w:rsidRPr="00375327">
        <w:t>The results are virtually identical when no controls are included except for the dimension characteristics and country-level fixed effects</w:t>
      </w:r>
      <w:r w:rsidR="009C3FAF" w:rsidRPr="00375327">
        <w:t xml:space="preserve">; </w:t>
      </w:r>
      <w:r w:rsidR="000B1AFE" w:rsidRPr="00375327">
        <w:t>when the models are estimated using a mixed model with individuals nested in countries</w:t>
      </w:r>
      <w:r w:rsidR="009C3FAF" w:rsidRPr="00375327">
        <w:t>;</w:t>
      </w:r>
      <w:r w:rsidR="00DA0C22" w:rsidRPr="00375327">
        <w:t xml:space="preserve"> or when</w:t>
      </w:r>
      <w:r w:rsidR="000B1AFE" w:rsidRPr="00375327">
        <w:t xml:space="preserve"> </w:t>
      </w:r>
      <w:r w:rsidR="00DA0C22" w:rsidRPr="00375327">
        <w:t>using ordinal logistic regression.</w:t>
      </w:r>
      <w:r w:rsidR="00984C21" w:rsidRPr="00375327">
        <w:t xml:space="preserve"> </w:t>
      </w:r>
      <w:r w:rsidR="00DA0C22" w:rsidRPr="00375327">
        <w:t>In addition, the main results do not change</w:t>
      </w:r>
      <w:r w:rsidR="00BF1A7C" w:rsidRPr="00375327">
        <w:t xml:space="preserve"> </w:t>
      </w:r>
      <w:r w:rsidR="00DA0C22" w:rsidRPr="00375327">
        <w:t xml:space="preserve">in a substantive way </w:t>
      </w:r>
      <w:r w:rsidR="00BF1A7C" w:rsidRPr="00375327">
        <w:t>when the support variable (coded as 1 when the rating is 4 or 5, and 0 otherwise) is used for all models.</w:t>
      </w:r>
      <w:r w:rsidR="001E2473" w:rsidRPr="00375327">
        <w:t xml:space="preserve"> However, under this specification the interaction between exclusive regional attachment and causal beliefs for the region are no longer significant. Nonetheless, the model specification used here should be considered superior as it uses the full variation of the </w:t>
      </w:r>
      <w:r w:rsidR="00DA0C22" w:rsidRPr="00375327">
        <w:t>source</w:t>
      </w:r>
      <w:r w:rsidR="001E2473" w:rsidRPr="00375327">
        <w:t xml:space="preserve"> dependent variable.</w:t>
      </w:r>
    </w:p>
    <w:p w14:paraId="443D12E2" w14:textId="77777777" w:rsidR="00984C21" w:rsidRPr="00375327" w:rsidRDefault="00984C21" w:rsidP="00691CAC">
      <w:pPr>
        <w:jc w:val="both"/>
      </w:pPr>
    </w:p>
    <w:p w14:paraId="5B7D8D06" w14:textId="1F143A2C" w:rsidR="00846DC3" w:rsidRPr="00375327" w:rsidRDefault="00EA3B54" w:rsidP="00691CAC">
      <w:pPr>
        <w:jc w:val="both"/>
      </w:pPr>
      <w:r w:rsidRPr="00375327">
        <w:t xml:space="preserve">An alternative test to the conditionality of the effect of causal beliefs is through </w:t>
      </w:r>
      <w:r w:rsidR="00984C21" w:rsidRPr="00375327">
        <w:t>exclusive identity (see section 3)</w:t>
      </w:r>
      <w:r w:rsidRPr="00375327">
        <w:t xml:space="preserve">. In line with the results presented above, interacting exclusive national identity shows that causal beliefs for the nation are more important for those who exclusively identify with their nation than for those who do not, while an absence of exclusive identification with the nation does not increase the importance of causal beliefs for the EU. </w:t>
      </w:r>
    </w:p>
    <w:p w14:paraId="52AE60B8" w14:textId="06C14E09" w:rsidR="007867E6" w:rsidRPr="00375327" w:rsidRDefault="007867E6" w:rsidP="00691CAC">
      <w:pPr>
        <w:jc w:val="both"/>
      </w:pPr>
    </w:p>
    <w:p w14:paraId="0D80AFAE" w14:textId="555CDBB4" w:rsidR="00692DA1" w:rsidRPr="00375327" w:rsidRDefault="007867E6" w:rsidP="00691CAC">
      <w:pPr>
        <w:jc w:val="both"/>
      </w:pPr>
      <w:r w:rsidRPr="00375327">
        <w:t>Furthermore,</w:t>
      </w:r>
      <w:r w:rsidR="0084040D" w:rsidRPr="00375327">
        <w:t xml:space="preserve"> as causal beliefs of the policy’s effects are operationalised for the policy in general, while the level of support which forms the main dependent variable is based on alternative policy designs, it might be possible for the </w:t>
      </w:r>
      <w:r w:rsidR="00B662D6" w:rsidRPr="00375327">
        <w:t>policy designs to which people have been exposed to influence their causal beliefs</w:t>
      </w:r>
      <w:r w:rsidR="001C69DE" w:rsidRPr="00375327">
        <w:t xml:space="preserve">. </w:t>
      </w:r>
      <w:r w:rsidR="00B662D6" w:rsidRPr="00375327">
        <w:t xml:space="preserve">This possibility has been tested by regressing the policy characteristics on causal beliefs, which shows that none the dimensions significantly influenced causal beliefs for oneself or any of the levels. </w:t>
      </w:r>
    </w:p>
    <w:p w14:paraId="7C39CAE3" w14:textId="502969D0" w:rsidR="00E36C7B" w:rsidRPr="00375327" w:rsidRDefault="00E36C7B" w:rsidP="00691CAC">
      <w:pPr>
        <w:jc w:val="both"/>
      </w:pPr>
    </w:p>
    <w:p w14:paraId="5E8EE9C4" w14:textId="0E2C5BF4" w:rsidR="008E729B" w:rsidRPr="00375327" w:rsidRDefault="00D74E09" w:rsidP="00691CAC">
      <w:pPr>
        <w:jc w:val="both"/>
      </w:pPr>
      <w:r w:rsidRPr="00375327">
        <w:t xml:space="preserve">Lastly, here egotropic and sociotropic concern are methodologically treated as orthogonal factors. </w:t>
      </w:r>
      <w:r w:rsidR="00E96B17" w:rsidRPr="00375327">
        <w:t>However,</w:t>
      </w:r>
      <w:r w:rsidR="001F127C" w:rsidRPr="00375327">
        <w:t xml:space="preserve"> it is worthwhile to investigate whether community-level causal beliefs are still influential under the condition that one perceives negative effects </w:t>
      </w:r>
      <w:r w:rsidR="00BF1A7C" w:rsidRPr="00375327">
        <w:t>for oneself</w:t>
      </w:r>
      <w:r w:rsidRPr="00375327">
        <w:t xml:space="preserve">, and </w:t>
      </w:r>
      <w:r w:rsidR="00E96B17" w:rsidRPr="00375327">
        <w:t xml:space="preserve">this approach can be </w:t>
      </w:r>
      <w:r w:rsidRPr="00375327">
        <w:t xml:space="preserve">tested </w:t>
      </w:r>
      <w:r w:rsidR="00E96B17" w:rsidRPr="00375327">
        <w:t xml:space="preserve">with the data here by including an interaction term between causal beliefs for oneself and for the different levels of community. </w:t>
      </w:r>
      <w:r w:rsidR="006464C9" w:rsidRPr="00375327">
        <w:t>The results for this specification are shown in table A.</w:t>
      </w:r>
      <w:r w:rsidR="009A1540" w:rsidRPr="00375327">
        <w:t>3</w:t>
      </w:r>
      <w:r w:rsidR="006464C9" w:rsidRPr="00375327">
        <w:t xml:space="preserve"> </w:t>
      </w:r>
      <w:r w:rsidR="00BF1A7C" w:rsidRPr="00375327">
        <w:t xml:space="preserve">and figure </w:t>
      </w:r>
      <w:r w:rsidR="009A1540" w:rsidRPr="00375327">
        <w:t>A.2</w:t>
      </w:r>
      <w:r w:rsidR="00BF1A7C" w:rsidRPr="00375327">
        <w:t xml:space="preserve"> </w:t>
      </w:r>
      <w:r w:rsidR="006464C9" w:rsidRPr="00375327">
        <w:t xml:space="preserve">in the appendix. </w:t>
      </w:r>
      <w:r w:rsidR="0082703E" w:rsidRPr="00375327">
        <w:t>Under this specification, the average</w:t>
      </w:r>
      <w:r w:rsidR="006464C9" w:rsidRPr="00375327">
        <w:t xml:space="preserve"> main</w:t>
      </w:r>
      <w:r w:rsidR="0082703E" w:rsidRPr="00375327">
        <w:t xml:space="preserve"> effects of causal beliefs remain positive and significant.</w:t>
      </w:r>
      <w:r w:rsidR="006464C9" w:rsidRPr="00375327">
        <w:t xml:space="preserve"> </w:t>
      </w:r>
      <w:r w:rsidR="00605C96" w:rsidRPr="00375327">
        <w:t>However</w:t>
      </w:r>
      <w:r w:rsidR="006464C9" w:rsidRPr="00375327">
        <w:t xml:space="preserve">, </w:t>
      </w:r>
      <w:r w:rsidR="007437ED" w:rsidRPr="00375327">
        <w:t xml:space="preserve">there is also </w:t>
      </w:r>
      <w:r w:rsidR="006464C9" w:rsidRPr="00375327">
        <w:t xml:space="preserve">a significant negative interaction between </w:t>
      </w:r>
      <w:r w:rsidR="00F26147" w:rsidRPr="00375327">
        <w:t xml:space="preserve">personal and country causal beliefs, </w:t>
      </w:r>
      <w:r w:rsidR="007437ED" w:rsidRPr="00375327">
        <w:t xml:space="preserve">wherein </w:t>
      </w:r>
      <w:r w:rsidR="00605C96" w:rsidRPr="00375327">
        <w:t>the effects of either of the two causal beliefs become statistically indistinguishably different from 0 when the other is at its highest level</w:t>
      </w:r>
      <w:r w:rsidR="00E96B17" w:rsidRPr="00375327">
        <w:t>.</w:t>
      </w:r>
      <w:r w:rsidR="00DD2D34" w:rsidRPr="00375327">
        <w:t xml:space="preserve"> This finding is discussed in more detail below. </w:t>
      </w:r>
    </w:p>
    <w:p w14:paraId="2DA25C38" w14:textId="77777777" w:rsidR="00EC0631" w:rsidRPr="00375327" w:rsidRDefault="00EC0631" w:rsidP="0017308D">
      <w:pPr>
        <w:rPr>
          <w:i/>
          <w:iCs/>
        </w:rPr>
      </w:pPr>
    </w:p>
    <w:p w14:paraId="05D4D101" w14:textId="207C98EF" w:rsidR="00625849" w:rsidRPr="00375327" w:rsidRDefault="007F3F40" w:rsidP="007F3F40">
      <w:pPr>
        <w:pStyle w:val="Heading1"/>
      </w:pPr>
      <w:r>
        <w:t xml:space="preserve">5. </w:t>
      </w:r>
      <w:r w:rsidR="00F00A10" w:rsidRPr="00375327">
        <w:t xml:space="preserve">Discussion &amp; conclusion </w:t>
      </w:r>
    </w:p>
    <w:p w14:paraId="310BC831" w14:textId="2E0519D8" w:rsidR="007B4FAD" w:rsidRPr="00375327" w:rsidRDefault="00F65AD8" w:rsidP="00691CAC">
      <w:pPr>
        <w:jc w:val="both"/>
        <w:rPr>
          <w:lang w:val="en-US"/>
        </w:rPr>
      </w:pPr>
      <w:r w:rsidRPr="00375327">
        <w:t>Since the</w:t>
      </w:r>
      <w:r w:rsidR="00D74E09" w:rsidRPr="00375327">
        <w:t xml:space="preserve"> late</w:t>
      </w:r>
      <w:r w:rsidRPr="00375327">
        <w:t xml:space="preserve"> 70’s of the previous century, scholars </w:t>
      </w:r>
      <w:r w:rsidR="005F176C" w:rsidRPr="00375327">
        <w:t xml:space="preserve">have pondered the question as to whether political behaviour is motivated </w:t>
      </w:r>
      <w:r w:rsidR="00D74E09" w:rsidRPr="00375327">
        <w:t xml:space="preserve">mainly </w:t>
      </w:r>
      <w:r w:rsidR="005F176C" w:rsidRPr="00375327">
        <w:t xml:space="preserve">by egotropic concern, or (also) by a genuine concern for the welfare of one’s community. While during the subsequent decades these mechanisms </w:t>
      </w:r>
      <w:r w:rsidR="00D74E09" w:rsidRPr="00375327">
        <w:t xml:space="preserve">have </w:t>
      </w:r>
      <w:r w:rsidR="005F176C" w:rsidRPr="00375327">
        <w:t>been investigated in detail, studies of the role of sociotropic concern in political attitudes toward the EU have remained surprisingly few</w:t>
      </w:r>
      <w:r w:rsidR="0064304A" w:rsidRPr="00375327">
        <w:t xml:space="preserve"> and have substantial conceptual and methodological shortcomings</w:t>
      </w:r>
      <w:r w:rsidR="005F176C" w:rsidRPr="00375327">
        <w:t xml:space="preserve">. </w:t>
      </w:r>
      <w:r w:rsidR="0064304A" w:rsidRPr="00375327">
        <w:t>Those studies that have tried to investigate this mechanism in an EU context</w:t>
      </w:r>
      <w:r w:rsidR="00625849" w:rsidRPr="00375327">
        <w:t xml:space="preserve">, or which show results that are indicative of such a mechanism, </w:t>
      </w:r>
      <w:r w:rsidR="002E6CE6" w:rsidRPr="00375327">
        <w:t xml:space="preserve">only consider the national level of community to be </w:t>
      </w:r>
      <w:r w:rsidR="00625849" w:rsidRPr="00375327">
        <w:t xml:space="preserve">relevant and have not been capable </w:t>
      </w:r>
      <w:r w:rsidR="002E6CE6" w:rsidRPr="00375327">
        <w:t>of disentangling</w:t>
      </w:r>
      <w:r w:rsidR="00625849" w:rsidRPr="00375327">
        <w:t xml:space="preserve"> egotropic and sociotropic concern</w:t>
      </w:r>
      <w:r w:rsidR="00D23EBC" w:rsidRPr="00375327">
        <w:t xml:space="preserve"> </w:t>
      </w:r>
      <w:r w:rsidR="00E82E2E" w:rsidRPr="00375327">
        <w:rPr>
          <w:rFonts w:cs="Times New Roman"/>
          <w:lang w:val="en-US"/>
        </w:rPr>
        <w:t>(</w:t>
      </w:r>
      <w:proofErr w:type="spellStart"/>
      <w:r w:rsidR="00E82E2E" w:rsidRPr="00375327">
        <w:rPr>
          <w:rFonts w:cs="Times New Roman"/>
          <w:lang w:val="en-US"/>
        </w:rPr>
        <w:t>Baute</w:t>
      </w:r>
      <w:proofErr w:type="spellEnd"/>
      <w:r w:rsidR="00E82E2E" w:rsidRPr="00375327">
        <w:rPr>
          <w:rFonts w:cs="Times New Roman"/>
          <w:lang w:val="en-US"/>
        </w:rPr>
        <w:t xml:space="preserve"> &amp; Meuleman, 2020; </w:t>
      </w:r>
      <w:proofErr w:type="spellStart"/>
      <w:r w:rsidR="00E82E2E" w:rsidRPr="00375327">
        <w:rPr>
          <w:rFonts w:cs="Times New Roman"/>
          <w:lang w:val="en-US"/>
        </w:rPr>
        <w:t>Elkink</w:t>
      </w:r>
      <w:proofErr w:type="spellEnd"/>
      <w:r w:rsidR="00E82E2E" w:rsidRPr="00375327">
        <w:rPr>
          <w:rFonts w:cs="Times New Roman"/>
          <w:lang w:val="en-US"/>
        </w:rPr>
        <w:t xml:space="preserve"> et al., 2019; Kuhn &amp; </w:t>
      </w:r>
      <w:proofErr w:type="spellStart"/>
      <w:r w:rsidR="00E82E2E" w:rsidRPr="00375327">
        <w:rPr>
          <w:rFonts w:cs="Times New Roman"/>
          <w:lang w:val="en-US"/>
        </w:rPr>
        <w:t>Stoeckel</w:t>
      </w:r>
      <w:proofErr w:type="spellEnd"/>
      <w:r w:rsidR="00E82E2E" w:rsidRPr="00375327">
        <w:rPr>
          <w:rFonts w:cs="Times New Roman"/>
          <w:lang w:val="en-US"/>
        </w:rPr>
        <w:t xml:space="preserve">, 2014; Levy &amp; Phan, 2014; </w:t>
      </w:r>
      <w:proofErr w:type="spellStart"/>
      <w:r w:rsidR="00E82E2E" w:rsidRPr="00375327">
        <w:rPr>
          <w:rFonts w:cs="Times New Roman"/>
          <w:lang w:val="en-US"/>
        </w:rPr>
        <w:t>Llamazares</w:t>
      </w:r>
      <w:proofErr w:type="spellEnd"/>
      <w:r w:rsidR="00E82E2E" w:rsidRPr="00375327">
        <w:rPr>
          <w:rFonts w:cs="Times New Roman"/>
          <w:lang w:val="en-US"/>
        </w:rPr>
        <w:t xml:space="preserve"> &amp; </w:t>
      </w:r>
      <w:proofErr w:type="spellStart"/>
      <w:r w:rsidR="00E82E2E" w:rsidRPr="00375327">
        <w:rPr>
          <w:rFonts w:cs="Times New Roman"/>
          <w:lang w:val="en-US"/>
        </w:rPr>
        <w:t>Gramacho</w:t>
      </w:r>
      <w:proofErr w:type="spellEnd"/>
      <w:r w:rsidR="00E82E2E" w:rsidRPr="00375327">
        <w:rPr>
          <w:rFonts w:cs="Times New Roman"/>
          <w:lang w:val="en-US"/>
        </w:rPr>
        <w:t>, 2007)</w:t>
      </w:r>
      <w:r w:rsidR="00625849" w:rsidRPr="00375327">
        <w:rPr>
          <w:lang w:val="en-US"/>
        </w:rPr>
        <w:t>.</w:t>
      </w:r>
      <w:r w:rsidR="007B4FAD" w:rsidRPr="00375327">
        <w:rPr>
          <w:lang w:val="en-US"/>
        </w:rPr>
        <w:t xml:space="preserve"> </w:t>
      </w:r>
      <w:r w:rsidR="007B4FAD" w:rsidRPr="00375327">
        <w:t xml:space="preserve">However, </w:t>
      </w:r>
      <w:r w:rsidR="002E6CE6" w:rsidRPr="00375327">
        <w:t>these are both important shortcomings to overcome</w:t>
      </w:r>
      <w:r w:rsidR="007B4FAD" w:rsidRPr="00375327">
        <w:t xml:space="preserve"> if we want to gain a better understanding of motivations for supporting EU policy</w:t>
      </w:r>
      <w:r w:rsidR="006970A7" w:rsidRPr="00375327">
        <w:t xml:space="preserve">. First, </w:t>
      </w:r>
      <w:r w:rsidR="002E6CE6" w:rsidRPr="00375327">
        <w:t>it seems highly plausible that other levels of community also take a central position in considerations</w:t>
      </w:r>
      <w:r w:rsidR="006970A7" w:rsidRPr="00375327">
        <w:t xml:space="preserve"> for support</w:t>
      </w:r>
      <w:r w:rsidR="002E6CE6" w:rsidRPr="00375327">
        <w:t xml:space="preserve">, </w:t>
      </w:r>
      <w:r w:rsidR="006970A7" w:rsidRPr="00375327">
        <w:t xml:space="preserve">such as the regional and the EU </w:t>
      </w:r>
      <w:r w:rsidR="006970A7" w:rsidRPr="00375327">
        <w:lastRenderedPageBreak/>
        <w:t xml:space="preserve">community. Hence overlooking these communities </w:t>
      </w:r>
      <w:r w:rsidR="00377522" w:rsidRPr="00375327">
        <w:t>could</w:t>
      </w:r>
      <w:r w:rsidR="006970A7" w:rsidRPr="00375327">
        <w:t xml:space="preserve"> lead us to incorrectly conclude sociotropic concern not to be a driving factor, or might us to overestimate the importance of concern with the national community. Second, </w:t>
      </w:r>
      <w:r w:rsidR="00747E67" w:rsidRPr="00375327">
        <w:t xml:space="preserve">finding out whether such concern is driven by a genuine concern for others’ welfare, or whether </w:t>
      </w:r>
      <w:r w:rsidR="009A1540" w:rsidRPr="00375327">
        <w:t xml:space="preserve">attitudes </w:t>
      </w:r>
      <w:r w:rsidR="00377522" w:rsidRPr="00375327">
        <w:t xml:space="preserve">instead </w:t>
      </w:r>
      <w:r w:rsidR="00747E67" w:rsidRPr="00375327">
        <w:t>result from an obfuscated concern for oneself</w:t>
      </w:r>
      <w:r w:rsidR="00377522" w:rsidRPr="00375327">
        <w:t xml:space="preserve">, </w:t>
      </w:r>
      <w:r w:rsidR="00747E67" w:rsidRPr="00375327">
        <w:t xml:space="preserve">is essential </w:t>
      </w:r>
      <w:r w:rsidR="00377522" w:rsidRPr="00375327">
        <w:t>as</w:t>
      </w:r>
      <w:r w:rsidR="00747E67" w:rsidRPr="00375327">
        <w:t xml:space="preserve"> both hypotheses have fundamentally different implications for human political behaviour. </w:t>
      </w:r>
    </w:p>
    <w:p w14:paraId="5E139577" w14:textId="77777777" w:rsidR="007B4FAD" w:rsidRPr="00375327" w:rsidRDefault="007B4FAD" w:rsidP="00691CAC">
      <w:pPr>
        <w:jc w:val="both"/>
      </w:pPr>
    </w:p>
    <w:p w14:paraId="7C7927B3" w14:textId="702475D6" w:rsidR="00EB657E" w:rsidRPr="00375327" w:rsidRDefault="003F7CF9" w:rsidP="00691CAC">
      <w:pPr>
        <w:jc w:val="both"/>
      </w:pPr>
      <w:r w:rsidRPr="00375327">
        <w:t xml:space="preserve">This study has set out to remedy both these shortcomings by investigating </w:t>
      </w:r>
      <w:r w:rsidR="00747E67" w:rsidRPr="00375327">
        <w:t>the role of sociotropic concern in support for the introduction of an EU fiscal capacity, o</w:t>
      </w:r>
      <w:r w:rsidRPr="00375327">
        <w:t>perationalising egotropic and sociotropic concern through people’s believes of how such a policy would affect themselves personally, their regional community, their national community, and the EU community as a whole.</w:t>
      </w:r>
      <w:r w:rsidR="00575F6E" w:rsidRPr="00375327">
        <w:t xml:space="preserve"> </w:t>
      </w:r>
      <w:r w:rsidR="00377522" w:rsidRPr="00375327">
        <w:t>T</w:t>
      </w:r>
      <w:r w:rsidR="00EB657E" w:rsidRPr="00375327">
        <w:t>his</w:t>
      </w:r>
      <w:r w:rsidR="00575F6E" w:rsidRPr="00375327">
        <w:t xml:space="preserve"> approach simultaneously allows for multiple levels of community to play a role in considerations of the collective welfare</w:t>
      </w:r>
      <w:r w:rsidR="00EB657E" w:rsidRPr="00375327">
        <w:t>. In addition, it also addresses the methodological shortcomings of previous research by not having to approximate egotropic and sociotropic concern from objective factors such as SES</w:t>
      </w:r>
      <w:r w:rsidR="0038589C" w:rsidRPr="00375327">
        <w:t>. But most importantly, by having people separate their perception of the policy’s effects on themselves and on the different levels of community, egotropic and sociotropic concern can be disentangled</w:t>
      </w:r>
      <w:r w:rsidR="00377522" w:rsidRPr="00375327">
        <w:t xml:space="preserve"> and investigated as independent factors.</w:t>
      </w:r>
    </w:p>
    <w:p w14:paraId="7478F660" w14:textId="5F90C69F" w:rsidR="00D23EBC" w:rsidRPr="00375327" w:rsidRDefault="00D23EBC" w:rsidP="00691CAC">
      <w:pPr>
        <w:jc w:val="both"/>
      </w:pPr>
    </w:p>
    <w:p w14:paraId="3DDDBD90" w14:textId="13030126" w:rsidR="00C74498" w:rsidRPr="00375327" w:rsidRDefault="00D23EBC" w:rsidP="00691CAC">
      <w:pPr>
        <w:jc w:val="both"/>
      </w:pPr>
      <w:r w:rsidRPr="00375327">
        <w:t xml:space="preserve">The analysis has shown that </w:t>
      </w:r>
      <w:r w:rsidR="00377522" w:rsidRPr="00375327">
        <w:t>these distinct causal beliefs</w:t>
      </w:r>
      <w:r w:rsidRPr="00375327">
        <w:t xml:space="preserve"> each have an independent effect on support for the policy. </w:t>
      </w:r>
      <w:r w:rsidR="002F7A66" w:rsidRPr="00375327">
        <w:t xml:space="preserve">In other words, the stronger one believes the policy to positively (negatively) influence the welfare in the region, the nation, or the EU, the higher (lower) one’s level of support for the policy – independent </w:t>
      </w:r>
      <w:r w:rsidR="00C74498" w:rsidRPr="00375327">
        <w:t xml:space="preserve">of positive or negative believes of the policy’s effects for oneself. </w:t>
      </w:r>
      <w:r w:rsidR="00F82534" w:rsidRPr="00375327">
        <w:t xml:space="preserve">In addition, the magnitude of these community-level causal beliefs is quite substantial, </w:t>
      </w:r>
      <w:r w:rsidR="002707A1" w:rsidRPr="00375327">
        <w:t xml:space="preserve">as they are capable of swaying the level of support for the policy from </w:t>
      </w:r>
      <w:r w:rsidR="008E03EB" w:rsidRPr="00375327">
        <w:t>26.3</w:t>
      </w:r>
      <w:r w:rsidR="002707A1" w:rsidRPr="00375327">
        <w:t xml:space="preserve"> percent</w:t>
      </w:r>
      <w:r w:rsidR="00A0530D" w:rsidRPr="00375327">
        <w:t xml:space="preserve"> </w:t>
      </w:r>
      <w:r w:rsidR="002707A1" w:rsidRPr="00375327">
        <w:t xml:space="preserve">to </w:t>
      </w:r>
      <w:r w:rsidR="008E03EB" w:rsidRPr="00375327">
        <w:t>47.3</w:t>
      </w:r>
      <w:r w:rsidR="002707A1" w:rsidRPr="00375327">
        <w:t xml:space="preserve"> percent</w:t>
      </w:r>
      <w:r w:rsidR="00A0530D" w:rsidRPr="00375327">
        <w:t xml:space="preserve"> </w:t>
      </w:r>
      <w:r w:rsidR="008E594A" w:rsidRPr="00375327">
        <w:t>– again independent from egotropic concerns.</w:t>
      </w:r>
      <w:r w:rsidR="00CE467F" w:rsidRPr="00375327">
        <w:t xml:space="preserve"> </w:t>
      </w:r>
      <w:r w:rsidR="00F82534" w:rsidRPr="00375327">
        <w:t>As such, these findings clearly indicate that sociotropic concern</w:t>
      </w:r>
      <w:r w:rsidR="00E87C53" w:rsidRPr="00375327">
        <w:t>, as a genuine concern for the collective welfare,</w:t>
      </w:r>
      <w:r w:rsidR="00F82534" w:rsidRPr="00375327">
        <w:t xml:space="preserve"> influences </w:t>
      </w:r>
      <w:r w:rsidR="00E87C53" w:rsidRPr="00375327">
        <w:t xml:space="preserve">support for an EU fiscal capacity. </w:t>
      </w:r>
    </w:p>
    <w:p w14:paraId="7F77F829" w14:textId="77777777" w:rsidR="00CE467F" w:rsidRPr="00375327" w:rsidRDefault="00CE467F" w:rsidP="00691CAC">
      <w:pPr>
        <w:jc w:val="both"/>
      </w:pPr>
    </w:p>
    <w:p w14:paraId="67A95889" w14:textId="7119CFEE" w:rsidR="00587506" w:rsidRPr="00375327" w:rsidRDefault="00D23EBC" w:rsidP="00691CAC">
      <w:pPr>
        <w:jc w:val="both"/>
        <w:rPr>
          <w:noProof/>
        </w:rPr>
      </w:pPr>
      <w:r w:rsidRPr="00375327">
        <w:t xml:space="preserve">In line with the expectation that </w:t>
      </w:r>
      <w:r w:rsidR="00C95663" w:rsidRPr="00375327">
        <w:t>people are primarily concerned with the welfare of the national community</w:t>
      </w:r>
      <w:r w:rsidR="00E87C53" w:rsidRPr="00375327">
        <w:t xml:space="preserve">, causal beliefs for the </w:t>
      </w:r>
      <w:r w:rsidR="00C95663" w:rsidRPr="00375327">
        <w:t>nation</w:t>
      </w:r>
      <w:r w:rsidR="00E87C53" w:rsidRPr="00375327">
        <w:t xml:space="preserve"> had a stronger effect </w:t>
      </w:r>
      <w:r w:rsidR="00CE467F" w:rsidRPr="00375327">
        <w:t>than</w:t>
      </w:r>
      <w:r w:rsidR="00E87C53" w:rsidRPr="00375327">
        <w:t xml:space="preserve"> causal beliefs for the </w:t>
      </w:r>
      <w:r w:rsidR="00C95663" w:rsidRPr="00375327">
        <w:t>region and the EU</w:t>
      </w:r>
      <w:r w:rsidR="00E87C53" w:rsidRPr="00375327">
        <w:t xml:space="preserve">. Nonetheless, the latter two still do have an independent effect, showing </w:t>
      </w:r>
      <w:r w:rsidRPr="00375327">
        <w:t xml:space="preserve">that the regional </w:t>
      </w:r>
      <w:r w:rsidR="002F7A66" w:rsidRPr="00375327">
        <w:t>and EU community nonetheless feature in people’s considerations</w:t>
      </w:r>
      <w:r w:rsidR="00E87C53" w:rsidRPr="00375327">
        <w:t xml:space="preserve">. </w:t>
      </w:r>
      <w:r w:rsidR="00587506" w:rsidRPr="00375327">
        <w:t xml:space="preserve">This centrality of the multiple levels of community is further confirmed through the </w:t>
      </w:r>
      <w:r w:rsidR="00D04FFF" w:rsidRPr="00375327">
        <w:t xml:space="preserve">conditionality </w:t>
      </w:r>
      <w:r w:rsidR="00587506" w:rsidRPr="00375327">
        <w:t xml:space="preserve">of these </w:t>
      </w:r>
      <w:r w:rsidR="00587506" w:rsidRPr="00375327">
        <w:lastRenderedPageBreak/>
        <w:t>community level causal beliefs</w:t>
      </w:r>
      <w:r w:rsidR="00C95663" w:rsidRPr="00375327">
        <w:t xml:space="preserve"> on people’s emotional attachment</w:t>
      </w:r>
      <w:r w:rsidR="00D04FFF" w:rsidRPr="00375327">
        <w:t xml:space="preserve">, as the interactions show that such causal beliefs are more important the more one exclusively attaches </w:t>
      </w:r>
      <w:r w:rsidR="00432D31" w:rsidRPr="00375327">
        <w:t xml:space="preserve">to the respective level of community. </w:t>
      </w:r>
      <w:r w:rsidR="0087401D" w:rsidRPr="00375327">
        <w:rPr>
          <w:noProof/>
        </w:rPr>
        <w:t>Figure 4 and 5 show that this dynamic in particular entails that people are more sensitive to negative causal beliefs, as among those who exclusively attach to their region or the nation expectations of negative effects of the policy on these respective level of community reduce the level of support substantially while it seems less so the case that among these people expectations of positive effects cause more support.</w:t>
      </w:r>
      <w:r w:rsidR="005165F9" w:rsidRPr="00375327">
        <w:rPr>
          <w:noProof/>
        </w:rPr>
        <w:t xml:space="preserve"> </w:t>
      </w:r>
    </w:p>
    <w:p w14:paraId="2391AD82" w14:textId="26BA1FE8" w:rsidR="0038589C" w:rsidRPr="00375327" w:rsidRDefault="0038589C" w:rsidP="00691CAC">
      <w:pPr>
        <w:jc w:val="both"/>
      </w:pPr>
    </w:p>
    <w:p w14:paraId="7E34CAB6" w14:textId="799DFCAB" w:rsidR="00692DA1" w:rsidRPr="00375327" w:rsidRDefault="0038589C" w:rsidP="00691CAC">
      <w:pPr>
        <w:jc w:val="both"/>
      </w:pPr>
      <w:r w:rsidRPr="00375327">
        <w:t xml:space="preserve">This paper provides </w:t>
      </w:r>
      <w:r w:rsidR="00692DA1" w:rsidRPr="00375327">
        <w:t>three main contributions</w:t>
      </w:r>
      <w:r w:rsidRPr="00375327">
        <w:t xml:space="preserve"> </w:t>
      </w:r>
      <w:r w:rsidR="00D60F3D" w:rsidRPr="00375327">
        <w:t xml:space="preserve">to our knowledge of public attitudes toward policy. First, this is to the authors’ knowledge the first analysis that disentangles </w:t>
      </w:r>
      <w:r w:rsidR="00C95663" w:rsidRPr="00375327">
        <w:t xml:space="preserve">the effects of </w:t>
      </w:r>
      <w:r w:rsidR="00D60F3D" w:rsidRPr="00375327">
        <w:t xml:space="preserve">egotropic and sociotropic concern </w:t>
      </w:r>
      <w:r w:rsidR="00C95663" w:rsidRPr="00375327">
        <w:t xml:space="preserve">on </w:t>
      </w:r>
      <w:r w:rsidR="00D60F3D" w:rsidRPr="00375327">
        <w:t>support for an EU policy. Second, it is also</w:t>
      </w:r>
      <w:r w:rsidR="00205328" w:rsidRPr="00375327">
        <w:t xml:space="preserve"> </w:t>
      </w:r>
      <w:r w:rsidR="00D60F3D" w:rsidRPr="00375327">
        <w:t xml:space="preserve">the first analysis to simultaneously consider the three levels of community most likely to be relevant in considerations of EU policy. </w:t>
      </w:r>
      <w:r w:rsidR="00692DA1" w:rsidRPr="00375327">
        <w:t xml:space="preserve">And third, this paper is unique in </w:t>
      </w:r>
      <w:r w:rsidR="005165F9" w:rsidRPr="00375327">
        <w:t xml:space="preserve">its explicit integration of </w:t>
      </w:r>
      <w:r w:rsidR="00692DA1" w:rsidRPr="00375327">
        <w:t>political causal beliefs in a</w:t>
      </w:r>
      <w:r w:rsidR="00F02FC3" w:rsidRPr="00375327">
        <w:t>n observational survey methodology, a</w:t>
      </w:r>
      <w:r w:rsidR="00692DA1" w:rsidRPr="00375327">
        <w:t xml:space="preserve">nd </w:t>
      </w:r>
      <w:r w:rsidR="004218FA" w:rsidRPr="00375327">
        <w:t xml:space="preserve">it </w:t>
      </w:r>
      <w:r w:rsidR="005165F9" w:rsidRPr="00375327">
        <w:t xml:space="preserve">shows </w:t>
      </w:r>
      <w:r w:rsidR="00692DA1" w:rsidRPr="00375327">
        <w:t xml:space="preserve">such an approach </w:t>
      </w:r>
      <w:r w:rsidR="005165F9" w:rsidRPr="00375327">
        <w:t xml:space="preserve">to have </w:t>
      </w:r>
      <w:r w:rsidR="00692DA1" w:rsidRPr="00375327">
        <w:t xml:space="preserve">merit. </w:t>
      </w:r>
    </w:p>
    <w:p w14:paraId="0E3BD223" w14:textId="27F948A1" w:rsidR="002377B9" w:rsidRPr="00375327" w:rsidRDefault="002377B9" w:rsidP="00691CAC">
      <w:pPr>
        <w:jc w:val="both"/>
      </w:pPr>
    </w:p>
    <w:p w14:paraId="349BA920" w14:textId="54139BD9" w:rsidR="006463ED" w:rsidRPr="00375327" w:rsidRDefault="002377B9" w:rsidP="00691CAC">
      <w:pPr>
        <w:jc w:val="both"/>
      </w:pPr>
      <w:r w:rsidRPr="00375327">
        <w:t>Beyond the fundamental contribution to the debate as to the nature of sociotropic concern</w:t>
      </w:r>
      <w:r w:rsidR="002F6E88" w:rsidRPr="00375327">
        <w:t xml:space="preserve">, this paper also has important implications for the political debate concerning EU policy in general, and the debate on a fiscal capacity in particular. First, it has become clear that the majority </w:t>
      </w:r>
      <w:r w:rsidR="00387B5D" w:rsidRPr="00375327">
        <w:t xml:space="preserve">of citizens in </w:t>
      </w:r>
      <w:r w:rsidR="007131D0" w:rsidRPr="00375327">
        <w:t>the</w:t>
      </w:r>
      <w:r w:rsidR="00387B5D" w:rsidRPr="00375327">
        <w:t xml:space="preserve"> countries included in the survey believe the policy </w:t>
      </w:r>
      <w:r w:rsidR="004A4E27" w:rsidRPr="00375327">
        <w:t xml:space="preserve">to have no discernible </w:t>
      </w:r>
      <w:r w:rsidR="0024258B" w:rsidRPr="00375327">
        <w:t xml:space="preserve">effect </w:t>
      </w:r>
      <w:r w:rsidR="004A4E27" w:rsidRPr="00375327">
        <w:t xml:space="preserve">on welfare, </w:t>
      </w:r>
      <w:r w:rsidR="0024258B" w:rsidRPr="00375327">
        <w:t xml:space="preserve">neither </w:t>
      </w:r>
      <w:r w:rsidR="004A4E27" w:rsidRPr="00375327">
        <w:t xml:space="preserve">for themselves </w:t>
      </w:r>
      <w:r w:rsidR="0024258B" w:rsidRPr="00375327">
        <w:t xml:space="preserve">nor </w:t>
      </w:r>
      <w:r w:rsidR="004A4E27" w:rsidRPr="00375327">
        <w:t xml:space="preserve">for </w:t>
      </w:r>
      <w:r w:rsidR="00255409" w:rsidRPr="00375327">
        <w:t>their local, national or the EU community</w:t>
      </w:r>
      <w:r w:rsidR="004A4E27" w:rsidRPr="00375327">
        <w:t xml:space="preserve">. </w:t>
      </w:r>
      <w:r w:rsidR="00387B5D" w:rsidRPr="00375327">
        <w:t xml:space="preserve">Hence, </w:t>
      </w:r>
      <w:r w:rsidR="0024258B" w:rsidRPr="00375327">
        <w:t xml:space="preserve">there is a lot to gain </w:t>
      </w:r>
      <w:r w:rsidR="004A4E27" w:rsidRPr="00375327">
        <w:t xml:space="preserve">EU politicians have substantial room for </w:t>
      </w:r>
      <w:r w:rsidR="009E5B0B" w:rsidRPr="00375327">
        <w:t>manoeuvre</w:t>
      </w:r>
      <w:r w:rsidR="004A4E27" w:rsidRPr="00375327">
        <w:t xml:space="preserve"> in swaying public opinion on </w:t>
      </w:r>
      <w:r w:rsidR="007131D0" w:rsidRPr="00375327">
        <w:t xml:space="preserve">the introduction of </w:t>
      </w:r>
      <w:r w:rsidR="004A4E27" w:rsidRPr="00375327">
        <w:t>a</w:t>
      </w:r>
      <w:r w:rsidR="007131D0" w:rsidRPr="00375327">
        <w:t>n</w:t>
      </w:r>
      <w:r w:rsidR="004A4E27" w:rsidRPr="00375327">
        <w:t xml:space="preserve"> EU fiscal capacity, especially </w:t>
      </w:r>
      <w:r w:rsidR="00387B5D" w:rsidRPr="00375327">
        <w:t xml:space="preserve">considering the strong evidence of the benefits of such a policy for the EU economy and its participating countries. </w:t>
      </w:r>
      <w:r w:rsidR="004A4E27" w:rsidRPr="00375327">
        <w:t xml:space="preserve">Second, the finding that sociotropic concern </w:t>
      </w:r>
      <w:r w:rsidR="00E32643" w:rsidRPr="00375327">
        <w:t>is a more important</w:t>
      </w:r>
      <w:r w:rsidR="001D2E05">
        <w:t xml:space="preserve"> </w:t>
      </w:r>
      <w:r w:rsidR="00E32643" w:rsidRPr="00375327">
        <w:t xml:space="preserve">factor than egotropic concern in support for the policy indicates that politicians would do particularly well to stress the benefits that such a policy has on the collective wellbeing. And thirdly, </w:t>
      </w:r>
      <w:r w:rsidR="006463ED" w:rsidRPr="00375327">
        <w:t xml:space="preserve">as the results point out that people are sensitive to the welfare within their regional community, regional divides </w:t>
      </w:r>
      <w:r w:rsidR="009E5B0B" w:rsidRPr="00375327">
        <w:t>could</w:t>
      </w:r>
      <w:r w:rsidR="006463ED" w:rsidRPr="00375327">
        <w:t xml:space="preserve"> form political cleavages </w:t>
      </w:r>
      <w:r w:rsidR="009E5B0B" w:rsidRPr="00375327">
        <w:t>t</w:t>
      </w:r>
      <w:r w:rsidR="006463ED" w:rsidRPr="00375327">
        <w:t xml:space="preserve">hat should be alleviated as much as possible by taking regional interests into account in policy design. </w:t>
      </w:r>
    </w:p>
    <w:p w14:paraId="71F5BA1D" w14:textId="77777777" w:rsidR="006463ED" w:rsidRPr="00375327" w:rsidRDefault="006463ED" w:rsidP="00691CAC">
      <w:pPr>
        <w:jc w:val="both"/>
      </w:pPr>
    </w:p>
    <w:p w14:paraId="03A442B3" w14:textId="58D17849" w:rsidR="008E17DA" w:rsidRPr="00375327" w:rsidRDefault="00272DC1" w:rsidP="00691CAC">
      <w:pPr>
        <w:jc w:val="both"/>
      </w:pPr>
      <w:r w:rsidRPr="00375327">
        <w:t xml:space="preserve">However, this paper also has limitations. </w:t>
      </w:r>
      <w:r w:rsidR="0060158D" w:rsidRPr="00375327">
        <w:t xml:space="preserve">First of all, </w:t>
      </w:r>
      <w:r w:rsidR="00386BC4" w:rsidRPr="00375327">
        <w:t xml:space="preserve">since the data include six EU Member States, </w:t>
      </w:r>
      <w:r w:rsidR="00D22E10" w:rsidRPr="00375327">
        <w:t xml:space="preserve">conclusions drawn as to the generalisability to other Member States </w:t>
      </w:r>
      <w:r w:rsidR="00255409" w:rsidRPr="00375327">
        <w:t xml:space="preserve">are </w:t>
      </w:r>
      <w:r w:rsidR="00D22E10" w:rsidRPr="00375327">
        <w:t xml:space="preserve">limited. </w:t>
      </w:r>
      <w:r w:rsidR="00D22E10" w:rsidRPr="00375327">
        <w:lastRenderedPageBreak/>
        <w:t xml:space="preserve">Nonetheless, it should be stressed that </w:t>
      </w:r>
      <w:r w:rsidR="008E17DA" w:rsidRPr="00375327">
        <w:t xml:space="preserve">the countries included in the study covered </w:t>
      </w:r>
      <w:r w:rsidR="004F0C82" w:rsidRPr="00375327">
        <w:t xml:space="preserve">the </w:t>
      </w:r>
      <w:r w:rsidR="008E17DA" w:rsidRPr="00375327">
        <w:t xml:space="preserve">variety of EU </w:t>
      </w:r>
      <w:r w:rsidR="004F0C82" w:rsidRPr="00375327">
        <w:t>Member States</w:t>
      </w:r>
      <w:r w:rsidR="008E17DA" w:rsidRPr="00375327">
        <w:t xml:space="preserve"> on a wide range of factors. </w:t>
      </w:r>
    </w:p>
    <w:p w14:paraId="33AA56B4" w14:textId="77777777" w:rsidR="008E17DA" w:rsidRPr="00375327" w:rsidRDefault="008E17DA" w:rsidP="00691CAC">
      <w:pPr>
        <w:jc w:val="both"/>
      </w:pPr>
    </w:p>
    <w:p w14:paraId="768B09EE" w14:textId="2C9B9DF7" w:rsidR="0038589C" w:rsidRPr="00375327" w:rsidRDefault="008E17DA" w:rsidP="00691CAC">
      <w:pPr>
        <w:jc w:val="both"/>
      </w:pPr>
      <w:r w:rsidRPr="00375327">
        <w:t xml:space="preserve">Second, while </w:t>
      </w:r>
      <w:r w:rsidR="00D40657" w:rsidRPr="00375327">
        <w:t xml:space="preserve">the operationalisation of causal beliefs has the merits outlined above, </w:t>
      </w:r>
      <w:r w:rsidR="000C7D4D" w:rsidRPr="00375327">
        <w:t>it might be the case that the role of sociotropic concern is more limited when people are faced with starker trade-offs between their personal interest and that of the community. While previous research has shown sociotropic concern to play a role also in such instances in an US context, future investigations should investigate whether this finding also transports to the EU context.</w:t>
      </w:r>
    </w:p>
    <w:p w14:paraId="6D753A3E" w14:textId="77777777" w:rsidR="008E17DA" w:rsidRPr="00375327" w:rsidRDefault="008E17DA" w:rsidP="00691CAC">
      <w:pPr>
        <w:jc w:val="both"/>
      </w:pPr>
    </w:p>
    <w:p w14:paraId="29D6839F" w14:textId="78478ABE" w:rsidR="008E729B" w:rsidRPr="00375327" w:rsidRDefault="004F0C82" w:rsidP="00691CAC">
      <w:pPr>
        <w:jc w:val="both"/>
      </w:pPr>
      <w:r w:rsidRPr="00375327">
        <w:t>Thirdly</w:t>
      </w:r>
      <w:r w:rsidR="00272DC1" w:rsidRPr="00375327">
        <w:t>, t</w:t>
      </w:r>
      <w:r w:rsidR="008E729B" w:rsidRPr="00375327">
        <w:t xml:space="preserve">he finding that causal beliefs for the country and oneself are </w:t>
      </w:r>
      <w:r w:rsidR="00272DC1" w:rsidRPr="00375327">
        <w:t xml:space="preserve">partially </w:t>
      </w:r>
      <w:r w:rsidR="008E729B" w:rsidRPr="00375327">
        <w:t xml:space="preserve">conditional on one another warrants some discussion. This is somewhat puzzling, as one would have </w:t>
      </w:r>
      <w:r w:rsidR="000C7D4D" w:rsidRPr="00375327">
        <w:t xml:space="preserve">rather </w:t>
      </w:r>
      <w:r w:rsidR="008E729B" w:rsidRPr="00375327">
        <w:t>expected the opposite</w:t>
      </w:r>
      <w:r w:rsidR="00255409" w:rsidRPr="00375327">
        <w:t xml:space="preserve">: </w:t>
      </w:r>
      <w:r w:rsidR="008E729B" w:rsidRPr="00375327">
        <w:t xml:space="preserve">that causal beliefs for the country or the ego only become influential as </w:t>
      </w:r>
      <w:r w:rsidR="004218FA" w:rsidRPr="00375327">
        <w:t>soon as a satisfactory level of perceived effects (i.e. a neutral level at least) has been reached</w:t>
      </w:r>
      <w:r w:rsidR="008E729B" w:rsidRPr="00375327">
        <w:t>. Instead, this result suggests perceived positive effects for oneself and for the country to be</w:t>
      </w:r>
      <w:r w:rsidR="004218FA" w:rsidRPr="00375327">
        <w:t xml:space="preserve"> partial substitutes.</w:t>
      </w:r>
      <w:r w:rsidR="008E729B" w:rsidRPr="00375327">
        <w:t xml:space="preserve"> </w:t>
      </w:r>
      <w:r w:rsidR="00651723" w:rsidRPr="00375327">
        <w:t>In other words,</w:t>
      </w:r>
      <w:r w:rsidR="008E729B" w:rsidRPr="00375327">
        <w:t xml:space="preserve"> positive causal beliefs for the country have a stronger positive effect on support when causal beliefs for the ego are negative, and vice versa. One might argue that this finding points in the direction of obfuscated egotropic concern after all. However, in that light it is puzzling that community-level causal beliefs are influential independently of egotropic concern, as found in the main analysis. It should also be stressed that the effects of causal beliefs for the other two levels of community do not interact with egotropic concern. Investigating the consistency of this finding would be a good direction for future research. In particular, it would be interesting to see if it also holds when perceptions of a policy’s effects are more explicit, such as in </w:t>
      </w:r>
      <w:r w:rsidR="00651723" w:rsidRPr="00375327">
        <w:t xml:space="preserve">situations </w:t>
      </w:r>
      <w:r w:rsidR="008E729B" w:rsidRPr="00375327">
        <w:t xml:space="preserve">where </w:t>
      </w:r>
      <w:r w:rsidR="00272DC1" w:rsidRPr="00375327">
        <w:t>participant</w:t>
      </w:r>
      <w:r w:rsidR="008E729B" w:rsidRPr="00375327">
        <w:t>s</w:t>
      </w:r>
      <w:r w:rsidR="00272DC1" w:rsidRPr="00375327">
        <w:t xml:space="preserve"> have </w:t>
      </w:r>
      <w:r w:rsidR="00651723" w:rsidRPr="00375327">
        <w:t>more information on the policy’s effects</w:t>
      </w:r>
      <w:r w:rsidR="008E729B" w:rsidRPr="00375327">
        <w:t>.</w:t>
      </w:r>
    </w:p>
    <w:p w14:paraId="1CE8CB93" w14:textId="5F8DA3D7" w:rsidR="008E729B" w:rsidRPr="00375327" w:rsidRDefault="008E729B" w:rsidP="00691CAC">
      <w:pPr>
        <w:jc w:val="both"/>
      </w:pPr>
    </w:p>
    <w:p w14:paraId="76819B8F" w14:textId="3DED6F54" w:rsidR="000963B1" w:rsidRPr="00375327" w:rsidRDefault="000C7D4D" w:rsidP="00691CAC">
      <w:pPr>
        <w:jc w:val="both"/>
      </w:pPr>
      <w:r w:rsidRPr="00375327">
        <w:t xml:space="preserve">In any case, </w:t>
      </w:r>
      <w:r w:rsidR="00F65AD8" w:rsidRPr="00375327">
        <w:t xml:space="preserve">the findings of this paper provide novel insight into political attitudes toward the EU and </w:t>
      </w:r>
      <w:r w:rsidR="000963B1" w:rsidRPr="00375327">
        <w:t>open up many venues for future inquiries.</w:t>
      </w:r>
      <w:r w:rsidR="00B31D39" w:rsidRPr="00375327">
        <w:t xml:space="preserve"> For example, it remains to be seen whether these results generalise to other policy contexts. Additionally, while this paper has focussed on types of community </w:t>
      </w:r>
      <w:r w:rsidR="0060158D" w:rsidRPr="00375327">
        <w:t>defined by geographical areas, communities relevant for people in their political attitudes might also be defined on the basis of other characteristics. And lastly</w:t>
      </w:r>
      <w:r w:rsidR="000963B1" w:rsidRPr="00375327">
        <w:t>, as causal beliefs are shown to have such a substantial impact on policy support, it would be interesting to</w:t>
      </w:r>
      <w:r w:rsidR="00B31D39" w:rsidRPr="00375327">
        <w:t xml:space="preserve"> see how in turn variation in those causal beliefs themselves could be explained.</w:t>
      </w:r>
      <w:r w:rsidR="000963B1" w:rsidRPr="00375327">
        <w:t xml:space="preserve"> </w:t>
      </w:r>
    </w:p>
    <w:p w14:paraId="708250B6" w14:textId="77777777" w:rsidR="000963B1" w:rsidRPr="00375327" w:rsidRDefault="000963B1" w:rsidP="00746163"/>
    <w:p w14:paraId="48993975" w14:textId="393E15EC" w:rsidR="0081452A" w:rsidRPr="00375327" w:rsidRDefault="0081452A" w:rsidP="00746163">
      <w:pPr>
        <w:rPr>
          <w:i/>
          <w:iCs/>
        </w:rPr>
      </w:pPr>
    </w:p>
    <w:p w14:paraId="1DDBBF1A" w14:textId="3D144FEC" w:rsidR="0081452A" w:rsidRPr="009725BA" w:rsidRDefault="0081452A" w:rsidP="007F3F40">
      <w:pPr>
        <w:pStyle w:val="Heading1"/>
      </w:pPr>
      <w:r w:rsidRPr="009725BA">
        <w:lastRenderedPageBreak/>
        <w:t>Bibliography</w:t>
      </w:r>
    </w:p>
    <w:p w14:paraId="500EA5A1"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Alkon</w:t>
      </w:r>
      <w:proofErr w:type="spellEnd"/>
      <w:r w:rsidRPr="009725BA">
        <w:rPr>
          <w:rFonts w:cs="Times New Roman"/>
          <w:sz w:val="19"/>
          <w:szCs w:val="19"/>
        </w:rPr>
        <w:t xml:space="preserve">, M. (2017). </w:t>
      </w:r>
      <w:r w:rsidRPr="009725BA">
        <w:rPr>
          <w:rFonts w:cs="Times New Roman"/>
          <w:i/>
          <w:iCs/>
          <w:sz w:val="19"/>
          <w:szCs w:val="19"/>
        </w:rPr>
        <w:t xml:space="preserve">Local </w:t>
      </w:r>
      <w:proofErr w:type="spellStart"/>
      <w:r w:rsidRPr="009725BA">
        <w:rPr>
          <w:rFonts w:cs="Times New Roman"/>
          <w:i/>
          <w:iCs/>
          <w:sz w:val="19"/>
          <w:szCs w:val="19"/>
        </w:rPr>
        <w:t>Sociotropism</w:t>
      </w:r>
      <w:proofErr w:type="spellEnd"/>
      <w:r w:rsidRPr="009725BA">
        <w:rPr>
          <w:rFonts w:cs="Times New Roman"/>
          <w:i/>
          <w:iCs/>
          <w:sz w:val="19"/>
          <w:szCs w:val="19"/>
        </w:rPr>
        <w:t>: How Community Variation in Trade Exposure Affects Voter Demands</w:t>
      </w:r>
      <w:r w:rsidRPr="009725BA">
        <w:rPr>
          <w:rFonts w:cs="Times New Roman"/>
          <w:sz w:val="19"/>
          <w:szCs w:val="19"/>
        </w:rPr>
        <w:t xml:space="preserve"> (SSRN Scholarly Paper ID 3103852). Social Science Research Network. https://doi.org/10.2139/ssrn.3103852</w:t>
      </w:r>
    </w:p>
    <w:p w14:paraId="5CF4FC69"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Baute</w:t>
      </w:r>
      <w:proofErr w:type="spellEnd"/>
      <w:r w:rsidRPr="009725BA">
        <w:rPr>
          <w:rFonts w:cs="Times New Roman"/>
          <w:sz w:val="19"/>
          <w:szCs w:val="19"/>
        </w:rPr>
        <w:t xml:space="preserve">, S., &amp; Meuleman, B. (2020). Public attitudes towards a European minimum income benefit: How (perceived) welfare state performance and expectations shape popular support. </w:t>
      </w:r>
      <w:r w:rsidRPr="009725BA">
        <w:rPr>
          <w:rFonts w:cs="Times New Roman"/>
          <w:i/>
          <w:iCs/>
          <w:sz w:val="19"/>
          <w:szCs w:val="19"/>
        </w:rPr>
        <w:t>Journal of European Social Policy</w:t>
      </w:r>
      <w:r w:rsidRPr="009725BA">
        <w:rPr>
          <w:rFonts w:cs="Times New Roman"/>
          <w:sz w:val="19"/>
          <w:szCs w:val="19"/>
        </w:rPr>
        <w:t xml:space="preserve">, </w:t>
      </w:r>
      <w:r w:rsidRPr="009725BA">
        <w:rPr>
          <w:rFonts w:cs="Times New Roman"/>
          <w:i/>
          <w:iCs/>
          <w:sz w:val="19"/>
          <w:szCs w:val="19"/>
        </w:rPr>
        <w:t>30</w:t>
      </w:r>
      <w:r w:rsidRPr="009725BA">
        <w:rPr>
          <w:rFonts w:cs="Times New Roman"/>
          <w:sz w:val="19"/>
          <w:szCs w:val="19"/>
        </w:rPr>
        <w:t>(4), 404–420. https://doi.org/10.1177/0958928720904320</w:t>
      </w:r>
    </w:p>
    <w:p w14:paraId="3D8429B4"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Bechtel, M. M., </w:t>
      </w:r>
      <w:proofErr w:type="spellStart"/>
      <w:r w:rsidRPr="009725BA">
        <w:rPr>
          <w:rFonts w:cs="Times New Roman"/>
          <w:sz w:val="19"/>
          <w:szCs w:val="19"/>
        </w:rPr>
        <w:t>Hainmueller</w:t>
      </w:r>
      <w:proofErr w:type="spellEnd"/>
      <w:r w:rsidRPr="009725BA">
        <w:rPr>
          <w:rFonts w:cs="Times New Roman"/>
          <w:sz w:val="19"/>
          <w:szCs w:val="19"/>
        </w:rPr>
        <w:t xml:space="preserve">, J., &amp; Margalit, Y. (2014). Preferences for International Redistribution: The Divide over the Eurozone Bailouts. </w:t>
      </w:r>
      <w:r w:rsidRPr="009725BA">
        <w:rPr>
          <w:rFonts w:cs="Times New Roman"/>
          <w:i/>
          <w:iCs/>
          <w:sz w:val="19"/>
          <w:szCs w:val="19"/>
        </w:rPr>
        <w:t>American Journal of Political Science</w:t>
      </w:r>
      <w:r w:rsidRPr="009725BA">
        <w:rPr>
          <w:rFonts w:cs="Times New Roman"/>
          <w:sz w:val="19"/>
          <w:szCs w:val="19"/>
        </w:rPr>
        <w:t xml:space="preserve">, </w:t>
      </w:r>
      <w:r w:rsidRPr="009725BA">
        <w:rPr>
          <w:rFonts w:cs="Times New Roman"/>
          <w:i/>
          <w:iCs/>
          <w:sz w:val="19"/>
          <w:szCs w:val="19"/>
        </w:rPr>
        <w:t>58</w:t>
      </w:r>
      <w:r w:rsidRPr="009725BA">
        <w:rPr>
          <w:rFonts w:cs="Times New Roman"/>
          <w:sz w:val="19"/>
          <w:szCs w:val="19"/>
        </w:rPr>
        <w:t>(4), 835–856. https://doi.org/10.1111/ajps.12079</w:t>
      </w:r>
    </w:p>
    <w:p w14:paraId="1240A4E7"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Bechtel, M. M., &amp; </w:t>
      </w:r>
      <w:proofErr w:type="spellStart"/>
      <w:r w:rsidRPr="009725BA">
        <w:rPr>
          <w:rFonts w:cs="Times New Roman"/>
          <w:sz w:val="19"/>
          <w:szCs w:val="19"/>
        </w:rPr>
        <w:t>Liesch</w:t>
      </w:r>
      <w:proofErr w:type="spellEnd"/>
      <w:r w:rsidRPr="009725BA">
        <w:rPr>
          <w:rFonts w:cs="Times New Roman"/>
          <w:sz w:val="19"/>
          <w:szCs w:val="19"/>
        </w:rPr>
        <w:t xml:space="preserve">, R. (2020). Reforms and Redistribution: Disentangling the Egoistic and Sociotropic Origins of Voter Preferences. </w:t>
      </w:r>
      <w:r w:rsidRPr="009725BA">
        <w:rPr>
          <w:rFonts w:cs="Times New Roman"/>
          <w:i/>
          <w:iCs/>
          <w:sz w:val="19"/>
          <w:szCs w:val="19"/>
        </w:rPr>
        <w:t>Public Opinion Quarterly</w:t>
      </w:r>
      <w:r w:rsidRPr="009725BA">
        <w:rPr>
          <w:rFonts w:cs="Times New Roman"/>
          <w:sz w:val="19"/>
          <w:szCs w:val="19"/>
        </w:rPr>
        <w:t xml:space="preserve">, </w:t>
      </w:r>
      <w:r w:rsidRPr="009725BA">
        <w:rPr>
          <w:rFonts w:cs="Times New Roman"/>
          <w:i/>
          <w:iCs/>
          <w:sz w:val="19"/>
          <w:szCs w:val="19"/>
        </w:rPr>
        <w:t>84</w:t>
      </w:r>
      <w:r w:rsidRPr="009725BA">
        <w:rPr>
          <w:rFonts w:cs="Times New Roman"/>
          <w:sz w:val="19"/>
          <w:szCs w:val="19"/>
        </w:rPr>
        <w:t>(1), 1–23. https://doi.org/10.1093/poq/nfaa006</w:t>
      </w:r>
    </w:p>
    <w:p w14:paraId="5502E278"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Beetsma</w:t>
      </w:r>
      <w:proofErr w:type="spellEnd"/>
      <w:r w:rsidRPr="009725BA">
        <w:rPr>
          <w:rFonts w:cs="Times New Roman"/>
          <w:sz w:val="19"/>
          <w:szCs w:val="19"/>
        </w:rPr>
        <w:t xml:space="preserve">, R., Burgoon, B., </w:t>
      </w:r>
      <w:proofErr w:type="spellStart"/>
      <w:r w:rsidRPr="009725BA">
        <w:rPr>
          <w:rFonts w:cs="Times New Roman"/>
          <w:sz w:val="19"/>
          <w:szCs w:val="19"/>
        </w:rPr>
        <w:t>Nicoli</w:t>
      </w:r>
      <w:proofErr w:type="spellEnd"/>
      <w:r w:rsidRPr="009725BA">
        <w:rPr>
          <w:rFonts w:cs="Times New Roman"/>
          <w:sz w:val="19"/>
          <w:szCs w:val="19"/>
        </w:rPr>
        <w:t xml:space="preserve">, F., de </w:t>
      </w:r>
      <w:proofErr w:type="spellStart"/>
      <w:r w:rsidRPr="009725BA">
        <w:rPr>
          <w:rFonts w:cs="Times New Roman"/>
          <w:sz w:val="19"/>
          <w:szCs w:val="19"/>
        </w:rPr>
        <w:t>Ruijter</w:t>
      </w:r>
      <w:proofErr w:type="spellEnd"/>
      <w:r w:rsidRPr="009725BA">
        <w:rPr>
          <w:rFonts w:cs="Times New Roman"/>
          <w:sz w:val="19"/>
          <w:szCs w:val="19"/>
        </w:rPr>
        <w:t xml:space="preserve">, A., &amp; </w:t>
      </w:r>
      <w:proofErr w:type="spellStart"/>
      <w:r w:rsidRPr="009725BA">
        <w:rPr>
          <w:rFonts w:cs="Times New Roman"/>
          <w:sz w:val="19"/>
          <w:szCs w:val="19"/>
        </w:rPr>
        <w:t>Vandenbroucke</w:t>
      </w:r>
      <w:proofErr w:type="spellEnd"/>
      <w:r w:rsidRPr="009725BA">
        <w:rPr>
          <w:rFonts w:cs="Times New Roman"/>
          <w:sz w:val="19"/>
          <w:szCs w:val="19"/>
        </w:rPr>
        <w:t xml:space="preserve">, F. (2020). </w:t>
      </w:r>
      <w:r w:rsidRPr="009725BA">
        <w:rPr>
          <w:rFonts w:cs="Times New Roman"/>
          <w:i/>
          <w:iCs/>
          <w:sz w:val="19"/>
          <w:szCs w:val="19"/>
        </w:rPr>
        <w:t>What Kind of EU Fiscal Capacity? Evidence From a Randomized Survey Experiment in Five European Countries in Times of Corona</w:t>
      </w:r>
      <w:r w:rsidRPr="009725BA">
        <w:rPr>
          <w:rFonts w:cs="Times New Roman"/>
          <w:sz w:val="19"/>
          <w:szCs w:val="19"/>
        </w:rPr>
        <w:t xml:space="preserve"> (SSRN Scholarly Paper ID 3668906). Social Science Research Network. https://doi.org/10.2139/ssrn.3668906</w:t>
      </w:r>
    </w:p>
    <w:p w14:paraId="6AB70A68"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Beetsma</w:t>
      </w:r>
      <w:proofErr w:type="spellEnd"/>
      <w:r w:rsidRPr="009725BA">
        <w:rPr>
          <w:rFonts w:cs="Times New Roman"/>
          <w:sz w:val="19"/>
          <w:szCs w:val="19"/>
        </w:rPr>
        <w:t xml:space="preserve">, R., Burgoon, B., </w:t>
      </w:r>
      <w:proofErr w:type="spellStart"/>
      <w:r w:rsidRPr="009725BA">
        <w:rPr>
          <w:rFonts w:cs="Times New Roman"/>
          <w:sz w:val="19"/>
          <w:szCs w:val="19"/>
        </w:rPr>
        <w:t>Nicoli</w:t>
      </w:r>
      <w:proofErr w:type="spellEnd"/>
      <w:r w:rsidRPr="009725BA">
        <w:rPr>
          <w:rFonts w:cs="Times New Roman"/>
          <w:sz w:val="19"/>
          <w:szCs w:val="19"/>
        </w:rPr>
        <w:t xml:space="preserve">, F., de </w:t>
      </w:r>
      <w:proofErr w:type="spellStart"/>
      <w:r w:rsidRPr="009725BA">
        <w:rPr>
          <w:rFonts w:cs="Times New Roman"/>
          <w:sz w:val="19"/>
          <w:szCs w:val="19"/>
        </w:rPr>
        <w:t>Ruijter</w:t>
      </w:r>
      <w:proofErr w:type="spellEnd"/>
      <w:r w:rsidRPr="009725BA">
        <w:rPr>
          <w:rFonts w:cs="Times New Roman"/>
          <w:sz w:val="19"/>
          <w:szCs w:val="19"/>
        </w:rPr>
        <w:t xml:space="preserve">, A., &amp; </w:t>
      </w:r>
      <w:proofErr w:type="spellStart"/>
      <w:r w:rsidRPr="009725BA">
        <w:rPr>
          <w:rFonts w:cs="Times New Roman"/>
          <w:sz w:val="19"/>
          <w:szCs w:val="19"/>
        </w:rPr>
        <w:t>Vandenbroucke</w:t>
      </w:r>
      <w:proofErr w:type="spellEnd"/>
      <w:r w:rsidRPr="009725BA">
        <w:rPr>
          <w:rFonts w:cs="Times New Roman"/>
          <w:sz w:val="19"/>
          <w:szCs w:val="19"/>
        </w:rPr>
        <w:t xml:space="preserve">, F. (2021). Public support for European cooperation in the procurement, stockpiling and distribution of medicines. </w:t>
      </w:r>
      <w:r w:rsidRPr="009725BA">
        <w:rPr>
          <w:rFonts w:cs="Times New Roman"/>
          <w:i/>
          <w:iCs/>
          <w:sz w:val="19"/>
          <w:szCs w:val="19"/>
        </w:rPr>
        <w:t>European Journal of Public Health</w:t>
      </w:r>
      <w:r w:rsidRPr="009725BA">
        <w:rPr>
          <w:rFonts w:cs="Times New Roman"/>
          <w:sz w:val="19"/>
          <w:szCs w:val="19"/>
        </w:rPr>
        <w:t>. https://doi.org/10.1093/eurpub/ckaa201</w:t>
      </w:r>
    </w:p>
    <w:p w14:paraId="0B171871"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Brinegar</w:t>
      </w:r>
      <w:proofErr w:type="spellEnd"/>
      <w:r w:rsidRPr="009725BA">
        <w:rPr>
          <w:rFonts w:cs="Times New Roman"/>
          <w:sz w:val="19"/>
          <w:szCs w:val="19"/>
        </w:rPr>
        <w:t xml:space="preserve">, A. P., Jolly, S. K., &amp; </w:t>
      </w:r>
      <w:proofErr w:type="spellStart"/>
      <w:r w:rsidRPr="009725BA">
        <w:rPr>
          <w:rFonts w:cs="Times New Roman"/>
          <w:sz w:val="19"/>
          <w:szCs w:val="19"/>
        </w:rPr>
        <w:t>Kitschelt</w:t>
      </w:r>
      <w:proofErr w:type="spellEnd"/>
      <w:r w:rsidRPr="009725BA">
        <w:rPr>
          <w:rFonts w:cs="Times New Roman"/>
          <w:sz w:val="19"/>
          <w:szCs w:val="19"/>
        </w:rPr>
        <w:t xml:space="preserve">, H. (2004). Varieties of Capitalism and Political Divides over European Integration. In G. Marks &amp; M. R. </w:t>
      </w:r>
      <w:proofErr w:type="spellStart"/>
      <w:r w:rsidRPr="009725BA">
        <w:rPr>
          <w:rFonts w:cs="Times New Roman"/>
          <w:sz w:val="19"/>
          <w:szCs w:val="19"/>
        </w:rPr>
        <w:t>Steenbergen</w:t>
      </w:r>
      <w:proofErr w:type="spellEnd"/>
      <w:r w:rsidRPr="009725BA">
        <w:rPr>
          <w:rFonts w:cs="Times New Roman"/>
          <w:sz w:val="19"/>
          <w:szCs w:val="19"/>
        </w:rPr>
        <w:t xml:space="preserve">, </w:t>
      </w:r>
      <w:r w:rsidRPr="009725BA">
        <w:rPr>
          <w:rFonts w:cs="Times New Roman"/>
          <w:i/>
          <w:iCs/>
          <w:sz w:val="19"/>
          <w:szCs w:val="19"/>
        </w:rPr>
        <w:t>European Integration and Political Conflict</w:t>
      </w:r>
      <w:r w:rsidRPr="009725BA">
        <w:rPr>
          <w:rFonts w:cs="Times New Roman"/>
          <w:sz w:val="19"/>
          <w:szCs w:val="19"/>
        </w:rPr>
        <w:t xml:space="preserve"> (pp. 62–89). Cambridge University Press.</w:t>
      </w:r>
    </w:p>
    <w:p w14:paraId="101166AB"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Burgoon, B., Kuhn, T., </w:t>
      </w:r>
      <w:proofErr w:type="spellStart"/>
      <w:r w:rsidRPr="009725BA">
        <w:rPr>
          <w:rFonts w:cs="Times New Roman"/>
          <w:sz w:val="19"/>
          <w:szCs w:val="19"/>
        </w:rPr>
        <w:t>Nicoli</w:t>
      </w:r>
      <w:proofErr w:type="spellEnd"/>
      <w:r w:rsidRPr="009725BA">
        <w:rPr>
          <w:rFonts w:cs="Times New Roman"/>
          <w:sz w:val="19"/>
          <w:szCs w:val="19"/>
        </w:rPr>
        <w:t xml:space="preserve">, F., &amp; </w:t>
      </w:r>
      <w:proofErr w:type="spellStart"/>
      <w:r w:rsidRPr="009725BA">
        <w:rPr>
          <w:rFonts w:cs="Times New Roman"/>
          <w:sz w:val="19"/>
          <w:szCs w:val="19"/>
        </w:rPr>
        <w:t>Vandenbroucke</w:t>
      </w:r>
      <w:proofErr w:type="spellEnd"/>
      <w:r w:rsidRPr="009725BA">
        <w:rPr>
          <w:rFonts w:cs="Times New Roman"/>
          <w:sz w:val="19"/>
          <w:szCs w:val="19"/>
        </w:rPr>
        <w:t xml:space="preserve">, F. (2022). Unemployment risk-sharing in the EU: How policy design influences citizen support for European unemployment policy. </w:t>
      </w:r>
      <w:r w:rsidRPr="009725BA">
        <w:rPr>
          <w:rFonts w:cs="Times New Roman"/>
          <w:i/>
          <w:iCs/>
          <w:sz w:val="19"/>
          <w:szCs w:val="19"/>
        </w:rPr>
        <w:t>European Union Politics</w:t>
      </w:r>
      <w:r w:rsidRPr="009725BA">
        <w:rPr>
          <w:rFonts w:cs="Times New Roman"/>
          <w:sz w:val="19"/>
          <w:szCs w:val="19"/>
        </w:rPr>
        <w:t>, 14651165221075252. https://doi.org/10.1177/14651165221075251</w:t>
      </w:r>
    </w:p>
    <w:p w14:paraId="069C69C5"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Chong, D., </w:t>
      </w:r>
      <w:proofErr w:type="spellStart"/>
      <w:r w:rsidRPr="009725BA">
        <w:rPr>
          <w:rFonts w:cs="Times New Roman"/>
          <w:sz w:val="19"/>
          <w:szCs w:val="19"/>
        </w:rPr>
        <w:t>Citrin</w:t>
      </w:r>
      <w:proofErr w:type="spellEnd"/>
      <w:r w:rsidRPr="009725BA">
        <w:rPr>
          <w:rFonts w:cs="Times New Roman"/>
          <w:sz w:val="19"/>
          <w:szCs w:val="19"/>
        </w:rPr>
        <w:t xml:space="preserve">, J., &amp; Conley, P. (2001). When Self-Interest Matters. </w:t>
      </w:r>
      <w:r w:rsidRPr="009725BA">
        <w:rPr>
          <w:rFonts w:cs="Times New Roman"/>
          <w:i/>
          <w:iCs/>
          <w:sz w:val="19"/>
          <w:szCs w:val="19"/>
        </w:rPr>
        <w:t>Political Psychology</w:t>
      </w:r>
      <w:r w:rsidRPr="009725BA">
        <w:rPr>
          <w:rFonts w:cs="Times New Roman"/>
          <w:sz w:val="19"/>
          <w:szCs w:val="19"/>
        </w:rPr>
        <w:t xml:space="preserve">, </w:t>
      </w:r>
      <w:r w:rsidRPr="009725BA">
        <w:rPr>
          <w:rFonts w:cs="Times New Roman"/>
          <w:i/>
          <w:iCs/>
          <w:sz w:val="19"/>
          <w:szCs w:val="19"/>
        </w:rPr>
        <w:t>22</w:t>
      </w:r>
      <w:r w:rsidRPr="009725BA">
        <w:rPr>
          <w:rFonts w:cs="Times New Roman"/>
          <w:sz w:val="19"/>
          <w:szCs w:val="19"/>
        </w:rPr>
        <w:t>(3), 541–570. https://doi.org/10.1111/0162-895X.00253</w:t>
      </w:r>
    </w:p>
    <w:p w14:paraId="39924E28"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lang w:val="nl-NL"/>
        </w:rPr>
        <w:t>Deutschmann</w:t>
      </w:r>
      <w:proofErr w:type="spellEnd"/>
      <w:r w:rsidRPr="009725BA">
        <w:rPr>
          <w:rFonts w:cs="Times New Roman"/>
          <w:sz w:val="19"/>
          <w:szCs w:val="19"/>
          <w:lang w:val="nl-NL"/>
        </w:rPr>
        <w:t xml:space="preserve">, E., </w:t>
      </w:r>
      <w:proofErr w:type="spellStart"/>
      <w:r w:rsidRPr="009725BA">
        <w:rPr>
          <w:rFonts w:cs="Times New Roman"/>
          <w:sz w:val="19"/>
          <w:szCs w:val="19"/>
          <w:lang w:val="nl-NL"/>
        </w:rPr>
        <w:t>Delhey</w:t>
      </w:r>
      <w:proofErr w:type="spellEnd"/>
      <w:r w:rsidRPr="009725BA">
        <w:rPr>
          <w:rFonts w:cs="Times New Roman"/>
          <w:sz w:val="19"/>
          <w:szCs w:val="19"/>
          <w:lang w:val="nl-NL"/>
        </w:rPr>
        <w:t xml:space="preserve">, J., </w:t>
      </w:r>
      <w:proofErr w:type="spellStart"/>
      <w:r w:rsidRPr="009725BA">
        <w:rPr>
          <w:rFonts w:cs="Times New Roman"/>
          <w:sz w:val="19"/>
          <w:szCs w:val="19"/>
          <w:lang w:val="nl-NL"/>
        </w:rPr>
        <w:t>Verbalyte</w:t>
      </w:r>
      <w:proofErr w:type="spellEnd"/>
      <w:r w:rsidRPr="009725BA">
        <w:rPr>
          <w:rFonts w:cs="Times New Roman"/>
          <w:sz w:val="19"/>
          <w:szCs w:val="19"/>
          <w:lang w:val="nl-NL"/>
        </w:rPr>
        <w:t xml:space="preserve">, M., &amp; </w:t>
      </w:r>
      <w:proofErr w:type="spellStart"/>
      <w:r w:rsidRPr="009725BA">
        <w:rPr>
          <w:rFonts w:cs="Times New Roman"/>
          <w:sz w:val="19"/>
          <w:szCs w:val="19"/>
          <w:lang w:val="nl-NL"/>
        </w:rPr>
        <w:t>Aplowski</w:t>
      </w:r>
      <w:proofErr w:type="spellEnd"/>
      <w:r w:rsidRPr="009725BA">
        <w:rPr>
          <w:rFonts w:cs="Times New Roman"/>
          <w:sz w:val="19"/>
          <w:szCs w:val="19"/>
          <w:lang w:val="nl-NL"/>
        </w:rPr>
        <w:t xml:space="preserve">, A. (2018). </w:t>
      </w:r>
      <w:r w:rsidRPr="009725BA">
        <w:rPr>
          <w:rFonts w:cs="Times New Roman"/>
          <w:sz w:val="19"/>
          <w:szCs w:val="19"/>
        </w:rPr>
        <w:t xml:space="preserve">The power of contact: Europe as a network of transnational attachment. </w:t>
      </w:r>
      <w:r w:rsidRPr="009725BA">
        <w:rPr>
          <w:rFonts w:cs="Times New Roman"/>
          <w:i/>
          <w:iCs/>
          <w:sz w:val="19"/>
          <w:szCs w:val="19"/>
        </w:rPr>
        <w:t>European Journal of Political Research</w:t>
      </w:r>
      <w:r w:rsidRPr="009725BA">
        <w:rPr>
          <w:rFonts w:cs="Times New Roman"/>
          <w:sz w:val="19"/>
          <w:szCs w:val="19"/>
        </w:rPr>
        <w:t xml:space="preserve">, </w:t>
      </w:r>
      <w:r w:rsidRPr="009725BA">
        <w:rPr>
          <w:rFonts w:cs="Times New Roman"/>
          <w:i/>
          <w:iCs/>
          <w:sz w:val="19"/>
          <w:szCs w:val="19"/>
        </w:rPr>
        <w:t>57</w:t>
      </w:r>
      <w:r w:rsidRPr="009725BA">
        <w:rPr>
          <w:rFonts w:cs="Times New Roman"/>
          <w:sz w:val="19"/>
          <w:szCs w:val="19"/>
        </w:rPr>
        <w:t>(4), 963–988. https://doi.org/10.1111/1475-6765.12261</w:t>
      </w:r>
    </w:p>
    <w:p w14:paraId="3CCD3916"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Díez</w:t>
      </w:r>
      <w:proofErr w:type="spellEnd"/>
      <w:r w:rsidRPr="009725BA">
        <w:rPr>
          <w:rFonts w:cs="Times New Roman"/>
          <w:sz w:val="19"/>
          <w:szCs w:val="19"/>
        </w:rPr>
        <w:t xml:space="preserve"> Medrano, J., &amp; Gutiérrez, P. (2001). Nested identities: National and European identity in Spain. </w:t>
      </w:r>
      <w:r w:rsidRPr="009725BA">
        <w:rPr>
          <w:rFonts w:cs="Times New Roman"/>
          <w:i/>
          <w:iCs/>
          <w:sz w:val="19"/>
          <w:szCs w:val="19"/>
        </w:rPr>
        <w:t>Ethnic and Racial Studies</w:t>
      </w:r>
      <w:r w:rsidRPr="009725BA">
        <w:rPr>
          <w:rFonts w:cs="Times New Roman"/>
          <w:sz w:val="19"/>
          <w:szCs w:val="19"/>
        </w:rPr>
        <w:t xml:space="preserve">, </w:t>
      </w:r>
      <w:r w:rsidRPr="009725BA">
        <w:rPr>
          <w:rFonts w:cs="Times New Roman"/>
          <w:i/>
          <w:iCs/>
          <w:sz w:val="19"/>
          <w:szCs w:val="19"/>
        </w:rPr>
        <w:t>24</w:t>
      </w:r>
      <w:r w:rsidRPr="009725BA">
        <w:rPr>
          <w:rFonts w:cs="Times New Roman"/>
          <w:sz w:val="19"/>
          <w:szCs w:val="19"/>
        </w:rPr>
        <w:t>(5), 753–778. https://doi.org/10.1080/01419870120063963</w:t>
      </w:r>
    </w:p>
    <w:p w14:paraId="2813D1B1"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Dolls, M., &amp; </w:t>
      </w:r>
      <w:proofErr w:type="spellStart"/>
      <w:r w:rsidRPr="009725BA">
        <w:rPr>
          <w:rFonts w:cs="Times New Roman"/>
          <w:sz w:val="19"/>
          <w:szCs w:val="19"/>
        </w:rPr>
        <w:t>Wehrhöfer</w:t>
      </w:r>
      <w:proofErr w:type="spellEnd"/>
      <w:r w:rsidRPr="009725BA">
        <w:rPr>
          <w:rFonts w:cs="Times New Roman"/>
          <w:sz w:val="19"/>
          <w:szCs w:val="19"/>
        </w:rPr>
        <w:t xml:space="preserve">, N. (2021). Attitudes towards euro area reforms: Evidence from a randomized survey experiment. </w:t>
      </w:r>
      <w:r w:rsidRPr="009725BA">
        <w:rPr>
          <w:rFonts w:cs="Times New Roman"/>
          <w:i/>
          <w:iCs/>
          <w:sz w:val="19"/>
          <w:szCs w:val="19"/>
        </w:rPr>
        <w:t>European Journal of Political Economy</w:t>
      </w:r>
      <w:r w:rsidRPr="009725BA">
        <w:rPr>
          <w:rFonts w:cs="Times New Roman"/>
          <w:sz w:val="19"/>
          <w:szCs w:val="19"/>
        </w:rPr>
        <w:t xml:space="preserve">, </w:t>
      </w:r>
      <w:r w:rsidRPr="009725BA">
        <w:rPr>
          <w:rFonts w:cs="Times New Roman"/>
          <w:i/>
          <w:iCs/>
          <w:sz w:val="19"/>
          <w:szCs w:val="19"/>
        </w:rPr>
        <w:t>67</w:t>
      </w:r>
      <w:r w:rsidRPr="009725BA">
        <w:rPr>
          <w:rFonts w:cs="Times New Roman"/>
          <w:sz w:val="19"/>
          <w:szCs w:val="19"/>
        </w:rPr>
        <w:t>(101971).</w:t>
      </w:r>
    </w:p>
    <w:p w14:paraId="1B603ED5"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Elkink</w:t>
      </w:r>
      <w:proofErr w:type="spellEnd"/>
      <w:r w:rsidRPr="009725BA">
        <w:rPr>
          <w:rFonts w:cs="Times New Roman"/>
          <w:sz w:val="19"/>
          <w:szCs w:val="19"/>
        </w:rPr>
        <w:t xml:space="preserve">, J. A., Quinlan, S., &amp; Sinnott, R. (2019). Economic Voting in EU Referendums: Sociotropic versus Egocentric Voting in the Lisbon Treaty Plebiscites in Ireland. </w:t>
      </w:r>
      <w:r w:rsidRPr="009725BA">
        <w:rPr>
          <w:rFonts w:cs="Times New Roman"/>
          <w:i/>
          <w:iCs/>
          <w:sz w:val="19"/>
          <w:szCs w:val="19"/>
        </w:rPr>
        <w:t>Politics and Governance</w:t>
      </w:r>
      <w:r w:rsidRPr="009725BA">
        <w:rPr>
          <w:rFonts w:cs="Times New Roman"/>
          <w:sz w:val="19"/>
          <w:szCs w:val="19"/>
        </w:rPr>
        <w:t xml:space="preserve">, </w:t>
      </w:r>
      <w:r w:rsidRPr="009725BA">
        <w:rPr>
          <w:rFonts w:cs="Times New Roman"/>
          <w:i/>
          <w:iCs/>
          <w:sz w:val="19"/>
          <w:szCs w:val="19"/>
        </w:rPr>
        <w:t>7</w:t>
      </w:r>
      <w:r w:rsidRPr="009725BA">
        <w:rPr>
          <w:rFonts w:cs="Times New Roman"/>
          <w:sz w:val="19"/>
          <w:szCs w:val="19"/>
        </w:rPr>
        <w:t>(2), 334–350. https://doi.org/10.17645/pag.v7i2.1944</w:t>
      </w:r>
    </w:p>
    <w:p w14:paraId="56572873"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European Commission. (2017). </w:t>
      </w:r>
      <w:r w:rsidRPr="009725BA">
        <w:rPr>
          <w:rFonts w:cs="Times New Roman"/>
          <w:i/>
          <w:iCs/>
          <w:sz w:val="19"/>
          <w:szCs w:val="19"/>
        </w:rPr>
        <w:t>Reflection paper on the deepening of the economic and monetary union</w:t>
      </w:r>
      <w:r w:rsidRPr="009725BA">
        <w:rPr>
          <w:rFonts w:cs="Times New Roman"/>
          <w:sz w:val="19"/>
          <w:szCs w:val="19"/>
        </w:rPr>
        <w:t>. https://ec.europa.eu/info/publications/reflection-paper-deepening-economic-and-monetary-union_en</w:t>
      </w:r>
    </w:p>
    <w:p w14:paraId="68B7B105"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European Commission. (2020). </w:t>
      </w:r>
      <w:r w:rsidRPr="009725BA">
        <w:rPr>
          <w:rFonts w:cs="Times New Roman"/>
          <w:i/>
          <w:iCs/>
          <w:sz w:val="19"/>
          <w:szCs w:val="19"/>
        </w:rPr>
        <w:t>Proposal for a COUNCIL REGULATION on the establishment of a European instrument for temporary support to mitigate unemployment risks in an emergency (SURE) following the COVID-19 outbreak</w:t>
      </w:r>
      <w:r w:rsidRPr="009725BA">
        <w:rPr>
          <w:rFonts w:cs="Times New Roman"/>
          <w:sz w:val="19"/>
          <w:szCs w:val="19"/>
        </w:rPr>
        <w:t>. https://eur-lex.europa.eu/legal-content/EN/TXT/?uri=CELEX%3A52020PC0139</w:t>
      </w:r>
    </w:p>
    <w:p w14:paraId="6A0F0693"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Fiorina, M. P. (1981). </w:t>
      </w:r>
      <w:r w:rsidRPr="009725BA">
        <w:rPr>
          <w:rFonts w:cs="Times New Roman"/>
          <w:i/>
          <w:iCs/>
          <w:sz w:val="19"/>
          <w:szCs w:val="19"/>
        </w:rPr>
        <w:t>Retrospective Voting in American National Elections</w:t>
      </w:r>
      <w:r w:rsidRPr="009725BA">
        <w:rPr>
          <w:rFonts w:cs="Times New Roman"/>
          <w:sz w:val="19"/>
          <w:szCs w:val="19"/>
        </w:rPr>
        <w:t xml:space="preserve">. Yale </w:t>
      </w:r>
      <w:proofErr w:type="spellStart"/>
      <w:r w:rsidRPr="009725BA">
        <w:rPr>
          <w:rFonts w:cs="Times New Roman"/>
          <w:sz w:val="19"/>
          <w:szCs w:val="19"/>
        </w:rPr>
        <w:t>Univ</w:t>
      </w:r>
      <w:proofErr w:type="spellEnd"/>
      <w:r w:rsidRPr="009725BA">
        <w:rPr>
          <w:rFonts w:cs="Times New Roman"/>
          <w:sz w:val="19"/>
          <w:szCs w:val="19"/>
        </w:rPr>
        <w:t xml:space="preserve"> Pr.</w:t>
      </w:r>
    </w:p>
    <w:p w14:paraId="5D7C159C"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Gerhards, J., </w:t>
      </w:r>
      <w:proofErr w:type="spellStart"/>
      <w:r w:rsidRPr="009725BA">
        <w:rPr>
          <w:rFonts w:cs="Times New Roman"/>
          <w:sz w:val="19"/>
          <w:szCs w:val="19"/>
        </w:rPr>
        <w:t>Lengfeld</w:t>
      </w:r>
      <w:proofErr w:type="spellEnd"/>
      <w:r w:rsidRPr="009725BA">
        <w:rPr>
          <w:rFonts w:cs="Times New Roman"/>
          <w:sz w:val="19"/>
          <w:szCs w:val="19"/>
        </w:rPr>
        <w:t xml:space="preserve">, H., </w:t>
      </w:r>
      <w:proofErr w:type="spellStart"/>
      <w:r w:rsidRPr="009725BA">
        <w:rPr>
          <w:rFonts w:cs="Times New Roman"/>
          <w:sz w:val="19"/>
          <w:szCs w:val="19"/>
        </w:rPr>
        <w:t>Ignácz</w:t>
      </w:r>
      <w:proofErr w:type="spellEnd"/>
      <w:r w:rsidRPr="009725BA">
        <w:rPr>
          <w:rFonts w:cs="Times New Roman"/>
          <w:sz w:val="19"/>
          <w:szCs w:val="19"/>
        </w:rPr>
        <w:t xml:space="preserve">, Z. S., </w:t>
      </w:r>
      <w:proofErr w:type="spellStart"/>
      <w:r w:rsidRPr="009725BA">
        <w:rPr>
          <w:rFonts w:cs="Times New Roman"/>
          <w:sz w:val="19"/>
          <w:szCs w:val="19"/>
        </w:rPr>
        <w:t>Kley</w:t>
      </w:r>
      <w:proofErr w:type="spellEnd"/>
      <w:r w:rsidRPr="009725BA">
        <w:rPr>
          <w:rFonts w:cs="Times New Roman"/>
          <w:sz w:val="19"/>
          <w:szCs w:val="19"/>
        </w:rPr>
        <w:t xml:space="preserve">, F. K., &amp; </w:t>
      </w:r>
      <w:proofErr w:type="spellStart"/>
      <w:r w:rsidRPr="009725BA">
        <w:rPr>
          <w:rFonts w:cs="Times New Roman"/>
          <w:sz w:val="19"/>
          <w:szCs w:val="19"/>
        </w:rPr>
        <w:t>Priem</w:t>
      </w:r>
      <w:proofErr w:type="spellEnd"/>
      <w:r w:rsidRPr="009725BA">
        <w:rPr>
          <w:rFonts w:cs="Times New Roman"/>
          <w:sz w:val="19"/>
          <w:szCs w:val="19"/>
        </w:rPr>
        <w:t xml:space="preserve">, M. (2019). </w:t>
      </w:r>
      <w:r w:rsidRPr="009725BA">
        <w:rPr>
          <w:rFonts w:cs="Times New Roman"/>
          <w:i/>
          <w:iCs/>
          <w:sz w:val="19"/>
          <w:szCs w:val="19"/>
        </w:rPr>
        <w:t>European Solidarity in Times of Crisis: Insights from a Thirteen-Country Survey</w:t>
      </w:r>
      <w:r w:rsidRPr="009725BA">
        <w:rPr>
          <w:rFonts w:cs="Times New Roman"/>
          <w:sz w:val="19"/>
          <w:szCs w:val="19"/>
        </w:rPr>
        <w:t>. Routledge. https://doi.org/10.4324/9780429289453</w:t>
      </w:r>
    </w:p>
    <w:p w14:paraId="7C55E433"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Hainmueller</w:t>
      </w:r>
      <w:proofErr w:type="spellEnd"/>
      <w:r w:rsidRPr="009725BA">
        <w:rPr>
          <w:rFonts w:cs="Times New Roman"/>
          <w:sz w:val="19"/>
          <w:szCs w:val="19"/>
        </w:rPr>
        <w:t xml:space="preserve">, J., &amp; Hopkins, D. J. (2014). Public Attitudes Toward Immigration. </w:t>
      </w:r>
      <w:r w:rsidRPr="009725BA">
        <w:rPr>
          <w:rFonts w:cs="Times New Roman"/>
          <w:i/>
          <w:iCs/>
          <w:sz w:val="19"/>
          <w:szCs w:val="19"/>
        </w:rPr>
        <w:t>Annual Review of Political Science</w:t>
      </w:r>
      <w:r w:rsidRPr="009725BA">
        <w:rPr>
          <w:rFonts w:cs="Times New Roman"/>
          <w:sz w:val="19"/>
          <w:szCs w:val="19"/>
        </w:rPr>
        <w:t xml:space="preserve">, </w:t>
      </w:r>
      <w:r w:rsidRPr="009725BA">
        <w:rPr>
          <w:rFonts w:cs="Times New Roman"/>
          <w:i/>
          <w:iCs/>
          <w:sz w:val="19"/>
          <w:szCs w:val="19"/>
        </w:rPr>
        <w:t>17</w:t>
      </w:r>
      <w:r w:rsidRPr="009725BA">
        <w:rPr>
          <w:rFonts w:cs="Times New Roman"/>
          <w:sz w:val="19"/>
          <w:szCs w:val="19"/>
        </w:rPr>
        <w:t>(1), 225–249. https://doi.org/10.1146/annurev-polisci-102512-194818</w:t>
      </w:r>
    </w:p>
    <w:p w14:paraId="06207344"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Hainmueller</w:t>
      </w:r>
      <w:proofErr w:type="spellEnd"/>
      <w:r w:rsidRPr="009725BA">
        <w:rPr>
          <w:rFonts w:cs="Times New Roman"/>
          <w:sz w:val="19"/>
          <w:szCs w:val="19"/>
        </w:rPr>
        <w:t xml:space="preserve">, J., Hopkins, D. J., &amp; Yamamoto, T. (2014). Causal Inference in Conjoint Analysis: Understanding Multidimensional Choices via Stated Preference Experiments. </w:t>
      </w:r>
      <w:r w:rsidRPr="009725BA">
        <w:rPr>
          <w:rFonts w:cs="Times New Roman"/>
          <w:i/>
          <w:iCs/>
          <w:sz w:val="19"/>
          <w:szCs w:val="19"/>
        </w:rPr>
        <w:t>Political Analysis</w:t>
      </w:r>
      <w:r w:rsidRPr="009725BA">
        <w:rPr>
          <w:rFonts w:cs="Times New Roman"/>
          <w:sz w:val="19"/>
          <w:szCs w:val="19"/>
        </w:rPr>
        <w:t xml:space="preserve">, </w:t>
      </w:r>
      <w:r w:rsidRPr="009725BA">
        <w:rPr>
          <w:rFonts w:cs="Times New Roman"/>
          <w:i/>
          <w:iCs/>
          <w:sz w:val="19"/>
          <w:szCs w:val="19"/>
        </w:rPr>
        <w:t>22</w:t>
      </w:r>
      <w:r w:rsidRPr="009725BA">
        <w:rPr>
          <w:rFonts w:cs="Times New Roman"/>
          <w:sz w:val="19"/>
          <w:szCs w:val="19"/>
        </w:rPr>
        <w:t>(1), 1–30. https://doi.org/10.1093/pan/mpt024</w:t>
      </w:r>
    </w:p>
    <w:p w14:paraId="25F29933"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Hix, S., Kaufmann, E., &amp; Leeper, T. J. (2021). Pricing Immigration. </w:t>
      </w:r>
      <w:r w:rsidRPr="009725BA">
        <w:rPr>
          <w:rFonts w:cs="Times New Roman"/>
          <w:i/>
          <w:iCs/>
          <w:sz w:val="19"/>
          <w:szCs w:val="19"/>
        </w:rPr>
        <w:t>Journal of Experimental Political Science</w:t>
      </w:r>
      <w:r w:rsidRPr="009725BA">
        <w:rPr>
          <w:rFonts w:cs="Times New Roman"/>
          <w:sz w:val="19"/>
          <w:szCs w:val="19"/>
        </w:rPr>
        <w:t xml:space="preserve">, </w:t>
      </w:r>
      <w:r w:rsidRPr="009725BA">
        <w:rPr>
          <w:rFonts w:cs="Times New Roman"/>
          <w:i/>
          <w:iCs/>
          <w:sz w:val="19"/>
          <w:szCs w:val="19"/>
        </w:rPr>
        <w:t>8</w:t>
      </w:r>
      <w:r w:rsidRPr="009725BA">
        <w:rPr>
          <w:rFonts w:cs="Times New Roman"/>
          <w:sz w:val="19"/>
          <w:szCs w:val="19"/>
        </w:rPr>
        <w:t>(1), 63–74. https://doi.org/10.1017/XPS.2020.6</w:t>
      </w:r>
    </w:p>
    <w:p w14:paraId="66EBF46B"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Hooghe</w:t>
      </w:r>
      <w:proofErr w:type="spellEnd"/>
      <w:r w:rsidRPr="009725BA">
        <w:rPr>
          <w:rFonts w:cs="Times New Roman"/>
          <w:sz w:val="19"/>
          <w:szCs w:val="19"/>
        </w:rPr>
        <w:t xml:space="preserve">, L., &amp; Marks, G. (2005). Calculation, Community and Cues: Public Opinion on European Integration. </w:t>
      </w:r>
      <w:r w:rsidRPr="009725BA">
        <w:rPr>
          <w:rFonts w:cs="Times New Roman"/>
          <w:i/>
          <w:iCs/>
          <w:sz w:val="19"/>
          <w:szCs w:val="19"/>
        </w:rPr>
        <w:t>European Union Politics</w:t>
      </w:r>
      <w:r w:rsidRPr="009725BA">
        <w:rPr>
          <w:rFonts w:cs="Times New Roman"/>
          <w:sz w:val="19"/>
          <w:szCs w:val="19"/>
        </w:rPr>
        <w:t xml:space="preserve">, </w:t>
      </w:r>
      <w:r w:rsidRPr="009725BA">
        <w:rPr>
          <w:rFonts w:cs="Times New Roman"/>
          <w:i/>
          <w:iCs/>
          <w:sz w:val="19"/>
          <w:szCs w:val="19"/>
        </w:rPr>
        <w:t>6</w:t>
      </w:r>
      <w:r w:rsidRPr="009725BA">
        <w:rPr>
          <w:rFonts w:cs="Times New Roman"/>
          <w:sz w:val="19"/>
          <w:szCs w:val="19"/>
        </w:rPr>
        <w:t>(4), 419–443. https://doi.org/10.1177/1465116505057816</w:t>
      </w:r>
    </w:p>
    <w:p w14:paraId="050CA43C"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Johnston, R., Dorling, D., Tunstall, H., Rossiter, D., </w:t>
      </w:r>
      <w:proofErr w:type="spellStart"/>
      <w:r w:rsidRPr="009725BA">
        <w:rPr>
          <w:rFonts w:cs="Times New Roman"/>
          <w:sz w:val="19"/>
          <w:szCs w:val="19"/>
        </w:rPr>
        <w:t>MacAllister</w:t>
      </w:r>
      <w:proofErr w:type="spellEnd"/>
      <w:r w:rsidRPr="009725BA">
        <w:rPr>
          <w:rFonts w:cs="Times New Roman"/>
          <w:sz w:val="19"/>
          <w:szCs w:val="19"/>
        </w:rPr>
        <w:t xml:space="preserve">, I., &amp; Pattie, C. (2000). Locating the Altruistic Voter: Context, Egocentric Voting, and Support for the Conservative Party at the 1997 General Election in England and Wales. </w:t>
      </w:r>
      <w:r w:rsidRPr="009725BA">
        <w:rPr>
          <w:rFonts w:cs="Times New Roman"/>
          <w:i/>
          <w:iCs/>
          <w:sz w:val="19"/>
          <w:szCs w:val="19"/>
        </w:rPr>
        <w:t>Environment and Planning A: Economy and Space</w:t>
      </w:r>
      <w:r w:rsidRPr="009725BA">
        <w:rPr>
          <w:rFonts w:cs="Times New Roman"/>
          <w:sz w:val="19"/>
          <w:szCs w:val="19"/>
        </w:rPr>
        <w:t xml:space="preserve">, </w:t>
      </w:r>
      <w:r w:rsidRPr="009725BA">
        <w:rPr>
          <w:rFonts w:cs="Times New Roman"/>
          <w:i/>
          <w:iCs/>
          <w:sz w:val="19"/>
          <w:szCs w:val="19"/>
        </w:rPr>
        <w:t>32</w:t>
      </w:r>
      <w:r w:rsidRPr="009725BA">
        <w:rPr>
          <w:rFonts w:cs="Times New Roman"/>
          <w:sz w:val="19"/>
          <w:szCs w:val="19"/>
        </w:rPr>
        <w:t>(4), 673–694. https://doi.org/10.1068/a3294</w:t>
      </w:r>
    </w:p>
    <w:p w14:paraId="510552D5"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Kertzer, J. D., Barbera, P., Guess, A., </w:t>
      </w:r>
      <w:proofErr w:type="spellStart"/>
      <w:r w:rsidRPr="009725BA">
        <w:rPr>
          <w:rFonts w:cs="Times New Roman"/>
          <w:sz w:val="19"/>
          <w:szCs w:val="19"/>
        </w:rPr>
        <w:t>Munzert</w:t>
      </w:r>
      <w:proofErr w:type="spellEnd"/>
      <w:r w:rsidRPr="009725BA">
        <w:rPr>
          <w:rFonts w:cs="Times New Roman"/>
          <w:sz w:val="19"/>
          <w:szCs w:val="19"/>
        </w:rPr>
        <w:t xml:space="preserve">, S., Yang, J., &amp; Zhou, A. (2019). </w:t>
      </w:r>
      <w:r w:rsidRPr="009725BA">
        <w:rPr>
          <w:rFonts w:cs="Times New Roman"/>
          <w:i/>
          <w:iCs/>
          <w:sz w:val="19"/>
          <w:szCs w:val="19"/>
        </w:rPr>
        <w:t>Trade Attitudes In The Wild</w:t>
      </w:r>
      <w:r w:rsidRPr="009725BA">
        <w:rPr>
          <w:rFonts w:cs="Times New Roman"/>
          <w:sz w:val="19"/>
          <w:szCs w:val="19"/>
        </w:rPr>
        <w:t>. 51.</w:t>
      </w:r>
    </w:p>
    <w:p w14:paraId="5447A8B1"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Kinder, D. R., &amp; </w:t>
      </w:r>
      <w:proofErr w:type="spellStart"/>
      <w:r w:rsidRPr="009725BA">
        <w:rPr>
          <w:rFonts w:cs="Times New Roman"/>
          <w:sz w:val="19"/>
          <w:szCs w:val="19"/>
        </w:rPr>
        <w:t>Kiewiet</w:t>
      </w:r>
      <w:proofErr w:type="spellEnd"/>
      <w:r w:rsidRPr="009725BA">
        <w:rPr>
          <w:rFonts w:cs="Times New Roman"/>
          <w:sz w:val="19"/>
          <w:szCs w:val="19"/>
        </w:rPr>
        <w:t xml:space="preserve">, D. R. (1981). Sociotropic Politics: The American Case. </w:t>
      </w:r>
      <w:r w:rsidRPr="009725BA">
        <w:rPr>
          <w:rFonts w:cs="Times New Roman"/>
          <w:i/>
          <w:iCs/>
          <w:sz w:val="19"/>
          <w:szCs w:val="19"/>
        </w:rPr>
        <w:t>British Journal of Political Science</w:t>
      </w:r>
      <w:r w:rsidRPr="009725BA">
        <w:rPr>
          <w:rFonts w:cs="Times New Roman"/>
          <w:sz w:val="19"/>
          <w:szCs w:val="19"/>
        </w:rPr>
        <w:t xml:space="preserve">, </w:t>
      </w:r>
      <w:r w:rsidRPr="009725BA">
        <w:rPr>
          <w:rFonts w:cs="Times New Roman"/>
          <w:i/>
          <w:iCs/>
          <w:sz w:val="19"/>
          <w:szCs w:val="19"/>
        </w:rPr>
        <w:t>11</w:t>
      </w:r>
      <w:r w:rsidRPr="009725BA">
        <w:rPr>
          <w:rFonts w:cs="Times New Roman"/>
          <w:sz w:val="19"/>
          <w:szCs w:val="19"/>
        </w:rPr>
        <w:t>(2), 129–161.</w:t>
      </w:r>
    </w:p>
    <w:p w14:paraId="5C1F7D0B"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Klor</w:t>
      </w:r>
      <w:proofErr w:type="spellEnd"/>
      <w:r w:rsidRPr="009725BA">
        <w:rPr>
          <w:rFonts w:cs="Times New Roman"/>
          <w:sz w:val="19"/>
          <w:szCs w:val="19"/>
        </w:rPr>
        <w:t xml:space="preserve">, E. F., &amp; </w:t>
      </w:r>
      <w:proofErr w:type="spellStart"/>
      <w:r w:rsidRPr="009725BA">
        <w:rPr>
          <w:rFonts w:cs="Times New Roman"/>
          <w:sz w:val="19"/>
          <w:szCs w:val="19"/>
        </w:rPr>
        <w:t>Shayo</w:t>
      </w:r>
      <w:proofErr w:type="spellEnd"/>
      <w:r w:rsidRPr="009725BA">
        <w:rPr>
          <w:rFonts w:cs="Times New Roman"/>
          <w:sz w:val="19"/>
          <w:szCs w:val="19"/>
        </w:rPr>
        <w:t xml:space="preserve">, M. (2010). Social identity and preferences over redistribution. </w:t>
      </w:r>
      <w:r w:rsidRPr="009725BA">
        <w:rPr>
          <w:rFonts w:cs="Times New Roman"/>
          <w:i/>
          <w:iCs/>
          <w:sz w:val="19"/>
          <w:szCs w:val="19"/>
        </w:rPr>
        <w:t>Journal of Public Economics</w:t>
      </w:r>
      <w:r w:rsidRPr="009725BA">
        <w:rPr>
          <w:rFonts w:cs="Times New Roman"/>
          <w:sz w:val="19"/>
          <w:szCs w:val="19"/>
        </w:rPr>
        <w:t xml:space="preserve">, </w:t>
      </w:r>
      <w:r w:rsidRPr="009725BA">
        <w:rPr>
          <w:rFonts w:cs="Times New Roman"/>
          <w:i/>
          <w:iCs/>
          <w:sz w:val="19"/>
          <w:szCs w:val="19"/>
        </w:rPr>
        <w:t>94</w:t>
      </w:r>
      <w:r w:rsidRPr="009725BA">
        <w:rPr>
          <w:rFonts w:cs="Times New Roman"/>
          <w:sz w:val="19"/>
          <w:szCs w:val="19"/>
        </w:rPr>
        <w:t>(3), 269–278. https://doi.org/10.1016/j.jpubeco.2009.12.003</w:t>
      </w:r>
    </w:p>
    <w:p w14:paraId="3F0CFAAB"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Kramer, G. H. (1971). Short-Term Fluctuations in U.S. Voting </w:t>
      </w:r>
      <w:proofErr w:type="spellStart"/>
      <w:r w:rsidRPr="009725BA">
        <w:rPr>
          <w:rFonts w:cs="Times New Roman"/>
          <w:sz w:val="19"/>
          <w:szCs w:val="19"/>
        </w:rPr>
        <w:t>Behavior</w:t>
      </w:r>
      <w:proofErr w:type="spellEnd"/>
      <w:r w:rsidRPr="009725BA">
        <w:rPr>
          <w:rFonts w:cs="Times New Roman"/>
          <w:sz w:val="19"/>
          <w:szCs w:val="19"/>
        </w:rPr>
        <w:t xml:space="preserve">, 1896–1964*. </w:t>
      </w:r>
      <w:r w:rsidRPr="009725BA">
        <w:rPr>
          <w:rFonts w:cs="Times New Roman"/>
          <w:i/>
          <w:iCs/>
          <w:sz w:val="19"/>
          <w:szCs w:val="19"/>
        </w:rPr>
        <w:t>American Political Science Review</w:t>
      </w:r>
      <w:r w:rsidRPr="009725BA">
        <w:rPr>
          <w:rFonts w:cs="Times New Roman"/>
          <w:sz w:val="19"/>
          <w:szCs w:val="19"/>
        </w:rPr>
        <w:t xml:space="preserve">, </w:t>
      </w:r>
      <w:r w:rsidRPr="009725BA">
        <w:rPr>
          <w:rFonts w:cs="Times New Roman"/>
          <w:i/>
          <w:iCs/>
          <w:sz w:val="19"/>
          <w:szCs w:val="19"/>
        </w:rPr>
        <w:t>65</w:t>
      </w:r>
      <w:r w:rsidRPr="009725BA">
        <w:rPr>
          <w:rFonts w:cs="Times New Roman"/>
          <w:sz w:val="19"/>
          <w:szCs w:val="19"/>
        </w:rPr>
        <w:t>(1), 131–143. https://doi.org/10.2307/1955049</w:t>
      </w:r>
    </w:p>
    <w:p w14:paraId="6FF94CA2"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lastRenderedPageBreak/>
        <w:t xml:space="preserve">Kramer, G. H. (1983). The Ecological Fallacy Revisited: Aggregate- versus Individual-level Findings on Economics and Elections, and Sociotropic Voting. </w:t>
      </w:r>
      <w:r w:rsidRPr="009725BA">
        <w:rPr>
          <w:rFonts w:cs="Times New Roman"/>
          <w:i/>
          <w:iCs/>
          <w:sz w:val="19"/>
          <w:szCs w:val="19"/>
        </w:rPr>
        <w:t>American Political Science Review</w:t>
      </w:r>
      <w:r w:rsidRPr="009725BA">
        <w:rPr>
          <w:rFonts w:cs="Times New Roman"/>
          <w:sz w:val="19"/>
          <w:szCs w:val="19"/>
        </w:rPr>
        <w:t xml:space="preserve">, </w:t>
      </w:r>
      <w:r w:rsidRPr="009725BA">
        <w:rPr>
          <w:rFonts w:cs="Times New Roman"/>
          <w:i/>
          <w:iCs/>
          <w:sz w:val="19"/>
          <w:szCs w:val="19"/>
        </w:rPr>
        <w:t>77</w:t>
      </w:r>
      <w:r w:rsidRPr="009725BA">
        <w:rPr>
          <w:rFonts w:cs="Times New Roman"/>
          <w:sz w:val="19"/>
          <w:szCs w:val="19"/>
        </w:rPr>
        <w:t>(1), 92–111. https://doi.org/10.2307/1956013</w:t>
      </w:r>
    </w:p>
    <w:p w14:paraId="49FDCCE0"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Kuhn, T., </w:t>
      </w:r>
      <w:proofErr w:type="spellStart"/>
      <w:r w:rsidRPr="009725BA">
        <w:rPr>
          <w:rFonts w:cs="Times New Roman"/>
          <w:sz w:val="19"/>
          <w:szCs w:val="19"/>
        </w:rPr>
        <w:t>Nicoli</w:t>
      </w:r>
      <w:proofErr w:type="spellEnd"/>
      <w:r w:rsidRPr="009725BA">
        <w:rPr>
          <w:rFonts w:cs="Times New Roman"/>
          <w:sz w:val="19"/>
          <w:szCs w:val="19"/>
        </w:rPr>
        <w:t xml:space="preserve">, F., &amp; </w:t>
      </w:r>
      <w:proofErr w:type="spellStart"/>
      <w:r w:rsidRPr="009725BA">
        <w:rPr>
          <w:rFonts w:cs="Times New Roman"/>
          <w:sz w:val="19"/>
          <w:szCs w:val="19"/>
        </w:rPr>
        <w:t>Vandenbroucke</w:t>
      </w:r>
      <w:proofErr w:type="spellEnd"/>
      <w:r w:rsidRPr="009725BA">
        <w:rPr>
          <w:rFonts w:cs="Times New Roman"/>
          <w:sz w:val="19"/>
          <w:szCs w:val="19"/>
        </w:rPr>
        <w:t xml:space="preserve">, F. (2020). Preferences for European unemployment insurance: A question of economic ideology or EU support? </w:t>
      </w:r>
      <w:r w:rsidRPr="009725BA">
        <w:rPr>
          <w:rFonts w:cs="Times New Roman"/>
          <w:i/>
          <w:iCs/>
          <w:sz w:val="19"/>
          <w:szCs w:val="19"/>
        </w:rPr>
        <w:t>Journal of European Public Policy</w:t>
      </w:r>
      <w:r w:rsidRPr="009725BA">
        <w:rPr>
          <w:rFonts w:cs="Times New Roman"/>
          <w:sz w:val="19"/>
          <w:szCs w:val="19"/>
        </w:rPr>
        <w:t xml:space="preserve">, </w:t>
      </w:r>
      <w:r w:rsidRPr="009725BA">
        <w:rPr>
          <w:rFonts w:cs="Times New Roman"/>
          <w:i/>
          <w:iCs/>
          <w:sz w:val="19"/>
          <w:szCs w:val="19"/>
        </w:rPr>
        <w:t>27</w:t>
      </w:r>
      <w:r w:rsidRPr="009725BA">
        <w:rPr>
          <w:rFonts w:cs="Times New Roman"/>
          <w:sz w:val="19"/>
          <w:szCs w:val="19"/>
        </w:rPr>
        <w:t>(2), 208–226. https://doi.org/10.1080/13501763.2019.1701529</w:t>
      </w:r>
    </w:p>
    <w:p w14:paraId="28A9881D"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Kuhn, T., </w:t>
      </w:r>
      <w:proofErr w:type="spellStart"/>
      <w:r w:rsidRPr="009725BA">
        <w:rPr>
          <w:rFonts w:cs="Times New Roman"/>
          <w:sz w:val="19"/>
          <w:szCs w:val="19"/>
        </w:rPr>
        <w:t>Solaz</w:t>
      </w:r>
      <w:proofErr w:type="spellEnd"/>
      <w:r w:rsidRPr="009725BA">
        <w:rPr>
          <w:rFonts w:cs="Times New Roman"/>
          <w:sz w:val="19"/>
          <w:szCs w:val="19"/>
        </w:rPr>
        <w:t xml:space="preserve">, H., &amp; </w:t>
      </w:r>
      <w:proofErr w:type="spellStart"/>
      <w:r w:rsidRPr="009725BA">
        <w:rPr>
          <w:rFonts w:cs="Times New Roman"/>
          <w:sz w:val="19"/>
          <w:szCs w:val="19"/>
        </w:rPr>
        <w:t>Elsas</w:t>
      </w:r>
      <w:proofErr w:type="spellEnd"/>
      <w:r w:rsidRPr="009725BA">
        <w:rPr>
          <w:rFonts w:cs="Times New Roman"/>
          <w:sz w:val="19"/>
          <w:szCs w:val="19"/>
        </w:rPr>
        <w:t xml:space="preserve">, E. J. van. (2018). Practising what you preach: How cosmopolitanism promotes willingness to redistribute across the European Union. </w:t>
      </w:r>
      <w:r w:rsidRPr="009725BA">
        <w:rPr>
          <w:rFonts w:cs="Times New Roman"/>
          <w:i/>
          <w:iCs/>
          <w:sz w:val="19"/>
          <w:szCs w:val="19"/>
        </w:rPr>
        <w:t>Journal of European Public Policy</w:t>
      </w:r>
      <w:r w:rsidRPr="009725BA">
        <w:rPr>
          <w:rFonts w:cs="Times New Roman"/>
          <w:sz w:val="19"/>
          <w:szCs w:val="19"/>
        </w:rPr>
        <w:t xml:space="preserve">, </w:t>
      </w:r>
      <w:r w:rsidRPr="009725BA">
        <w:rPr>
          <w:rFonts w:cs="Times New Roman"/>
          <w:i/>
          <w:iCs/>
          <w:sz w:val="19"/>
          <w:szCs w:val="19"/>
        </w:rPr>
        <w:t>25</w:t>
      </w:r>
      <w:r w:rsidRPr="009725BA">
        <w:rPr>
          <w:rFonts w:cs="Times New Roman"/>
          <w:sz w:val="19"/>
          <w:szCs w:val="19"/>
        </w:rPr>
        <w:t>(12), 1759–1778.</w:t>
      </w:r>
    </w:p>
    <w:p w14:paraId="0AD7991B"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Kuhn, T., &amp; </w:t>
      </w:r>
      <w:proofErr w:type="spellStart"/>
      <w:r w:rsidRPr="009725BA">
        <w:rPr>
          <w:rFonts w:cs="Times New Roman"/>
          <w:sz w:val="19"/>
          <w:szCs w:val="19"/>
        </w:rPr>
        <w:t>Stoeckel</w:t>
      </w:r>
      <w:proofErr w:type="spellEnd"/>
      <w:r w:rsidRPr="009725BA">
        <w:rPr>
          <w:rFonts w:cs="Times New Roman"/>
          <w:sz w:val="19"/>
          <w:szCs w:val="19"/>
        </w:rPr>
        <w:t xml:space="preserve">, F. (2014). When European integration becomes costly: The euro crisis and public support for European economic governance. </w:t>
      </w:r>
      <w:r w:rsidRPr="009725BA">
        <w:rPr>
          <w:rFonts w:cs="Times New Roman"/>
          <w:i/>
          <w:iCs/>
          <w:sz w:val="19"/>
          <w:szCs w:val="19"/>
        </w:rPr>
        <w:t>Journal of European Public Policy</w:t>
      </w:r>
      <w:r w:rsidRPr="009725BA">
        <w:rPr>
          <w:rFonts w:cs="Times New Roman"/>
          <w:sz w:val="19"/>
          <w:szCs w:val="19"/>
        </w:rPr>
        <w:t xml:space="preserve">, </w:t>
      </w:r>
      <w:r w:rsidRPr="009725BA">
        <w:rPr>
          <w:rFonts w:cs="Times New Roman"/>
          <w:i/>
          <w:iCs/>
          <w:sz w:val="19"/>
          <w:szCs w:val="19"/>
        </w:rPr>
        <w:t>21</w:t>
      </w:r>
      <w:r w:rsidRPr="009725BA">
        <w:rPr>
          <w:rFonts w:cs="Times New Roman"/>
          <w:sz w:val="19"/>
          <w:szCs w:val="19"/>
        </w:rPr>
        <w:t>(4), 624–641. https://doi.org/10.1080/13501763.2013.867892</w:t>
      </w:r>
    </w:p>
    <w:p w14:paraId="0C1948C0"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Kustov</w:t>
      </w:r>
      <w:proofErr w:type="spellEnd"/>
      <w:r w:rsidRPr="009725BA">
        <w:rPr>
          <w:rFonts w:cs="Times New Roman"/>
          <w:sz w:val="19"/>
          <w:szCs w:val="19"/>
        </w:rPr>
        <w:t xml:space="preserve">, A. (2021). Borders of Compassion: Immigration Preferences and Parochial Altruism. </w:t>
      </w:r>
      <w:r w:rsidRPr="009725BA">
        <w:rPr>
          <w:rFonts w:cs="Times New Roman"/>
          <w:i/>
          <w:iCs/>
          <w:sz w:val="19"/>
          <w:szCs w:val="19"/>
        </w:rPr>
        <w:t>Comparative Political Studies</w:t>
      </w:r>
      <w:r w:rsidRPr="009725BA">
        <w:rPr>
          <w:rFonts w:cs="Times New Roman"/>
          <w:sz w:val="19"/>
          <w:szCs w:val="19"/>
        </w:rPr>
        <w:t xml:space="preserve">, </w:t>
      </w:r>
      <w:r w:rsidRPr="009725BA">
        <w:rPr>
          <w:rFonts w:cs="Times New Roman"/>
          <w:i/>
          <w:iCs/>
          <w:sz w:val="19"/>
          <w:szCs w:val="19"/>
        </w:rPr>
        <w:t>54</w:t>
      </w:r>
      <w:r w:rsidRPr="009725BA">
        <w:rPr>
          <w:rFonts w:cs="Times New Roman"/>
          <w:sz w:val="19"/>
          <w:szCs w:val="19"/>
        </w:rPr>
        <w:t>(3–4), 445–481. https://doi.org/10.1177/0010414020938087</w:t>
      </w:r>
    </w:p>
    <w:p w14:paraId="41089A1C"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Levy, N., &amp; Phan, B. (2014). The Utility of Identity: Explaining Support for the EU after the Crash. </w:t>
      </w:r>
      <w:r w:rsidRPr="009725BA">
        <w:rPr>
          <w:rFonts w:cs="Times New Roman"/>
          <w:i/>
          <w:iCs/>
          <w:sz w:val="19"/>
          <w:szCs w:val="19"/>
        </w:rPr>
        <w:t>Polity</w:t>
      </w:r>
      <w:r w:rsidRPr="009725BA">
        <w:rPr>
          <w:rFonts w:cs="Times New Roman"/>
          <w:sz w:val="19"/>
          <w:szCs w:val="19"/>
        </w:rPr>
        <w:t xml:space="preserve">, </w:t>
      </w:r>
      <w:r w:rsidRPr="009725BA">
        <w:rPr>
          <w:rFonts w:cs="Times New Roman"/>
          <w:i/>
          <w:iCs/>
          <w:sz w:val="19"/>
          <w:szCs w:val="19"/>
        </w:rPr>
        <w:t>46</w:t>
      </w:r>
      <w:r w:rsidRPr="009725BA">
        <w:rPr>
          <w:rFonts w:cs="Times New Roman"/>
          <w:sz w:val="19"/>
          <w:szCs w:val="19"/>
        </w:rPr>
        <w:t>(4), 562–590. https://doi.org/10.1057/pol.2014.19</w:t>
      </w:r>
    </w:p>
    <w:p w14:paraId="020CEC08"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Lewin, L. (1991). </w:t>
      </w:r>
      <w:r w:rsidRPr="009725BA">
        <w:rPr>
          <w:rFonts w:cs="Times New Roman"/>
          <w:i/>
          <w:iCs/>
          <w:sz w:val="19"/>
          <w:szCs w:val="19"/>
        </w:rPr>
        <w:t>Self-Interest and Public Interest in Western Politics</w:t>
      </w:r>
      <w:r w:rsidRPr="009725BA">
        <w:rPr>
          <w:rFonts w:cs="Times New Roman"/>
          <w:sz w:val="19"/>
          <w:szCs w:val="19"/>
        </w:rPr>
        <w:t>. OUP Oxford.</w:t>
      </w:r>
    </w:p>
    <w:p w14:paraId="44C7A9CD" w14:textId="77777777" w:rsidR="009F632C" w:rsidRPr="009725BA" w:rsidRDefault="009F632C" w:rsidP="00691CAC">
      <w:pPr>
        <w:pStyle w:val="Bibliography"/>
        <w:spacing w:line="240" w:lineRule="auto"/>
        <w:jc w:val="both"/>
        <w:rPr>
          <w:rFonts w:cs="Times New Roman"/>
          <w:sz w:val="19"/>
          <w:szCs w:val="19"/>
          <w:lang w:val="it-IT"/>
        </w:rPr>
      </w:pPr>
      <w:proofErr w:type="spellStart"/>
      <w:r w:rsidRPr="009725BA">
        <w:rPr>
          <w:rFonts w:cs="Times New Roman"/>
          <w:sz w:val="19"/>
          <w:szCs w:val="19"/>
        </w:rPr>
        <w:t>Llamazares</w:t>
      </w:r>
      <w:proofErr w:type="spellEnd"/>
      <w:r w:rsidRPr="009725BA">
        <w:rPr>
          <w:rFonts w:cs="Times New Roman"/>
          <w:sz w:val="19"/>
          <w:szCs w:val="19"/>
        </w:rPr>
        <w:t xml:space="preserve">, I., &amp; </w:t>
      </w:r>
      <w:proofErr w:type="spellStart"/>
      <w:r w:rsidRPr="009725BA">
        <w:rPr>
          <w:rFonts w:cs="Times New Roman"/>
          <w:sz w:val="19"/>
          <w:szCs w:val="19"/>
        </w:rPr>
        <w:t>Gramacho</w:t>
      </w:r>
      <w:proofErr w:type="spellEnd"/>
      <w:r w:rsidRPr="009725BA">
        <w:rPr>
          <w:rFonts w:cs="Times New Roman"/>
          <w:sz w:val="19"/>
          <w:szCs w:val="19"/>
        </w:rPr>
        <w:t xml:space="preserve">, W. (2007). Eurosceptics Among </w:t>
      </w:r>
      <w:proofErr w:type="spellStart"/>
      <w:r w:rsidRPr="009725BA">
        <w:rPr>
          <w:rFonts w:cs="Times New Roman"/>
          <w:sz w:val="19"/>
          <w:szCs w:val="19"/>
        </w:rPr>
        <w:t>Euroenthusiasts</w:t>
      </w:r>
      <w:proofErr w:type="spellEnd"/>
      <w:r w:rsidRPr="009725BA">
        <w:rPr>
          <w:rFonts w:cs="Times New Roman"/>
          <w:sz w:val="19"/>
          <w:szCs w:val="19"/>
        </w:rPr>
        <w:t xml:space="preserve">: An Analysis of Southern European Public Opinions. </w:t>
      </w:r>
      <w:r w:rsidRPr="009725BA">
        <w:rPr>
          <w:rFonts w:cs="Times New Roman"/>
          <w:i/>
          <w:iCs/>
          <w:sz w:val="19"/>
          <w:szCs w:val="19"/>
          <w:lang w:val="it-IT"/>
        </w:rPr>
        <w:t>Acta Politica</w:t>
      </w:r>
      <w:r w:rsidRPr="009725BA">
        <w:rPr>
          <w:rFonts w:cs="Times New Roman"/>
          <w:sz w:val="19"/>
          <w:szCs w:val="19"/>
          <w:lang w:val="it-IT"/>
        </w:rPr>
        <w:t xml:space="preserve">, </w:t>
      </w:r>
      <w:r w:rsidRPr="009725BA">
        <w:rPr>
          <w:rFonts w:cs="Times New Roman"/>
          <w:i/>
          <w:iCs/>
          <w:sz w:val="19"/>
          <w:szCs w:val="19"/>
          <w:lang w:val="it-IT"/>
        </w:rPr>
        <w:t>42</w:t>
      </w:r>
      <w:r w:rsidRPr="009725BA">
        <w:rPr>
          <w:rFonts w:cs="Times New Roman"/>
          <w:sz w:val="19"/>
          <w:szCs w:val="19"/>
          <w:lang w:val="it-IT"/>
        </w:rPr>
        <w:t>(2), 211–232. https://doi.org/10.1057/palgrave.ap.5500180</w:t>
      </w:r>
    </w:p>
    <w:p w14:paraId="3AC9EE79"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lang w:val="it-IT"/>
        </w:rPr>
        <w:t xml:space="preserve">Mansfield, E. D., &amp; Mutz, D. C. (2009). </w:t>
      </w:r>
      <w:r w:rsidRPr="009725BA">
        <w:rPr>
          <w:rFonts w:cs="Times New Roman"/>
          <w:sz w:val="19"/>
          <w:szCs w:val="19"/>
        </w:rPr>
        <w:t xml:space="preserve">Support for Free Trade: Self-Interest, Sociotropic Politics, and Out-Group Anxiety. </w:t>
      </w:r>
      <w:r w:rsidRPr="009725BA">
        <w:rPr>
          <w:rFonts w:cs="Times New Roman"/>
          <w:i/>
          <w:iCs/>
          <w:sz w:val="19"/>
          <w:szCs w:val="19"/>
        </w:rPr>
        <w:t>International Organization</w:t>
      </w:r>
      <w:r w:rsidRPr="009725BA">
        <w:rPr>
          <w:rFonts w:cs="Times New Roman"/>
          <w:sz w:val="19"/>
          <w:szCs w:val="19"/>
        </w:rPr>
        <w:t xml:space="preserve">, </w:t>
      </w:r>
      <w:r w:rsidRPr="009725BA">
        <w:rPr>
          <w:rFonts w:cs="Times New Roman"/>
          <w:i/>
          <w:iCs/>
          <w:sz w:val="19"/>
          <w:szCs w:val="19"/>
        </w:rPr>
        <w:t>63</w:t>
      </w:r>
      <w:r w:rsidRPr="009725BA">
        <w:rPr>
          <w:rFonts w:cs="Times New Roman"/>
          <w:sz w:val="19"/>
          <w:szCs w:val="19"/>
        </w:rPr>
        <w:t>(3), 425–457. https://doi.org/10.1017/S0020818309090158</w:t>
      </w:r>
    </w:p>
    <w:p w14:paraId="6FCE6FFF"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Milanovic, B. (2015). Global Inequality of Opportunity: How Much of Our Income Is Determined by Where We Live? </w:t>
      </w:r>
      <w:r w:rsidRPr="009725BA">
        <w:rPr>
          <w:rFonts w:cs="Times New Roman"/>
          <w:i/>
          <w:iCs/>
          <w:sz w:val="19"/>
          <w:szCs w:val="19"/>
        </w:rPr>
        <w:t>The Review of Economics and Statistics</w:t>
      </w:r>
      <w:r w:rsidRPr="009725BA">
        <w:rPr>
          <w:rFonts w:cs="Times New Roman"/>
          <w:sz w:val="19"/>
          <w:szCs w:val="19"/>
        </w:rPr>
        <w:t xml:space="preserve">, </w:t>
      </w:r>
      <w:r w:rsidRPr="009725BA">
        <w:rPr>
          <w:rFonts w:cs="Times New Roman"/>
          <w:i/>
          <w:iCs/>
          <w:sz w:val="19"/>
          <w:szCs w:val="19"/>
        </w:rPr>
        <w:t>97</w:t>
      </w:r>
      <w:r w:rsidRPr="009725BA">
        <w:rPr>
          <w:rFonts w:cs="Times New Roman"/>
          <w:sz w:val="19"/>
          <w:szCs w:val="19"/>
        </w:rPr>
        <w:t>(2), 452–460. https://doi.org/10.1162/REST_a_00432</w:t>
      </w:r>
    </w:p>
    <w:p w14:paraId="5DAB73E2"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Miller, D. (2008). Immigrants, Nations, and Citizenship*. </w:t>
      </w:r>
      <w:r w:rsidRPr="009725BA">
        <w:rPr>
          <w:rFonts w:cs="Times New Roman"/>
          <w:i/>
          <w:iCs/>
          <w:sz w:val="19"/>
          <w:szCs w:val="19"/>
        </w:rPr>
        <w:t>Journal of Political Philosophy</w:t>
      </w:r>
      <w:r w:rsidRPr="009725BA">
        <w:rPr>
          <w:rFonts w:cs="Times New Roman"/>
          <w:sz w:val="19"/>
          <w:szCs w:val="19"/>
        </w:rPr>
        <w:t xml:space="preserve">, </w:t>
      </w:r>
      <w:r w:rsidRPr="009725BA">
        <w:rPr>
          <w:rFonts w:cs="Times New Roman"/>
          <w:i/>
          <w:iCs/>
          <w:sz w:val="19"/>
          <w:szCs w:val="19"/>
        </w:rPr>
        <w:t>16</w:t>
      </w:r>
      <w:r w:rsidRPr="009725BA">
        <w:rPr>
          <w:rFonts w:cs="Times New Roman"/>
          <w:sz w:val="19"/>
          <w:szCs w:val="19"/>
        </w:rPr>
        <w:t>(4), 371–390. https://doi.org/10.1111/j.1467-9760.2007.00295.x</w:t>
      </w:r>
    </w:p>
    <w:p w14:paraId="158994D3"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lang w:val="it-IT"/>
        </w:rPr>
        <w:t xml:space="preserve">Nicoli, F., Kuhn, T., &amp; Burgoon, B. (2020). </w:t>
      </w:r>
      <w:r w:rsidRPr="009725BA">
        <w:rPr>
          <w:rFonts w:cs="Times New Roman"/>
          <w:sz w:val="19"/>
          <w:szCs w:val="19"/>
        </w:rPr>
        <w:t xml:space="preserve">Collective Identities, European Solidarity: Identification Patterns and Preferences for European Social Insurance. </w:t>
      </w:r>
      <w:r w:rsidRPr="009725BA">
        <w:rPr>
          <w:rFonts w:cs="Times New Roman"/>
          <w:i/>
          <w:iCs/>
          <w:sz w:val="19"/>
          <w:szCs w:val="19"/>
        </w:rPr>
        <w:t>JCMS: Journal of Common Market Studies</w:t>
      </w:r>
      <w:r w:rsidRPr="009725BA">
        <w:rPr>
          <w:rFonts w:cs="Times New Roman"/>
          <w:sz w:val="19"/>
          <w:szCs w:val="19"/>
        </w:rPr>
        <w:t xml:space="preserve">, </w:t>
      </w:r>
      <w:r w:rsidRPr="009725BA">
        <w:rPr>
          <w:rFonts w:cs="Times New Roman"/>
          <w:i/>
          <w:iCs/>
          <w:sz w:val="19"/>
          <w:szCs w:val="19"/>
        </w:rPr>
        <w:t>58</w:t>
      </w:r>
      <w:r w:rsidRPr="009725BA">
        <w:rPr>
          <w:rFonts w:cs="Times New Roman"/>
          <w:sz w:val="19"/>
          <w:szCs w:val="19"/>
        </w:rPr>
        <w:t>(1), 76–95. https://doi.org/10.1111/jcms.12977</w:t>
      </w:r>
    </w:p>
    <w:p w14:paraId="5A1F0F75"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Rho, S., &amp; </w:t>
      </w:r>
      <w:proofErr w:type="spellStart"/>
      <w:r w:rsidRPr="009725BA">
        <w:rPr>
          <w:rFonts w:cs="Times New Roman"/>
          <w:sz w:val="19"/>
          <w:szCs w:val="19"/>
        </w:rPr>
        <w:t>Tomz</w:t>
      </w:r>
      <w:proofErr w:type="spellEnd"/>
      <w:r w:rsidRPr="009725BA">
        <w:rPr>
          <w:rFonts w:cs="Times New Roman"/>
          <w:sz w:val="19"/>
          <w:szCs w:val="19"/>
        </w:rPr>
        <w:t xml:space="preserve">, M. (2017). Why Don’t Trade Preferences Reflect Economic Self-Interest? </w:t>
      </w:r>
      <w:r w:rsidRPr="009725BA">
        <w:rPr>
          <w:rFonts w:cs="Times New Roman"/>
          <w:i/>
          <w:iCs/>
          <w:sz w:val="19"/>
          <w:szCs w:val="19"/>
        </w:rPr>
        <w:t>International Organization</w:t>
      </w:r>
      <w:r w:rsidRPr="009725BA">
        <w:rPr>
          <w:rFonts w:cs="Times New Roman"/>
          <w:sz w:val="19"/>
          <w:szCs w:val="19"/>
        </w:rPr>
        <w:t xml:space="preserve">, </w:t>
      </w:r>
      <w:r w:rsidRPr="009725BA">
        <w:rPr>
          <w:rFonts w:cs="Times New Roman"/>
          <w:i/>
          <w:iCs/>
          <w:sz w:val="19"/>
          <w:szCs w:val="19"/>
        </w:rPr>
        <w:t>71</w:t>
      </w:r>
      <w:r w:rsidRPr="009725BA">
        <w:rPr>
          <w:rFonts w:cs="Times New Roman"/>
          <w:sz w:val="19"/>
          <w:szCs w:val="19"/>
        </w:rPr>
        <w:t>(S1), S85–S108. https://doi.org/10.1017/S0020818316000394</w:t>
      </w:r>
    </w:p>
    <w:p w14:paraId="74A0ED2B"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Rogers, J. (2014). A </w:t>
      </w:r>
      <w:proofErr w:type="spellStart"/>
      <w:r w:rsidRPr="009725BA">
        <w:rPr>
          <w:rFonts w:cs="Times New Roman"/>
          <w:sz w:val="19"/>
          <w:szCs w:val="19"/>
        </w:rPr>
        <w:t>communotropic</w:t>
      </w:r>
      <w:proofErr w:type="spellEnd"/>
      <w:r w:rsidRPr="009725BA">
        <w:rPr>
          <w:rFonts w:cs="Times New Roman"/>
          <w:sz w:val="19"/>
          <w:szCs w:val="19"/>
        </w:rPr>
        <w:t xml:space="preserve"> theory of economic voting. </w:t>
      </w:r>
      <w:r w:rsidRPr="009725BA">
        <w:rPr>
          <w:rFonts w:cs="Times New Roman"/>
          <w:i/>
          <w:iCs/>
          <w:sz w:val="19"/>
          <w:szCs w:val="19"/>
        </w:rPr>
        <w:t>Electoral Studies</w:t>
      </w:r>
      <w:r w:rsidRPr="009725BA">
        <w:rPr>
          <w:rFonts w:cs="Times New Roman"/>
          <w:sz w:val="19"/>
          <w:szCs w:val="19"/>
        </w:rPr>
        <w:t xml:space="preserve">, </w:t>
      </w:r>
      <w:r w:rsidRPr="009725BA">
        <w:rPr>
          <w:rFonts w:cs="Times New Roman"/>
          <w:i/>
          <w:iCs/>
          <w:sz w:val="19"/>
          <w:szCs w:val="19"/>
        </w:rPr>
        <w:t>36</w:t>
      </w:r>
      <w:r w:rsidRPr="009725BA">
        <w:rPr>
          <w:rFonts w:cs="Times New Roman"/>
          <w:sz w:val="19"/>
          <w:szCs w:val="19"/>
        </w:rPr>
        <w:t>, 107–116. https://doi.org/10.1016/j.electstud.2014.08.004</w:t>
      </w:r>
    </w:p>
    <w:p w14:paraId="5CB77983"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Rogers, J., &amp; </w:t>
      </w:r>
      <w:proofErr w:type="spellStart"/>
      <w:r w:rsidRPr="009725BA">
        <w:rPr>
          <w:rFonts w:cs="Times New Roman"/>
          <w:sz w:val="19"/>
          <w:szCs w:val="19"/>
        </w:rPr>
        <w:t>Tyszler</w:t>
      </w:r>
      <w:proofErr w:type="spellEnd"/>
      <w:r w:rsidRPr="009725BA">
        <w:rPr>
          <w:rFonts w:cs="Times New Roman"/>
          <w:sz w:val="19"/>
          <w:szCs w:val="19"/>
        </w:rPr>
        <w:t xml:space="preserve">, M. (2018). Information and Economic Voting. </w:t>
      </w:r>
      <w:r w:rsidRPr="009725BA">
        <w:rPr>
          <w:rFonts w:cs="Times New Roman"/>
          <w:i/>
          <w:iCs/>
          <w:sz w:val="19"/>
          <w:szCs w:val="19"/>
        </w:rPr>
        <w:t>Political Science Research and Methods</w:t>
      </w:r>
      <w:r w:rsidRPr="009725BA">
        <w:rPr>
          <w:rFonts w:cs="Times New Roman"/>
          <w:sz w:val="19"/>
          <w:szCs w:val="19"/>
        </w:rPr>
        <w:t xml:space="preserve">, </w:t>
      </w:r>
      <w:r w:rsidRPr="009725BA">
        <w:rPr>
          <w:rFonts w:cs="Times New Roman"/>
          <w:i/>
          <w:iCs/>
          <w:sz w:val="19"/>
          <w:szCs w:val="19"/>
        </w:rPr>
        <w:t>6</w:t>
      </w:r>
      <w:r w:rsidRPr="009725BA">
        <w:rPr>
          <w:rFonts w:cs="Times New Roman"/>
          <w:sz w:val="19"/>
          <w:szCs w:val="19"/>
        </w:rPr>
        <w:t>(4), 753–770. https://doi.org/10.1017/psrm.2016.27</w:t>
      </w:r>
    </w:p>
    <w:p w14:paraId="05BD9034"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Rohrschneider</w:t>
      </w:r>
      <w:proofErr w:type="spellEnd"/>
      <w:r w:rsidRPr="009725BA">
        <w:rPr>
          <w:rFonts w:cs="Times New Roman"/>
          <w:sz w:val="19"/>
          <w:szCs w:val="19"/>
        </w:rPr>
        <w:t xml:space="preserve">, R. (1988). Citizens’ Attitudes Toward Environmental Issues: Selfish or Selfless? </w:t>
      </w:r>
      <w:r w:rsidRPr="009725BA">
        <w:rPr>
          <w:rFonts w:cs="Times New Roman"/>
          <w:i/>
          <w:iCs/>
          <w:sz w:val="19"/>
          <w:szCs w:val="19"/>
        </w:rPr>
        <w:t>Comparative Political Studies</w:t>
      </w:r>
      <w:r w:rsidRPr="009725BA">
        <w:rPr>
          <w:rFonts w:cs="Times New Roman"/>
          <w:sz w:val="19"/>
          <w:szCs w:val="19"/>
        </w:rPr>
        <w:t xml:space="preserve">, </w:t>
      </w:r>
      <w:r w:rsidRPr="009725BA">
        <w:rPr>
          <w:rFonts w:cs="Times New Roman"/>
          <w:i/>
          <w:iCs/>
          <w:sz w:val="19"/>
          <w:szCs w:val="19"/>
        </w:rPr>
        <w:t>21</w:t>
      </w:r>
      <w:r w:rsidRPr="009725BA">
        <w:rPr>
          <w:rFonts w:cs="Times New Roman"/>
          <w:sz w:val="19"/>
          <w:szCs w:val="19"/>
        </w:rPr>
        <w:t>(3), 347–367. https://doi.org/10.1177/0010414088021003002</w:t>
      </w:r>
    </w:p>
    <w:p w14:paraId="5451C6CC"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Schaffer, L. M., &amp; </w:t>
      </w:r>
      <w:proofErr w:type="spellStart"/>
      <w:r w:rsidRPr="009725BA">
        <w:rPr>
          <w:rFonts w:cs="Times New Roman"/>
          <w:sz w:val="19"/>
          <w:szCs w:val="19"/>
        </w:rPr>
        <w:t>Spilker</w:t>
      </w:r>
      <w:proofErr w:type="spellEnd"/>
      <w:r w:rsidRPr="009725BA">
        <w:rPr>
          <w:rFonts w:cs="Times New Roman"/>
          <w:sz w:val="19"/>
          <w:szCs w:val="19"/>
        </w:rPr>
        <w:t xml:space="preserve">, G. (2019). Self-interest versus sociotropic considerations: An information-based perspective to understanding individuals’ trade preferences. </w:t>
      </w:r>
      <w:r w:rsidRPr="009725BA">
        <w:rPr>
          <w:rFonts w:cs="Times New Roman"/>
          <w:i/>
          <w:iCs/>
          <w:sz w:val="19"/>
          <w:szCs w:val="19"/>
        </w:rPr>
        <w:t>Review of International Political Economy</w:t>
      </w:r>
      <w:r w:rsidRPr="009725BA">
        <w:rPr>
          <w:rFonts w:cs="Times New Roman"/>
          <w:sz w:val="19"/>
          <w:szCs w:val="19"/>
        </w:rPr>
        <w:t xml:space="preserve">, </w:t>
      </w:r>
      <w:r w:rsidRPr="009725BA">
        <w:rPr>
          <w:rFonts w:cs="Times New Roman"/>
          <w:i/>
          <w:iCs/>
          <w:sz w:val="19"/>
          <w:szCs w:val="19"/>
        </w:rPr>
        <w:t>26</w:t>
      </w:r>
      <w:r w:rsidRPr="009725BA">
        <w:rPr>
          <w:rFonts w:cs="Times New Roman"/>
          <w:sz w:val="19"/>
          <w:szCs w:val="19"/>
        </w:rPr>
        <w:t>(6), 1266–1292. https://doi.org/10.1080/09692290.2019.1642232</w:t>
      </w:r>
    </w:p>
    <w:p w14:paraId="60446AE1"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Schildkraut, D. J. (2014). Boundaries of American Identity: Evolving Understandings of “Us”. </w:t>
      </w:r>
      <w:r w:rsidRPr="009725BA">
        <w:rPr>
          <w:rFonts w:cs="Times New Roman"/>
          <w:i/>
          <w:iCs/>
          <w:sz w:val="19"/>
          <w:szCs w:val="19"/>
        </w:rPr>
        <w:t>Annual Review of Political Science</w:t>
      </w:r>
      <w:r w:rsidRPr="009725BA">
        <w:rPr>
          <w:rFonts w:cs="Times New Roman"/>
          <w:sz w:val="19"/>
          <w:szCs w:val="19"/>
        </w:rPr>
        <w:t xml:space="preserve">, </w:t>
      </w:r>
      <w:r w:rsidRPr="009725BA">
        <w:rPr>
          <w:rFonts w:cs="Times New Roman"/>
          <w:i/>
          <w:iCs/>
          <w:sz w:val="19"/>
          <w:szCs w:val="19"/>
        </w:rPr>
        <w:t>17</w:t>
      </w:r>
      <w:r w:rsidRPr="009725BA">
        <w:rPr>
          <w:rFonts w:cs="Times New Roman"/>
          <w:sz w:val="19"/>
          <w:szCs w:val="19"/>
        </w:rPr>
        <w:t>(1), 441–460. https://doi.org/10.1146/annurev-polisci-080812-144642</w:t>
      </w:r>
    </w:p>
    <w:p w14:paraId="3BC533B9"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Shiell</w:t>
      </w:r>
      <w:proofErr w:type="spellEnd"/>
      <w:r w:rsidRPr="009725BA">
        <w:rPr>
          <w:rFonts w:cs="Times New Roman"/>
          <w:sz w:val="19"/>
          <w:szCs w:val="19"/>
        </w:rPr>
        <w:t xml:space="preserve">, A., &amp; Seymour, J. (2002). Preferences for public health insurance: Egotism or altruism? </w:t>
      </w:r>
      <w:r w:rsidRPr="009725BA">
        <w:rPr>
          <w:rFonts w:cs="Times New Roman"/>
          <w:i/>
          <w:iCs/>
          <w:sz w:val="19"/>
          <w:szCs w:val="19"/>
        </w:rPr>
        <w:t>International Journal of Social Economics</w:t>
      </w:r>
      <w:r w:rsidRPr="009725BA">
        <w:rPr>
          <w:rFonts w:cs="Times New Roman"/>
          <w:sz w:val="19"/>
          <w:szCs w:val="19"/>
        </w:rPr>
        <w:t>. https://doi.org/10.1108/03068290210423505</w:t>
      </w:r>
    </w:p>
    <w:p w14:paraId="175E0EF6"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Sigelman</w:t>
      </w:r>
      <w:proofErr w:type="spellEnd"/>
      <w:r w:rsidRPr="009725BA">
        <w:rPr>
          <w:rFonts w:cs="Times New Roman"/>
          <w:sz w:val="19"/>
          <w:szCs w:val="19"/>
        </w:rPr>
        <w:t xml:space="preserve">, L., </w:t>
      </w:r>
      <w:proofErr w:type="spellStart"/>
      <w:r w:rsidRPr="009725BA">
        <w:rPr>
          <w:rFonts w:cs="Times New Roman"/>
          <w:sz w:val="19"/>
          <w:szCs w:val="19"/>
        </w:rPr>
        <w:t>Sigelman</w:t>
      </w:r>
      <w:proofErr w:type="spellEnd"/>
      <w:r w:rsidRPr="009725BA">
        <w:rPr>
          <w:rFonts w:cs="Times New Roman"/>
          <w:sz w:val="19"/>
          <w:szCs w:val="19"/>
        </w:rPr>
        <w:t xml:space="preserve">, C. K., &amp; Bullock, D. (1991). Reconsidering Pocketbook Voting: An Experimental Approach. </w:t>
      </w:r>
      <w:r w:rsidRPr="009725BA">
        <w:rPr>
          <w:rFonts w:cs="Times New Roman"/>
          <w:i/>
          <w:iCs/>
          <w:sz w:val="19"/>
          <w:szCs w:val="19"/>
        </w:rPr>
        <w:t xml:space="preserve">Political </w:t>
      </w:r>
      <w:proofErr w:type="spellStart"/>
      <w:r w:rsidRPr="009725BA">
        <w:rPr>
          <w:rFonts w:cs="Times New Roman"/>
          <w:i/>
          <w:iCs/>
          <w:sz w:val="19"/>
          <w:szCs w:val="19"/>
        </w:rPr>
        <w:t>Behavior</w:t>
      </w:r>
      <w:proofErr w:type="spellEnd"/>
      <w:r w:rsidRPr="009725BA">
        <w:rPr>
          <w:rFonts w:cs="Times New Roman"/>
          <w:sz w:val="19"/>
          <w:szCs w:val="19"/>
        </w:rPr>
        <w:t xml:space="preserve">, </w:t>
      </w:r>
      <w:r w:rsidRPr="009725BA">
        <w:rPr>
          <w:rFonts w:cs="Times New Roman"/>
          <w:i/>
          <w:iCs/>
          <w:sz w:val="19"/>
          <w:szCs w:val="19"/>
        </w:rPr>
        <w:t>13</w:t>
      </w:r>
      <w:r w:rsidRPr="009725BA">
        <w:rPr>
          <w:rFonts w:cs="Times New Roman"/>
          <w:sz w:val="19"/>
          <w:szCs w:val="19"/>
        </w:rPr>
        <w:t>(2), 129–149.</w:t>
      </w:r>
    </w:p>
    <w:p w14:paraId="0E70A32D" w14:textId="77777777" w:rsidR="009F632C" w:rsidRPr="009725BA" w:rsidRDefault="009F632C" w:rsidP="00691CAC">
      <w:pPr>
        <w:pStyle w:val="Bibliography"/>
        <w:spacing w:line="240" w:lineRule="auto"/>
        <w:jc w:val="both"/>
        <w:rPr>
          <w:rFonts w:cs="Times New Roman"/>
          <w:sz w:val="19"/>
          <w:szCs w:val="19"/>
          <w:lang w:val="nl-NL"/>
        </w:rPr>
      </w:pPr>
      <w:proofErr w:type="spellStart"/>
      <w:r w:rsidRPr="009725BA">
        <w:rPr>
          <w:rFonts w:cs="Times New Roman"/>
          <w:sz w:val="19"/>
          <w:szCs w:val="19"/>
        </w:rPr>
        <w:t>Solodoch</w:t>
      </w:r>
      <w:proofErr w:type="spellEnd"/>
      <w:r w:rsidRPr="009725BA">
        <w:rPr>
          <w:rFonts w:cs="Times New Roman"/>
          <w:sz w:val="19"/>
          <w:szCs w:val="19"/>
        </w:rPr>
        <w:t xml:space="preserve">, O. (2021). Do Sociotropic Concerns Mask Prejudice? Experimental Evidence on the Sources of Public Opposition to Immigration. </w:t>
      </w:r>
      <w:proofErr w:type="spellStart"/>
      <w:r w:rsidRPr="009725BA">
        <w:rPr>
          <w:rFonts w:cs="Times New Roman"/>
          <w:i/>
          <w:iCs/>
          <w:sz w:val="19"/>
          <w:szCs w:val="19"/>
          <w:lang w:val="nl-NL"/>
        </w:rPr>
        <w:t>Political</w:t>
      </w:r>
      <w:proofErr w:type="spellEnd"/>
      <w:r w:rsidRPr="009725BA">
        <w:rPr>
          <w:rFonts w:cs="Times New Roman"/>
          <w:i/>
          <w:iCs/>
          <w:sz w:val="19"/>
          <w:szCs w:val="19"/>
          <w:lang w:val="nl-NL"/>
        </w:rPr>
        <w:t xml:space="preserve"> Studies</w:t>
      </w:r>
      <w:r w:rsidRPr="009725BA">
        <w:rPr>
          <w:rFonts w:cs="Times New Roman"/>
          <w:sz w:val="19"/>
          <w:szCs w:val="19"/>
          <w:lang w:val="nl-NL"/>
        </w:rPr>
        <w:t xml:space="preserve">, </w:t>
      </w:r>
      <w:r w:rsidRPr="009725BA">
        <w:rPr>
          <w:rFonts w:cs="Times New Roman"/>
          <w:i/>
          <w:iCs/>
          <w:sz w:val="19"/>
          <w:szCs w:val="19"/>
          <w:lang w:val="nl-NL"/>
        </w:rPr>
        <w:t>69</w:t>
      </w:r>
      <w:r w:rsidRPr="009725BA">
        <w:rPr>
          <w:rFonts w:cs="Times New Roman"/>
          <w:sz w:val="19"/>
          <w:szCs w:val="19"/>
          <w:lang w:val="nl-NL"/>
        </w:rPr>
        <w:t>(4), 1009–1032. https://doi.org/10.1177/0032321720946163</w:t>
      </w:r>
    </w:p>
    <w:p w14:paraId="1230A47B"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lang w:val="nl-NL"/>
        </w:rPr>
        <w:t xml:space="preserve">Stern, P. C., Dietz, T., &amp; </w:t>
      </w:r>
      <w:proofErr w:type="spellStart"/>
      <w:r w:rsidRPr="009725BA">
        <w:rPr>
          <w:rFonts w:cs="Times New Roman"/>
          <w:sz w:val="19"/>
          <w:szCs w:val="19"/>
          <w:lang w:val="nl-NL"/>
        </w:rPr>
        <w:t>Kalof</w:t>
      </w:r>
      <w:proofErr w:type="spellEnd"/>
      <w:r w:rsidRPr="009725BA">
        <w:rPr>
          <w:rFonts w:cs="Times New Roman"/>
          <w:sz w:val="19"/>
          <w:szCs w:val="19"/>
          <w:lang w:val="nl-NL"/>
        </w:rPr>
        <w:t xml:space="preserve">, L. (1993). </w:t>
      </w:r>
      <w:r w:rsidRPr="009725BA">
        <w:rPr>
          <w:rFonts w:cs="Times New Roman"/>
          <w:sz w:val="19"/>
          <w:szCs w:val="19"/>
        </w:rPr>
        <w:t xml:space="preserve">Value Orientations, Gender, and Environmental Concern. </w:t>
      </w:r>
      <w:r w:rsidRPr="009725BA">
        <w:rPr>
          <w:rFonts w:cs="Times New Roman"/>
          <w:i/>
          <w:iCs/>
          <w:sz w:val="19"/>
          <w:szCs w:val="19"/>
        </w:rPr>
        <w:t xml:space="preserve">Environment and </w:t>
      </w:r>
      <w:proofErr w:type="spellStart"/>
      <w:r w:rsidRPr="009725BA">
        <w:rPr>
          <w:rFonts w:cs="Times New Roman"/>
          <w:i/>
          <w:iCs/>
          <w:sz w:val="19"/>
          <w:szCs w:val="19"/>
        </w:rPr>
        <w:t>Behavior</w:t>
      </w:r>
      <w:proofErr w:type="spellEnd"/>
      <w:r w:rsidRPr="009725BA">
        <w:rPr>
          <w:rFonts w:cs="Times New Roman"/>
          <w:sz w:val="19"/>
          <w:szCs w:val="19"/>
        </w:rPr>
        <w:t xml:space="preserve">, </w:t>
      </w:r>
      <w:r w:rsidRPr="009725BA">
        <w:rPr>
          <w:rFonts w:cs="Times New Roman"/>
          <w:i/>
          <w:iCs/>
          <w:sz w:val="19"/>
          <w:szCs w:val="19"/>
        </w:rPr>
        <w:t>25</w:t>
      </w:r>
      <w:r w:rsidRPr="009725BA">
        <w:rPr>
          <w:rFonts w:cs="Times New Roman"/>
          <w:sz w:val="19"/>
          <w:szCs w:val="19"/>
        </w:rPr>
        <w:t>(5), 322–348. https://doi.org/10.1177/0013916593255002</w:t>
      </w:r>
    </w:p>
    <w:p w14:paraId="6F22BFD3"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Triandafyllidou</w:t>
      </w:r>
      <w:proofErr w:type="spellEnd"/>
      <w:r w:rsidRPr="009725BA">
        <w:rPr>
          <w:rFonts w:cs="Times New Roman"/>
          <w:sz w:val="19"/>
          <w:szCs w:val="19"/>
        </w:rPr>
        <w:t xml:space="preserve">, A. (2008). Popular perceptions of Europe and the Nation: The case of Italy. </w:t>
      </w:r>
      <w:r w:rsidRPr="009725BA">
        <w:rPr>
          <w:rFonts w:cs="Times New Roman"/>
          <w:i/>
          <w:iCs/>
          <w:sz w:val="19"/>
          <w:szCs w:val="19"/>
        </w:rPr>
        <w:t>Nations and Nationalism</w:t>
      </w:r>
      <w:r w:rsidRPr="009725BA">
        <w:rPr>
          <w:rFonts w:cs="Times New Roman"/>
          <w:sz w:val="19"/>
          <w:szCs w:val="19"/>
        </w:rPr>
        <w:t xml:space="preserve">, </w:t>
      </w:r>
      <w:r w:rsidRPr="009725BA">
        <w:rPr>
          <w:rFonts w:cs="Times New Roman"/>
          <w:i/>
          <w:iCs/>
          <w:sz w:val="19"/>
          <w:szCs w:val="19"/>
        </w:rPr>
        <w:t>14</w:t>
      </w:r>
      <w:r w:rsidRPr="009725BA">
        <w:rPr>
          <w:rFonts w:cs="Times New Roman"/>
          <w:sz w:val="19"/>
          <w:szCs w:val="19"/>
        </w:rPr>
        <w:t>(2), 261–282. https://doi.org/10.1111/j.1469-8129.2008.00321.x</w:t>
      </w:r>
    </w:p>
    <w:p w14:paraId="2325E3E3"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Walsh, K. C. (2012). Putting Inequality in Its Place: Rural Consciousness and the Power of Perspective. </w:t>
      </w:r>
      <w:r w:rsidRPr="009725BA">
        <w:rPr>
          <w:rFonts w:cs="Times New Roman"/>
          <w:i/>
          <w:iCs/>
          <w:sz w:val="19"/>
          <w:szCs w:val="19"/>
        </w:rPr>
        <w:t>American Political Science Review</w:t>
      </w:r>
      <w:r w:rsidRPr="009725BA">
        <w:rPr>
          <w:rFonts w:cs="Times New Roman"/>
          <w:sz w:val="19"/>
          <w:szCs w:val="19"/>
        </w:rPr>
        <w:t xml:space="preserve">, </w:t>
      </w:r>
      <w:r w:rsidRPr="009725BA">
        <w:rPr>
          <w:rFonts w:cs="Times New Roman"/>
          <w:i/>
          <w:iCs/>
          <w:sz w:val="19"/>
          <w:szCs w:val="19"/>
        </w:rPr>
        <w:t>106</w:t>
      </w:r>
      <w:r w:rsidRPr="009725BA">
        <w:rPr>
          <w:rFonts w:cs="Times New Roman"/>
          <w:sz w:val="19"/>
          <w:szCs w:val="19"/>
        </w:rPr>
        <w:t>(3), 517–532. https://doi.org/10.1017/S0003055412000305</w:t>
      </w:r>
    </w:p>
    <w:p w14:paraId="7FA43408" w14:textId="77777777" w:rsidR="009F632C" w:rsidRPr="009725BA" w:rsidRDefault="009F632C" w:rsidP="00691CAC">
      <w:pPr>
        <w:pStyle w:val="Bibliography"/>
        <w:spacing w:line="240" w:lineRule="auto"/>
        <w:jc w:val="both"/>
        <w:rPr>
          <w:rFonts w:cs="Times New Roman"/>
          <w:sz w:val="19"/>
          <w:szCs w:val="19"/>
        </w:rPr>
      </w:pPr>
      <w:r w:rsidRPr="009725BA">
        <w:rPr>
          <w:rFonts w:cs="Times New Roman"/>
          <w:sz w:val="19"/>
          <w:szCs w:val="19"/>
        </w:rPr>
        <w:t xml:space="preserve">Whelan, C. T., &amp; Maître, B. (2009). Europeanization of inequality and European reference groups. </w:t>
      </w:r>
      <w:r w:rsidRPr="009725BA">
        <w:rPr>
          <w:rFonts w:cs="Times New Roman"/>
          <w:i/>
          <w:iCs/>
          <w:sz w:val="19"/>
          <w:szCs w:val="19"/>
        </w:rPr>
        <w:t>Journal of European Social Policy</w:t>
      </w:r>
      <w:r w:rsidRPr="009725BA">
        <w:rPr>
          <w:rFonts w:cs="Times New Roman"/>
          <w:sz w:val="19"/>
          <w:szCs w:val="19"/>
        </w:rPr>
        <w:t xml:space="preserve">, </w:t>
      </w:r>
      <w:r w:rsidRPr="009725BA">
        <w:rPr>
          <w:rFonts w:cs="Times New Roman"/>
          <w:i/>
          <w:iCs/>
          <w:sz w:val="19"/>
          <w:szCs w:val="19"/>
        </w:rPr>
        <w:t>19</w:t>
      </w:r>
      <w:r w:rsidRPr="009725BA">
        <w:rPr>
          <w:rFonts w:cs="Times New Roman"/>
          <w:sz w:val="19"/>
          <w:szCs w:val="19"/>
        </w:rPr>
        <w:t>(2), 117–130. https://doi.org/10.1177/0958928708101865</w:t>
      </w:r>
    </w:p>
    <w:p w14:paraId="596D1C6D" w14:textId="77777777" w:rsidR="009F632C" w:rsidRPr="009725BA" w:rsidRDefault="009F632C" w:rsidP="00691CAC">
      <w:pPr>
        <w:pStyle w:val="Bibliography"/>
        <w:spacing w:line="240" w:lineRule="auto"/>
        <w:jc w:val="both"/>
        <w:rPr>
          <w:rFonts w:cs="Times New Roman"/>
          <w:sz w:val="19"/>
          <w:szCs w:val="19"/>
        </w:rPr>
      </w:pPr>
      <w:proofErr w:type="spellStart"/>
      <w:r w:rsidRPr="009725BA">
        <w:rPr>
          <w:rFonts w:cs="Times New Roman"/>
          <w:sz w:val="19"/>
          <w:szCs w:val="19"/>
        </w:rPr>
        <w:t>Wratil</w:t>
      </w:r>
      <w:proofErr w:type="spellEnd"/>
      <w:r w:rsidRPr="009725BA">
        <w:rPr>
          <w:rFonts w:cs="Times New Roman"/>
          <w:sz w:val="19"/>
          <w:szCs w:val="19"/>
        </w:rPr>
        <w:t xml:space="preserve">, C., &amp; </w:t>
      </w:r>
      <w:proofErr w:type="spellStart"/>
      <w:r w:rsidRPr="009725BA">
        <w:rPr>
          <w:rFonts w:cs="Times New Roman"/>
          <w:sz w:val="19"/>
          <w:szCs w:val="19"/>
        </w:rPr>
        <w:t>Wäckerle</w:t>
      </w:r>
      <w:proofErr w:type="spellEnd"/>
      <w:r w:rsidRPr="009725BA">
        <w:rPr>
          <w:rFonts w:cs="Times New Roman"/>
          <w:sz w:val="19"/>
          <w:szCs w:val="19"/>
        </w:rPr>
        <w:t xml:space="preserve">, J. (2022). Majority representation and legitimacy: Survey-experimental evidence from the European Union. </w:t>
      </w:r>
      <w:r w:rsidRPr="009725BA">
        <w:rPr>
          <w:rFonts w:cs="Times New Roman"/>
          <w:i/>
          <w:iCs/>
          <w:sz w:val="19"/>
          <w:szCs w:val="19"/>
        </w:rPr>
        <w:t>European Journal of Political Research</w:t>
      </w:r>
      <w:r w:rsidRPr="009725BA">
        <w:rPr>
          <w:rFonts w:cs="Times New Roman"/>
          <w:sz w:val="19"/>
          <w:szCs w:val="19"/>
        </w:rPr>
        <w:t xml:space="preserve">, </w:t>
      </w:r>
      <w:r w:rsidRPr="009725BA">
        <w:rPr>
          <w:rFonts w:cs="Times New Roman"/>
          <w:i/>
          <w:iCs/>
          <w:sz w:val="19"/>
          <w:szCs w:val="19"/>
        </w:rPr>
        <w:t>n/a</w:t>
      </w:r>
      <w:r w:rsidRPr="009725BA">
        <w:rPr>
          <w:rFonts w:cs="Times New Roman"/>
          <w:sz w:val="19"/>
          <w:szCs w:val="19"/>
        </w:rPr>
        <w:t>(n/a). https://doi.org/10.1111/1475-6765.12507</w:t>
      </w:r>
    </w:p>
    <w:p w14:paraId="16E1DD75" w14:textId="75FC7BD5" w:rsidR="0081452A" w:rsidRPr="009725BA" w:rsidRDefault="0081452A" w:rsidP="00691CAC">
      <w:pPr>
        <w:spacing w:line="240" w:lineRule="auto"/>
        <w:jc w:val="both"/>
        <w:rPr>
          <w:rFonts w:cs="Times New Roman"/>
          <w:sz w:val="19"/>
          <w:szCs w:val="19"/>
        </w:rPr>
      </w:pPr>
    </w:p>
    <w:p w14:paraId="66C04422" w14:textId="77777777" w:rsidR="006A175B" w:rsidRPr="009725BA" w:rsidRDefault="006A175B" w:rsidP="007F3F40">
      <w:pPr>
        <w:pStyle w:val="Heading1"/>
        <w:sectPr w:rsidR="006A175B" w:rsidRPr="009725BA" w:rsidSect="00A17E9E">
          <w:pgSz w:w="11906" w:h="16838"/>
          <w:pgMar w:top="1440" w:right="1440" w:bottom="1440" w:left="1440" w:header="708" w:footer="708" w:gutter="0"/>
          <w:cols w:space="708"/>
          <w:docGrid w:linePitch="360"/>
        </w:sectPr>
      </w:pPr>
    </w:p>
    <w:p w14:paraId="0E804B10" w14:textId="6B7C2FB2" w:rsidR="0081452A" w:rsidRPr="00375327" w:rsidRDefault="0081452A" w:rsidP="007F3F40">
      <w:pPr>
        <w:pStyle w:val="Heading1"/>
      </w:pPr>
      <w:r w:rsidRPr="00375327">
        <w:lastRenderedPageBreak/>
        <w:t>Appendix</w:t>
      </w:r>
    </w:p>
    <w:p w14:paraId="163EBD2C" w14:textId="424E0438" w:rsidR="0081452A" w:rsidRPr="00375327" w:rsidRDefault="0081452A" w:rsidP="00D27FBC">
      <w:pPr>
        <w:pStyle w:val="Heading2"/>
      </w:pPr>
      <w:r w:rsidRPr="00375327">
        <w:t>Framing text</w:t>
      </w:r>
    </w:p>
    <w:p w14:paraId="6259CD78" w14:textId="6BA284F8" w:rsidR="00A74675" w:rsidRPr="00375327" w:rsidRDefault="00A74675" w:rsidP="00691CAC">
      <w:pPr>
        <w:jc w:val="both"/>
      </w:pPr>
      <w:r w:rsidRPr="00375327">
        <w:t xml:space="preserve">The framing of the conjoint experiment includes itself an additional experimental treatment. Half of the respondents was exposed to a frame that emphasised that EU Member States can be in need of temporary budgetary assistance in the event of </w:t>
      </w:r>
      <w:r w:rsidR="00BE1831" w:rsidRPr="00375327">
        <w:t xml:space="preserve">a temporary </w:t>
      </w:r>
      <w:r w:rsidRPr="00375327">
        <w:t xml:space="preserve">economic downturn, while the other half of the respondents was exposed to a frame that emphasised </w:t>
      </w:r>
      <w:r w:rsidR="00BE1831" w:rsidRPr="00375327">
        <w:t xml:space="preserve">the need for continuing assistance in the event of long-term economic </w:t>
      </w:r>
      <w:r w:rsidR="00651723" w:rsidRPr="00375327">
        <w:t>challenges</w:t>
      </w:r>
      <w:r w:rsidR="00BE1831" w:rsidRPr="00375327">
        <w:t xml:space="preserve">. This additional experiment is of limited relevance for the purposes of this paper, but nonetheless both framing texts are shown here. </w:t>
      </w:r>
    </w:p>
    <w:p w14:paraId="49DC91FF" w14:textId="77777777" w:rsidR="00BE1831" w:rsidRPr="00375327" w:rsidRDefault="00BE1831" w:rsidP="00691CAC">
      <w:pPr>
        <w:jc w:val="both"/>
      </w:pPr>
    </w:p>
    <w:p w14:paraId="7A9402DA" w14:textId="26F6BA67" w:rsidR="00A74675" w:rsidRPr="00375327" w:rsidRDefault="00A74675" w:rsidP="00691CAC">
      <w:pPr>
        <w:jc w:val="both"/>
      </w:pPr>
      <w:r w:rsidRPr="00375327">
        <w:rPr>
          <w:i/>
          <w:iCs/>
        </w:rPr>
        <w:t xml:space="preserve">Frame 1: </w:t>
      </w:r>
    </w:p>
    <w:p w14:paraId="36CF2EC7" w14:textId="33D12C0F" w:rsidR="00A74675" w:rsidRPr="00375327" w:rsidRDefault="00A74675" w:rsidP="00691CAC">
      <w:pPr>
        <w:jc w:val="both"/>
      </w:pPr>
      <w:r w:rsidRPr="00375327">
        <w:t>European governments spend money on policies such as infrastructure, education, social assistance, military defence, housing, etc. When a country is hit by a severe but temporary economic downturn, it can be difficult to maintain these policies during the downturn.</w:t>
      </w:r>
    </w:p>
    <w:p w14:paraId="66337460" w14:textId="77777777" w:rsidR="00BE1831" w:rsidRPr="00375327" w:rsidRDefault="00BE1831" w:rsidP="00691CAC">
      <w:pPr>
        <w:jc w:val="both"/>
      </w:pPr>
    </w:p>
    <w:p w14:paraId="1DF52CF3" w14:textId="3A0B7FD2" w:rsidR="00A74675" w:rsidRPr="00375327" w:rsidRDefault="00A74675" w:rsidP="00691CAC">
      <w:pPr>
        <w:jc w:val="both"/>
      </w:pPr>
      <w:r w:rsidRPr="00375327">
        <w:t>We would like to hear your opinion about a new European programme discussed by European governments to address such difficulty. This new programme would provide temporary budget support to countries in need. Such support would never be larger than 1% of the receiving country’s GDP.</w:t>
      </w:r>
    </w:p>
    <w:p w14:paraId="61CA291D" w14:textId="77777777" w:rsidR="00A74675" w:rsidRPr="00375327" w:rsidRDefault="00A74675" w:rsidP="00691CAC">
      <w:pPr>
        <w:jc w:val="both"/>
      </w:pPr>
      <w:r w:rsidRPr="00375327">
        <w:tab/>
      </w:r>
    </w:p>
    <w:p w14:paraId="23981846" w14:textId="5F0485F4" w:rsidR="00A74675" w:rsidRPr="00375327" w:rsidRDefault="00A74675" w:rsidP="00691CAC">
      <w:pPr>
        <w:jc w:val="both"/>
      </w:pPr>
      <w:r w:rsidRPr="00375327">
        <w:t>The budget support would help governments maintain their policies during the economic downturn and stabilize the economic situation. This mutual assistance programme would be financed by the participating countries.</w:t>
      </w:r>
    </w:p>
    <w:p w14:paraId="1CE80DFF" w14:textId="77777777" w:rsidR="00A74675" w:rsidRPr="00375327" w:rsidRDefault="00A74675" w:rsidP="00691CAC">
      <w:pPr>
        <w:jc w:val="both"/>
      </w:pPr>
      <w:r w:rsidRPr="00375327">
        <w:tab/>
      </w:r>
    </w:p>
    <w:p w14:paraId="4604B122" w14:textId="4B93BDE1" w:rsidR="00A74675" w:rsidRPr="00375327" w:rsidRDefault="00A74675" w:rsidP="00691CAC">
      <w:pPr>
        <w:jc w:val="both"/>
      </w:pPr>
      <w:r w:rsidRPr="00375327">
        <w:t>This European assistance programme can be organized in different ways. Different conditions can be imposed on countries that benefit from the support. Therefore, in the next pages you will be shown alternative options. You will be asked to indicate which options you prefer (or dislike the least), and how much you are in favour or against these proposals.</w:t>
      </w:r>
    </w:p>
    <w:p w14:paraId="4C711C80" w14:textId="2A5F3BC2" w:rsidR="00A74675" w:rsidRPr="00375327" w:rsidRDefault="00A74675" w:rsidP="00691CAC">
      <w:pPr>
        <w:jc w:val="both"/>
      </w:pPr>
    </w:p>
    <w:p w14:paraId="2284527A" w14:textId="10829AA6" w:rsidR="00A74675" w:rsidRPr="00375327" w:rsidRDefault="00A74675" w:rsidP="00691CAC">
      <w:pPr>
        <w:jc w:val="both"/>
        <w:rPr>
          <w:i/>
          <w:iCs/>
        </w:rPr>
      </w:pPr>
      <w:r w:rsidRPr="00375327">
        <w:rPr>
          <w:i/>
          <w:iCs/>
        </w:rPr>
        <w:t>Frame 2:</w:t>
      </w:r>
    </w:p>
    <w:p w14:paraId="4BCDB53C" w14:textId="77777777" w:rsidR="00A74675" w:rsidRPr="00375327" w:rsidRDefault="00A74675" w:rsidP="00691CAC">
      <w:pPr>
        <w:jc w:val="both"/>
      </w:pPr>
      <w:r w:rsidRPr="00375327">
        <w:t>European governments spend money on policies such as infrastructure, education, social assistance, military defence, housing, etc. However, when a country is confronted with long-</w:t>
      </w:r>
      <w:r w:rsidRPr="00375327">
        <w:lastRenderedPageBreak/>
        <w:t xml:space="preserve">lasting economic problems (such as a permanent decline in an important industrial sector), it can be difficult to maintain these policies. </w:t>
      </w:r>
    </w:p>
    <w:p w14:paraId="2DAE9E68" w14:textId="77777777" w:rsidR="00A74675" w:rsidRPr="00375327" w:rsidRDefault="00A74675" w:rsidP="00691CAC">
      <w:pPr>
        <w:jc w:val="both"/>
      </w:pPr>
      <w:r w:rsidRPr="00375327">
        <w:tab/>
      </w:r>
    </w:p>
    <w:p w14:paraId="1EFFCCEE" w14:textId="7DE82B37" w:rsidR="00A74675" w:rsidRPr="00375327" w:rsidRDefault="00A74675" w:rsidP="00691CAC">
      <w:pPr>
        <w:jc w:val="both"/>
      </w:pPr>
      <w:r w:rsidRPr="00375327">
        <w:t>We would like to hear your opinion about a new European programme discussed by European governments to address such difficulty. This new programme would provide budget support to countries in need. Such support would never be larger than 1% of the receiving country’s GDP.</w:t>
      </w:r>
    </w:p>
    <w:p w14:paraId="5665956F" w14:textId="77777777" w:rsidR="00A74675" w:rsidRPr="00375327" w:rsidRDefault="00A74675" w:rsidP="00691CAC">
      <w:pPr>
        <w:jc w:val="both"/>
      </w:pPr>
      <w:r w:rsidRPr="00375327">
        <w:tab/>
      </w:r>
    </w:p>
    <w:p w14:paraId="1222AE66" w14:textId="4ECECBF3" w:rsidR="00A74675" w:rsidRPr="00375327" w:rsidRDefault="00A74675" w:rsidP="00691CAC">
      <w:pPr>
        <w:jc w:val="both"/>
      </w:pPr>
      <w:r w:rsidRPr="00375327">
        <w:t>The budget support would help governments in maintaining their policies and to address these long-lasting economic problems. The mutual assistance provided by this programme would be financed by the participating countries.</w:t>
      </w:r>
    </w:p>
    <w:p w14:paraId="5789482F" w14:textId="77777777" w:rsidR="00A74675" w:rsidRPr="00375327" w:rsidRDefault="00A74675" w:rsidP="00691CAC">
      <w:pPr>
        <w:jc w:val="both"/>
      </w:pPr>
      <w:r w:rsidRPr="00375327">
        <w:tab/>
      </w:r>
    </w:p>
    <w:p w14:paraId="7D739DFB" w14:textId="39027761" w:rsidR="00A74675" w:rsidRPr="00375327" w:rsidRDefault="00A74675" w:rsidP="00691CAC">
      <w:pPr>
        <w:jc w:val="both"/>
      </w:pPr>
      <w:r w:rsidRPr="00375327">
        <w:t>This European assistance programme can be organized in different ways. Different conditions can be imposed on countries that benefit from the support. Therefore, in the next pages you will be shown alternative options. You will be asked to indicate which options you prefer (or dislike the least), and how much you are in favour or against these proposals.</w:t>
      </w:r>
    </w:p>
    <w:p w14:paraId="1B659066" w14:textId="22615DEA" w:rsidR="006B2534" w:rsidRPr="00375327" w:rsidRDefault="006B2534" w:rsidP="0081452A"/>
    <w:p w14:paraId="0C5CB114" w14:textId="609DBF95" w:rsidR="006B2534" w:rsidRPr="00375327" w:rsidRDefault="006B2534" w:rsidP="00D27FBC">
      <w:pPr>
        <w:pStyle w:val="Heading2"/>
      </w:pPr>
      <w:r w:rsidRPr="00375327">
        <w:t>Question wording</w:t>
      </w:r>
    </w:p>
    <w:p w14:paraId="5D0A53CC" w14:textId="4742EE36" w:rsidR="006B2534" w:rsidRPr="00375327" w:rsidRDefault="0029278F" w:rsidP="00691CAC">
      <w:pPr>
        <w:jc w:val="both"/>
      </w:pPr>
      <w:r w:rsidRPr="00375327">
        <w:rPr>
          <w:i/>
          <w:iCs/>
        </w:rPr>
        <w:t xml:space="preserve">Community attachment: </w:t>
      </w:r>
      <w:r w:rsidR="006B2534" w:rsidRPr="00375327">
        <w:t xml:space="preserve">‘On a scale of 0 to 10 (where 0 means totally unattached, and 10 means very attached), how attached do you feel with respect to ...’, with respondents answering this question </w:t>
      </w:r>
    </w:p>
    <w:p w14:paraId="703DACDF" w14:textId="77777777" w:rsidR="006B2534" w:rsidRPr="00375327" w:rsidRDefault="006B2534" w:rsidP="00691CAC">
      <w:pPr>
        <w:jc w:val="both"/>
      </w:pPr>
      <w:r w:rsidRPr="00375327">
        <w:t>Your local community</w:t>
      </w:r>
    </w:p>
    <w:p w14:paraId="091DD935" w14:textId="77777777" w:rsidR="006B2534" w:rsidRPr="00375327" w:rsidRDefault="006B2534" w:rsidP="00691CAC">
      <w:pPr>
        <w:jc w:val="both"/>
      </w:pPr>
      <w:r w:rsidRPr="00375327">
        <w:t>Your {#regional_denomination}</w:t>
      </w:r>
    </w:p>
    <w:p w14:paraId="592272D6" w14:textId="77777777" w:rsidR="006B2534" w:rsidRPr="00375327" w:rsidRDefault="006B2534" w:rsidP="00691CAC">
      <w:pPr>
        <w:jc w:val="both"/>
      </w:pPr>
      <w:r w:rsidRPr="00375327">
        <w:t>{#country_noun}</w:t>
      </w:r>
    </w:p>
    <w:p w14:paraId="5EE1CA67" w14:textId="737D5191" w:rsidR="0029278F" w:rsidRDefault="006B2534" w:rsidP="00691CAC">
      <w:pPr>
        <w:jc w:val="both"/>
      </w:pPr>
      <w:r w:rsidRPr="00375327">
        <w:t>Europe</w:t>
      </w:r>
    </w:p>
    <w:p w14:paraId="29AF0A48" w14:textId="77777777" w:rsidR="00937F0C" w:rsidRPr="00375327" w:rsidRDefault="00937F0C" w:rsidP="00691CAC">
      <w:pPr>
        <w:jc w:val="both"/>
      </w:pPr>
    </w:p>
    <w:p w14:paraId="0E57D7C1" w14:textId="02153099" w:rsidR="0029278F" w:rsidRPr="00375327" w:rsidRDefault="0029278F" w:rsidP="00691CAC">
      <w:pPr>
        <w:jc w:val="both"/>
      </w:pPr>
      <w:r w:rsidRPr="00375327">
        <w:rPr>
          <w:i/>
          <w:iCs/>
        </w:rPr>
        <w:t xml:space="preserve">General political ideology: </w:t>
      </w:r>
      <w:r w:rsidRPr="00375327">
        <w:t>‘In politics people sometimes talk of “left” and “right”. On a scale from 0 to 10, where would you place yourself, where 0 means the left and 10 means the right?’</w:t>
      </w:r>
    </w:p>
    <w:p w14:paraId="5AFCD051" w14:textId="77777777" w:rsidR="0029278F" w:rsidRPr="00375327" w:rsidRDefault="0029278F" w:rsidP="00691CAC">
      <w:pPr>
        <w:jc w:val="both"/>
      </w:pPr>
    </w:p>
    <w:p w14:paraId="2FD09F06" w14:textId="665F9C67" w:rsidR="0029278F" w:rsidRPr="00375327" w:rsidRDefault="008707FF" w:rsidP="00691CAC">
      <w:pPr>
        <w:jc w:val="both"/>
      </w:pPr>
      <w:r w:rsidRPr="00375327">
        <w:rPr>
          <w:i/>
          <w:iCs/>
        </w:rPr>
        <w:t xml:space="preserve">Exclusive national identity: </w:t>
      </w:r>
      <w:r w:rsidRPr="00375327">
        <w:t>‘</w:t>
      </w:r>
      <w:r w:rsidR="0029278F" w:rsidRPr="00375327">
        <w:t>Do you see yourself as ...?</w:t>
      </w:r>
      <w:r w:rsidR="00BE1831" w:rsidRPr="00375327">
        <w:t>’</w:t>
      </w:r>
    </w:p>
    <w:p w14:paraId="0217E58D" w14:textId="11DB3880" w:rsidR="008707FF" w:rsidRPr="00375327" w:rsidRDefault="008707FF" w:rsidP="00691CAC">
      <w:pPr>
        <w:pStyle w:val="ListParagraph"/>
        <w:numPr>
          <w:ilvl w:val="0"/>
          <w:numId w:val="10"/>
        </w:numPr>
        <w:jc w:val="both"/>
      </w:pPr>
      <w:r w:rsidRPr="00375327">
        <w:t xml:space="preserve">[specific country adjective inserted] </w:t>
      </w:r>
      <w:r w:rsidR="0029278F" w:rsidRPr="00375327">
        <w:t>only</w:t>
      </w:r>
    </w:p>
    <w:p w14:paraId="1711A951" w14:textId="778ADF70" w:rsidR="008707FF" w:rsidRPr="00375327" w:rsidRDefault="008707FF" w:rsidP="00691CAC">
      <w:pPr>
        <w:pStyle w:val="ListParagraph"/>
        <w:numPr>
          <w:ilvl w:val="0"/>
          <w:numId w:val="10"/>
        </w:numPr>
        <w:jc w:val="both"/>
      </w:pPr>
      <w:r w:rsidRPr="00375327">
        <w:t xml:space="preserve">[specific country adjective inserted] </w:t>
      </w:r>
      <w:r w:rsidR="0029278F" w:rsidRPr="00375327">
        <w:t>and European</w:t>
      </w:r>
    </w:p>
    <w:p w14:paraId="56264DFA" w14:textId="2126A090" w:rsidR="008707FF" w:rsidRPr="00375327" w:rsidRDefault="0029278F" w:rsidP="00691CAC">
      <w:pPr>
        <w:pStyle w:val="ListParagraph"/>
        <w:numPr>
          <w:ilvl w:val="0"/>
          <w:numId w:val="10"/>
        </w:numPr>
        <w:jc w:val="both"/>
      </w:pPr>
      <w:r w:rsidRPr="00375327">
        <w:t xml:space="preserve">European and </w:t>
      </w:r>
      <w:r w:rsidR="008707FF" w:rsidRPr="00375327">
        <w:t>[specific country adjective inserted]</w:t>
      </w:r>
    </w:p>
    <w:p w14:paraId="5FDB2168" w14:textId="2C779AD4" w:rsidR="0029278F" w:rsidRPr="00375327" w:rsidRDefault="0029278F" w:rsidP="00691CAC">
      <w:pPr>
        <w:pStyle w:val="ListParagraph"/>
        <w:numPr>
          <w:ilvl w:val="0"/>
          <w:numId w:val="10"/>
        </w:numPr>
        <w:jc w:val="both"/>
      </w:pPr>
      <w:r w:rsidRPr="00375327">
        <w:t>European only</w:t>
      </w:r>
    </w:p>
    <w:p w14:paraId="37725932" w14:textId="77777777" w:rsidR="006A175B" w:rsidRPr="00375327" w:rsidRDefault="006A175B" w:rsidP="00691CAC">
      <w:pPr>
        <w:pStyle w:val="Heading1"/>
        <w:jc w:val="left"/>
        <w:sectPr w:rsidR="006A175B" w:rsidRPr="00375327" w:rsidSect="00A17E9E">
          <w:pgSz w:w="11906" w:h="16838"/>
          <w:pgMar w:top="1440" w:right="1440" w:bottom="1440" w:left="1440" w:header="708" w:footer="708" w:gutter="0"/>
          <w:cols w:space="708"/>
          <w:docGrid w:linePitch="360"/>
        </w:sectPr>
      </w:pPr>
    </w:p>
    <w:p w14:paraId="2979AF4A" w14:textId="3AB68C6D" w:rsidR="006A175B" w:rsidRPr="00375327" w:rsidRDefault="00631B2C" w:rsidP="00375327">
      <w:pPr>
        <w:pStyle w:val="Heading2"/>
      </w:pPr>
      <w:r w:rsidRPr="00375327">
        <w:lastRenderedPageBreak/>
        <w:t>Full community attachment results</w:t>
      </w:r>
    </w:p>
    <w:p w14:paraId="0835FAE2" w14:textId="77777777" w:rsidR="006A175B" w:rsidRPr="00375327" w:rsidRDefault="006A175B" w:rsidP="006A175B"/>
    <w:tbl>
      <w:tblPr>
        <w:tblW w:w="5000" w:type="pct"/>
        <w:tblLook w:val="04A0" w:firstRow="1" w:lastRow="0" w:firstColumn="1" w:lastColumn="0" w:noHBand="0" w:noVBand="1"/>
      </w:tblPr>
      <w:tblGrid>
        <w:gridCol w:w="5959"/>
        <w:gridCol w:w="1086"/>
        <w:gridCol w:w="902"/>
        <w:gridCol w:w="1086"/>
        <w:gridCol w:w="902"/>
        <w:gridCol w:w="1086"/>
        <w:gridCol w:w="902"/>
        <w:gridCol w:w="1128"/>
        <w:gridCol w:w="907"/>
      </w:tblGrid>
      <w:tr w:rsidR="006A175B" w:rsidRPr="006A175B" w14:paraId="7ADD74C7" w14:textId="77777777" w:rsidTr="006A175B">
        <w:trPr>
          <w:trHeight w:val="281"/>
        </w:trPr>
        <w:tc>
          <w:tcPr>
            <w:tcW w:w="5000" w:type="pct"/>
            <w:gridSpan w:val="9"/>
            <w:tcBorders>
              <w:top w:val="nil"/>
              <w:left w:val="nil"/>
              <w:bottom w:val="nil"/>
              <w:right w:val="nil"/>
            </w:tcBorders>
            <w:shd w:val="clear" w:color="000000" w:fill="FFFFFF"/>
            <w:noWrap/>
            <w:vAlign w:val="center"/>
            <w:hideMark/>
          </w:tcPr>
          <w:p w14:paraId="0B34924E" w14:textId="2B743B2A" w:rsidR="006A175B" w:rsidRPr="006A175B" w:rsidRDefault="006A175B" w:rsidP="006A175B">
            <w:pPr>
              <w:spacing w:line="240" w:lineRule="auto"/>
              <w:rPr>
                <w:rFonts w:eastAsia="Times New Roman" w:cs="Times New Roman"/>
                <w:szCs w:val="24"/>
                <w:lang w:val="en-NL" w:eastAsia="en-NL"/>
              </w:rPr>
            </w:pPr>
            <w:r w:rsidRPr="006A175B">
              <w:rPr>
                <w:rFonts w:eastAsia="Times New Roman" w:cs="Times New Roman"/>
                <w:szCs w:val="24"/>
                <w:lang w:val="en-NL" w:eastAsia="en-NL"/>
              </w:rPr>
              <w:t>Table A.</w:t>
            </w:r>
            <w:r w:rsidR="00307A80" w:rsidRPr="00375327">
              <w:rPr>
                <w:rFonts w:eastAsia="Times New Roman" w:cs="Times New Roman"/>
                <w:szCs w:val="24"/>
                <w:lang w:eastAsia="en-NL"/>
              </w:rPr>
              <w:t>1</w:t>
            </w:r>
            <w:r w:rsidRPr="006A175B">
              <w:rPr>
                <w:rFonts w:eastAsia="Times New Roman" w:cs="Times New Roman"/>
                <w:szCs w:val="24"/>
                <w:lang w:val="en-NL" w:eastAsia="en-NL"/>
              </w:rPr>
              <w:t>. Regression of support for fiscal capacity by exclusive attachment, full results</w:t>
            </w:r>
          </w:p>
        </w:tc>
      </w:tr>
      <w:tr w:rsidR="006A175B" w:rsidRPr="00375327" w14:paraId="1EE6674B" w14:textId="77777777" w:rsidTr="006A175B">
        <w:trPr>
          <w:trHeight w:val="263"/>
        </w:trPr>
        <w:tc>
          <w:tcPr>
            <w:tcW w:w="2135" w:type="pct"/>
            <w:tcBorders>
              <w:top w:val="nil"/>
              <w:left w:val="nil"/>
              <w:bottom w:val="nil"/>
              <w:right w:val="nil"/>
            </w:tcBorders>
            <w:shd w:val="clear" w:color="000000" w:fill="FFFFFF"/>
            <w:noWrap/>
            <w:vAlign w:val="center"/>
            <w:hideMark/>
          </w:tcPr>
          <w:p w14:paraId="1CD5EA3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712" w:type="pct"/>
            <w:gridSpan w:val="2"/>
            <w:tcBorders>
              <w:top w:val="nil"/>
              <w:left w:val="nil"/>
              <w:bottom w:val="nil"/>
              <w:right w:val="nil"/>
            </w:tcBorders>
            <w:shd w:val="clear" w:color="000000" w:fill="FFFFFF"/>
            <w:noWrap/>
            <w:vAlign w:val="center"/>
            <w:hideMark/>
          </w:tcPr>
          <w:p w14:paraId="5586CD18" w14:textId="77777777" w:rsidR="006A175B" w:rsidRPr="006A175B" w:rsidRDefault="006A175B" w:rsidP="006A175B">
            <w:pPr>
              <w:spacing w:line="240" w:lineRule="auto"/>
              <w:jc w:val="center"/>
              <w:rPr>
                <w:rFonts w:eastAsia="Times New Roman" w:cs="Times New Roman"/>
                <w:sz w:val="18"/>
                <w:szCs w:val="18"/>
                <w:lang w:val="en-NL" w:eastAsia="en-NL"/>
              </w:rPr>
            </w:pPr>
            <w:r w:rsidRPr="006A175B">
              <w:rPr>
                <w:rFonts w:eastAsia="Times New Roman" w:cs="Times New Roman"/>
                <w:sz w:val="18"/>
                <w:szCs w:val="18"/>
                <w:lang w:val="en-NL" w:eastAsia="en-NL"/>
              </w:rPr>
              <w:t>Model 1: localist</w:t>
            </w:r>
          </w:p>
        </w:tc>
        <w:tc>
          <w:tcPr>
            <w:tcW w:w="712" w:type="pct"/>
            <w:gridSpan w:val="2"/>
            <w:tcBorders>
              <w:top w:val="nil"/>
              <w:left w:val="nil"/>
              <w:bottom w:val="nil"/>
              <w:right w:val="nil"/>
            </w:tcBorders>
            <w:shd w:val="clear" w:color="000000" w:fill="FFFFFF"/>
            <w:noWrap/>
            <w:vAlign w:val="center"/>
            <w:hideMark/>
          </w:tcPr>
          <w:p w14:paraId="2F76E364" w14:textId="77777777" w:rsidR="006A175B" w:rsidRPr="006A175B" w:rsidRDefault="006A175B" w:rsidP="006A175B">
            <w:pPr>
              <w:spacing w:line="240" w:lineRule="auto"/>
              <w:jc w:val="center"/>
              <w:rPr>
                <w:rFonts w:eastAsia="Times New Roman" w:cs="Times New Roman"/>
                <w:sz w:val="18"/>
                <w:szCs w:val="18"/>
                <w:lang w:val="en-NL" w:eastAsia="en-NL"/>
              </w:rPr>
            </w:pPr>
            <w:r w:rsidRPr="006A175B">
              <w:rPr>
                <w:rFonts w:eastAsia="Times New Roman" w:cs="Times New Roman"/>
                <w:sz w:val="18"/>
                <w:szCs w:val="18"/>
                <w:lang w:val="en-NL" w:eastAsia="en-NL"/>
              </w:rPr>
              <w:t>Model 2: national</w:t>
            </w:r>
          </w:p>
        </w:tc>
        <w:tc>
          <w:tcPr>
            <w:tcW w:w="712" w:type="pct"/>
            <w:gridSpan w:val="2"/>
            <w:tcBorders>
              <w:top w:val="nil"/>
              <w:left w:val="nil"/>
              <w:bottom w:val="nil"/>
              <w:right w:val="nil"/>
            </w:tcBorders>
            <w:shd w:val="clear" w:color="000000" w:fill="FFFFFF"/>
            <w:noWrap/>
            <w:vAlign w:val="center"/>
            <w:hideMark/>
          </w:tcPr>
          <w:p w14:paraId="7EFE4CB7" w14:textId="77777777" w:rsidR="006A175B" w:rsidRPr="006A175B" w:rsidRDefault="006A175B" w:rsidP="006A175B">
            <w:pPr>
              <w:spacing w:line="240" w:lineRule="auto"/>
              <w:jc w:val="center"/>
              <w:rPr>
                <w:rFonts w:eastAsia="Times New Roman" w:cs="Times New Roman"/>
                <w:sz w:val="18"/>
                <w:szCs w:val="18"/>
                <w:lang w:val="en-NL" w:eastAsia="en-NL"/>
              </w:rPr>
            </w:pPr>
            <w:r w:rsidRPr="006A175B">
              <w:rPr>
                <w:rFonts w:eastAsia="Times New Roman" w:cs="Times New Roman"/>
                <w:sz w:val="18"/>
                <w:szCs w:val="18"/>
                <w:lang w:val="en-NL" w:eastAsia="en-NL"/>
              </w:rPr>
              <w:t>Model 3: European</w:t>
            </w:r>
          </w:p>
        </w:tc>
        <w:tc>
          <w:tcPr>
            <w:tcW w:w="728" w:type="pct"/>
            <w:gridSpan w:val="2"/>
            <w:tcBorders>
              <w:top w:val="nil"/>
              <w:left w:val="nil"/>
              <w:bottom w:val="nil"/>
              <w:right w:val="nil"/>
            </w:tcBorders>
            <w:shd w:val="clear" w:color="000000" w:fill="FFFFFF"/>
            <w:noWrap/>
            <w:vAlign w:val="center"/>
            <w:hideMark/>
          </w:tcPr>
          <w:p w14:paraId="7CD1FD11" w14:textId="77777777" w:rsidR="006A175B" w:rsidRPr="006A175B" w:rsidRDefault="006A175B" w:rsidP="006A175B">
            <w:pPr>
              <w:spacing w:line="240" w:lineRule="auto"/>
              <w:jc w:val="center"/>
              <w:rPr>
                <w:rFonts w:eastAsia="Times New Roman" w:cs="Times New Roman"/>
                <w:sz w:val="18"/>
                <w:szCs w:val="18"/>
                <w:lang w:val="en-NL" w:eastAsia="en-NL"/>
              </w:rPr>
            </w:pPr>
            <w:r w:rsidRPr="006A175B">
              <w:rPr>
                <w:rFonts w:eastAsia="Times New Roman" w:cs="Times New Roman"/>
                <w:sz w:val="18"/>
                <w:szCs w:val="18"/>
                <w:lang w:val="en-NL" w:eastAsia="en-NL"/>
              </w:rPr>
              <w:t>Model 4: interactions</w:t>
            </w:r>
          </w:p>
        </w:tc>
      </w:tr>
      <w:tr w:rsidR="006A175B" w:rsidRPr="00375327" w14:paraId="33EB9259" w14:textId="77777777" w:rsidTr="006A175B">
        <w:trPr>
          <w:trHeight w:val="263"/>
        </w:trPr>
        <w:tc>
          <w:tcPr>
            <w:tcW w:w="2135" w:type="pct"/>
            <w:tcBorders>
              <w:top w:val="nil"/>
              <w:left w:val="nil"/>
              <w:bottom w:val="single" w:sz="12" w:space="0" w:color="auto"/>
              <w:right w:val="nil"/>
            </w:tcBorders>
            <w:shd w:val="clear" w:color="000000" w:fill="FFFFFF"/>
            <w:noWrap/>
            <w:vAlign w:val="center"/>
            <w:hideMark/>
          </w:tcPr>
          <w:p w14:paraId="0815744D"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89" w:type="pct"/>
            <w:tcBorders>
              <w:top w:val="nil"/>
              <w:left w:val="nil"/>
              <w:bottom w:val="single" w:sz="12" w:space="0" w:color="auto"/>
              <w:right w:val="nil"/>
            </w:tcBorders>
            <w:shd w:val="clear" w:color="000000" w:fill="FFFFFF"/>
            <w:noWrap/>
            <w:vAlign w:val="center"/>
            <w:hideMark/>
          </w:tcPr>
          <w:p w14:paraId="3A1B6F7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B</w:t>
            </w:r>
          </w:p>
        </w:tc>
        <w:tc>
          <w:tcPr>
            <w:tcW w:w="323" w:type="pct"/>
            <w:tcBorders>
              <w:top w:val="nil"/>
              <w:left w:val="nil"/>
              <w:bottom w:val="single" w:sz="12" w:space="0" w:color="auto"/>
              <w:right w:val="nil"/>
            </w:tcBorders>
            <w:shd w:val="clear" w:color="000000" w:fill="FFFFFF"/>
            <w:noWrap/>
            <w:vAlign w:val="center"/>
            <w:hideMark/>
          </w:tcPr>
          <w:p w14:paraId="498FD244" w14:textId="77777777" w:rsidR="006A175B" w:rsidRPr="006A175B" w:rsidRDefault="006A175B" w:rsidP="006A175B">
            <w:pPr>
              <w:spacing w:line="240" w:lineRule="auto"/>
              <w:rPr>
                <w:rFonts w:eastAsia="Times New Roman" w:cs="Times New Roman"/>
                <w:sz w:val="18"/>
                <w:szCs w:val="18"/>
                <w:lang w:val="en-NL" w:eastAsia="en-NL"/>
              </w:rPr>
            </w:pPr>
            <w:proofErr w:type="spellStart"/>
            <w:r w:rsidRPr="006A175B">
              <w:rPr>
                <w:rFonts w:eastAsia="Times New Roman" w:cs="Times New Roman"/>
                <w:sz w:val="18"/>
                <w:szCs w:val="18"/>
                <w:lang w:val="en-NL" w:eastAsia="en-NL"/>
              </w:rPr>
              <w:t>s.e.</w:t>
            </w:r>
            <w:proofErr w:type="spellEnd"/>
          </w:p>
        </w:tc>
        <w:tc>
          <w:tcPr>
            <w:tcW w:w="389" w:type="pct"/>
            <w:tcBorders>
              <w:top w:val="nil"/>
              <w:left w:val="nil"/>
              <w:bottom w:val="single" w:sz="12" w:space="0" w:color="auto"/>
              <w:right w:val="nil"/>
            </w:tcBorders>
            <w:shd w:val="clear" w:color="000000" w:fill="FFFFFF"/>
            <w:noWrap/>
            <w:vAlign w:val="center"/>
            <w:hideMark/>
          </w:tcPr>
          <w:p w14:paraId="2D8250B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B</w:t>
            </w:r>
          </w:p>
        </w:tc>
        <w:tc>
          <w:tcPr>
            <w:tcW w:w="323" w:type="pct"/>
            <w:tcBorders>
              <w:top w:val="nil"/>
              <w:left w:val="nil"/>
              <w:bottom w:val="single" w:sz="12" w:space="0" w:color="auto"/>
              <w:right w:val="nil"/>
            </w:tcBorders>
            <w:shd w:val="clear" w:color="000000" w:fill="FFFFFF"/>
            <w:noWrap/>
            <w:vAlign w:val="center"/>
            <w:hideMark/>
          </w:tcPr>
          <w:p w14:paraId="7B5F90C3" w14:textId="77777777" w:rsidR="006A175B" w:rsidRPr="006A175B" w:rsidRDefault="006A175B" w:rsidP="006A175B">
            <w:pPr>
              <w:spacing w:line="240" w:lineRule="auto"/>
              <w:rPr>
                <w:rFonts w:eastAsia="Times New Roman" w:cs="Times New Roman"/>
                <w:sz w:val="18"/>
                <w:szCs w:val="18"/>
                <w:lang w:val="en-NL" w:eastAsia="en-NL"/>
              </w:rPr>
            </w:pPr>
            <w:proofErr w:type="spellStart"/>
            <w:r w:rsidRPr="006A175B">
              <w:rPr>
                <w:rFonts w:eastAsia="Times New Roman" w:cs="Times New Roman"/>
                <w:sz w:val="18"/>
                <w:szCs w:val="18"/>
                <w:lang w:val="en-NL" w:eastAsia="en-NL"/>
              </w:rPr>
              <w:t>s.e.</w:t>
            </w:r>
            <w:proofErr w:type="spellEnd"/>
          </w:p>
        </w:tc>
        <w:tc>
          <w:tcPr>
            <w:tcW w:w="389" w:type="pct"/>
            <w:tcBorders>
              <w:top w:val="nil"/>
              <w:left w:val="nil"/>
              <w:bottom w:val="single" w:sz="12" w:space="0" w:color="auto"/>
              <w:right w:val="nil"/>
            </w:tcBorders>
            <w:shd w:val="clear" w:color="000000" w:fill="FFFFFF"/>
            <w:noWrap/>
            <w:vAlign w:val="center"/>
            <w:hideMark/>
          </w:tcPr>
          <w:p w14:paraId="1C417497"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B</w:t>
            </w:r>
          </w:p>
        </w:tc>
        <w:tc>
          <w:tcPr>
            <w:tcW w:w="323" w:type="pct"/>
            <w:tcBorders>
              <w:top w:val="nil"/>
              <w:left w:val="nil"/>
              <w:bottom w:val="single" w:sz="12" w:space="0" w:color="auto"/>
              <w:right w:val="nil"/>
            </w:tcBorders>
            <w:shd w:val="clear" w:color="000000" w:fill="FFFFFF"/>
            <w:noWrap/>
            <w:vAlign w:val="center"/>
            <w:hideMark/>
          </w:tcPr>
          <w:p w14:paraId="16228020" w14:textId="77777777" w:rsidR="006A175B" w:rsidRPr="006A175B" w:rsidRDefault="006A175B" w:rsidP="006A175B">
            <w:pPr>
              <w:spacing w:line="240" w:lineRule="auto"/>
              <w:rPr>
                <w:rFonts w:eastAsia="Times New Roman" w:cs="Times New Roman"/>
                <w:sz w:val="18"/>
                <w:szCs w:val="18"/>
                <w:lang w:val="en-NL" w:eastAsia="en-NL"/>
              </w:rPr>
            </w:pPr>
            <w:proofErr w:type="spellStart"/>
            <w:r w:rsidRPr="006A175B">
              <w:rPr>
                <w:rFonts w:eastAsia="Times New Roman" w:cs="Times New Roman"/>
                <w:sz w:val="18"/>
                <w:szCs w:val="18"/>
                <w:lang w:val="en-NL" w:eastAsia="en-NL"/>
              </w:rPr>
              <w:t>s.e.</w:t>
            </w:r>
            <w:proofErr w:type="spellEnd"/>
          </w:p>
        </w:tc>
        <w:tc>
          <w:tcPr>
            <w:tcW w:w="404" w:type="pct"/>
            <w:tcBorders>
              <w:top w:val="nil"/>
              <w:left w:val="nil"/>
              <w:bottom w:val="single" w:sz="12" w:space="0" w:color="auto"/>
              <w:right w:val="nil"/>
            </w:tcBorders>
            <w:shd w:val="clear" w:color="000000" w:fill="FFFFFF"/>
            <w:noWrap/>
            <w:vAlign w:val="center"/>
            <w:hideMark/>
          </w:tcPr>
          <w:p w14:paraId="449A191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B</w:t>
            </w:r>
          </w:p>
        </w:tc>
        <w:tc>
          <w:tcPr>
            <w:tcW w:w="323" w:type="pct"/>
            <w:tcBorders>
              <w:top w:val="nil"/>
              <w:left w:val="nil"/>
              <w:bottom w:val="single" w:sz="12" w:space="0" w:color="auto"/>
              <w:right w:val="nil"/>
            </w:tcBorders>
            <w:shd w:val="clear" w:color="000000" w:fill="FFFFFF"/>
            <w:noWrap/>
            <w:vAlign w:val="center"/>
            <w:hideMark/>
          </w:tcPr>
          <w:p w14:paraId="66C1CD3D" w14:textId="77777777" w:rsidR="006A175B" w:rsidRPr="006A175B" w:rsidRDefault="006A175B" w:rsidP="006A175B">
            <w:pPr>
              <w:spacing w:line="240" w:lineRule="auto"/>
              <w:rPr>
                <w:rFonts w:eastAsia="Times New Roman" w:cs="Times New Roman"/>
                <w:sz w:val="18"/>
                <w:szCs w:val="18"/>
                <w:lang w:val="en-NL" w:eastAsia="en-NL"/>
              </w:rPr>
            </w:pPr>
            <w:proofErr w:type="spellStart"/>
            <w:r w:rsidRPr="006A175B">
              <w:rPr>
                <w:rFonts w:eastAsia="Times New Roman" w:cs="Times New Roman"/>
                <w:sz w:val="18"/>
                <w:szCs w:val="18"/>
                <w:lang w:val="en-NL" w:eastAsia="en-NL"/>
              </w:rPr>
              <w:t>s.e.</w:t>
            </w:r>
            <w:proofErr w:type="spellEnd"/>
          </w:p>
        </w:tc>
      </w:tr>
      <w:tr w:rsidR="006A175B" w:rsidRPr="00375327" w14:paraId="47961B3B" w14:textId="77777777" w:rsidTr="006A175B">
        <w:trPr>
          <w:trHeight w:val="263"/>
        </w:trPr>
        <w:tc>
          <w:tcPr>
            <w:tcW w:w="2135" w:type="pct"/>
            <w:tcBorders>
              <w:top w:val="nil"/>
              <w:left w:val="nil"/>
              <w:bottom w:val="nil"/>
              <w:right w:val="nil"/>
            </w:tcBorders>
            <w:shd w:val="clear" w:color="000000" w:fill="FFFFFF"/>
            <w:noWrap/>
            <w:vAlign w:val="center"/>
            <w:hideMark/>
          </w:tcPr>
          <w:p w14:paraId="6F5A3D77"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Causal beliefs: ego</w:t>
            </w:r>
          </w:p>
        </w:tc>
        <w:tc>
          <w:tcPr>
            <w:tcW w:w="389" w:type="pct"/>
            <w:tcBorders>
              <w:top w:val="nil"/>
              <w:left w:val="nil"/>
              <w:bottom w:val="nil"/>
              <w:right w:val="nil"/>
            </w:tcBorders>
            <w:shd w:val="clear" w:color="000000" w:fill="FFFFFF"/>
            <w:noWrap/>
            <w:vAlign w:val="center"/>
            <w:hideMark/>
          </w:tcPr>
          <w:p w14:paraId="73F4F5F7"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0.077***</w:t>
            </w:r>
          </w:p>
        </w:tc>
        <w:tc>
          <w:tcPr>
            <w:tcW w:w="323" w:type="pct"/>
            <w:tcBorders>
              <w:top w:val="nil"/>
              <w:left w:val="nil"/>
              <w:bottom w:val="nil"/>
              <w:right w:val="nil"/>
            </w:tcBorders>
            <w:shd w:val="clear" w:color="000000" w:fill="FFFFFF"/>
            <w:noWrap/>
            <w:vAlign w:val="center"/>
            <w:hideMark/>
          </w:tcPr>
          <w:p w14:paraId="178CE8C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(0.022)</w:t>
            </w:r>
          </w:p>
        </w:tc>
        <w:tc>
          <w:tcPr>
            <w:tcW w:w="389" w:type="pct"/>
            <w:tcBorders>
              <w:top w:val="nil"/>
              <w:left w:val="nil"/>
              <w:bottom w:val="nil"/>
              <w:right w:val="nil"/>
            </w:tcBorders>
            <w:shd w:val="clear" w:color="000000" w:fill="FFFFFF"/>
            <w:noWrap/>
            <w:vAlign w:val="center"/>
            <w:hideMark/>
          </w:tcPr>
          <w:p w14:paraId="13CA473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0.103***</w:t>
            </w:r>
          </w:p>
        </w:tc>
        <w:tc>
          <w:tcPr>
            <w:tcW w:w="323" w:type="pct"/>
            <w:tcBorders>
              <w:top w:val="nil"/>
              <w:left w:val="nil"/>
              <w:bottom w:val="nil"/>
              <w:right w:val="nil"/>
            </w:tcBorders>
            <w:shd w:val="clear" w:color="000000" w:fill="FFFFFF"/>
            <w:noWrap/>
            <w:vAlign w:val="center"/>
            <w:hideMark/>
          </w:tcPr>
          <w:p w14:paraId="521A3882"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(0.017)</w:t>
            </w:r>
          </w:p>
        </w:tc>
        <w:tc>
          <w:tcPr>
            <w:tcW w:w="389" w:type="pct"/>
            <w:tcBorders>
              <w:top w:val="nil"/>
              <w:left w:val="nil"/>
              <w:bottom w:val="nil"/>
              <w:right w:val="nil"/>
            </w:tcBorders>
            <w:shd w:val="clear" w:color="000000" w:fill="FFFFFF"/>
            <w:noWrap/>
            <w:vAlign w:val="center"/>
            <w:hideMark/>
          </w:tcPr>
          <w:p w14:paraId="52F6A9E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0.052</w:t>
            </w:r>
          </w:p>
        </w:tc>
        <w:tc>
          <w:tcPr>
            <w:tcW w:w="323" w:type="pct"/>
            <w:tcBorders>
              <w:top w:val="nil"/>
              <w:left w:val="nil"/>
              <w:bottom w:val="nil"/>
              <w:right w:val="nil"/>
            </w:tcBorders>
            <w:shd w:val="clear" w:color="000000" w:fill="FFFFFF"/>
            <w:noWrap/>
            <w:vAlign w:val="center"/>
            <w:hideMark/>
          </w:tcPr>
          <w:p w14:paraId="5BE17C47"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(0.031)</w:t>
            </w:r>
          </w:p>
        </w:tc>
        <w:tc>
          <w:tcPr>
            <w:tcW w:w="404" w:type="pct"/>
            <w:tcBorders>
              <w:top w:val="nil"/>
              <w:left w:val="nil"/>
              <w:bottom w:val="nil"/>
              <w:right w:val="nil"/>
            </w:tcBorders>
            <w:shd w:val="clear" w:color="000000" w:fill="FFFFFF"/>
            <w:noWrap/>
            <w:vAlign w:val="center"/>
            <w:hideMark/>
          </w:tcPr>
          <w:p w14:paraId="74699CD0"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0.078***</w:t>
            </w:r>
          </w:p>
        </w:tc>
        <w:tc>
          <w:tcPr>
            <w:tcW w:w="323" w:type="pct"/>
            <w:tcBorders>
              <w:top w:val="nil"/>
              <w:left w:val="nil"/>
              <w:bottom w:val="nil"/>
              <w:right w:val="nil"/>
            </w:tcBorders>
            <w:shd w:val="clear" w:color="000000" w:fill="FFFFFF"/>
            <w:noWrap/>
            <w:vAlign w:val="center"/>
            <w:hideMark/>
          </w:tcPr>
          <w:p w14:paraId="12B1BC6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(0.009)</w:t>
            </w:r>
          </w:p>
        </w:tc>
      </w:tr>
      <w:tr w:rsidR="006A175B" w:rsidRPr="00375327" w14:paraId="4D7CCFE3" w14:textId="77777777" w:rsidTr="006A175B">
        <w:trPr>
          <w:trHeight w:val="263"/>
        </w:trPr>
        <w:tc>
          <w:tcPr>
            <w:tcW w:w="2135" w:type="pct"/>
            <w:tcBorders>
              <w:top w:val="nil"/>
              <w:left w:val="nil"/>
              <w:bottom w:val="nil"/>
              <w:right w:val="nil"/>
            </w:tcBorders>
            <w:shd w:val="clear" w:color="000000" w:fill="FFFFFF"/>
            <w:noWrap/>
            <w:vAlign w:val="center"/>
            <w:hideMark/>
          </w:tcPr>
          <w:p w14:paraId="649F6F6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Causal beliefs: region</w:t>
            </w:r>
          </w:p>
        </w:tc>
        <w:tc>
          <w:tcPr>
            <w:tcW w:w="389" w:type="pct"/>
            <w:tcBorders>
              <w:top w:val="nil"/>
              <w:left w:val="nil"/>
              <w:bottom w:val="nil"/>
              <w:right w:val="nil"/>
            </w:tcBorders>
            <w:shd w:val="clear" w:color="000000" w:fill="FFFFFF"/>
            <w:noWrap/>
            <w:vAlign w:val="center"/>
            <w:hideMark/>
          </w:tcPr>
          <w:p w14:paraId="53820C3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0.052*</w:t>
            </w:r>
          </w:p>
        </w:tc>
        <w:tc>
          <w:tcPr>
            <w:tcW w:w="323" w:type="pct"/>
            <w:tcBorders>
              <w:top w:val="nil"/>
              <w:left w:val="nil"/>
              <w:bottom w:val="nil"/>
              <w:right w:val="nil"/>
            </w:tcBorders>
            <w:shd w:val="clear" w:color="000000" w:fill="FFFFFF"/>
            <w:noWrap/>
            <w:vAlign w:val="center"/>
            <w:hideMark/>
          </w:tcPr>
          <w:p w14:paraId="3F1AE070"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(0.021)</w:t>
            </w:r>
          </w:p>
        </w:tc>
        <w:tc>
          <w:tcPr>
            <w:tcW w:w="389" w:type="pct"/>
            <w:tcBorders>
              <w:top w:val="nil"/>
              <w:left w:val="nil"/>
              <w:bottom w:val="nil"/>
              <w:right w:val="nil"/>
            </w:tcBorders>
            <w:shd w:val="clear" w:color="000000" w:fill="FFFFFF"/>
            <w:noWrap/>
            <w:vAlign w:val="center"/>
            <w:hideMark/>
          </w:tcPr>
          <w:p w14:paraId="0520EF5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0.010</w:t>
            </w:r>
          </w:p>
        </w:tc>
        <w:tc>
          <w:tcPr>
            <w:tcW w:w="323" w:type="pct"/>
            <w:tcBorders>
              <w:top w:val="nil"/>
              <w:left w:val="nil"/>
              <w:bottom w:val="nil"/>
              <w:right w:val="nil"/>
            </w:tcBorders>
            <w:shd w:val="clear" w:color="000000" w:fill="FFFFFF"/>
            <w:noWrap/>
            <w:vAlign w:val="center"/>
            <w:hideMark/>
          </w:tcPr>
          <w:p w14:paraId="5B8AE7D2"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(0.016)</w:t>
            </w:r>
          </w:p>
        </w:tc>
        <w:tc>
          <w:tcPr>
            <w:tcW w:w="389" w:type="pct"/>
            <w:tcBorders>
              <w:top w:val="nil"/>
              <w:left w:val="nil"/>
              <w:bottom w:val="nil"/>
              <w:right w:val="nil"/>
            </w:tcBorders>
            <w:shd w:val="clear" w:color="000000" w:fill="FFFFFF"/>
            <w:noWrap/>
            <w:vAlign w:val="center"/>
            <w:hideMark/>
          </w:tcPr>
          <w:p w14:paraId="7AEC4FD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0.010</w:t>
            </w:r>
          </w:p>
        </w:tc>
        <w:tc>
          <w:tcPr>
            <w:tcW w:w="323" w:type="pct"/>
            <w:tcBorders>
              <w:top w:val="nil"/>
              <w:left w:val="nil"/>
              <w:bottom w:val="nil"/>
              <w:right w:val="nil"/>
            </w:tcBorders>
            <w:shd w:val="clear" w:color="000000" w:fill="FFFFFF"/>
            <w:noWrap/>
            <w:vAlign w:val="center"/>
            <w:hideMark/>
          </w:tcPr>
          <w:p w14:paraId="56C08C54"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(0.036)</w:t>
            </w:r>
          </w:p>
        </w:tc>
        <w:tc>
          <w:tcPr>
            <w:tcW w:w="404" w:type="pct"/>
            <w:tcBorders>
              <w:top w:val="nil"/>
              <w:left w:val="nil"/>
              <w:bottom w:val="nil"/>
              <w:right w:val="nil"/>
            </w:tcBorders>
            <w:shd w:val="clear" w:color="000000" w:fill="FFFFFF"/>
            <w:noWrap/>
            <w:vAlign w:val="center"/>
            <w:hideMark/>
          </w:tcPr>
          <w:p w14:paraId="33D4517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0.023*</w:t>
            </w:r>
          </w:p>
        </w:tc>
        <w:tc>
          <w:tcPr>
            <w:tcW w:w="323" w:type="pct"/>
            <w:tcBorders>
              <w:top w:val="nil"/>
              <w:left w:val="nil"/>
              <w:bottom w:val="nil"/>
              <w:right w:val="nil"/>
            </w:tcBorders>
            <w:shd w:val="clear" w:color="000000" w:fill="FFFFFF"/>
            <w:noWrap/>
            <w:vAlign w:val="center"/>
            <w:hideMark/>
          </w:tcPr>
          <w:p w14:paraId="734587EF"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(0.010)</w:t>
            </w:r>
          </w:p>
        </w:tc>
      </w:tr>
      <w:tr w:rsidR="006A175B" w:rsidRPr="00375327" w14:paraId="234C97E5" w14:textId="77777777" w:rsidTr="006A175B">
        <w:trPr>
          <w:trHeight w:val="263"/>
        </w:trPr>
        <w:tc>
          <w:tcPr>
            <w:tcW w:w="2135" w:type="pct"/>
            <w:tcBorders>
              <w:top w:val="nil"/>
              <w:left w:val="nil"/>
              <w:bottom w:val="nil"/>
              <w:right w:val="nil"/>
            </w:tcBorders>
            <w:shd w:val="clear" w:color="000000" w:fill="FFFFFF"/>
            <w:noWrap/>
            <w:vAlign w:val="center"/>
            <w:hideMark/>
          </w:tcPr>
          <w:p w14:paraId="48401F3E"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Causal beliefs: country</w:t>
            </w:r>
          </w:p>
        </w:tc>
        <w:tc>
          <w:tcPr>
            <w:tcW w:w="389" w:type="pct"/>
            <w:tcBorders>
              <w:top w:val="nil"/>
              <w:left w:val="nil"/>
              <w:bottom w:val="nil"/>
              <w:right w:val="nil"/>
            </w:tcBorders>
            <w:shd w:val="clear" w:color="000000" w:fill="FFFFFF"/>
            <w:noWrap/>
            <w:vAlign w:val="center"/>
            <w:hideMark/>
          </w:tcPr>
          <w:p w14:paraId="5EFB56F4"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0.073***</w:t>
            </w:r>
          </w:p>
        </w:tc>
        <w:tc>
          <w:tcPr>
            <w:tcW w:w="323" w:type="pct"/>
            <w:tcBorders>
              <w:top w:val="nil"/>
              <w:left w:val="nil"/>
              <w:bottom w:val="nil"/>
              <w:right w:val="nil"/>
            </w:tcBorders>
            <w:shd w:val="clear" w:color="000000" w:fill="FFFFFF"/>
            <w:noWrap/>
            <w:vAlign w:val="center"/>
            <w:hideMark/>
          </w:tcPr>
          <w:p w14:paraId="6B43A8C7"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(0.019)</w:t>
            </w:r>
          </w:p>
        </w:tc>
        <w:tc>
          <w:tcPr>
            <w:tcW w:w="389" w:type="pct"/>
            <w:tcBorders>
              <w:top w:val="nil"/>
              <w:left w:val="nil"/>
              <w:bottom w:val="nil"/>
              <w:right w:val="nil"/>
            </w:tcBorders>
            <w:shd w:val="clear" w:color="000000" w:fill="FFFFFF"/>
            <w:noWrap/>
            <w:vAlign w:val="center"/>
            <w:hideMark/>
          </w:tcPr>
          <w:p w14:paraId="1DAEC7D7"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0.077***</w:t>
            </w:r>
          </w:p>
        </w:tc>
        <w:tc>
          <w:tcPr>
            <w:tcW w:w="323" w:type="pct"/>
            <w:tcBorders>
              <w:top w:val="nil"/>
              <w:left w:val="nil"/>
              <w:bottom w:val="nil"/>
              <w:right w:val="nil"/>
            </w:tcBorders>
            <w:shd w:val="clear" w:color="000000" w:fill="FFFFFF"/>
            <w:noWrap/>
            <w:vAlign w:val="center"/>
            <w:hideMark/>
          </w:tcPr>
          <w:p w14:paraId="55354C2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(0.014)</w:t>
            </w:r>
          </w:p>
        </w:tc>
        <w:tc>
          <w:tcPr>
            <w:tcW w:w="389" w:type="pct"/>
            <w:tcBorders>
              <w:top w:val="nil"/>
              <w:left w:val="nil"/>
              <w:bottom w:val="nil"/>
              <w:right w:val="nil"/>
            </w:tcBorders>
            <w:shd w:val="clear" w:color="000000" w:fill="FFFFFF"/>
            <w:noWrap/>
            <w:vAlign w:val="center"/>
            <w:hideMark/>
          </w:tcPr>
          <w:p w14:paraId="78B79E8D"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-0.007</w:t>
            </w:r>
          </w:p>
        </w:tc>
        <w:tc>
          <w:tcPr>
            <w:tcW w:w="323" w:type="pct"/>
            <w:tcBorders>
              <w:top w:val="nil"/>
              <w:left w:val="nil"/>
              <w:bottom w:val="nil"/>
              <w:right w:val="nil"/>
            </w:tcBorders>
            <w:shd w:val="clear" w:color="000000" w:fill="FFFFFF"/>
            <w:noWrap/>
            <w:vAlign w:val="center"/>
            <w:hideMark/>
          </w:tcPr>
          <w:p w14:paraId="374A8960"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(0.031)</w:t>
            </w:r>
          </w:p>
        </w:tc>
        <w:tc>
          <w:tcPr>
            <w:tcW w:w="404" w:type="pct"/>
            <w:tcBorders>
              <w:top w:val="nil"/>
              <w:left w:val="nil"/>
              <w:bottom w:val="nil"/>
              <w:right w:val="nil"/>
            </w:tcBorders>
            <w:shd w:val="clear" w:color="000000" w:fill="FFFFFF"/>
            <w:noWrap/>
            <w:vAlign w:val="center"/>
            <w:hideMark/>
          </w:tcPr>
          <w:p w14:paraId="4184EEF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0.048***</w:t>
            </w:r>
          </w:p>
        </w:tc>
        <w:tc>
          <w:tcPr>
            <w:tcW w:w="323" w:type="pct"/>
            <w:tcBorders>
              <w:top w:val="nil"/>
              <w:left w:val="nil"/>
              <w:bottom w:val="nil"/>
              <w:right w:val="nil"/>
            </w:tcBorders>
            <w:shd w:val="clear" w:color="000000" w:fill="FFFFFF"/>
            <w:noWrap/>
            <w:vAlign w:val="center"/>
            <w:hideMark/>
          </w:tcPr>
          <w:p w14:paraId="23D0FB7C"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(0.009)</w:t>
            </w:r>
          </w:p>
        </w:tc>
      </w:tr>
      <w:tr w:rsidR="006A175B" w:rsidRPr="00375327" w14:paraId="54AAB573" w14:textId="77777777" w:rsidTr="006A175B">
        <w:trPr>
          <w:trHeight w:val="263"/>
        </w:trPr>
        <w:tc>
          <w:tcPr>
            <w:tcW w:w="2135" w:type="pct"/>
            <w:tcBorders>
              <w:top w:val="nil"/>
              <w:left w:val="nil"/>
              <w:bottom w:val="nil"/>
              <w:right w:val="nil"/>
            </w:tcBorders>
            <w:shd w:val="clear" w:color="000000" w:fill="FFFFFF"/>
            <w:noWrap/>
            <w:vAlign w:val="center"/>
            <w:hideMark/>
          </w:tcPr>
          <w:p w14:paraId="4C6BE97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Causal beliefs: Europe</w:t>
            </w:r>
          </w:p>
        </w:tc>
        <w:tc>
          <w:tcPr>
            <w:tcW w:w="389" w:type="pct"/>
            <w:tcBorders>
              <w:top w:val="nil"/>
              <w:left w:val="nil"/>
              <w:bottom w:val="nil"/>
              <w:right w:val="nil"/>
            </w:tcBorders>
            <w:shd w:val="clear" w:color="000000" w:fill="FFFFFF"/>
            <w:noWrap/>
            <w:vAlign w:val="center"/>
            <w:hideMark/>
          </w:tcPr>
          <w:p w14:paraId="62E903D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-0.031</w:t>
            </w:r>
          </w:p>
        </w:tc>
        <w:tc>
          <w:tcPr>
            <w:tcW w:w="323" w:type="pct"/>
            <w:tcBorders>
              <w:top w:val="nil"/>
              <w:left w:val="nil"/>
              <w:bottom w:val="nil"/>
              <w:right w:val="nil"/>
            </w:tcBorders>
            <w:shd w:val="clear" w:color="000000" w:fill="FFFFFF"/>
            <w:noWrap/>
            <w:vAlign w:val="center"/>
            <w:hideMark/>
          </w:tcPr>
          <w:p w14:paraId="204598D1"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(0.017)</w:t>
            </w:r>
          </w:p>
        </w:tc>
        <w:tc>
          <w:tcPr>
            <w:tcW w:w="389" w:type="pct"/>
            <w:tcBorders>
              <w:top w:val="nil"/>
              <w:left w:val="nil"/>
              <w:bottom w:val="nil"/>
              <w:right w:val="nil"/>
            </w:tcBorders>
            <w:shd w:val="clear" w:color="000000" w:fill="FFFFFF"/>
            <w:noWrap/>
            <w:vAlign w:val="center"/>
            <w:hideMark/>
          </w:tcPr>
          <w:p w14:paraId="29043C81"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0.038**</w:t>
            </w:r>
          </w:p>
        </w:tc>
        <w:tc>
          <w:tcPr>
            <w:tcW w:w="323" w:type="pct"/>
            <w:tcBorders>
              <w:top w:val="nil"/>
              <w:left w:val="nil"/>
              <w:bottom w:val="nil"/>
              <w:right w:val="nil"/>
            </w:tcBorders>
            <w:shd w:val="clear" w:color="000000" w:fill="FFFFFF"/>
            <w:noWrap/>
            <w:vAlign w:val="center"/>
            <w:hideMark/>
          </w:tcPr>
          <w:p w14:paraId="2291EBA5"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(0.014)</w:t>
            </w:r>
          </w:p>
        </w:tc>
        <w:tc>
          <w:tcPr>
            <w:tcW w:w="389" w:type="pct"/>
            <w:tcBorders>
              <w:top w:val="nil"/>
              <w:left w:val="nil"/>
              <w:bottom w:val="nil"/>
              <w:right w:val="nil"/>
            </w:tcBorders>
            <w:shd w:val="clear" w:color="000000" w:fill="FFFFFF"/>
            <w:noWrap/>
            <w:vAlign w:val="center"/>
            <w:hideMark/>
          </w:tcPr>
          <w:p w14:paraId="5309D70E"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0.058*</w:t>
            </w:r>
          </w:p>
        </w:tc>
        <w:tc>
          <w:tcPr>
            <w:tcW w:w="323" w:type="pct"/>
            <w:tcBorders>
              <w:top w:val="nil"/>
              <w:left w:val="nil"/>
              <w:bottom w:val="nil"/>
              <w:right w:val="nil"/>
            </w:tcBorders>
            <w:shd w:val="clear" w:color="000000" w:fill="FFFFFF"/>
            <w:noWrap/>
            <w:vAlign w:val="center"/>
            <w:hideMark/>
          </w:tcPr>
          <w:p w14:paraId="3B8C242E"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(0.027)</w:t>
            </w:r>
          </w:p>
        </w:tc>
        <w:tc>
          <w:tcPr>
            <w:tcW w:w="404" w:type="pct"/>
            <w:tcBorders>
              <w:top w:val="nil"/>
              <w:left w:val="nil"/>
              <w:bottom w:val="nil"/>
              <w:right w:val="nil"/>
            </w:tcBorders>
            <w:shd w:val="clear" w:color="000000" w:fill="FFFFFF"/>
            <w:noWrap/>
            <w:vAlign w:val="center"/>
            <w:hideMark/>
          </w:tcPr>
          <w:p w14:paraId="0A54C85D"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0.021*</w:t>
            </w:r>
          </w:p>
        </w:tc>
        <w:tc>
          <w:tcPr>
            <w:tcW w:w="323" w:type="pct"/>
            <w:tcBorders>
              <w:top w:val="nil"/>
              <w:left w:val="nil"/>
              <w:bottom w:val="nil"/>
              <w:right w:val="nil"/>
            </w:tcBorders>
            <w:shd w:val="clear" w:color="000000" w:fill="FFFFFF"/>
            <w:noWrap/>
            <w:vAlign w:val="center"/>
            <w:hideMark/>
          </w:tcPr>
          <w:p w14:paraId="71974E7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(0.008)</w:t>
            </w:r>
          </w:p>
        </w:tc>
      </w:tr>
      <w:tr w:rsidR="006A175B" w:rsidRPr="00375327" w14:paraId="7C3A210B" w14:textId="77777777" w:rsidTr="006A175B">
        <w:trPr>
          <w:trHeight w:val="263"/>
        </w:trPr>
        <w:tc>
          <w:tcPr>
            <w:tcW w:w="2135" w:type="pct"/>
            <w:tcBorders>
              <w:top w:val="nil"/>
              <w:left w:val="nil"/>
              <w:bottom w:val="nil"/>
              <w:right w:val="nil"/>
            </w:tcBorders>
            <w:shd w:val="clear" w:color="000000" w:fill="FFFFFF"/>
            <w:noWrap/>
            <w:vAlign w:val="center"/>
            <w:hideMark/>
          </w:tcPr>
          <w:p w14:paraId="33FFE4D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Exclusive local attachment</w:t>
            </w:r>
          </w:p>
        </w:tc>
        <w:tc>
          <w:tcPr>
            <w:tcW w:w="389" w:type="pct"/>
            <w:tcBorders>
              <w:top w:val="nil"/>
              <w:left w:val="nil"/>
              <w:bottom w:val="nil"/>
              <w:right w:val="nil"/>
            </w:tcBorders>
            <w:shd w:val="clear" w:color="000000" w:fill="FFFFFF"/>
            <w:noWrap/>
            <w:vAlign w:val="center"/>
            <w:hideMark/>
          </w:tcPr>
          <w:p w14:paraId="7AFB647F"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194B4C28"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89" w:type="pct"/>
            <w:tcBorders>
              <w:top w:val="nil"/>
              <w:left w:val="nil"/>
              <w:bottom w:val="nil"/>
              <w:right w:val="nil"/>
            </w:tcBorders>
            <w:shd w:val="clear" w:color="000000" w:fill="FFFFFF"/>
            <w:noWrap/>
            <w:vAlign w:val="center"/>
            <w:hideMark/>
          </w:tcPr>
          <w:p w14:paraId="78B5634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61AECFA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89" w:type="pct"/>
            <w:tcBorders>
              <w:top w:val="nil"/>
              <w:left w:val="nil"/>
              <w:bottom w:val="nil"/>
              <w:right w:val="nil"/>
            </w:tcBorders>
            <w:shd w:val="clear" w:color="000000" w:fill="FFFFFF"/>
            <w:noWrap/>
            <w:vAlign w:val="center"/>
            <w:hideMark/>
          </w:tcPr>
          <w:p w14:paraId="0A61BF8C"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62FE0AF7"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404" w:type="pct"/>
            <w:tcBorders>
              <w:top w:val="nil"/>
              <w:left w:val="nil"/>
              <w:bottom w:val="nil"/>
              <w:right w:val="nil"/>
            </w:tcBorders>
            <w:shd w:val="clear" w:color="000000" w:fill="FFFFFF"/>
            <w:noWrap/>
            <w:vAlign w:val="center"/>
            <w:hideMark/>
          </w:tcPr>
          <w:p w14:paraId="46F78CE8"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-0.061*</w:t>
            </w:r>
          </w:p>
        </w:tc>
        <w:tc>
          <w:tcPr>
            <w:tcW w:w="323" w:type="pct"/>
            <w:tcBorders>
              <w:top w:val="nil"/>
              <w:left w:val="nil"/>
              <w:bottom w:val="nil"/>
              <w:right w:val="nil"/>
            </w:tcBorders>
            <w:shd w:val="clear" w:color="000000" w:fill="FFFFFF"/>
            <w:noWrap/>
            <w:vAlign w:val="center"/>
            <w:hideMark/>
          </w:tcPr>
          <w:p w14:paraId="21E57EB1"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(0.026)</w:t>
            </w:r>
          </w:p>
        </w:tc>
      </w:tr>
      <w:tr w:rsidR="006A175B" w:rsidRPr="00375327" w14:paraId="738D85AF" w14:textId="77777777" w:rsidTr="006A175B">
        <w:trPr>
          <w:trHeight w:val="263"/>
        </w:trPr>
        <w:tc>
          <w:tcPr>
            <w:tcW w:w="2135" w:type="pct"/>
            <w:tcBorders>
              <w:top w:val="nil"/>
              <w:left w:val="nil"/>
              <w:bottom w:val="nil"/>
              <w:right w:val="nil"/>
            </w:tcBorders>
            <w:shd w:val="clear" w:color="000000" w:fill="FFFFFF"/>
            <w:noWrap/>
            <w:vAlign w:val="center"/>
            <w:hideMark/>
          </w:tcPr>
          <w:p w14:paraId="5D128D8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Exclusive local attachment # Causal beliefs: region</w:t>
            </w:r>
          </w:p>
        </w:tc>
        <w:tc>
          <w:tcPr>
            <w:tcW w:w="389" w:type="pct"/>
            <w:tcBorders>
              <w:top w:val="nil"/>
              <w:left w:val="nil"/>
              <w:bottom w:val="nil"/>
              <w:right w:val="nil"/>
            </w:tcBorders>
            <w:shd w:val="clear" w:color="000000" w:fill="FFFFFF"/>
            <w:noWrap/>
            <w:vAlign w:val="center"/>
            <w:hideMark/>
          </w:tcPr>
          <w:p w14:paraId="2BCCF2B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70888C41"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89" w:type="pct"/>
            <w:tcBorders>
              <w:top w:val="nil"/>
              <w:left w:val="nil"/>
              <w:bottom w:val="nil"/>
              <w:right w:val="nil"/>
            </w:tcBorders>
            <w:shd w:val="clear" w:color="000000" w:fill="FFFFFF"/>
            <w:noWrap/>
            <w:vAlign w:val="center"/>
            <w:hideMark/>
          </w:tcPr>
          <w:p w14:paraId="41798CC7"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6F1A8F2C"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89" w:type="pct"/>
            <w:tcBorders>
              <w:top w:val="nil"/>
              <w:left w:val="nil"/>
              <w:bottom w:val="nil"/>
              <w:right w:val="nil"/>
            </w:tcBorders>
            <w:shd w:val="clear" w:color="000000" w:fill="FFFFFF"/>
            <w:noWrap/>
            <w:vAlign w:val="center"/>
            <w:hideMark/>
          </w:tcPr>
          <w:p w14:paraId="68F385DD"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61636B4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404" w:type="pct"/>
            <w:tcBorders>
              <w:top w:val="nil"/>
              <w:left w:val="nil"/>
              <w:bottom w:val="nil"/>
              <w:right w:val="nil"/>
            </w:tcBorders>
            <w:shd w:val="clear" w:color="000000" w:fill="FFFFFF"/>
            <w:noWrap/>
            <w:vAlign w:val="center"/>
            <w:hideMark/>
          </w:tcPr>
          <w:p w14:paraId="3E17E75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0.015*</w:t>
            </w:r>
          </w:p>
        </w:tc>
        <w:tc>
          <w:tcPr>
            <w:tcW w:w="323" w:type="pct"/>
            <w:tcBorders>
              <w:top w:val="nil"/>
              <w:left w:val="nil"/>
              <w:bottom w:val="nil"/>
              <w:right w:val="nil"/>
            </w:tcBorders>
            <w:shd w:val="clear" w:color="000000" w:fill="FFFFFF"/>
            <w:noWrap/>
            <w:vAlign w:val="center"/>
            <w:hideMark/>
          </w:tcPr>
          <w:p w14:paraId="36123524"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(0.007)</w:t>
            </w:r>
          </w:p>
        </w:tc>
      </w:tr>
      <w:tr w:rsidR="006A175B" w:rsidRPr="00375327" w14:paraId="65725E5D" w14:textId="77777777" w:rsidTr="006A175B">
        <w:trPr>
          <w:trHeight w:val="263"/>
        </w:trPr>
        <w:tc>
          <w:tcPr>
            <w:tcW w:w="2135" w:type="pct"/>
            <w:tcBorders>
              <w:top w:val="nil"/>
              <w:left w:val="nil"/>
              <w:bottom w:val="nil"/>
              <w:right w:val="nil"/>
            </w:tcBorders>
            <w:shd w:val="clear" w:color="000000" w:fill="FFFFFF"/>
            <w:noWrap/>
            <w:vAlign w:val="center"/>
            <w:hideMark/>
          </w:tcPr>
          <w:p w14:paraId="174E821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Exclusive national attachment</w:t>
            </w:r>
          </w:p>
        </w:tc>
        <w:tc>
          <w:tcPr>
            <w:tcW w:w="389" w:type="pct"/>
            <w:tcBorders>
              <w:top w:val="nil"/>
              <w:left w:val="nil"/>
              <w:bottom w:val="nil"/>
              <w:right w:val="nil"/>
            </w:tcBorders>
            <w:shd w:val="clear" w:color="000000" w:fill="FFFFFF"/>
            <w:noWrap/>
            <w:vAlign w:val="center"/>
            <w:hideMark/>
          </w:tcPr>
          <w:p w14:paraId="39E1550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148852AD"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89" w:type="pct"/>
            <w:tcBorders>
              <w:top w:val="nil"/>
              <w:left w:val="nil"/>
              <w:bottom w:val="nil"/>
              <w:right w:val="nil"/>
            </w:tcBorders>
            <w:shd w:val="clear" w:color="000000" w:fill="FFFFFF"/>
            <w:noWrap/>
            <w:vAlign w:val="center"/>
            <w:hideMark/>
          </w:tcPr>
          <w:p w14:paraId="4CD87BD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28146590"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89" w:type="pct"/>
            <w:tcBorders>
              <w:top w:val="nil"/>
              <w:left w:val="nil"/>
              <w:bottom w:val="nil"/>
              <w:right w:val="nil"/>
            </w:tcBorders>
            <w:shd w:val="clear" w:color="000000" w:fill="FFFFFF"/>
            <w:noWrap/>
            <w:vAlign w:val="center"/>
            <w:hideMark/>
          </w:tcPr>
          <w:p w14:paraId="31891975"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73A276A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404" w:type="pct"/>
            <w:tcBorders>
              <w:top w:val="nil"/>
              <w:left w:val="nil"/>
              <w:bottom w:val="nil"/>
              <w:right w:val="nil"/>
            </w:tcBorders>
            <w:shd w:val="clear" w:color="000000" w:fill="FFFFFF"/>
            <w:noWrap/>
            <w:vAlign w:val="center"/>
            <w:hideMark/>
          </w:tcPr>
          <w:p w14:paraId="3AAF5DCE"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-0.050**</w:t>
            </w:r>
          </w:p>
        </w:tc>
        <w:tc>
          <w:tcPr>
            <w:tcW w:w="323" w:type="pct"/>
            <w:tcBorders>
              <w:top w:val="nil"/>
              <w:left w:val="nil"/>
              <w:bottom w:val="nil"/>
              <w:right w:val="nil"/>
            </w:tcBorders>
            <w:shd w:val="clear" w:color="000000" w:fill="FFFFFF"/>
            <w:noWrap/>
            <w:vAlign w:val="center"/>
            <w:hideMark/>
          </w:tcPr>
          <w:p w14:paraId="74AE800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(0.017)</w:t>
            </w:r>
          </w:p>
        </w:tc>
      </w:tr>
      <w:tr w:rsidR="006A175B" w:rsidRPr="00375327" w14:paraId="1B977539" w14:textId="77777777" w:rsidTr="006A175B">
        <w:trPr>
          <w:trHeight w:val="263"/>
        </w:trPr>
        <w:tc>
          <w:tcPr>
            <w:tcW w:w="2135" w:type="pct"/>
            <w:tcBorders>
              <w:top w:val="nil"/>
              <w:left w:val="nil"/>
              <w:bottom w:val="nil"/>
              <w:right w:val="nil"/>
            </w:tcBorders>
            <w:shd w:val="clear" w:color="000000" w:fill="FFFFFF"/>
            <w:noWrap/>
            <w:vAlign w:val="center"/>
            <w:hideMark/>
          </w:tcPr>
          <w:p w14:paraId="6F9AFD1C"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Exclusive national attachment # Causal beliefs: country</w:t>
            </w:r>
          </w:p>
        </w:tc>
        <w:tc>
          <w:tcPr>
            <w:tcW w:w="389" w:type="pct"/>
            <w:tcBorders>
              <w:top w:val="nil"/>
              <w:left w:val="nil"/>
              <w:bottom w:val="nil"/>
              <w:right w:val="nil"/>
            </w:tcBorders>
            <w:shd w:val="clear" w:color="000000" w:fill="FFFFFF"/>
            <w:noWrap/>
            <w:vAlign w:val="center"/>
            <w:hideMark/>
          </w:tcPr>
          <w:p w14:paraId="27ED0785"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4B4645F8"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89" w:type="pct"/>
            <w:tcBorders>
              <w:top w:val="nil"/>
              <w:left w:val="nil"/>
              <w:bottom w:val="nil"/>
              <w:right w:val="nil"/>
            </w:tcBorders>
            <w:shd w:val="clear" w:color="000000" w:fill="FFFFFF"/>
            <w:noWrap/>
            <w:vAlign w:val="center"/>
            <w:hideMark/>
          </w:tcPr>
          <w:p w14:paraId="61F70DF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5DDF928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89" w:type="pct"/>
            <w:tcBorders>
              <w:top w:val="nil"/>
              <w:left w:val="nil"/>
              <w:bottom w:val="nil"/>
              <w:right w:val="nil"/>
            </w:tcBorders>
            <w:shd w:val="clear" w:color="000000" w:fill="FFFFFF"/>
            <w:noWrap/>
            <w:vAlign w:val="center"/>
            <w:hideMark/>
          </w:tcPr>
          <w:p w14:paraId="6504F7B1"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0A9F396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404" w:type="pct"/>
            <w:tcBorders>
              <w:top w:val="nil"/>
              <w:left w:val="nil"/>
              <w:bottom w:val="nil"/>
              <w:right w:val="nil"/>
            </w:tcBorders>
            <w:shd w:val="clear" w:color="000000" w:fill="FFFFFF"/>
            <w:noWrap/>
            <w:vAlign w:val="center"/>
            <w:hideMark/>
          </w:tcPr>
          <w:p w14:paraId="196A5181"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0.013*</w:t>
            </w:r>
          </w:p>
        </w:tc>
        <w:tc>
          <w:tcPr>
            <w:tcW w:w="323" w:type="pct"/>
            <w:tcBorders>
              <w:top w:val="nil"/>
              <w:left w:val="nil"/>
              <w:bottom w:val="nil"/>
              <w:right w:val="nil"/>
            </w:tcBorders>
            <w:shd w:val="clear" w:color="000000" w:fill="FFFFFF"/>
            <w:noWrap/>
            <w:vAlign w:val="center"/>
            <w:hideMark/>
          </w:tcPr>
          <w:p w14:paraId="1EC58BF8"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(0.005)</w:t>
            </w:r>
          </w:p>
        </w:tc>
      </w:tr>
      <w:tr w:rsidR="006A175B" w:rsidRPr="00375327" w14:paraId="032961E5" w14:textId="77777777" w:rsidTr="006A175B">
        <w:trPr>
          <w:trHeight w:val="263"/>
        </w:trPr>
        <w:tc>
          <w:tcPr>
            <w:tcW w:w="2135" w:type="pct"/>
            <w:tcBorders>
              <w:top w:val="nil"/>
              <w:left w:val="nil"/>
              <w:bottom w:val="nil"/>
              <w:right w:val="nil"/>
            </w:tcBorders>
            <w:shd w:val="clear" w:color="000000" w:fill="FFFFFF"/>
            <w:noWrap/>
            <w:vAlign w:val="center"/>
            <w:hideMark/>
          </w:tcPr>
          <w:p w14:paraId="1C78D42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Exclusive EU attachment</w:t>
            </w:r>
          </w:p>
        </w:tc>
        <w:tc>
          <w:tcPr>
            <w:tcW w:w="389" w:type="pct"/>
            <w:tcBorders>
              <w:top w:val="nil"/>
              <w:left w:val="nil"/>
              <w:bottom w:val="nil"/>
              <w:right w:val="nil"/>
            </w:tcBorders>
            <w:shd w:val="clear" w:color="000000" w:fill="FFFFFF"/>
            <w:noWrap/>
            <w:vAlign w:val="center"/>
            <w:hideMark/>
          </w:tcPr>
          <w:p w14:paraId="62701B88"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01DD2D2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89" w:type="pct"/>
            <w:tcBorders>
              <w:top w:val="nil"/>
              <w:left w:val="nil"/>
              <w:bottom w:val="nil"/>
              <w:right w:val="nil"/>
            </w:tcBorders>
            <w:shd w:val="clear" w:color="000000" w:fill="FFFFFF"/>
            <w:noWrap/>
            <w:vAlign w:val="center"/>
            <w:hideMark/>
          </w:tcPr>
          <w:p w14:paraId="1D1A684C"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191FDC65"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89" w:type="pct"/>
            <w:tcBorders>
              <w:top w:val="nil"/>
              <w:left w:val="nil"/>
              <w:bottom w:val="nil"/>
              <w:right w:val="nil"/>
            </w:tcBorders>
            <w:shd w:val="clear" w:color="000000" w:fill="FFFFFF"/>
            <w:noWrap/>
            <w:vAlign w:val="center"/>
            <w:hideMark/>
          </w:tcPr>
          <w:p w14:paraId="7656BC52"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78838761"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404" w:type="pct"/>
            <w:tcBorders>
              <w:top w:val="nil"/>
              <w:left w:val="nil"/>
              <w:bottom w:val="nil"/>
              <w:right w:val="nil"/>
            </w:tcBorders>
            <w:shd w:val="clear" w:color="000000" w:fill="FFFFFF"/>
            <w:noWrap/>
            <w:vAlign w:val="center"/>
            <w:hideMark/>
          </w:tcPr>
          <w:p w14:paraId="68ED7C2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-0.039</w:t>
            </w:r>
          </w:p>
        </w:tc>
        <w:tc>
          <w:tcPr>
            <w:tcW w:w="323" w:type="pct"/>
            <w:tcBorders>
              <w:top w:val="nil"/>
              <w:left w:val="nil"/>
              <w:bottom w:val="nil"/>
              <w:right w:val="nil"/>
            </w:tcBorders>
            <w:shd w:val="clear" w:color="000000" w:fill="FFFFFF"/>
            <w:noWrap/>
            <w:vAlign w:val="center"/>
            <w:hideMark/>
          </w:tcPr>
          <w:p w14:paraId="79C12EB2"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(0.042)</w:t>
            </w:r>
          </w:p>
        </w:tc>
      </w:tr>
      <w:tr w:rsidR="006A175B" w:rsidRPr="00375327" w14:paraId="2530E507" w14:textId="77777777" w:rsidTr="006A175B">
        <w:trPr>
          <w:trHeight w:val="263"/>
        </w:trPr>
        <w:tc>
          <w:tcPr>
            <w:tcW w:w="2135" w:type="pct"/>
            <w:tcBorders>
              <w:top w:val="nil"/>
              <w:left w:val="nil"/>
              <w:bottom w:val="nil"/>
              <w:right w:val="nil"/>
            </w:tcBorders>
            <w:shd w:val="clear" w:color="000000" w:fill="FFFFFF"/>
            <w:noWrap/>
            <w:vAlign w:val="center"/>
            <w:hideMark/>
          </w:tcPr>
          <w:p w14:paraId="659D522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Exclusive EU attachment # Causal beliefs: Europe</w:t>
            </w:r>
          </w:p>
        </w:tc>
        <w:tc>
          <w:tcPr>
            <w:tcW w:w="389" w:type="pct"/>
            <w:tcBorders>
              <w:top w:val="nil"/>
              <w:left w:val="nil"/>
              <w:bottom w:val="nil"/>
              <w:right w:val="nil"/>
            </w:tcBorders>
            <w:shd w:val="clear" w:color="000000" w:fill="FFFFFF"/>
            <w:noWrap/>
            <w:vAlign w:val="center"/>
            <w:hideMark/>
          </w:tcPr>
          <w:p w14:paraId="5F657258"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51E07215"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89" w:type="pct"/>
            <w:tcBorders>
              <w:top w:val="nil"/>
              <w:left w:val="nil"/>
              <w:bottom w:val="nil"/>
              <w:right w:val="nil"/>
            </w:tcBorders>
            <w:shd w:val="clear" w:color="000000" w:fill="FFFFFF"/>
            <w:noWrap/>
            <w:vAlign w:val="center"/>
            <w:hideMark/>
          </w:tcPr>
          <w:p w14:paraId="2A8580D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5EACC9E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89" w:type="pct"/>
            <w:tcBorders>
              <w:top w:val="nil"/>
              <w:left w:val="nil"/>
              <w:bottom w:val="nil"/>
              <w:right w:val="nil"/>
            </w:tcBorders>
            <w:shd w:val="clear" w:color="000000" w:fill="FFFFFF"/>
            <w:noWrap/>
            <w:vAlign w:val="center"/>
            <w:hideMark/>
          </w:tcPr>
          <w:p w14:paraId="25CB01F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323" w:type="pct"/>
            <w:tcBorders>
              <w:top w:val="nil"/>
              <w:left w:val="nil"/>
              <w:bottom w:val="nil"/>
              <w:right w:val="nil"/>
            </w:tcBorders>
            <w:shd w:val="clear" w:color="000000" w:fill="FFFFFF"/>
            <w:noWrap/>
            <w:vAlign w:val="center"/>
            <w:hideMark/>
          </w:tcPr>
          <w:p w14:paraId="7817CA34"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w:t>
            </w:r>
          </w:p>
        </w:tc>
        <w:tc>
          <w:tcPr>
            <w:tcW w:w="404" w:type="pct"/>
            <w:tcBorders>
              <w:top w:val="nil"/>
              <w:left w:val="nil"/>
              <w:bottom w:val="nil"/>
              <w:right w:val="nil"/>
            </w:tcBorders>
            <w:shd w:val="clear" w:color="000000" w:fill="FFFFFF"/>
            <w:noWrap/>
            <w:vAlign w:val="center"/>
            <w:hideMark/>
          </w:tcPr>
          <w:p w14:paraId="43B52CC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0.004</w:t>
            </w:r>
          </w:p>
        </w:tc>
        <w:tc>
          <w:tcPr>
            <w:tcW w:w="323" w:type="pct"/>
            <w:tcBorders>
              <w:top w:val="nil"/>
              <w:left w:val="nil"/>
              <w:bottom w:val="nil"/>
              <w:right w:val="nil"/>
            </w:tcBorders>
            <w:shd w:val="clear" w:color="000000" w:fill="FFFFFF"/>
            <w:noWrap/>
            <w:vAlign w:val="center"/>
            <w:hideMark/>
          </w:tcPr>
          <w:p w14:paraId="188443FC"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(0.011)</w:t>
            </w:r>
          </w:p>
        </w:tc>
      </w:tr>
      <w:tr w:rsidR="006A175B" w:rsidRPr="00375327" w14:paraId="1160F9ED" w14:textId="77777777" w:rsidTr="006A175B">
        <w:trPr>
          <w:trHeight w:val="263"/>
        </w:trPr>
        <w:tc>
          <w:tcPr>
            <w:tcW w:w="2135" w:type="pct"/>
            <w:tcBorders>
              <w:top w:val="nil"/>
              <w:left w:val="nil"/>
              <w:bottom w:val="nil"/>
              <w:right w:val="nil"/>
            </w:tcBorders>
            <w:shd w:val="clear" w:color="000000" w:fill="FFFFFF"/>
            <w:noWrap/>
            <w:vAlign w:val="center"/>
            <w:hideMark/>
          </w:tcPr>
          <w:p w14:paraId="5FCF062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Age</w:t>
            </w:r>
          </w:p>
        </w:tc>
        <w:tc>
          <w:tcPr>
            <w:tcW w:w="389" w:type="pct"/>
            <w:tcBorders>
              <w:top w:val="nil"/>
              <w:left w:val="nil"/>
              <w:bottom w:val="nil"/>
              <w:right w:val="nil"/>
            </w:tcBorders>
            <w:shd w:val="clear" w:color="000000" w:fill="FFFFFF"/>
            <w:noWrap/>
            <w:vAlign w:val="center"/>
            <w:hideMark/>
          </w:tcPr>
          <w:p w14:paraId="242BBA05"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-0.001</w:t>
            </w:r>
          </w:p>
        </w:tc>
        <w:tc>
          <w:tcPr>
            <w:tcW w:w="323" w:type="pct"/>
            <w:tcBorders>
              <w:top w:val="nil"/>
              <w:left w:val="nil"/>
              <w:bottom w:val="nil"/>
              <w:right w:val="nil"/>
            </w:tcBorders>
            <w:shd w:val="clear" w:color="000000" w:fill="FFFFFF"/>
            <w:noWrap/>
            <w:vAlign w:val="center"/>
            <w:hideMark/>
          </w:tcPr>
          <w:p w14:paraId="3C8C1FF8"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(0.001)</w:t>
            </w:r>
          </w:p>
        </w:tc>
        <w:tc>
          <w:tcPr>
            <w:tcW w:w="389" w:type="pct"/>
            <w:tcBorders>
              <w:top w:val="nil"/>
              <w:left w:val="nil"/>
              <w:bottom w:val="nil"/>
              <w:right w:val="nil"/>
            </w:tcBorders>
            <w:shd w:val="clear" w:color="000000" w:fill="FFFFFF"/>
            <w:noWrap/>
            <w:vAlign w:val="center"/>
            <w:hideMark/>
          </w:tcPr>
          <w:p w14:paraId="66B331E0"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-0.001**</w:t>
            </w:r>
          </w:p>
        </w:tc>
        <w:tc>
          <w:tcPr>
            <w:tcW w:w="323" w:type="pct"/>
            <w:tcBorders>
              <w:top w:val="nil"/>
              <w:left w:val="nil"/>
              <w:bottom w:val="nil"/>
              <w:right w:val="nil"/>
            </w:tcBorders>
            <w:shd w:val="clear" w:color="000000" w:fill="FFFFFF"/>
            <w:noWrap/>
            <w:vAlign w:val="center"/>
            <w:hideMark/>
          </w:tcPr>
          <w:p w14:paraId="038D54D7"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(0.001)</w:t>
            </w:r>
          </w:p>
        </w:tc>
        <w:tc>
          <w:tcPr>
            <w:tcW w:w="389" w:type="pct"/>
            <w:tcBorders>
              <w:top w:val="nil"/>
              <w:left w:val="nil"/>
              <w:bottom w:val="nil"/>
              <w:right w:val="nil"/>
            </w:tcBorders>
            <w:shd w:val="clear" w:color="000000" w:fill="FFFFFF"/>
            <w:noWrap/>
            <w:vAlign w:val="center"/>
            <w:hideMark/>
          </w:tcPr>
          <w:p w14:paraId="5FFC7640"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-0.002</w:t>
            </w:r>
          </w:p>
        </w:tc>
        <w:tc>
          <w:tcPr>
            <w:tcW w:w="323" w:type="pct"/>
            <w:tcBorders>
              <w:top w:val="nil"/>
              <w:left w:val="nil"/>
              <w:bottom w:val="nil"/>
              <w:right w:val="nil"/>
            </w:tcBorders>
            <w:shd w:val="clear" w:color="000000" w:fill="FFFFFF"/>
            <w:noWrap/>
            <w:vAlign w:val="center"/>
            <w:hideMark/>
          </w:tcPr>
          <w:p w14:paraId="73514D4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(0.001)</w:t>
            </w:r>
          </w:p>
        </w:tc>
        <w:tc>
          <w:tcPr>
            <w:tcW w:w="404" w:type="pct"/>
            <w:tcBorders>
              <w:top w:val="nil"/>
              <w:left w:val="nil"/>
              <w:bottom w:val="nil"/>
              <w:right w:val="nil"/>
            </w:tcBorders>
            <w:shd w:val="clear" w:color="000000" w:fill="FFFFFF"/>
            <w:noWrap/>
            <w:vAlign w:val="center"/>
            <w:hideMark/>
          </w:tcPr>
          <w:p w14:paraId="110EFA22"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-0.002***</w:t>
            </w:r>
          </w:p>
        </w:tc>
        <w:tc>
          <w:tcPr>
            <w:tcW w:w="323" w:type="pct"/>
            <w:tcBorders>
              <w:top w:val="nil"/>
              <w:left w:val="nil"/>
              <w:bottom w:val="nil"/>
              <w:right w:val="nil"/>
            </w:tcBorders>
            <w:shd w:val="clear" w:color="000000" w:fill="FFFFFF"/>
            <w:noWrap/>
            <w:vAlign w:val="center"/>
            <w:hideMark/>
          </w:tcPr>
          <w:p w14:paraId="069EB3B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(0.000)</w:t>
            </w:r>
          </w:p>
        </w:tc>
      </w:tr>
      <w:tr w:rsidR="006A175B" w:rsidRPr="00375327" w14:paraId="032F6573" w14:textId="77777777" w:rsidTr="006A175B">
        <w:trPr>
          <w:trHeight w:val="263"/>
        </w:trPr>
        <w:tc>
          <w:tcPr>
            <w:tcW w:w="2135" w:type="pct"/>
            <w:tcBorders>
              <w:top w:val="nil"/>
              <w:left w:val="nil"/>
              <w:bottom w:val="nil"/>
              <w:right w:val="nil"/>
            </w:tcBorders>
            <w:shd w:val="clear" w:color="000000" w:fill="FFFFFF"/>
            <w:noWrap/>
            <w:vAlign w:val="center"/>
            <w:hideMark/>
          </w:tcPr>
          <w:p w14:paraId="5060C46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Income: low</w:t>
            </w:r>
          </w:p>
        </w:tc>
        <w:tc>
          <w:tcPr>
            <w:tcW w:w="389" w:type="pct"/>
            <w:tcBorders>
              <w:top w:val="nil"/>
              <w:left w:val="nil"/>
              <w:bottom w:val="nil"/>
              <w:right w:val="nil"/>
            </w:tcBorders>
            <w:shd w:val="clear" w:color="000000" w:fill="FFFFFF"/>
            <w:noWrap/>
            <w:vAlign w:val="center"/>
            <w:hideMark/>
          </w:tcPr>
          <w:p w14:paraId="2B5B6BF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0.000</w:t>
            </w:r>
          </w:p>
        </w:tc>
        <w:tc>
          <w:tcPr>
            <w:tcW w:w="323" w:type="pct"/>
            <w:tcBorders>
              <w:top w:val="nil"/>
              <w:left w:val="nil"/>
              <w:bottom w:val="nil"/>
              <w:right w:val="nil"/>
            </w:tcBorders>
            <w:shd w:val="clear" w:color="000000" w:fill="FFFFFF"/>
            <w:noWrap/>
            <w:vAlign w:val="center"/>
            <w:hideMark/>
          </w:tcPr>
          <w:p w14:paraId="6D491C85"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w:t>
            </w:r>
          </w:p>
        </w:tc>
        <w:tc>
          <w:tcPr>
            <w:tcW w:w="389" w:type="pct"/>
            <w:tcBorders>
              <w:top w:val="nil"/>
              <w:left w:val="nil"/>
              <w:bottom w:val="nil"/>
              <w:right w:val="nil"/>
            </w:tcBorders>
            <w:shd w:val="clear" w:color="000000" w:fill="FFFFFF"/>
            <w:noWrap/>
            <w:vAlign w:val="center"/>
            <w:hideMark/>
          </w:tcPr>
          <w:p w14:paraId="28D812F4"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0.000</w:t>
            </w:r>
          </w:p>
        </w:tc>
        <w:tc>
          <w:tcPr>
            <w:tcW w:w="323" w:type="pct"/>
            <w:tcBorders>
              <w:top w:val="nil"/>
              <w:left w:val="nil"/>
              <w:bottom w:val="nil"/>
              <w:right w:val="nil"/>
            </w:tcBorders>
            <w:shd w:val="clear" w:color="000000" w:fill="FFFFFF"/>
            <w:noWrap/>
            <w:vAlign w:val="center"/>
            <w:hideMark/>
          </w:tcPr>
          <w:p w14:paraId="045BDF34"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w:t>
            </w:r>
          </w:p>
        </w:tc>
        <w:tc>
          <w:tcPr>
            <w:tcW w:w="389" w:type="pct"/>
            <w:tcBorders>
              <w:top w:val="nil"/>
              <w:left w:val="nil"/>
              <w:bottom w:val="nil"/>
              <w:right w:val="nil"/>
            </w:tcBorders>
            <w:shd w:val="clear" w:color="000000" w:fill="FFFFFF"/>
            <w:noWrap/>
            <w:vAlign w:val="center"/>
            <w:hideMark/>
          </w:tcPr>
          <w:p w14:paraId="538E8915"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0.000</w:t>
            </w:r>
          </w:p>
        </w:tc>
        <w:tc>
          <w:tcPr>
            <w:tcW w:w="323" w:type="pct"/>
            <w:tcBorders>
              <w:top w:val="nil"/>
              <w:left w:val="nil"/>
              <w:bottom w:val="nil"/>
              <w:right w:val="nil"/>
            </w:tcBorders>
            <w:shd w:val="clear" w:color="000000" w:fill="FFFFFF"/>
            <w:noWrap/>
            <w:vAlign w:val="center"/>
            <w:hideMark/>
          </w:tcPr>
          <w:p w14:paraId="1E2DD781"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w:t>
            </w:r>
          </w:p>
        </w:tc>
        <w:tc>
          <w:tcPr>
            <w:tcW w:w="404" w:type="pct"/>
            <w:tcBorders>
              <w:top w:val="nil"/>
              <w:left w:val="nil"/>
              <w:bottom w:val="nil"/>
              <w:right w:val="nil"/>
            </w:tcBorders>
            <w:shd w:val="clear" w:color="000000" w:fill="FFFFFF"/>
            <w:noWrap/>
            <w:vAlign w:val="center"/>
            <w:hideMark/>
          </w:tcPr>
          <w:p w14:paraId="5FB1206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0.000</w:t>
            </w:r>
          </w:p>
        </w:tc>
        <w:tc>
          <w:tcPr>
            <w:tcW w:w="323" w:type="pct"/>
            <w:tcBorders>
              <w:top w:val="nil"/>
              <w:left w:val="nil"/>
              <w:bottom w:val="nil"/>
              <w:right w:val="nil"/>
            </w:tcBorders>
            <w:shd w:val="clear" w:color="000000" w:fill="FFFFFF"/>
            <w:noWrap/>
            <w:vAlign w:val="center"/>
            <w:hideMark/>
          </w:tcPr>
          <w:p w14:paraId="2935775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w:t>
            </w:r>
          </w:p>
        </w:tc>
      </w:tr>
      <w:tr w:rsidR="006A175B" w:rsidRPr="00375327" w14:paraId="5B8BD0B1" w14:textId="77777777" w:rsidTr="006A175B">
        <w:trPr>
          <w:trHeight w:val="263"/>
        </w:trPr>
        <w:tc>
          <w:tcPr>
            <w:tcW w:w="2135" w:type="pct"/>
            <w:tcBorders>
              <w:top w:val="nil"/>
              <w:left w:val="nil"/>
              <w:bottom w:val="nil"/>
              <w:right w:val="nil"/>
            </w:tcBorders>
            <w:shd w:val="clear" w:color="000000" w:fill="FFFFFF"/>
            <w:noWrap/>
            <w:vAlign w:val="center"/>
            <w:hideMark/>
          </w:tcPr>
          <w:p w14:paraId="4C53AC64"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Income: middle</w:t>
            </w:r>
          </w:p>
        </w:tc>
        <w:tc>
          <w:tcPr>
            <w:tcW w:w="389" w:type="pct"/>
            <w:tcBorders>
              <w:top w:val="nil"/>
              <w:left w:val="nil"/>
              <w:bottom w:val="nil"/>
              <w:right w:val="nil"/>
            </w:tcBorders>
            <w:shd w:val="clear" w:color="000000" w:fill="FFFFFF"/>
            <w:noWrap/>
            <w:vAlign w:val="center"/>
            <w:hideMark/>
          </w:tcPr>
          <w:p w14:paraId="41095A5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-0.041</w:t>
            </w:r>
          </w:p>
        </w:tc>
        <w:tc>
          <w:tcPr>
            <w:tcW w:w="323" w:type="pct"/>
            <w:tcBorders>
              <w:top w:val="nil"/>
              <w:left w:val="nil"/>
              <w:bottom w:val="nil"/>
              <w:right w:val="nil"/>
            </w:tcBorders>
            <w:shd w:val="clear" w:color="000000" w:fill="FFFFFF"/>
            <w:noWrap/>
            <w:vAlign w:val="center"/>
            <w:hideMark/>
          </w:tcPr>
          <w:p w14:paraId="1EDB7634"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(0.030)</w:t>
            </w:r>
          </w:p>
        </w:tc>
        <w:tc>
          <w:tcPr>
            <w:tcW w:w="389" w:type="pct"/>
            <w:tcBorders>
              <w:top w:val="nil"/>
              <w:left w:val="nil"/>
              <w:bottom w:val="nil"/>
              <w:right w:val="nil"/>
            </w:tcBorders>
            <w:shd w:val="clear" w:color="000000" w:fill="FFFFFF"/>
            <w:noWrap/>
            <w:vAlign w:val="center"/>
            <w:hideMark/>
          </w:tcPr>
          <w:p w14:paraId="64525E0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0.037</w:t>
            </w:r>
          </w:p>
        </w:tc>
        <w:tc>
          <w:tcPr>
            <w:tcW w:w="323" w:type="pct"/>
            <w:tcBorders>
              <w:top w:val="nil"/>
              <w:left w:val="nil"/>
              <w:bottom w:val="nil"/>
              <w:right w:val="nil"/>
            </w:tcBorders>
            <w:shd w:val="clear" w:color="000000" w:fill="FFFFFF"/>
            <w:noWrap/>
            <w:vAlign w:val="center"/>
            <w:hideMark/>
          </w:tcPr>
          <w:p w14:paraId="46ED90F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(0.023)</w:t>
            </w:r>
          </w:p>
        </w:tc>
        <w:tc>
          <w:tcPr>
            <w:tcW w:w="389" w:type="pct"/>
            <w:tcBorders>
              <w:top w:val="nil"/>
              <w:left w:val="nil"/>
              <w:bottom w:val="nil"/>
              <w:right w:val="nil"/>
            </w:tcBorders>
            <w:shd w:val="clear" w:color="000000" w:fill="FFFFFF"/>
            <w:noWrap/>
            <w:vAlign w:val="center"/>
            <w:hideMark/>
          </w:tcPr>
          <w:p w14:paraId="22DF924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0.055</w:t>
            </w:r>
          </w:p>
        </w:tc>
        <w:tc>
          <w:tcPr>
            <w:tcW w:w="323" w:type="pct"/>
            <w:tcBorders>
              <w:top w:val="nil"/>
              <w:left w:val="nil"/>
              <w:bottom w:val="nil"/>
              <w:right w:val="nil"/>
            </w:tcBorders>
            <w:shd w:val="clear" w:color="000000" w:fill="FFFFFF"/>
            <w:noWrap/>
            <w:vAlign w:val="center"/>
            <w:hideMark/>
          </w:tcPr>
          <w:p w14:paraId="75FB5DE5"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(0.053)</w:t>
            </w:r>
          </w:p>
        </w:tc>
        <w:tc>
          <w:tcPr>
            <w:tcW w:w="404" w:type="pct"/>
            <w:tcBorders>
              <w:top w:val="nil"/>
              <w:left w:val="nil"/>
              <w:bottom w:val="nil"/>
              <w:right w:val="nil"/>
            </w:tcBorders>
            <w:shd w:val="clear" w:color="000000" w:fill="FFFFFF"/>
            <w:noWrap/>
            <w:vAlign w:val="center"/>
            <w:hideMark/>
          </w:tcPr>
          <w:p w14:paraId="474E0B8F"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-0.019</w:t>
            </w:r>
          </w:p>
        </w:tc>
        <w:tc>
          <w:tcPr>
            <w:tcW w:w="323" w:type="pct"/>
            <w:tcBorders>
              <w:top w:val="nil"/>
              <w:left w:val="nil"/>
              <w:bottom w:val="nil"/>
              <w:right w:val="nil"/>
            </w:tcBorders>
            <w:shd w:val="clear" w:color="000000" w:fill="FFFFFF"/>
            <w:noWrap/>
            <w:vAlign w:val="center"/>
            <w:hideMark/>
          </w:tcPr>
          <w:p w14:paraId="181E400C"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(0.013)</w:t>
            </w:r>
          </w:p>
        </w:tc>
      </w:tr>
      <w:tr w:rsidR="006A175B" w:rsidRPr="00375327" w14:paraId="653E5611" w14:textId="77777777" w:rsidTr="006A175B">
        <w:trPr>
          <w:trHeight w:val="263"/>
        </w:trPr>
        <w:tc>
          <w:tcPr>
            <w:tcW w:w="2135" w:type="pct"/>
            <w:tcBorders>
              <w:top w:val="nil"/>
              <w:left w:val="nil"/>
              <w:bottom w:val="nil"/>
              <w:right w:val="nil"/>
            </w:tcBorders>
            <w:shd w:val="clear" w:color="000000" w:fill="FFFFFF"/>
            <w:noWrap/>
            <w:vAlign w:val="center"/>
            <w:hideMark/>
          </w:tcPr>
          <w:p w14:paraId="1DD20951"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Income: high</w:t>
            </w:r>
          </w:p>
        </w:tc>
        <w:tc>
          <w:tcPr>
            <w:tcW w:w="389" w:type="pct"/>
            <w:tcBorders>
              <w:top w:val="nil"/>
              <w:left w:val="nil"/>
              <w:bottom w:val="nil"/>
              <w:right w:val="nil"/>
            </w:tcBorders>
            <w:shd w:val="clear" w:color="000000" w:fill="FFFFFF"/>
            <w:noWrap/>
            <w:vAlign w:val="center"/>
            <w:hideMark/>
          </w:tcPr>
          <w:p w14:paraId="1DBC3B4D"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-0.049</w:t>
            </w:r>
          </w:p>
        </w:tc>
        <w:tc>
          <w:tcPr>
            <w:tcW w:w="323" w:type="pct"/>
            <w:tcBorders>
              <w:top w:val="nil"/>
              <w:left w:val="nil"/>
              <w:bottom w:val="nil"/>
              <w:right w:val="nil"/>
            </w:tcBorders>
            <w:shd w:val="clear" w:color="000000" w:fill="FFFFFF"/>
            <w:noWrap/>
            <w:vAlign w:val="center"/>
            <w:hideMark/>
          </w:tcPr>
          <w:p w14:paraId="593BA867"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(0.036)</w:t>
            </w:r>
          </w:p>
        </w:tc>
        <w:tc>
          <w:tcPr>
            <w:tcW w:w="389" w:type="pct"/>
            <w:tcBorders>
              <w:top w:val="nil"/>
              <w:left w:val="nil"/>
              <w:bottom w:val="nil"/>
              <w:right w:val="nil"/>
            </w:tcBorders>
            <w:shd w:val="clear" w:color="000000" w:fill="FFFFFF"/>
            <w:noWrap/>
            <w:vAlign w:val="center"/>
            <w:hideMark/>
          </w:tcPr>
          <w:p w14:paraId="60B8506E"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0.008</w:t>
            </w:r>
          </w:p>
        </w:tc>
        <w:tc>
          <w:tcPr>
            <w:tcW w:w="323" w:type="pct"/>
            <w:tcBorders>
              <w:top w:val="nil"/>
              <w:left w:val="nil"/>
              <w:bottom w:val="nil"/>
              <w:right w:val="nil"/>
            </w:tcBorders>
            <w:shd w:val="clear" w:color="000000" w:fill="FFFFFF"/>
            <w:noWrap/>
            <w:vAlign w:val="center"/>
            <w:hideMark/>
          </w:tcPr>
          <w:p w14:paraId="19F2841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(0.026)</w:t>
            </w:r>
          </w:p>
        </w:tc>
        <w:tc>
          <w:tcPr>
            <w:tcW w:w="389" w:type="pct"/>
            <w:tcBorders>
              <w:top w:val="nil"/>
              <w:left w:val="nil"/>
              <w:bottom w:val="nil"/>
              <w:right w:val="nil"/>
            </w:tcBorders>
            <w:shd w:val="clear" w:color="000000" w:fill="FFFFFF"/>
            <w:noWrap/>
            <w:vAlign w:val="center"/>
            <w:hideMark/>
          </w:tcPr>
          <w:p w14:paraId="07C186E7"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0.041</w:t>
            </w:r>
          </w:p>
        </w:tc>
        <w:tc>
          <w:tcPr>
            <w:tcW w:w="323" w:type="pct"/>
            <w:tcBorders>
              <w:top w:val="nil"/>
              <w:left w:val="nil"/>
              <w:bottom w:val="nil"/>
              <w:right w:val="nil"/>
            </w:tcBorders>
            <w:shd w:val="clear" w:color="000000" w:fill="FFFFFF"/>
            <w:noWrap/>
            <w:vAlign w:val="center"/>
            <w:hideMark/>
          </w:tcPr>
          <w:p w14:paraId="2660EFA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(0.050)</w:t>
            </w:r>
          </w:p>
        </w:tc>
        <w:tc>
          <w:tcPr>
            <w:tcW w:w="404" w:type="pct"/>
            <w:tcBorders>
              <w:top w:val="nil"/>
              <w:left w:val="nil"/>
              <w:bottom w:val="nil"/>
              <w:right w:val="nil"/>
            </w:tcBorders>
            <w:shd w:val="clear" w:color="000000" w:fill="FFFFFF"/>
            <w:noWrap/>
            <w:vAlign w:val="center"/>
            <w:hideMark/>
          </w:tcPr>
          <w:p w14:paraId="6FD6F285"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-0.029*</w:t>
            </w:r>
          </w:p>
        </w:tc>
        <w:tc>
          <w:tcPr>
            <w:tcW w:w="323" w:type="pct"/>
            <w:tcBorders>
              <w:top w:val="nil"/>
              <w:left w:val="nil"/>
              <w:bottom w:val="nil"/>
              <w:right w:val="nil"/>
            </w:tcBorders>
            <w:shd w:val="clear" w:color="000000" w:fill="FFFFFF"/>
            <w:noWrap/>
            <w:vAlign w:val="center"/>
            <w:hideMark/>
          </w:tcPr>
          <w:p w14:paraId="2422C72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(0.015)</w:t>
            </w:r>
          </w:p>
        </w:tc>
      </w:tr>
      <w:tr w:rsidR="006A175B" w:rsidRPr="00375327" w14:paraId="725597F4" w14:textId="77777777" w:rsidTr="006A175B">
        <w:trPr>
          <w:trHeight w:val="263"/>
        </w:trPr>
        <w:tc>
          <w:tcPr>
            <w:tcW w:w="2135" w:type="pct"/>
            <w:tcBorders>
              <w:top w:val="nil"/>
              <w:left w:val="nil"/>
              <w:bottom w:val="nil"/>
              <w:right w:val="nil"/>
            </w:tcBorders>
            <w:shd w:val="clear" w:color="000000" w:fill="FFFFFF"/>
            <w:noWrap/>
            <w:vAlign w:val="center"/>
            <w:hideMark/>
          </w:tcPr>
          <w:p w14:paraId="2378A78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Income: refused</w:t>
            </w:r>
          </w:p>
        </w:tc>
        <w:tc>
          <w:tcPr>
            <w:tcW w:w="389" w:type="pct"/>
            <w:tcBorders>
              <w:top w:val="nil"/>
              <w:left w:val="nil"/>
              <w:bottom w:val="nil"/>
              <w:right w:val="nil"/>
            </w:tcBorders>
            <w:shd w:val="clear" w:color="000000" w:fill="FFFFFF"/>
            <w:noWrap/>
            <w:vAlign w:val="center"/>
            <w:hideMark/>
          </w:tcPr>
          <w:p w14:paraId="66C0190B"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-0.072</w:t>
            </w:r>
          </w:p>
        </w:tc>
        <w:tc>
          <w:tcPr>
            <w:tcW w:w="323" w:type="pct"/>
            <w:tcBorders>
              <w:top w:val="nil"/>
              <w:left w:val="nil"/>
              <w:bottom w:val="nil"/>
              <w:right w:val="nil"/>
            </w:tcBorders>
            <w:shd w:val="clear" w:color="000000" w:fill="FFFFFF"/>
            <w:noWrap/>
            <w:vAlign w:val="center"/>
            <w:hideMark/>
          </w:tcPr>
          <w:p w14:paraId="728DB8DF"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(0.046)</w:t>
            </w:r>
          </w:p>
        </w:tc>
        <w:tc>
          <w:tcPr>
            <w:tcW w:w="389" w:type="pct"/>
            <w:tcBorders>
              <w:top w:val="nil"/>
              <w:left w:val="nil"/>
              <w:bottom w:val="nil"/>
              <w:right w:val="nil"/>
            </w:tcBorders>
            <w:shd w:val="clear" w:color="000000" w:fill="FFFFFF"/>
            <w:noWrap/>
            <w:vAlign w:val="center"/>
            <w:hideMark/>
          </w:tcPr>
          <w:p w14:paraId="41FA4935"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0.006</w:t>
            </w:r>
          </w:p>
        </w:tc>
        <w:tc>
          <w:tcPr>
            <w:tcW w:w="323" w:type="pct"/>
            <w:tcBorders>
              <w:top w:val="nil"/>
              <w:left w:val="nil"/>
              <w:bottom w:val="nil"/>
              <w:right w:val="nil"/>
            </w:tcBorders>
            <w:shd w:val="clear" w:color="000000" w:fill="FFFFFF"/>
            <w:noWrap/>
            <w:vAlign w:val="center"/>
            <w:hideMark/>
          </w:tcPr>
          <w:p w14:paraId="39D75C62"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(0.037)</w:t>
            </w:r>
          </w:p>
        </w:tc>
        <w:tc>
          <w:tcPr>
            <w:tcW w:w="389" w:type="pct"/>
            <w:tcBorders>
              <w:top w:val="nil"/>
              <w:left w:val="nil"/>
              <w:bottom w:val="nil"/>
              <w:right w:val="nil"/>
            </w:tcBorders>
            <w:shd w:val="clear" w:color="000000" w:fill="FFFFFF"/>
            <w:noWrap/>
            <w:vAlign w:val="center"/>
            <w:hideMark/>
          </w:tcPr>
          <w:p w14:paraId="15FFE52F"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-0.069</w:t>
            </w:r>
          </w:p>
        </w:tc>
        <w:tc>
          <w:tcPr>
            <w:tcW w:w="323" w:type="pct"/>
            <w:tcBorders>
              <w:top w:val="nil"/>
              <w:left w:val="nil"/>
              <w:bottom w:val="nil"/>
              <w:right w:val="nil"/>
            </w:tcBorders>
            <w:shd w:val="clear" w:color="000000" w:fill="FFFFFF"/>
            <w:noWrap/>
            <w:vAlign w:val="center"/>
            <w:hideMark/>
          </w:tcPr>
          <w:p w14:paraId="1507FDC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(0.080)</w:t>
            </w:r>
          </w:p>
        </w:tc>
        <w:tc>
          <w:tcPr>
            <w:tcW w:w="404" w:type="pct"/>
            <w:tcBorders>
              <w:top w:val="nil"/>
              <w:left w:val="nil"/>
              <w:bottom w:val="nil"/>
              <w:right w:val="nil"/>
            </w:tcBorders>
            <w:shd w:val="clear" w:color="000000" w:fill="FFFFFF"/>
            <w:noWrap/>
            <w:vAlign w:val="center"/>
            <w:hideMark/>
          </w:tcPr>
          <w:p w14:paraId="6E9FED52"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-0.054**</w:t>
            </w:r>
          </w:p>
        </w:tc>
        <w:tc>
          <w:tcPr>
            <w:tcW w:w="323" w:type="pct"/>
            <w:tcBorders>
              <w:top w:val="nil"/>
              <w:left w:val="nil"/>
              <w:bottom w:val="nil"/>
              <w:right w:val="nil"/>
            </w:tcBorders>
            <w:shd w:val="clear" w:color="000000" w:fill="FFFFFF"/>
            <w:noWrap/>
            <w:vAlign w:val="center"/>
            <w:hideMark/>
          </w:tcPr>
          <w:p w14:paraId="086052D0"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(0.020)</w:t>
            </w:r>
          </w:p>
        </w:tc>
      </w:tr>
      <w:tr w:rsidR="006A175B" w:rsidRPr="00375327" w14:paraId="5F93D32E" w14:textId="77777777" w:rsidTr="006A175B">
        <w:trPr>
          <w:trHeight w:val="263"/>
        </w:trPr>
        <w:tc>
          <w:tcPr>
            <w:tcW w:w="2135" w:type="pct"/>
            <w:tcBorders>
              <w:top w:val="nil"/>
              <w:left w:val="nil"/>
              <w:bottom w:val="nil"/>
              <w:right w:val="nil"/>
            </w:tcBorders>
            <w:shd w:val="clear" w:color="000000" w:fill="FFFFFF"/>
            <w:noWrap/>
            <w:vAlign w:val="center"/>
            <w:hideMark/>
          </w:tcPr>
          <w:p w14:paraId="58B353C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Gender</w:t>
            </w:r>
          </w:p>
        </w:tc>
        <w:tc>
          <w:tcPr>
            <w:tcW w:w="389" w:type="pct"/>
            <w:tcBorders>
              <w:top w:val="nil"/>
              <w:left w:val="nil"/>
              <w:bottom w:val="nil"/>
              <w:right w:val="nil"/>
            </w:tcBorders>
            <w:shd w:val="clear" w:color="000000" w:fill="FFFFFF"/>
            <w:noWrap/>
            <w:vAlign w:val="center"/>
            <w:hideMark/>
          </w:tcPr>
          <w:p w14:paraId="72A258CD"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-0.017</w:t>
            </w:r>
          </w:p>
        </w:tc>
        <w:tc>
          <w:tcPr>
            <w:tcW w:w="323" w:type="pct"/>
            <w:tcBorders>
              <w:top w:val="nil"/>
              <w:left w:val="nil"/>
              <w:bottom w:val="nil"/>
              <w:right w:val="nil"/>
            </w:tcBorders>
            <w:shd w:val="clear" w:color="000000" w:fill="FFFFFF"/>
            <w:noWrap/>
            <w:vAlign w:val="center"/>
            <w:hideMark/>
          </w:tcPr>
          <w:p w14:paraId="5935AA4E"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(0.025)</w:t>
            </w:r>
          </w:p>
        </w:tc>
        <w:tc>
          <w:tcPr>
            <w:tcW w:w="389" w:type="pct"/>
            <w:tcBorders>
              <w:top w:val="nil"/>
              <w:left w:val="nil"/>
              <w:bottom w:val="nil"/>
              <w:right w:val="nil"/>
            </w:tcBorders>
            <w:shd w:val="clear" w:color="000000" w:fill="FFFFFF"/>
            <w:noWrap/>
            <w:vAlign w:val="center"/>
            <w:hideMark/>
          </w:tcPr>
          <w:p w14:paraId="7AD359A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0.005</w:t>
            </w:r>
          </w:p>
        </w:tc>
        <w:tc>
          <w:tcPr>
            <w:tcW w:w="323" w:type="pct"/>
            <w:tcBorders>
              <w:top w:val="nil"/>
              <w:left w:val="nil"/>
              <w:bottom w:val="nil"/>
              <w:right w:val="nil"/>
            </w:tcBorders>
            <w:shd w:val="clear" w:color="000000" w:fill="FFFFFF"/>
            <w:noWrap/>
            <w:vAlign w:val="center"/>
            <w:hideMark/>
          </w:tcPr>
          <w:p w14:paraId="192394BE"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(0.019)</w:t>
            </w:r>
          </w:p>
        </w:tc>
        <w:tc>
          <w:tcPr>
            <w:tcW w:w="389" w:type="pct"/>
            <w:tcBorders>
              <w:top w:val="nil"/>
              <w:left w:val="nil"/>
              <w:bottom w:val="nil"/>
              <w:right w:val="nil"/>
            </w:tcBorders>
            <w:shd w:val="clear" w:color="000000" w:fill="FFFFFF"/>
            <w:noWrap/>
            <w:vAlign w:val="center"/>
            <w:hideMark/>
          </w:tcPr>
          <w:p w14:paraId="050E09AE"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0.034</w:t>
            </w:r>
          </w:p>
        </w:tc>
        <w:tc>
          <w:tcPr>
            <w:tcW w:w="323" w:type="pct"/>
            <w:tcBorders>
              <w:top w:val="nil"/>
              <w:left w:val="nil"/>
              <w:bottom w:val="nil"/>
              <w:right w:val="nil"/>
            </w:tcBorders>
            <w:shd w:val="clear" w:color="000000" w:fill="FFFFFF"/>
            <w:noWrap/>
            <w:vAlign w:val="center"/>
            <w:hideMark/>
          </w:tcPr>
          <w:p w14:paraId="069604B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(0.042)</w:t>
            </w:r>
          </w:p>
        </w:tc>
        <w:tc>
          <w:tcPr>
            <w:tcW w:w="404" w:type="pct"/>
            <w:tcBorders>
              <w:top w:val="nil"/>
              <w:left w:val="nil"/>
              <w:bottom w:val="nil"/>
              <w:right w:val="nil"/>
            </w:tcBorders>
            <w:shd w:val="clear" w:color="000000" w:fill="FFFFFF"/>
            <w:noWrap/>
            <w:vAlign w:val="center"/>
            <w:hideMark/>
          </w:tcPr>
          <w:p w14:paraId="443FDCA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-0.011</w:t>
            </w:r>
          </w:p>
        </w:tc>
        <w:tc>
          <w:tcPr>
            <w:tcW w:w="323" w:type="pct"/>
            <w:tcBorders>
              <w:top w:val="nil"/>
              <w:left w:val="nil"/>
              <w:bottom w:val="nil"/>
              <w:right w:val="nil"/>
            </w:tcBorders>
            <w:shd w:val="clear" w:color="000000" w:fill="FFFFFF"/>
            <w:noWrap/>
            <w:vAlign w:val="center"/>
            <w:hideMark/>
          </w:tcPr>
          <w:p w14:paraId="6100323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(0.011)</w:t>
            </w:r>
          </w:p>
        </w:tc>
      </w:tr>
      <w:tr w:rsidR="006A175B" w:rsidRPr="00375327" w14:paraId="2893DCFE" w14:textId="77777777" w:rsidTr="006A175B">
        <w:trPr>
          <w:trHeight w:val="263"/>
        </w:trPr>
        <w:tc>
          <w:tcPr>
            <w:tcW w:w="2135" w:type="pct"/>
            <w:tcBorders>
              <w:top w:val="nil"/>
              <w:left w:val="nil"/>
              <w:bottom w:val="nil"/>
              <w:right w:val="nil"/>
            </w:tcBorders>
            <w:shd w:val="clear" w:color="000000" w:fill="FFFFFF"/>
            <w:noWrap/>
            <w:vAlign w:val="center"/>
            <w:hideMark/>
          </w:tcPr>
          <w:p w14:paraId="45196C12"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Education level</w:t>
            </w:r>
          </w:p>
        </w:tc>
        <w:tc>
          <w:tcPr>
            <w:tcW w:w="389" w:type="pct"/>
            <w:tcBorders>
              <w:top w:val="nil"/>
              <w:left w:val="nil"/>
              <w:bottom w:val="nil"/>
              <w:right w:val="nil"/>
            </w:tcBorders>
            <w:shd w:val="clear" w:color="000000" w:fill="FFFFFF"/>
            <w:noWrap/>
            <w:vAlign w:val="center"/>
            <w:hideMark/>
          </w:tcPr>
          <w:p w14:paraId="7B53B8A4"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-0.000</w:t>
            </w:r>
          </w:p>
        </w:tc>
        <w:tc>
          <w:tcPr>
            <w:tcW w:w="323" w:type="pct"/>
            <w:tcBorders>
              <w:top w:val="nil"/>
              <w:left w:val="nil"/>
              <w:bottom w:val="nil"/>
              <w:right w:val="nil"/>
            </w:tcBorders>
            <w:shd w:val="clear" w:color="000000" w:fill="FFFFFF"/>
            <w:noWrap/>
            <w:vAlign w:val="center"/>
            <w:hideMark/>
          </w:tcPr>
          <w:p w14:paraId="55DF5E11"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(0.007)</w:t>
            </w:r>
          </w:p>
        </w:tc>
        <w:tc>
          <w:tcPr>
            <w:tcW w:w="389" w:type="pct"/>
            <w:tcBorders>
              <w:top w:val="nil"/>
              <w:left w:val="nil"/>
              <w:bottom w:val="nil"/>
              <w:right w:val="nil"/>
            </w:tcBorders>
            <w:shd w:val="clear" w:color="000000" w:fill="FFFFFF"/>
            <w:noWrap/>
            <w:vAlign w:val="center"/>
            <w:hideMark/>
          </w:tcPr>
          <w:p w14:paraId="7528A0FE"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-0.014**</w:t>
            </w:r>
          </w:p>
        </w:tc>
        <w:tc>
          <w:tcPr>
            <w:tcW w:w="323" w:type="pct"/>
            <w:tcBorders>
              <w:top w:val="nil"/>
              <w:left w:val="nil"/>
              <w:bottom w:val="nil"/>
              <w:right w:val="nil"/>
            </w:tcBorders>
            <w:shd w:val="clear" w:color="000000" w:fill="FFFFFF"/>
            <w:noWrap/>
            <w:vAlign w:val="center"/>
            <w:hideMark/>
          </w:tcPr>
          <w:p w14:paraId="32B522E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(0.005)</w:t>
            </w:r>
          </w:p>
        </w:tc>
        <w:tc>
          <w:tcPr>
            <w:tcW w:w="389" w:type="pct"/>
            <w:tcBorders>
              <w:top w:val="nil"/>
              <w:left w:val="nil"/>
              <w:bottom w:val="nil"/>
              <w:right w:val="nil"/>
            </w:tcBorders>
            <w:shd w:val="clear" w:color="000000" w:fill="FFFFFF"/>
            <w:noWrap/>
            <w:vAlign w:val="center"/>
            <w:hideMark/>
          </w:tcPr>
          <w:p w14:paraId="6A09418C"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0.001</w:t>
            </w:r>
          </w:p>
        </w:tc>
        <w:tc>
          <w:tcPr>
            <w:tcW w:w="323" w:type="pct"/>
            <w:tcBorders>
              <w:top w:val="nil"/>
              <w:left w:val="nil"/>
              <w:bottom w:val="nil"/>
              <w:right w:val="nil"/>
            </w:tcBorders>
            <w:shd w:val="clear" w:color="000000" w:fill="FFFFFF"/>
            <w:noWrap/>
            <w:vAlign w:val="center"/>
            <w:hideMark/>
          </w:tcPr>
          <w:p w14:paraId="0024903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(0.010)</w:t>
            </w:r>
          </w:p>
        </w:tc>
        <w:tc>
          <w:tcPr>
            <w:tcW w:w="404" w:type="pct"/>
            <w:tcBorders>
              <w:top w:val="nil"/>
              <w:left w:val="nil"/>
              <w:bottom w:val="nil"/>
              <w:right w:val="nil"/>
            </w:tcBorders>
            <w:shd w:val="clear" w:color="000000" w:fill="FFFFFF"/>
            <w:noWrap/>
            <w:vAlign w:val="center"/>
            <w:hideMark/>
          </w:tcPr>
          <w:p w14:paraId="15BC9D11"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-0.006*</w:t>
            </w:r>
          </w:p>
        </w:tc>
        <w:tc>
          <w:tcPr>
            <w:tcW w:w="323" w:type="pct"/>
            <w:tcBorders>
              <w:top w:val="nil"/>
              <w:left w:val="nil"/>
              <w:bottom w:val="nil"/>
              <w:right w:val="nil"/>
            </w:tcBorders>
            <w:shd w:val="clear" w:color="000000" w:fill="FFFFFF"/>
            <w:noWrap/>
            <w:vAlign w:val="center"/>
            <w:hideMark/>
          </w:tcPr>
          <w:p w14:paraId="7FE252E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(0.003)</w:t>
            </w:r>
          </w:p>
        </w:tc>
      </w:tr>
      <w:tr w:rsidR="006A175B" w:rsidRPr="00375327" w14:paraId="5D45F54B" w14:textId="77777777" w:rsidTr="006A175B">
        <w:trPr>
          <w:trHeight w:val="263"/>
        </w:trPr>
        <w:tc>
          <w:tcPr>
            <w:tcW w:w="2135" w:type="pct"/>
            <w:tcBorders>
              <w:top w:val="nil"/>
              <w:left w:val="nil"/>
              <w:bottom w:val="nil"/>
              <w:right w:val="nil"/>
            </w:tcBorders>
            <w:shd w:val="clear" w:color="000000" w:fill="FFFFFF"/>
            <w:noWrap/>
            <w:vAlign w:val="center"/>
            <w:hideMark/>
          </w:tcPr>
          <w:p w14:paraId="4B91BD3C"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General ideology</w:t>
            </w:r>
          </w:p>
        </w:tc>
        <w:tc>
          <w:tcPr>
            <w:tcW w:w="389" w:type="pct"/>
            <w:tcBorders>
              <w:top w:val="nil"/>
              <w:left w:val="nil"/>
              <w:bottom w:val="nil"/>
              <w:right w:val="nil"/>
            </w:tcBorders>
            <w:shd w:val="clear" w:color="000000" w:fill="FFFFFF"/>
            <w:noWrap/>
            <w:vAlign w:val="center"/>
            <w:hideMark/>
          </w:tcPr>
          <w:p w14:paraId="31159325"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-0.010</w:t>
            </w:r>
          </w:p>
        </w:tc>
        <w:tc>
          <w:tcPr>
            <w:tcW w:w="323" w:type="pct"/>
            <w:tcBorders>
              <w:top w:val="nil"/>
              <w:left w:val="nil"/>
              <w:bottom w:val="nil"/>
              <w:right w:val="nil"/>
            </w:tcBorders>
            <w:shd w:val="clear" w:color="000000" w:fill="FFFFFF"/>
            <w:noWrap/>
            <w:vAlign w:val="center"/>
            <w:hideMark/>
          </w:tcPr>
          <w:p w14:paraId="23BABEF2"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(0.006)</w:t>
            </w:r>
          </w:p>
        </w:tc>
        <w:tc>
          <w:tcPr>
            <w:tcW w:w="389" w:type="pct"/>
            <w:tcBorders>
              <w:top w:val="nil"/>
              <w:left w:val="nil"/>
              <w:bottom w:val="nil"/>
              <w:right w:val="nil"/>
            </w:tcBorders>
            <w:shd w:val="clear" w:color="000000" w:fill="FFFFFF"/>
            <w:noWrap/>
            <w:vAlign w:val="center"/>
            <w:hideMark/>
          </w:tcPr>
          <w:p w14:paraId="4E3C0ED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0.003</w:t>
            </w:r>
          </w:p>
        </w:tc>
        <w:tc>
          <w:tcPr>
            <w:tcW w:w="323" w:type="pct"/>
            <w:tcBorders>
              <w:top w:val="nil"/>
              <w:left w:val="nil"/>
              <w:bottom w:val="nil"/>
              <w:right w:val="nil"/>
            </w:tcBorders>
            <w:shd w:val="clear" w:color="000000" w:fill="FFFFFF"/>
            <w:noWrap/>
            <w:vAlign w:val="center"/>
            <w:hideMark/>
          </w:tcPr>
          <w:p w14:paraId="711278DD"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(0.005)</w:t>
            </w:r>
          </w:p>
        </w:tc>
        <w:tc>
          <w:tcPr>
            <w:tcW w:w="389" w:type="pct"/>
            <w:tcBorders>
              <w:top w:val="nil"/>
              <w:left w:val="nil"/>
              <w:bottom w:val="nil"/>
              <w:right w:val="nil"/>
            </w:tcBorders>
            <w:shd w:val="clear" w:color="000000" w:fill="FFFFFF"/>
            <w:noWrap/>
            <w:vAlign w:val="center"/>
            <w:hideMark/>
          </w:tcPr>
          <w:p w14:paraId="6CB3B4E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0.008</w:t>
            </w:r>
          </w:p>
        </w:tc>
        <w:tc>
          <w:tcPr>
            <w:tcW w:w="323" w:type="pct"/>
            <w:tcBorders>
              <w:top w:val="nil"/>
              <w:left w:val="nil"/>
              <w:bottom w:val="nil"/>
              <w:right w:val="nil"/>
            </w:tcBorders>
            <w:shd w:val="clear" w:color="000000" w:fill="FFFFFF"/>
            <w:noWrap/>
            <w:vAlign w:val="center"/>
            <w:hideMark/>
          </w:tcPr>
          <w:p w14:paraId="45304DF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(0.009)</w:t>
            </w:r>
          </w:p>
        </w:tc>
        <w:tc>
          <w:tcPr>
            <w:tcW w:w="404" w:type="pct"/>
            <w:tcBorders>
              <w:top w:val="nil"/>
              <w:left w:val="nil"/>
              <w:bottom w:val="nil"/>
              <w:right w:val="nil"/>
            </w:tcBorders>
            <w:shd w:val="clear" w:color="000000" w:fill="FFFFFF"/>
            <w:noWrap/>
            <w:vAlign w:val="center"/>
            <w:hideMark/>
          </w:tcPr>
          <w:p w14:paraId="692B2E21"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0.001</w:t>
            </w:r>
          </w:p>
        </w:tc>
        <w:tc>
          <w:tcPr>
            <w:tcW w:w="323" w:type="pct"/>
            <w:tcBorders>
              <w:top w:val="nil"/>
              <w:left w:val="nil"/>
              <w:bottom w:val="nil"/>
              <w:right w:val="nil"/>
            </w:tcBorders>
            <w:shd w:val="clear" w:color="000000" w:fill="FFFFFF"/>
            <w:noWrap/>
            <w:vAlign w:val="center"/>
            <w:hideMark/>
          </w:tcPr>
          <w:p w14:paraId="38959370"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(0.002)</w:t>
            </w:r>
          </w:p>
        </w:tc>
      </w:tr>
      <w:tr w:rsidR="006A175B" w:rsidRPr="00375327" w14:paraId="6A68788C" w14:textId="77777777" w:rsidTr="006A175B">
        <w:trPr>
          <w:trHeight w:val="263"/>
        </w:trPr>
        <w:tc>
          <w:tcPr>
            <w:tcW w:w="2135" w:type="pct"/>
            <w:tcBorders>
              <w:top w:val="nil"/>
              <w:left w:val="nil"/>
              <w:bottom w:val="nil"/>
              <w:right w:val="nil"/>
            </w:tcBorders>
            <w:shd w:val="clear" w:color="000000" w:fill="FFFFFF"/>
            <w:noWrap/>
            <w:vAlign w:val="center"/>
            <w:hideMark/>
          </w:tcPr>
          <w:p w14:paraId="5FE034A2"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Exclusive nationalist</w:t>
            </w:r>
          </w:p>
        </w:tc>
        <w:tc>
          <w:tcPr>
            <w:tcW w:w="389" w:type="pct"/>
            <w:tcBorders>
              <w:top w:val="nil"/>
              <w:left w:val="nil"/>
              <w:bottom w:val="nil"/>
              <w:right w:val="nil"/>
            </w:tcBorders>
            <w:shd w:val="clear" w:color="000000" w:fill="FFFFFF"/>
            <w:noWrap/>
            <w:vAlign w:val="center"/>
            <w:hideMark/>
          </w:tcPr>
          <w:p w14:paraId="37500464"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-0.071*</w:t>
            </w:r>
          </w:p>
        </w:tc>
        <w:tc>
          <w:tcPr>
            <w:tcW w:w="323" w:type="pct"/>
            <w:tcBorders>
              <w:top w:val="nil"/>
              <w:left w:val="nil"/>
              <w:bottom w:val="nil"/>
              <w:right w:val="nil"/>
            </w:tcBorders>
            <w:shd w:val="clear" w:color="000000" w:fill="FFFFFF"/>
            <w:noWrap/>
            <w:vAlign w:val="center"/>
            <w:hideMark/>
          </w:tcPr>
          <w:p w14:paraId="13C54C7E"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(0.028)</w:t>
            </w:r>
          </w:p>
        </w:tc>
        <w:tc>
          <w:tcPr>
            <w:tcW w:w="389" w:type="pct"/>
            <w:tcBorders>
              <w:top w:val="nil"/>
              <w:left w:val="nil"/>
              <w:bottom w:val="nil"/>
              <w:right w:val="nil"/>
            </w:tcBorders>
            <w:shd w:val="clear" w:color="000000" w:fill="FFFFFF"/>
            <w:noWrap/>
            <w:vAlign w:val="center"/>
            <w:hideMark/>
          </w:tcPr>
          <w:p w14:paraId="1314414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0.009</w:t>
            </w:r>
          </w:p>
        </w:tc>
        <w:tc>
          <w:tcPr>
            <w:tcW w:w="323" w:type="pct"/>
            <w:tcBorders>
              <w:top w:val="nil"/>
              <w:left w:val="nil"/>
              <w:bottom w:val="nil"/>
              <w:right w:val="nil"/>
            </w:tcBorders>
            <w:shd w:val="clear" w:color="000000" w:fill="FFFFFF"/>
            <w:noWrap/>
            <w:vAlign w:val="center"/>
            <w:hideMark/>
          </w:tcPr>
          <w:p w14:paraId="0B195A40"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(0.020)</w:t>
            </w:r>
          </w:p>
        </w:tc>
        <w:tc>
          <w:tcPr>
            <w:tcW w:w="389" w:type="pct"/>
            <w:tcBorders>
              <w:top w:val="nil"/>
              <w:left w:val="nil"/>
              <w:bottom w:val="nil"/>
              <w:right w:val="nil"/>
            </w:tcBorders>
            <w:shd w:val="clear" w:color="000000" w:fill="FFFFFF"/>
            <w:noWrap/>
            <w:vAlign w:val="center"/>
            <w:hideMark/>
          </w:tcPr>
          <w:p w14:paraId="66A7FCB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-0.099</w:t>
            </w:r>
          </w:p>
        </w:tc>
        <w:tc>
          <w:tcPr>
            <w:tcW w:w="323" w:type="pct"/>
            <w:tcBorders>
              <w:top w:val="nil"/>
              <w:left w:val="nil"/>
              <w:bottom w:val="nil"/>
              <w:right w:val="nil"/>
            </w:tcBorders>
            <w:shd w:val="clear" w:color="000000" w:fill="FFFFFF"/>
            <w:noWrap/>
            <w:vAlign w:val="center"/>
            <w:hideMark/>
          </w:tcPr>
          <w:p w14:paraId="55973D3E"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(0.097)</w:t>
            </w:r>
          </w:p>
        </w:tc>
        <w:tc>
          <w:tcPr>
            <w:tcW w:w="404" w:type="pct"/>
            <w:tcBorders>
              <w:top w:val="nil"/>
              <w:left w:val="nil"/>
              <w:bottom w:val="nil"/>
              <w:right w:val="nil"/>
            </w:tcBorders>
            <w:shd w:val="clear" w:color="000000" w:fill="FFFFFF"/>
            <w:noWrap/>
            <w:vAlign w:val="center"/>
            <w:hideMark/>
          </w:tcPr>
          <w:p w14:paraId="26154CE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-0.007</w:t>
            </w:r>
          </w:p>
        </w:tc>
        <w:tc>
          <w:tcPr>
            <w:tcW w:w="323" w:type="pct"/>
            <w:tcBorders>
              <w:top w:val="nil"/>
              <w:left w:val="nil"/>
              <w:bottom w:val="nil"/>
              <w:right w:val="nil"/>
            </w:tcBorders>
            <w:shd w:val="clear" w:color="000000" w:fill="FFFFFF"/>
            <w:noWrap/>
            <w:vAlign w:val="center"/>
            <w:hideMark/>
          </w:tcPr>
          <w:p w14:paraId="1A347B3C"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(0.013)</w:t>
            </w:r>
          </w:p>
        </w:tc>
      </w:tr>
      <w:tr w:rsidR="006A175B" w:rsidRPr="00375327" w14:paraId="6561DF89" w14:textId="77777777" w:rsidTr="006A175B">
        <w:trPr>
          <w:trHeight w:val="263"/>
        </w:trPr>
        <w:tc>
          <w:tcPr>
            <w:tcW w:w="2135" w:type="pct"/>
            <w:tcBorders>
              <w:top w:val="nil"/>
              <w:left w:val="nil"/>
              <w:bottom w:val="nil"/>
              <w:right w:val="nil"/>
            </w:tcBorders>
            <w:shd w:val="clear" w:color="000000" w:fill="FFFFFF"/>
            <w:noWrap/>
            <w:vAlign w:val="center"/>
            <w:hideMark/>
          </w:tcPr>
          <w:p w14:paraId="44E5853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Conjoint framing</w:t>
            </w:r>
          </w:p>
        </w:tc>
        <w:tc>
          <w:tcPr>
            <w:tcW w:w="389" w:type="pct"/>
            <w:tcBorders>
              <w:top w:val="nil"/>
              <w:left w:val="nil"/>
              <w:bottom w:val="nil"/>
              <w:right w:val="nil"/>
            </w:tcBorders>
            <w:shd w:val="clear" w:color="000000" w:fill="FFFFFF"/>
            <w:noWrap/>
            <w:vAlign w:val="center"/>
            <w:hideMark/>
          </w:tcPr>
          <w:p w14:paraId="3433D669"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-0.012</w:t>
            </w:r>
          </w:p>
        </w:tc>
        <w:tc>
          <w:tcPr>
            <w:tcW w:w="323" w:type="pct"/>
            <w:tcBorders>
              <w:top w:val="nil"/>
              <w:left w:val="nil"/>
              <w:bottom w:val="nil"/>
              <w:right w:val="nil"/>
            </w:tcBorders>
            <w:shd w:val="clear" w:color="000000" w:fill="FFFFFF"/>
            <w:noWrap/>
            <w:vAlign w:val="center"/>
            <w:hideMark/>
          </w:tcPr>
          <w:p w14:paraId="43B54EA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(0.025)</w:t>
            </w:r>
          </w:p>
        </w:tc>
        <w:tc>
          <w:tcPr>
            <w:tcW w:w="389" w:type="pct"/>
            <w:tcBorders>
              <w:top w:val="nil"/>
              <w:left w:val="nil"/>
              <w:bottom w:val="nil"/>
              <w:right w:val="nil"/>
            </w:tcBorders>
            <w:shd w:val="clear" w:color="000000" w:fill="FFFFFF"/>
            <w:noWrap/>
            <w:vAlign w:val="center"/>
            <w:hideMark/>
          </w:tcPr>
          <w:p w14:paraId="1D97A567"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0.003</w:t>
            </w:r>
          </w:p>
        </w:tc>
        <w:tc>
          <w:tcPr>
            <w:tcW w:w="323" w:type="pct"/>
            <w:tcBorders>
              <w:top w:val="nil"/>
              <w:left w:val="nil"/>
              <w:bottom w:val="nil"/>
              <w:right w:val="nil"/>
            </w:tcBorders>
            <w:shd w:val="clear" w:color="000000" w:fill="FFFFFF"/>
            <w:noWrap/>
            <w:vAlign w:val="center"/>
            <w:hideMark/>
          </w:tcPr>
          <w:p w14:paraId="5DB12B7F"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(0.018)</w:t>
            </w:r>
          </w:p>
        </w:tc>
        <w:tc>
          <w:tcPr>
            <w:tcW w:w="389" w:type="pct"/>
            <w:tcBorders>
              <w:top w:val="nil"/>
              <w:left w:val="nil"/>
              <w:bottom w:val="nil"/>
              <w:right w:val="nil"/>
            </w:tcBorders>
            <w:shd w:val="clear" w:color="000000" w:fill="FFFFFF"/>
            <w:noWrap/>
            <w:vAlign w:val="center"/>
            <w:hideMark/>
          </w:tcPr>
          <w:p w14:paraId="70DE811F"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0.022</w:t>
            </w:r>
          </w:p>
        </w:tc>
        <w:tc>
          <w:tcPr>
            <w:tcW w:w="323" w:type="pct"/>
            <w:tcBorders>
              <w:top w:val="nil"/>
              <w:left w:val="nil"/>
              <w:bottom w:val="nil"/>
              <w:right w:val="nil"/>
            </w:tcBorders>
            <w:shd w:val="clear" w:color="000000" w:fill="FFFFFF"/>
            <w:noWrap/>
            <w:vAlign w:val="center"/>
            <w:hideMark/>
          </w:tcPr>
          <w:p w14:paraId="230C883C"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(0.038)</w:t>
            </w:r>
          </w:p>
        </w:tc>
        <w:tc>
          <w:tcPr>
            <w:tcW w:w="404" w:type="pct"/>
            <w:tcBorders>
              <w:top w:val="nil"/>
              <w:left w:val="nil"/>
              <w:bottom w:val="nil"/>
              <w:right w:val="nil"/>
            </w:tcBorders>
            <w:shd w:val="clear" w:color="000000" w:fill="FFFFFF"/>
            <w:noWrap/>
            <w:vAlign w:val="center"/>
            <w:hideMark/>
          </w:tcPr>
          <w:p w14:paraId="32D336F2"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-0.004</w:t>
            </w:r>
          </w:p>
        </w:tc>
        <w:tc>
          <w:tcPr>
            <w:tcW w:w="323" w:type="pct"/>
            <w:tcBorders>
              <w:top w:val="nil"/>
              <w:left w:val="nil"/>
              <w:bottom w:val="nil"/>
              <w:right w:val="nil"/>
            </w:tcBorders>
            <w:shd w:val="clear" w:color="000000" w:fill="FFFFFF"/>
            <w:noWrap/>
            <w:vAlign w:val="center"/>
            <w:hideMark/>
          </w:tcPr>
          <w:p w14:paraId="6BEFB0E3"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(0.010)</w:t>
            </w:r>
          </w:p>
        </w:tc>
      </w:tr>
      <w:tr w:rsidR="006A175B" w:rsidRPr="00375327" w14:paraId="6B838E3C" w14:textId="77777777" w:rsidTr="006A175B">
        <w:trPr>
          <w:trHeight w:val="263"/>
        </w:trPr>
        <w:tc>
          <w:tcPr>
            <w:tcW w:w="2135" w:type="pct"/>
            <w:tcBorders>
              <w:top w:val="nil"/>
              <w:left w:val="nil"/>
              <w:bottom w:val="single" w:sz="4" w:space="0" w:color="auto"/>
              <w:right w:val="nil"/>
            </w:tcBorders>
            <w:shd w:val="clear" w:color="000000" w:fill="FFFFFF"/>
            <w:noWrap/>
            <w:vAlign w:val="center"/>
            <w:hideMark/>
          </w:tcPr>
          <w:p w14:paraId="76C97A5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Constant</w:t>
            </w:r>
          </w:p>
        </w:tc>
        <w:tc>
          <w:tcPr>
            <w:tcW w:w="389" w:type="pct"/>
            <w:tcBorders>
              <w:top w:val="nil"/>
              <w:left w:val="nil"/>
              <w:bottom w:val="single" w:sz="4" w:space="0" w:color="auto"/>
              <w:right w:val="nil"/>
            </w:tcBorders>
            <w:shd w:val="clear" w:color="000000" w:fill="FFFFFF"/>
            <w:noWrap/>
            <w:vAlign w:val="center"/>
            <w:hideMark/>
          </w:tcPr>
          <w:p w14:paraId="2A6720D7"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2.740***</w:t>
            </w:r>
          </w:p>
        </w:tc>
        <w:tc>
          <w:tcPr>
            <w:tcW w:w="323" w:type="pct"/>
            <w:tcBorders>
              <w:top w:val="nil"/>
              <w:left w:val="nil"/>
              <w:bottom w:val="single" w:sz="4" w:space="0" w:color="auto"/>
              <w:right w:val="nil"/>
            </w:tcBorders>
            <w:shd w:val="clear" w:color="000000" w:fill="FFFFFF"/>
            <w:noWrap/>
            <w:vAlign w:val="center"/>
            <w:hideMark/>
          </w:tcPr>
          <w:p w14:paraId="5163ABA6"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(0.109)</w:t>
            </w:r>
          </w:p>
        </w:tc>
        <w:tc>
          <w:tcPr>
            <w:tcW w:w="389" w:type="pct"/>
            <w:tcBorders>
              <w:top w:val="nil"/>
              <w:left w:val="nil"/>
              <w:bottom w:val="single" w:sz="4" w:space="0" w:color="auto"/>
              <w:right w:val="nil"/>
            </w:tcBorders>
            <w:shd w:val="clear" w:color="000000" w:fill="FFFFFF"/>
            <w:noWrap/>
            <w:vAlign w:val="center"/>
            <w:hideMark/>
          </w:tcPr>
          <w:p w14:paraId="77BCED72"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2.335***</w:t>
            </w:r>
          </w:p>
        </w:tc>
        <w:tc>
          <w:tcPr>
            <w:tcW w:w="323" w:type="pct"/>
            <w:tcBorders>
              <w:top w:val="nil"/>
              <w:left w:val="nil"/>
              <w:bottom w:val="single" w:sz="4" w:space="0" w:color="auto"/>
              <w:right w:val="nil"/>
            </w:tcBorders>
            <w:shd w:val="clear" w:color="000000" w:fill="FFFFFF"/>
            <w:noWrap/>
            <w:vAlign w:val="center"/>
            <w:hideMark/>
          </w:tcPr>
          <w:p w14:paraId="25EE2F11"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(0.091)</w:t>
            </w:r>
          </w:p>
        </w:tc>
        <w:tc>
          <w:tcPr>
            <w:tcW w:w="389" w:type="pct"/>
            <w:tcBorders>
              <w:top w:val="nil"/>
              <w:left w:val="nil"/>
              <w:bottom w:val="single" w:sz="4" w:space="0" w:color="auto"/>
              <w:right w:val="nil"/>
            </w:tcBorders>
            <w:shd w:val="clear" w:color="000000" w:fill="FFFFFF"/>
            <w:noWrap/>
            <w:vAlign w:val="center"/>
            <w:hideMark/>
          </w:tcPr>
          <w:p w14:paraId="3D90745F"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2.447***</w:t>
            </w:r>
          </w:p>
        </w:tc>
        <w:tc>
          <w:tcPr>
            <w:tcW w:w="323" w:type="pct"/>
            <w:tcBorders>
              <w:top w:val="nil"/>
              <w:left w:val="nil"/>
              <w:bottom w:val="single" w:sz="4" w:space="0" w:color="auto"/>
              <w:right w:val="nil"/>
            </w:tcBorders>
            <w:shd w:val="clear" w:color="000000" w:fill="FFFFFF"/>
            <w:noWrap/>
            <w:vAlign w:val="center"/>
            <w:hideMark/>
          </w:tcPr>
          <w:p w14:paraId="69CD2824"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(0.204)</w:t>
            </w:r>
          </w:p>
        </w:tc>
        <w:tc>
          <w:tcPr>
            <w:tcW w:w="404" w:type="pct"/>
            <w:tcBorders>
              <w:top w:val="nil"/>
              <w:left w:val="nil"/>
              <w:bottom w:val="single" w:sz="4" w:space="0" w:color="auto"/>
              <w:right w:val="nil"/>
            </w:tcBorders>
            <w:shd w:val="clear" w:color="000000" w:fill="FFFFFF"/>
            <w:noWrap/>
            <w:vAlign w:val="center"/>
            <w:hideMark/>
          </w:tcPr>
          <w:p w14:paraId="7E89DFCA"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2.584***</w:t>
            </w:r>
          </w:p>
        </w:tc>
        <w:tc>
          <w:tcPr>
            <w:tcW w:w="323" w:type="pct"/>
            <w:tcBorders>
              <w:top w:val="nil"/>
              <w:left w:val="nil"/>
              <w:bottom w:val="single" w:sz="4" w:space="0" w:color="auto"/>
              <w:right w:val="nil"/>
            </w:tcBorders>
            <w:shd w:val="clear" w:color="000000" w:fill="FFFFFF"/>
            <w:noWrap/>
            <w:vAlign w:val="center"/>
            <w:hideMark/>
          </w:tcPr>
          <w:p w14:paraId="0A5B4C1C"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(0.049)</w:t>
            </w:r>
          </w:p>
        </w:tc>
      </w:tr>
      <w:tr w:rsidR="006A175B" w:rsidRPr="00375327" w14:paraId="7B223A03" w14:textId="77777777" w:rsidTr="006A175B">
        <w:trPr>
          <w:trHeight w:val="263"/>
        </w:trPr>
        <w:tc>
          <w:tcPr>
            <w:tcW w:w="2135" w:type="pct"/>
            <w:tcBorders>
              <w:top w:val="nil"/>
              <w:left w:val="nil"/>
              <w:bottom w:val="nil"/>
              <w:right w:val="nil"/>
            </w:tcBorders>
            <w:shd w:val="clear" w:color="000000" w:fill="FFFFFF"/>
            <w:noWrap/>
            <w:vAlign w:val="center"/>
            <w:hideMark/>
          </w:tcPr>
          <w:p w14:paraId="30F47940"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Observations</w:t>
            </w:r>
          </w:p>
        </w:tc>
        <w:tc>
          <w:tcPr>
            <w:tcW w:w="712" w:type="pct"/>
            <w:gridSpan w:val="2"/>
            <w:tcBorders>
              <w:top w:val="nil"/>
              <w:left w:val="nil"/>
              <w:bottom w:val="nil"/>
              <w:right w:val="nil"/>
            </w:tcBorders>
            <w:shd w:val="clear" w:color="000000" w:fill="FFFFFF"/>
            <w:noWrap/>
            <w:vAlign w:val="center"/>
            <w:hideMark/>
          </w:tcPr>
          <w:p w14:paraId="2DDC63FE" w14:textId="77777777" w:rsidR="006A175B" w:rsidRPr="006A175B" w:rsidRDefault="006A175B" w:rsidP="006A175B">
            <w:pPr>
              <w:spacing w:line="240" w:lineRule="auto"/>
              <w:jc w:val="center"/>
              <w:rPr>
                <w:rFonts w:eastAsia="Times New Roman" w:cs="Times New Roman"/>
                <w:sz w:val="18"/>
                <w:szCs w:val="18"/>
                <w:lang w:val="en-NL" w:eastAsia="en-NL"/>
              </w:rPr>
            </w:pPr>
            <w:r w:rsidRPr="006A175B">
              <w:rPr>
                <w:rFonts w:eastAsia="Times New Roman" w:cs="Times New Roman"/>
                <w:sz w:val="18"/>
                <w:szCs w:val="18"/>
                <w:lang w:val="en-NL" w:eastAsia="en-NL"/>
              </w:rPr>
              <w:t>7830</w:t>
            </w:r>
          </w:p>
        </w:tc>
        <w:tc>
          <w:tcPr>
            <w:tcW w:w="712" w:type="pct"/>
            <w:gridSpan w:val="2"/>
            <w:tcBorders>
              <w:top w:val="nil"/>
              <w:left w:val="nil"/>
              <w:bottom w:val="nil"/>
              <w:right w:val="nil"/>
            </w:tcBorders>
            <w:shd w:val="clear" w:color="000000" w:fill="FFFFFF"/>
            <w:noWrap/>
            <w:vAlign w:val="center"/>
            <w:hideMark/>
          </w:tcPr>
          <w:p w14:paraId="7AF4D5A5" w14:textId="77777777" w:rsidR="006A175B" w:rsidRPr="006A175B" w:rsidRDefault="006A175B" w:rsidP="006A175B">
            <w:pPr>
              <w:spacing w:line="240" w:lineRule="auto"/>
              <w:jc w:val="center"/>
              <w:rPr>
                <w:rFonts w:eastAsia="Times New Roman" w:cs="Times New Roman"/>
                <w:sz w:val="18"/>
                <w:szCs w:val="18"/>
                <w:lang w:val="en-NL" w:eastAsia="en-NL"/>
              </w:rPr>
            </w:pPr>
            <w:r w:rsidRPr="006A175B">
              <w:rPr>
                <w:rFonts w:eastAsia="Times New Roman" w:cs="Times New Roman"/>
                <w:sz w:val="18"/>
                <w:szCs w:val="18"/>
                <w:lang w:val="en-NL" w:eastAsia="en-NL"/>
              </w:rPr>
              <w:t>14718</w:t>
            </w:r>
          </w:p>
        </w:tc>
        <w:tc>
          <w:tcPr>
            <w:tcW w:w="712" w:type="pct"/>
            <w:gridSpan w:val="2"/>
            <w:tcBorders>
              <w:top w:val="nil"/>
              <w:left w:val="nil"/>
              <w:bottom w:val="nil"/>
              <w:right w:val="nil"/>
            </w:tcBorders>
            <w:shd w:val="clear" w:color="000000" w:fill="FFFFFF"/>
            <w:noWrap/>
            <w:vAlign w:val="center"/>
            <w:hideMark/>
          </w:tcPr>
          <w:p w14:paraId="1DB51AFF" w14:textId="77777777" w:rsidR="006A175B" w:rsidRPr="006A175B" w:rsidRDefault="006A175B" w:rsidP="006A175B">
            <w:pPr>
              <w:spacing w:line="240" w:lineRule="auto"/>
              <w:jc w:val="center"/>
              <w:rPr>
                <w:rFonts w:eastAsia="Times New Roman" w:cs="Times New Roman"/>
                <w:sz w:val="18"/>
                <w:szCs w:val="18"/>
                <w:lang w:val="en-NL" w:eastAsia="en-NL"/>
              </w:rPr>
            </w:pPr>
            <w:r w:rsidRPr="006A175B">
              <w:rPr>
                <w:rFonts w:eastAsia="Times New Roman" w:cs="Times New Roman"/>
                <w:sz w:val="18"/>
                <w:szCs w:val="18"/>
                <w:lang w:val="en-NL" w:eastAsia="en-NL"/>
              </w:rPr>
              <w:t>2868</w:t>
            </w:r>
          </w:p>
        </w:tc>
        <w:tc>
          <w:tcPr>
            <w:tcW w:w="728" w:type="pct"/>
            <w:gridSpan w:val="2"/>
            <w:tcBorders>
              <w:top w:val="nil"/>
              <w:left w:val="nil"/>
              <w:bottom w:val="nil"/>
              <w:right w:val="nil"/>
            </w:tcBorders>
            <w:shd w:val="clear" w:color="000000" w:fill="FFFFFF"/>
            <w:noWrap/>
            <w:vAlign w:val="center"/>
            <w:hideMark/>
          </w:tcPr>
          <w:p w14:paraId="47D96C72" w14:textId="77777777" w:rsidR="006A175B" w:rsidRPr="006A175B" w:rsidRDefault="006A175B" w:rsidP="006A175B">
            <w:pPr>
              <w:spacing w:line="240" w:lineRule="auto"/>
              <w:jc w:val="center"/>
              <w:rPr>
                <w:rFonts w:eastAsia="Times New Roman" w:cs="Times New Roman"/>
                <w:sz w:val="18"/>
                <w:szCs w:val="18"/>
                <w:lang w:val="en-NL" w:eastAsia="en-NL"/>
              </w:rPr>
            </w:pPr>
            <w:r w:rsidRPr="006A175B">
              <w:rPr>
                <w:rFonts w:eastAsia="Times New Roman" w:cs="Times New Roman"/>
                <w:sz w:val="18"/>
                <w:szCs w:val="18"/>
                <w:lang w:val="en-NL" w:eastAsia="en-NL"/>
              </w:rPr>
              <w:t>45024</w:t>
            </w:r>
          </w:p>
        </w:tc>
      </w:tr>
      <w:tr w:rsidR="006A175B" w:rsidRPr="00375327" w14:paraId="7AF81797" w14:textId="77777777" w:rsidTr="006A175B">
        <w:trPr>
          <w:trHeight w:val="263"/>
        </w:trPr>
        <w:tc>
          <w:tcPr>
            <w:tcW w:w="2135" w:type="pct"/>
            <w:tcBorders>
              <w:top w:val="nil"/>
              <w:left w:val="nil"/>
              <w:bottom w:val="single" w:sz="12" w:space="0" w:color="auto"/>
              <w:right w:val="nil"/>
            </w:tcBorders>
            <w:shd w:val="clear" w:color="000000" w:fill="FFFFFF"/>
            <w:noWrap/>
            <w:vAlign w:val="center"/>
            <w:hideMark/>
          </w:tcPr>
          <w:p w14:paraId="6B1874CE"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Adjusted R-squared</w:t>
            </w:r>
          </w:p>
        </w:tc>
        <w:tc>
          <w:tcPr>
            <w:tcW w:w="712" w:type="pct"/>
            <w:gridSpan w:val="2"/>
            <w:tcBorders>
              <w:top w:val="nil"/>
              <w:left w:val="nil"/>
              <w:bottom w:val="single" w:sz="12" w:space="0" w:color="auto"/>
              <w:right w:val="nil"/>
            </w:tcBorders>
            <w:shd w:val="clear" w:color="000000" w:fill="FFFFFF"/>
            <w:noWrap/>
            <w:vAlign w:val="center"/>
            <w:hideMark/>
          </w:tcPr>
          <w:p w14:paraId="2445FC72" w14:textId="77777777" w:rsidR="006A175B" w:rsidRPr="006A175B" w:rsidRDefault="006A175B" w:rsidP="006A175B">
            <w:pPr>
              <w:spacing w:line="240" w:lineRule="auto"/>
              <w:jc w:val="center"/>
              <w:rPr>
                <w:rFonts w:eastAsia="Times New Roman" w:cs="Times New Roman"/>
                <w:sz w:val="18"/>
                <w:szCs w:val="18"/>
                <w:lang w:val="en-NL" w:eastAsia="en-NL"/>
              </w:rPr>
            </w:pPr>
            <w:r w:rsidRPr="006A175B">
              <w:rPr>
                <w:rFonts w:eastAsia="Times New Roman" w:cs="Times New Roman"/>
                <w:sz w:val="18"/>
                <w:szCs w:val="18"/>
                <w:lang w:val="en-NL" w:eastAsia="en-NL"/>
              </w:rPr>
              <w:t>0.052</w:t>
            </w:r>
          </w:p>
        </w:tc>
        <w:tc>
          <w:tcPr>
            <w:tcW w:w="712" w:type="pct"/>
            <w:gridSpan w:val="2"/>
            <w:tcBorders>
              <w:top w:val="nil"/>
              <w:left w:val="nil"/>
              <w:bottom w:val="single" w:sz="12" w:space="0" w:color="auto"/>
              <w:right w:val="nil"/>
            </w:tcBorders>
            <w:shd w:val="clear" w:color="000000" w:fill="FFFFFF"/>
            <w:noWrap/>
            <w:vAlign w:val="center"/>
            <w:hideMark/>
          </w:tcPr>
          <w:p w14:paraId="2BF273C3" w14:textId="77777777" w:rsidR="006A175B" w:rsidRPr="006A175B" w:rsidRDefault="006A175B" w:rsidP="006A175B">
            <w:pPr>
              <w:spacing w:line="240" w:lineRule="auto"/>
              <w:jc w:val="center"/>
              <w:rPr>
                <w:rFonts w:eastAsia="Times New Roman" w:cs="Times New Roman"/>
                <w:sz w:val="18"/>
                <w:szCs w:val="18"/>
                <w:lang w:val="en-NL" w:eastAsia="en-NL"/>
              </w:rPr>
            </w:pPr>
            <w:r w:rsidRPr="006A175B">
              <w:rPr>
                <w:rFonts w:eastAsia="Times New Roman" w:cs="Times New Roman"/>
                <w:sz w:val="18"/>
                <w:szCs w:val="18"/>
                <w:lang w:val="en-NL" w:eastAsia="en-NL"/>
              </w:rPr>
              <w:t>0.058</w:t>
            </w:r>
          </w:p>
        </w:tc>
        <w:tc>
          <w:tcPr>
            <w:tcW w:w="712" w:type="pct"/>
            <w:gridSpan w:val="2"/>
            <w:tcBorders>
              <w:top w:val="nil"/>
              <w:left w:val="nil"/>
              <w:bottom w:val="single" w:sz="12" w:space="0" w:color="auto"/>
              <w:right w:val="nil"/>
            </w:tcBorders>
            <w:shd w:val="clear" w:color="000000" w:fill="FFFFFF"/>
            <w:noWrap/>
            <w:vAlign w:val="center"/>
            <w:hideMark/>
          </w:tcPr>
          <w:p w14:paraId="0F4FCB39" w14:textId="77777777" w:rsidR="006A175B" w:rsidRPr="006A175B" w:rsidRDefault="006A175B" w:rsidP="006A175B">
            <w:pPr>
              <w:spacing w:line="240" w:lineRule="auto"/>
              <w:jc w:val="center"/>
              <w:rPr>
                <w:rFonts w:eastAsia="Times New Roman" w:cs="Times New Roman"/>
                <w:sz w:val="18"/>
                <w:szCs w:val="18"/>
                <w:lang w:val="en-NL" w:eastAsia="en-NL"/>
              </w:rPr>
            </w:pPr>
            <w:r w:rsidRPr="006A175B">
              <w:rPr>
                <w:rFonts w:eastAsia="Times New Roman" w:cs="Times New Roman"/>
                <w:sz w:val="18"/>
                <w:szCs w:val="18"/>
                <w:lang w:val="en-NL" w:eastAsia="en-NL"/>
              </w:rPr>
              <w:t>0.046</w:t>
            </w:r>
          </w:p>
        </w:tc>
        <w:tc>
          <w:tcPr>
            <w:tcW w:w="728" w:type="pct"/>
            <w:gridSpan w:val="2"/>
            <w:tcBorders>
              <w:top w:val="nil"/>
              <w:left w:val="nil"/>
              <w:bottom w:val="single" w:sz="12" w:space="0" w:color="auto"/>
              <w:right w:val="nil"/>
            </w:tcBorders>
            <w:shd w:val="clear" w:color="000000" w:fill="FFFFFF"/>
            <w:noWrap/>
            <w:vAlign w:val="center"/>
            <w:hideMark/>
          </w:tcPr>
          <w:p w14:paraId="0333F2D9" w14:textId="77777777" w:rsidR="006A175B" w:rsidRPr="006A175B" w:rsidRDefault="006A175B" w:rsidP="006A175B">
            <w:pPr>
              <w:spacing w:line="240" w:lineRule="auto"/>
              <w:jc w:val="center"/>
              <w:rPr>
                <w:rFonts w:eastAsia="Times New Roman" w:cs="Times New Roman"/>
                <w:sz w:val="18"/>
                <w:szCs w:val="18"/>
                <w:lang w:val="en-NL" w:eastAsia="en-NL"/>
              </w:rPr>
            </w:pPr>
            <w:r w:rsidRPr="006A175B">
              <w:rPr>
                <w:rFonts w:eastAsia="Times New Roman" w:cs="Times New Roman"/>
                <w:sz w:val="18"/>
                <w:szCs w:val="18"/>
                <w:lang w:val="en-NL" w:eastAsia="en-NL"/>
              </w:rPr>
              <w:t>0.051</w:t>
            </w:r>
          </w:p>
        </w:tc>
      </w:tr>
      <w:tr w:rsidR="006A175B" w:rsidRPr="006A175B" w14:paraId="1E97C08B" w14:textId="77777777" w:rsidTr="006A175B">
        <w:trPr>
          <w:trHeight w:val="263"/>
        </w:trPr>
        <w:tc>
          <w:tcPr>
            <w:tcW w:w="5000" w:type="pct"/>
            <w:gridSpan w:val="9"/>
            <w:tcBorders>
              <w:top w:val="nil"/>
              <w:left w:val="nil"/>
              <w:bottom w:val="nil"/>
              <w:right w:val="nil"/>
            </w:tcBorders>
            <w:shd w:val="clear" w:color="000000" w:fill="FFFFFF"/>
            <w:noWrap/>
            <w:vAlign w:val="center"/>
            <w:hideMark/>
          </w:tcPr>
          <w:p w14:paraId="1AADF4DF"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Note: standard errors in parentheses; conjoint dimension effects and country fixed effects suppressed from output; standard errors clustered on the individual level</w:t>
            </w:r>
          </w:p>
        </w:tc>
      </w:tr>
      <w:tr w:rsidR="006A175B" w:rsidRPr="006A175B" w14:paraId="3EAEC8DD" w14:textId="77777777" w:rsidTr="006A175B">
        <w:trPr>
          <w:trHeight w:val="263"/>
        </w:trPr>
        <w:tc>
          <w:tcPr>
            <w:tcW w:w="5000" w:type="pct"/>
            <w:gridSpan w:val="9"/>
            <w:tcBorders>
              <w:top w:val="nil"/>
              <w:left w:val="nil"/>
              <w:bottom w:val="nil"/>
              <w:right w:val="nil"/>
            </w:tcBorders>
            <w:shd w:val="clear" w:color="000000" w:fill="FFFFFF"/>
            <w:noWrap/>
            <w:vAlign w:val="center"/>
            <w:hideMark/>
          </w:tcPr>
          <w:p w14:paraId="3EC24A72" w14:textId="77777777" w:rsidR="006A175B" w:rsidRPr="006A175B" w:rsidRDefault="006A175B" w:rsidP="006A175B">
            <w:pPr>
              <w:spacing w:line="240" w:lineRule="auto"/>
              <w:rPr>
                <w:rFonts w:eastAsia="Times New Roman" w:cs="Times New Roman"/>
                <w:sz w:val="18"/>
                <w:szCs w:val="18"/>
                <w:lang w:val="en-NL" w:eastAsia="en-NL"/>
              </w:rPr>
            </w:pPr>
            <w:r w:rsidRPr="006A175B">
              <w:rPr>
                <w:rFonts w:eastAsia="Times New Roman" w:cs="Times New Roman"/>
                <w:sz w:val="18"/>
                <w:szCs w:val="18"/>
                <w:lang w:val="en-NL" w:eastAsia="en-NL"/>
              </w:rPr>
              <w:t>* p&lt;0.05, ** p&lt;0.01, *** p&lt;0.001</w:t>
            </w:r>
          </w:p>
        </w:tc>
      </w:tr>
    </w:tbl>
    <w:p w14:paraId="60AA7899" w14:textId="77777777" w:rsidR="006A175B" w:rsidRPr="00375327" w:rsidRDefault="006A175B" w:rsidP="007F3F40">
      <w:pPr>
        <w:pStyle w:val="Heading1"/>
        <w:sectPr w:rsidR="006A175B" w:rsidRPr="00375327" w:rsidSect="006A175B">
          <w:pgSz w:w="16838" w:h="11906" w:orient="landscape"/>
          <w:pgMar w:top="1440" w:right="1440" w:bottom="1440" w:left="1440" w:header="708" w:footer="708" w:gutter="0"/>
          <w:cols w:space="708"/>
          <w:docGrid w:linePitch="360"/>
        </w:sectPr>
      </w:pPr>
    </w:p>
    <w:p w14:paraId="09F3892A" w14:textId="0F4EC966" w:rsidR="0029278F" w:rsidRPr="00375327" w:rsidRDefault="007A295D" w:rsidP="00937F0C">
      <w:pPr>
        <w:pStyle w:val="Heading2"/>
      </w:pPr>
      <w:r w:rsidRPr="00375327">
        <w:lastRenderedPageBreak/>
        <w:t>Robustness</w:t>
      </w:r>
    </w:p>
    <w:p w14:paraId="4CFD6EFD" w14:textId="77777777" w:rsidR="007A295D" w:rsidRPr="00375327" w:rsidRDefault="007A295D" w:rsidP="00375327">
      <w:pPr>
        <w:pStyle w:val="Heading3"/>
      </w:pPr>
      <w:r w:rsidRPr="00375327">
        <w:t>Interaction between egotropic and sociotropic concern</w:t>
      </w:r>
    </w:p>
    <w:p w14:paraId="1EA65AC2" w14:textId="77777777" w:rsidR="007A295D" w:rsidRPr="00375327" w:rsidRDefault="007A295D" w:rsidP="00D515E5">
      <w:pPr>
        <w:rPr>
          <w:i/>
          <w:iCs/>
        </w:rPr>
      </w:pPr>
    </w:p>
    <w:tbl>
      <w:tblPr>
        <w:tblW w:w="9360" w:type="dxa"/>
        <w:tblLook w:val="04A0" w:firstRow="1" w:lastRow="0" w:firstColumn="1" w:lastColumn="0" w:noHBand="0" w:noVBand="1"/>
      </w:tblPr>
      <w:tblGrid>
        <w:gridCol w:w="2048"/>
        <w:gridCol w:w="954"/>
        <w:gridCol w:w="741"/>
        <w:gridCol w:w="1205"/>
        <w:gridCol w:w="878"/>
        <w:gridCol w:w="1004"/>
        <w:gridCol w:w="741"/>
        <w:gridCol w:w="1067"/>
        <w:gridCol w:w="777"/>
      </w:tblGrid>
      <w:tr w:rsidR="007A295D" w:rsidRPr="00375327" w14:paraId="38760617" w14:textId="77777777" w:rsidTr="00071D0E">
        <w:trPr>
          <w:trHeight w:val="310"/>
        </w:trPr>
        <w:tc>
          <w:tcPr>
            <w:tcW w:w="9360" w:type="dxa"/>
            <w:gridSpan w:val="9"/>
            <w:tcBorders>
              <w:top w:val="nil"/>
              <w:left w:val="nil"/>
              <w:bottom w:val="nil"/>
              <w:right w:val="nil"/>
            </w:tcBorders>
            <w:shd w:val="clear" w:color="000000" w:fill="FFFFFF"/>
            <w:noWrap/>
            <w:vAlign w:val="center"/>
            <w:hideMark/>
          </w:tcPr>
          <w:p w14:paraId="6EF497F2" w14:textId="534D5BE8" w:rsidR="007A295D" w:rsidRPr="00375327" w:rsidRDefault="00D515E5" w:rsidP="00D515E5">
            <w:pPr>
              <w:spacing w:line="240" w:lineRule="auto"/>
              <w:rPr>
                <w:rFonts w:eastAsia="Times New Roman" w:cs="Times New Roman"/>
                <w:szCs w:val="24"/>
              </w:rPr>
            </w:pPr>
            <w:r w:rsidRPr="00375327">
              <w:rPr>
                <w:rFonts w:eastAsia="Times New Roman" w:cs="Times New Roman"/>
                <w:szCs w:val="24"/>
              </w:rPr>
              <w:t xml:space="preserve">Table A.2. </w:t>
            </w:r>
            <w:r w:rsidR="007A295D" w:rsidRPr="00375327">
              <w:rPr>
                <w:rFonts w:eastAsia="Times New Roman" w:cs="Times New Roman"/>
                <w:szCs w:val="24"/>
              </w:rPr>
              <w:t>Regression of support for fiscal capacity on community causal beliefs conditional on ego causal beliefs</w:t>
            </w:r>
            <w:r w:rsidRPr="00375327">
              <w:rPr>
                <w:rFonts w:eastAsia="Times New Roman" w:cs="Times New Roman"/>
                <w:szCs w:val="24"/>
              </w:rPr>
              <w:t>.</w:t>
            </w:r>
          </w:p>
        </w:tc>
      </w:tr>
      <w:tr w:rsidR="007A295D" w:rsidRPr="00375327" w14:paraId="6E8E017E" w14:textId="77777777" w:rsidTr="00071D0E">
        <w:trPr>
          <w:trHeight w:val="290"/>
        </w:trPr>
        <w:tc>
          <w:tcPr>
            <w:tcW w:w="2048" w:type="dxa"/>
            <w:tcBorders>
              <w:top w:val="nil"/>
              <w:left w:val="nil"/>
              <w:bottom w:val="nil"/>
              <w:right w:val="nil"/>
            </w:tcBorders>
            <w:shd w:val="clear" w:color="000000" w:fill="FFFFFF"/>
            <w:noWrap/>
            <w:vAlign w:val="center"/>
            <w:hideMark/>
          </w:tcPr>
          <w:p w14:paraId="22D47ED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1649" w:type="dxa"/>
            <w:gridSpan w:val="2"/>
            <w:tcBorders>
              <w:top w:val="nil"/>
              <w:left w:val="nil"/>
              <w:bottom w:val="nil"/>
              <w:right w:val="nil"/>
            </w:tcBorders>
            <w:shd w:val="clear" w:color="000000" w:fill="FFFFFF"/>
            <w:noWrap/>
            <w:vAlign w:val="center"/>
            <w:hideMark/>
          </w:tcPr>
          <w:p w14:paraId="4D12D9D1" w14:textId="77777777" w:rsidR="007A295D" w:rsidRPr="00375327" w:rsidRDefault="007A295D" w:rsidP="00D515E5">
            <w:pPr>
              <w:spacing w:line="240" w:lineRule="auto"/>
              <w:jc w:val="center"/>
              <w:rPr>
                <w:rFonts w:eastAsia="Times New Roman" w:cs="Times New Roman"/>
                <w:sz w:val="18"/>
                <w:szCs w:val="18"/>
              </w:rPr>
            </w:pPr>
            <w:r w:rsidRPr="00375327">
              <w:rPr>
                <w:rFonts w:eastAsia="Times New Roman" w:cs="Times New Roman"/>
                <w:sz w:val="18"/>
                <w:szCs w:val="18"/>
              </w:rPr>
              <w:t>Only negative causal beliefs for ego</w:t>
            </w:r>
          </w:p>
        </w:tc>
        <w:tc>
          <w:tcPr>
            <w:tcW w:w="2083" w:type="dxa"/>
            <w:gridSpan w:val="2"/>
            <w:tcBorders>
              <w:top w:val="nil"/>
              <w:left w:val="nil"/>
              <w:bottom w:val="nil"/>
              <w:right w:val="nil"/>
            </w:tcBorders>
            <w:shd w:val="clear" w:color="000000" w:fill="FFFFFF"/>
            <w:noWrap/>
            <w:vAlign w:val="center"/>
            <w:hideMark/>
          </w:tcPr>
          <w:p w14:paraId="673B0D5A" w14:textId="77777777" w:rsidR="007A295D" w:rsidRPr="00375327" w:rsidRDefault="007A295D" w:rsidP="00D515E5">
            <w:pPr>
              <w:spacing w:line="240" w:lineRule="auto"/>
              <w:jc w:val="center"/>
              <w:rPr>
                <w:rFonts w:eastAsia="Times New Roman" w:cs="Times New Roman"/>
                <w:sz w:val="18"/>
                <w:szCs w:val="18"/>
              </w:rPr>
            </w:pPr>
            <w:r w:rsidRPr="00375327">
              <w:rPr>
                <w:rFonts w:eastAsia="Times New Roman" w:cs="Times New Roman"/>
                <w:sz w:val="18"/>
                <w:szCs w:val="18"/>
              </w:rPr>
              <w:t>Only positive or neutral causal beliefs for ego</w:t>
            </w:r>
          </w:p>
        </w:tc>
        <w:tc>
          <w:tcPr>
            <w:tcW w:w="1736" w:type="dxa"/>
            <w:gridSpan w:val="2"/>
            <w:tcBorders>
              <w:top w:val="nil"/>
              <w:left w:val="nil"/>
              <w:bottom w:val="nil"/>
              <w:right w:val="nil"/>
            </w:tcBorders>
            <w:shd w:val="clear" w:color="000000" w:fill="FFFFFF"/>
            <w:noWrap/>
            <w:vAlign w:val="center"/>
            <w:hideMark/>
          </w:tcPr>
          <w:p w14:paraId="5F7C1B26" w14:textId="77777777" w:rsidR="007A295D" w:rsidRPr="00375327" w:rsidRDefault="007A295D" w:rsidP="00D515E5">
            <w:pPr>
              <w:spacing w:line="240" w:lineRule="auto"/>
              <w:jc w:val="center"/>
              <w:rPr>
                <w:rFonts w:eastAsia="Times New Roman" w:cs="Times New Roman"/>
                <w:sz w:val="18"/>
                <w:szCs w:val="18"/>
              </w:rPr>
            </w:pPr>
            <w:r w:rsidRPr="00375327">
              <w:rPr>
                <w:rFonts w:eastAsia="Times New Roman" w:cs="Times New Roman"/>
                <w:sz w:val="18"/>
                <w:szCs w:val="18"/>
              </w:rPr>
              <w:t>Full interaction term, support variable</w:t>
            </w:r>
          </w:p>
        </w:tc>
        <w:tc>
          <w:tcPr>
            <w:tcW w:w="1844" w:type="dxa"/>
            <w:gridSpan w:val="2"/>
            <w:tcBorders>
              <w:top w:val="nil"/>
              <w:left w:val="nil"/>
              <w:bottom w:val="nil"/>
              <w:right w:val="nil"/>
            </w:tcBorders>
            <w:shd w:val="clear" w:color="000000" w:fill="FFFFFF"/>
            <w:noWrap/>
            <w:vAlign w:val="center"/>
            <w:hideMark/>
          </w:tcPr>
          <w:p w14:paraId="372A5866" w14:textId="77777777" w:rsidR="007A295D" w:rsidRPr="00375327" w:rsidRDefault="007A295D" w:rsidP="00D515E5">
            <w:pPr>
              <w:spacing w:line="240" w:lineRule="auto"/>
              <w:jc w:val="center"/>
              <w:rPr>
                <w:rFonts w:eastAsia="Times New Roman" w:cs="Times New Roman"/>
                <w:sz w:val="18"/>
                <w:szCs w:val="18"/>
              </w:rPr>
            </w:pPr>
            <w:r w:rsidRPr="00375327">
              <w:rPr>
                <w:rFonts w:eastAsia="Times New Roman" w:cs="Times New Roman"/>
                <w:sz w:val="18"/>
                <w:szCs w:val="18"/>
              </w:rPr>
              <w:t>Full interaction term, full rating variable</w:t>
            </w:r>
          </w:p>
        </w:tc>
      </w:tr>
      <w:tr w:rsidR="007A295D" w:rsidRPr="00375327" w14:paraId="4F568E42" w14:textId="77777777" w:rsidTr="00071D0E">
        <w:trPr>
          <w:trHeight w:val="290"/>
        </w:trPr>
        <w:tc>
          <w:tcPr>
            <w:tcW w:w="2048" w:type="dxa"/>
            <w:tcBorders>
              <w:top w:val="nil"/>
              <w:left w:val="nil"/>
              <w:bottom w:val="single" w:sz="12" w:space="0" w:color="auto"/>
              <w:right w:val="nil"/>
            </w:tcBorders>
            <w:shd w:val="clear" w:color="000000" w:fill="FFFFFF"/>
            <w:noWrap/>
            <w:vAlign w:val="center"/>
            <w:hideMark/>
          </w:tcPr>
          <w:p w14:paraId="58DC20B4"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954" w:type="dxa"/>
            <w:tcBorders>
              <w:top w:val="nil"/>
              <w:left w:val="nil"/>
              <w:bottom w:val="single" w:sz="12" w:space="0" w:color="auto"/>
              <w:right w:val="nil"/>
            </w:tcBorders>
            <w:shd w:val="clear" w:color="000000" w:fill="FFFFFF"/>
            <w:noWrap/>
            <w:vAlign w:val="center"/>
            <w:hideMark/>
          </w:tcPr>
          <w:p w14:paraId="0FDF82D1"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B</w:t>
            </w:r>
          </w:p>
        </w:tc>
        <w:tc>
          <w:tcPr>
            <w:tcW w:w="695" w:type="dxa"/>
            <w:tcBorders>
              <w:top w:val="nil"/>
              <w:left w:val="nil"/>
              <w:bottom w:val="single" w:sz="12" w:space="0" w:color="auto"/>
              <w:right w:val="nil"/>
            </w:tcBorders>
            <w:shd w:val="clear" w:color="000000" w:fill="FFFFFF"/>
            <w:noWrap/>
            <w:vAlign w:val="center"/>
            <w:hideMark/>
          </w:tcPr>
          <w:p w14:paraId="0CAA5536" w14:textId="77777777" w:rsidR="007A295D" w:rsidRPr="00375327" w:rsidRDefault="007A295D" w:rsidP="00D515E5">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c>
          <w:tcPr>
            <w:tcW w:w="1205" w:type="dxa"/>
            <w:tcBorders>
              <w:top w:val="nil"/>
              <w:left w:val="nil"/>
              <w:bottom w:val="single" w:sz="12" w:space="0" w:color="auto"/>
              <w:right w:val="nil"/>
            </w:tcBorders>
            <w:shd w:val="clear" w:color="000000" w:fill="FFFFFF"/>
            <w:noWrap/>
            <w:vAlign w:val="center"/>
            <w:hideMark/>
          </w:tcPr>
          <w:p w14:paraId="7D939E74"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B</w:t>
            </w:r>
          </w:p>
        </w:tc>
        <w:tc>
          <w:tcPr>
            <w:tcW w:w="878" w:type="dxa"/>
            <w:tcBorders>
              <w:top w:val="nil"/>
              <w:left w:val="nil"/>
              <w:bottom w:val="single" w:sz="12" w:space="0" w:color="auto"/>
              <w:right w:val="nil"/>
            </w:tcBorders>
            <w:shd w:val="clear" w:color="000000" w:fill="FFFFFF"/>
            <w:noWrap/>
            <w:vAlign w:val="center"/>
            <w:hideMark/>
          </w:tcPr>
          <w:p w14:paraId="2332BDEE" w14:textId="77777777" w:rsidR="007A295D" w:rsidRPr="00375327" w:rsidRDefault="007A295D" w:rsidP="00D515E5">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c>
          <w:tcPr>
            <w:tcW w:w="1004" w:type="dxa"/>
            <w:tcBorders>
              <w:top w:val="nil"/>
              <w:left w:val="nil"/>
              <w:bottom w:val="single" w:sz="12" w:space="0" w:color="auto"/>
              <w:right w:val="nil"/>
            </w:tcBorders>
            <w:shd w:val="clear" w:color="000000" w:fill="FFFFFF"/>
            <w:noWrap/>
            <w:vAlign w:val="center"/>
            <w:hideMark/>
          </w:tcPr>
          <w:p w14:paraId="6CAD1B9D"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B</w:t>
            </w:r>
          </w:p>
        </w:tc>
        <w:tc>
          <w:tcPr>
            <w:tcW w:w="732" w:type="dxa"/>
            <w:tcBorders>
              <w:top w:val="nil"/>
              <w:left w:val="nil"/>
              <w:bottom w:val="single" w:sz="12" w:space="0" w:color="auto"/>
              <w:right w:val="nil"/>
            </w:tcBorders>
            <w:shd w:val="clear" w:color="000000" w:fill="FFFFFF"/>
            <w:noWrap/>
            <w:vAlign w:val="center"/>
            <w:hideMark/>
          </w:tcPr>
          <w:p w14:paraId="4809532A" w14:textId="77777777" w:rsidR="007A295D" w:rsidRPr="00375327" w:rsidRDefault="007A295D" w:rsidP="00D515E5">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c>
          <w:tcPr>
            <w:tcW w:w="1067" w:type="dxa"/>
            <w:tcBorders>
              <w:top w:val="nil"/>
              <w:left w:val="nil"/>
              <w:bottom w:val="single" w:sz="12" w:space="0" w:color="auto"/>
              <w:right w:val="nil"/>
            </w:tcBorders>
            <w:shd w:val="clear" w:color="000000" w:fill="FFFFFF"/>
            <w:noWrap/>
            <w:vAlign w:val="center"/>
            <w:hideMark/>
          </w:tcPr>
          <w:p w14:paraId="28C8594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B</w:t>
            </w:r>
          </w:p>
        </w:tc>
        <w:tc>
          <w:tcPr>
            <w:tcW w:w="777" w:type="dxa"/>
            <w:tcBorders>
              <w:top w:val="nil"/>
              <w:left w:val="nil"/>
              <w:bottom w:val="single" w:sz="12" w:space="0" w:color="auto"/>
              <w:right w:val="nil"/>
            </w:tcBorders>
            <w:shd w:val="clear" w:color="000000" w:fill="FFFFFF"/>
            <w:noWrap/>
            <w:vAlign w:val="center"/>
            <w:hideMark/>
          </w:tcPr>
          <w:p w14:paraId="291615FF" w14:textId="77777777" w:rsidR="007A295D" w:rsidRPr="00375327" w:rsidRDefault="007A295D" w:rsidP="00D515E5">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r>
      <w:tr w:rsidR="007A295D" w:rsidRPr="00375327" w14:paraId="533EAA09" w14:textId="77777777" w:rsidTr="00071D0E">
        <w:trPr>
          <w:trHeight w:val="290"/>
        </w:trPr>
        <w:tc>
          <w:tcPr>
            <w:tcW w:w="2048" w:type="dxa"/>
            <w:tcBorders>
              <w:top w:val="nil"/>
              <w:left w:val="nil"/>
              <w:bottom w:val="nil"/>
              <w:right w:val="nil"/>
            </w:tcBorders>
            <w:shd w:val="clear" w:color="000000" w:fill="FFFFFF"/>
            <w:noWrap/>
            <w:vAlign w:val="center"/>
            <w:hideMark/>
          </w:tcPr>
          <w:p w14:paraId="469C63C6"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Causal beliefs: ego</w:t>
            </w:r>
          </w:p>
        </w:tc>
        <w:tc>
          <w:tcPr>
            <w:tcW w:w="954" w:type="dxa"/>
            <w:tcBorders>
              <w:top w:val="nil"/>
              <w:left w:val="nil"/>
              <w:bottom w:val="nil"/>
              <w:right w:val="nil"/>
            </w:tcBorders>
            <w:shd w:val="clear" w:color="000000" w:fill="FFFFFF"/>
            <w:noWrap/>
            <w:vAlign w:val="center"/>
            <w:hideMark/>
          </w:tcPr>
          <w:p w14:paraId="78AC8F0C"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695" w:type="dxa"/>
            <w:tcBorders>
              <w:top w:val="nil"/>
              <w:left w:val="nil"/>
              <w:bottom w:val="nil"/>
              <w:right w:val="nil"/>
            </w:tcBorders>
            <w:shd w:val="clear" w:color="000000" w:fill="FFFFFF"/>
            <w:noWrap/>
            <w:vAlign w:val="center"/>
            <w:hideMark/>
          </w:tcPr>
          <w:p w14:paraId="0EF8C3B0"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1205" w:type="dxa"/>
            <w:tcBorders>
              <w:top w:val="nil"/>
              <w:left w:val="nil"/>
              <w:bottom w:val="nil"/>
              <w:right w:val="nil"/>
            </w:tcBorders>
            <w:shd w:val="clear" w:color="000000" w:fill="FFFFFF"/>
            <w:noWrap/>
            <w:vAlign w:val="center"/>
            <w:hideMark/>
          </w:tcPr>
          <w:p w14:paraId="7877E205"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878" w:type="dxa"/>
            <w:tcBorders>
              <w:top w:val="nil"/>
              <w:left w:val="nil"/>
              <w:bottom w:val="nil"/>
              <w:right w:val="nil"/>
            </w:tcBorders>
            <w:shd w:val="clear" w:color="000000" w:fill="FFFFFF"/>
            <w:noWrap/>
            <w:vAlign w:val="center"/>
            <w:hideMark/>
          </w:tcPr>
          <w:p w14:paraId="2A26C4AA"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1004" w:type="dxa"/>
            <w:tcBorders>
              <w:top w:val="nil"/>
              <w:left w:val="nil"/>
              <w:bottom w:val="nil"/>
              <w:right w:val="nil"/>
            </w:tcBorders>
            <w:shd w:val="clear" w:color="000000" w:fill="FFFFFF"/>
            <w:noWrap/>
            <w:vAlign w:val="center"/>
            <w:hideMark/>
          </w:tcPr>
          <w:p w14:paraId="2C53887F"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0.019</w:t>
            </w:r>
          </w:p>
        </w:tc>
        <w:tc>
          <w:tcPr>
            <w:tcW w:w="732" w:type="dxa"/>
            <w:tcBorders>
              <w:top w:val="nil"/>
              <w:left w:val="nil"/>
              <w:bottom w:val="nil"/>
              <w:right w:val="nil"/>
            </w:tcBorders>
            <w:shd w:val="clear" w:color="000000" w:fill="FFFFFF"/>
            <w:noWrap/>
            <w:vAlign w:val="center"/>
            <w:hideMark/>
          </w:tcPr>
          <w:p w14:paraId="1BA848B4"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(0.010)</w:t>
            </w:r>
          </w:p>
        </w:tc>
        <w:tc>
          <w:tcPr>
            <w:tcW w:w="1067" w:type="dxa"/>
            <w:tcBorders>
              <w:top w:val="nil"/>
              <w:left w:val="nil"/>
              <w:bottom w:val="nil"/>
              <w:right w:val="nil"/>
            </w:tcBorders>
            <w:shd w:val="clear" w:color="000000" w:fill="FFFFFF"/>
            <w:noWrap/>
            <w:vAlign w:val="center"/>
            <w:hideMark/>
          </w:tcPr>
          <w:p w14:paraId="21F9EFB1"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0.202***</w:t>
            </w:r>
          </w:p>
        </w:tc>
        <w:tc>
          <w:tcPr>
            <w:tcW w:w="777" w:type="dxa"/>
            <w:tcBorders>
              <w:top w:val="nil"/>
              <w:left w:val="nil"/>
              <w:bottom w:val="nil"/>
              <w:right w:val="nil"/>
            </w:tcBorders>
            <w:shd w:val="clear" w:color="000000" w:fill="FFFFFF"/>
            <w:noWrap/>
            <w:vAlign w:val="center"/>
            <w:hideMark/>
          </w:tcPr>
          <w:p w14:paraId="0C6D2C06"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(0.030)</w:t>
            </w:r>
          </w:p>
        </w:tc>
      </w:tr>
      <w:tr w:rsidR="007A295D" w:rsidRPr="00375327" w14:paraId="6CFCD48D" w14:textId="77777777" w:rsidTr="00071D0E">
        <w:trPr>
          <w:trHeight w:val="290"/>
        </w:trPr>
        <w:tc>
          <w:tcPr>
            <w:tcW w:w="2048" w:type="dxa"/>
            <w:tcBorders>
              <w:top w:val="nil"/>
              <w:left w:val="nil"/>
              <w:bottom w:val="nil"/>
              <w:right w:val="nil"/>
            </w:tcBorders>
            <w:shd w:val="clear" w:color="000000" w:fill="FFFFFF"/>
            <w:noWrap/>
            <w:vAlign w:val="center"/>
            <w:hideMark/>
          </w:tcPr>
          <w:p w14:paraId="260DFC87"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Causal beliefs: region</w:t>
            </w:r>
          </w:p>
        </w:tc>
        <w:tc>
          <w:tcPr>
            <w:tcW w:w="954" w:type="dxa"/>
            <w:tcBorders>
              <w:top w:val="nil"/>
              <w:left w:val="nil"/>
              <w:bottom w:val="nil"/>
              <w:right w:val="nil"/>
            </w:tcBorders>
            <w:shd w:val="clear" w:color="000000" w:fill="FFFFFF"/>
            <w:noWrap/>
            <w:vAlign w:val="center"/>
            <w:hideMark/>
          </w:tcPr>
          <w:p w14:paraId="019D980B"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0.021*</w:t>
            </w:r>
          </w:p>
        </w:tc>
        <w:tc>
          <w:tcPr>
            <w:tcW w:w="695" w:type="dxa"/>
            <w:tcBorders>
              <w:top w:val="nil"/>
              <w:left w:val="nil"/>
              <w:bottom w:val="nil"/>
              <w:right w:val="nil"/>
            </w:tcBorders>
            <w:shd w:val="clear" w:color="000000" w:fill="FFFFFF"/>
            <w:noWrap/>
            <w:vAlign w:val="center"/>
            <w:hideMark/>
          </w:tcPr>
          <w:p w14:paraId="15DE9F0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(0.010)</w:t>
            </w:r>
          </w:p>
        </w:tc>
        <w:tc>
          <w:tcPr>
            <w:tcW w:w="1205" w:type="dxa"/>
            <w:tcBorders>
              <w:top w:val="nil"/>
              <w:left w:val="nil"/>
              <w:bottom w:val="nil"/>
              <w:right w:val="nil"/>
            </w:tcBorders>
            <w:shd w:val="clear" w:color="000000" w:fill="FFFFFF"/>
            <w:noWrap/>
            <w:vAlign w:val="center"/>
            <w:hideMark/>
          </w:tcPr>
          <w:p w14:paraId="1887E93A"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0.024***</w:t>
            </w:r>
          </w:p>
        </w:tc>
        <w:tc>
          <w:tcPr>
            <w:tcW w:w="878" w:type="dxa"/>
            <w:tcBorders>
              <w:top w:val="nil"/>
              <w:left w:val="nil"/>
              <w:bottom w:val="nil"/>
              <w:right w:val="nil"/>
            </w:tcBorders>
            <w:shd w:val="clear" w:color="000000" w:fill="FFFFFF"/>
            <w:noWrap/>
            <w:vAlign w:val="center"/>
            <w:hideMark/>
          </w:tcPr>
          <w:p w14:paraId="310B0397"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(0.004)</w:t>
            </w:r>
          </w:p>
        </w:tc>
        <w:tc>
          <w:tcPr>
            <w:tcW w:w="1004" w:type="dxa"/>
            <w:tcBorders>
              <w:top w:val="nil"/>
              <w:left w:val="nil"/>
              <w:bottom w:val="nil"/>
              <w:right w:val="nil"/>
            </w:tcBorders>
            <w:shd w:val="clear" w:color="000000" w:fill="FFFFFF"/>
            <w:noWrap/>
            <w:vAlign w:val="center"/>
            <w:hideMark/>
          </w:tcPr>
          <w:p w14:paraId="0E958BD1"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-0.006</w:t>
            </w:r>
          </w:p>
        </w:tc>
        <w:tc>
          <w:tcPr>
            <w:tcW w:w="732" w:type="dxa"/>
            <w:tcBorders>
              <w:top w:val="nil"/>
              <w:left w:val="nil"/>
              <w:bottom w:val="nil"/>
              <w:right w:val="nil"/>
            </w:tcBorders>
            <w:shd w:val="clear" w:color="000000" w:fill="FFFFFF"/>
            <w:noWrap/>
            <w:vAlign w:val="center"/>
            <w:hideMark/>
          </w:tcPr>
          <w:p w14:paraId="1A21857E"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(0.015)</w:t>
            </w:r>
          </w:p>
        </w:tc>
        <w:tc>
          <w:tcPr>
            <w:tcW w:w="1067" w:type="dxa"/>
            <w:tcBorders>
              <w:top w:val="nil"/>
              <w:left w:val="nil"/>
              <w:bottom w:val="nil"/>
              <w:right w:val="nil"/>
            </w:tcBorders>
            <w:shd w:val="clear" w:color="000000" w:fill="FFFFFF"/>
            <w:noWrap/>
            <w:vAlign w:val="center"/>
            <w:hideMark/>
          </w:tcPr>
          <w:p w14:paraId="130AE33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0.018</w:t>
            </w:r>
          </w:p>
        </w:tc>
        <w:tc>
          <w:tcPr>
            <w:tcW w:w="777" w:type="dxa"/>
            <w:tcBorders>
              <w:top w:val="nil"/>
              <w:left w:val="nil"/>
              <w:bottom w:val="nil"/>
              <w:right w:val="nil"/>
            </w:tcBorders>
            <w:shd w:val="clear" w:color="000000" w:fill="FFFFFF"/>
            <w:noWrap/>
            <w:vAlign w:val="center"/>
            <w:hideMark/>
          </w:tcPr>
          <w:p w14:paraId="23BB8C2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(0.039)</w:t>
            </w:r>
          </w:p>
        </w:tc>
      </w:tr>
      <w:tr w:rsidR="007A295D" w:rsidRPr="00375327" w14:paraId="41BE99B6" w14:textId="77777777" w:rsidTr="00071D0E">
        <w:trPr>
          <w:trHeight w:val="290"/>
        </w:trPr>
        <w:tc>
          <w:tcPr>
            <w:tcW w:w="2048" w:type="dxa"/>
            <w:tcBorders>
              <w:top w:val="nil"/>
              <w:left w:val="nil"/>
              <w:bottom w:val="nil"/>
              <w:right w:val="nil"/>
            </w:tcBorders>
            <w:shd w:val="clear" w:color="000000" w:fill="FFFFFF"/>
            <w:noWrap/>
            <w:vAlign w:val="center"/>
            <w:hideMark/>
          </w:tcPr>
          <w:p w14:paraId="3A730AA4"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Causal beliefs: country</w:t>
            </w:r>
          </w:p>
        </w:tc>
        <w:tc>
          <w:tcPr>
            <w:tcW w:w="954" w:type="dxa"/>
            <w:tcBorders>
              <w:top w:val="nil"/>
              <w:left w:val="nil"/>
              <w:bottom w:val="nil"/>
              <w:right w:val="nil"/>
            </w:tcBorders>
            <w:shd w:val="clear" w:color="000000" w:fill="FFFFFF"/>
            <w:noWrap/>
            <w:vAlign w:val="center"/>
            <w:hideMark/>
          </w:tcPr>
          <w:p w14:paraId="6A6BF68A"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0.032***</w:t>
            </w:r>
          </w:p>
        </w:tc>
        <w:tc>
          <w:tcPr>
            <w:tcW w:w="695" w:type="dxa"/>
            <w:tcBorders>
              <w:top w:val="nil"/>
              <w:left w:val="nil"/>
              <w:bottom w:val="nil"/>
              <w:right w:val="nil"/>
            </w:tcBorders>
            <w:shd w:val="clear" w:color="000000" w:fill="FFFFFF"/>
            <w:noWrap/>
            <w:vAlign w:val="center"/>
            <w:hideMark/>
          </w:tcPr>
          <w:p w14:paraId="4ADDF87B"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(0.009)</w:t>
            </w:r>
          </w:p>
        </w:tc>
        <w:tc>
          <w:tcPr>
            <w:tcW w:w="1205" w:type="dxa"/>
            <w:tcBorders>
              <w:top w:val="nil"/>
              <w:left w:val="nil"/>
              <w:bottom w:val="nil"/>
              <w:right w:val="nil"/>
            </w:tcBorders>
            <w:shd w:val="clear" w:color="000000" w:fill="FFFFFF"/>
            <w:noWrap/>
            <w:vAlign w:val="center"/>
            <w:hideMark/>
          </w:tcPr>
          <w:p w14:paraId="40925330"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0.020***</w:t>
            </w:r>
          </w:p>
        </w:tc>
        <w:tc>
          <w:tcPr>
            <w:tcW w:w="878" w:type="dxa"/>
            <w:tcBorders>
              <w:top w:val="nil"/>
              <w:left w:val="nil"/>
              <w:bottom w:val="nil"/>
              <w:right w:val="nil"/>
            </w:tcBorders>
            <w:shd w:val="clear" w:color="000000" w:fill="FFFFFF"/>
            <w:noWrap/>
            <w:vAlign w:val="center"/>
            <w:hideMark/>
          </w:tcPr>
          <w:p w14:paraId="488E1D5F"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(0.004)</w:t>
            </w:r>
          </w:p>
        </w:tc>
        <w:tc>
          <w:tcPr>
            <w:tcW w:w="1004" w:type="dxa"/>
            <w:tcBorders>
              <w:top w:val="nil"/>
              <w:left w:val="nil"/>
              <w:bottom w:val="nil"/>
              <w:right w:val="nil"/>
            </w:tcBorders>
            <w:shd w:val="clear" w:color="000000" w:fill="FFFFFF"/>
            <w:noWrap/>
            <w:vAlign w:val="center"/>
            <w:hideMark/>
          </w:tcPr>
          <w:p w14:paraId="0F09A38D"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0.034*</w:t>
            </w:r>
          </w:p>
        </w:tc>
        <w:tc>
          <w:tcPr>
            <w:tcW w:w="732" w:type="dxa"/>
            <w:tcBorders>
              <w:top w:val="nil"/>
              <w:left w:val="nil"/>
              <w:bottom w:val="nil"/>
              <w:right w:val="nil"/>
            </w:tcBorders>
            <w:shd w:val="clear" w:color="000000" w:fill="FFFFFF"/>
            <w:noWrap/>
            <w:vAlign w:val="center"/>
            <w:hideMark/>
          </w:tcPr>
          <w:p w14:paraId="7FD40A1F"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(0.015)</w:t>
            </w:r>
          </w:p>
        </w:tc>
        <w:tc>
          <w:tcPr>
            <w:tcW w:w="1067" w:type="dxa"/>
            <w:tcBorders>
              <w:top w:val="nil"/>
              <w:left w:val="nil"/>
              <w:bottom w:val="nil"/>
              <w:right w:val="nil"/>
            </w:tcBorders>
            <w:shd w:val="clear" w:color="000000" w:fill="FFFFFF"/>
            <w:noWrap/>
            <w:vAlign w:val="center"/>
            <w:hideMark/>
          </w:tcPr>
          <w:p w14:paraId="0495466B"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0.144***</w:t>
            </w:r>
          </w:p>
        </w:tc>
        <w:tc>
          <w:tcPr>
            <w:tcW w:w="777" w:type="dxa"/>
            <w:tcBorders>
              <w:top w:val="nil"/>
              <w:left w:val="nil"/>
              <w:bottom w:val="nil"/>
              <w:right w:val="nil"/>
            </w:tcBorders>
            <w:shd w:val="clear" w:color="000000" w:fill="FFFFFF"/>
            <w:noWrap/>
            <w:vAlign w:val="center"/>
            <w:hideMark/>
          </w:tcPr>
          <w:p w14:paraId="6DBB33C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(0.040)</w:t>
            </w:r>
          </w:p>
        </w:tc>
      </w:tr>
      <w:tr w:rsidR="007A295D" w:rsidRPr="00375327" w14:paraId="1ED58DA3" w14:textId="77777777" w:rsidTr="00071D0E">
        <w:trPr>
          <w:trHeight w:val="290"/>
        </w:trPr>
        <w:tc>
          <w:tcPr>
            <w:tcW w:w="2048" w:type="dxa"/>
            <w:tcBorders>
              <w:top w:val="nil"/>
              <w:left w:val="nil"/>
              <w:bottom w:val="nil"/>
              <w:right w:val="nil"/>
            </w:tcBorders>
            <w:shd w:val="clear" w:color="000000" w:fill="FFFFFF"/>
            <w:noWrap/>
            <w:vAlign w:val="center"/>
            <w:hideMark/>
          </w:tcPr>
          <w:p w14:paraId="481B9FFA"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Causal beliefs: Europe</w:t>
            </w:r>
          </w:p>
        </w:tc>
        <w:tc>
          <w:tcPr>
            <w:tcW w:w="954" w:type="dxa"/>
            <w:tcBorders>
              <w:top w:val="nil"/>
              <w:left w:val="nil"/>
              <w:bottom w:val="nil"/>
              <w:right w:val="nil"/>
            </w:tcBorders>
            <w:shd w:val="clear" w:color="000000" w:fill="FFFFFF"/>
            <w:noWrap/>
            <w:vAlign w:val="center"/>
            <w:hideMark/>
          </w:tcPr>
          <w:p w14:paraId="66D510E3"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0.009</w:t>
            </w:r>
          </w:p>
        </w:tc>
        <w:tc>
          <w:tcPr>
            <w:tcW w:w="695" w:type="dxa"/>
            <w:tcBorders>
              <w:top w:val="nil"/>
              <w:left w:val="nil"/>
              <w:bottom w:val="nil"/>
              <w:right w:val="nil"/>
            </w:tcBorders>
            <w:shd w:val="clear" w:color="000000" w:fill="FFFFFF"/>
            <w:noWrap/>
            <w:vAlign w:val="center"/>
            <w:hideMark/>
          </w:tcPr>
          <w:p w14:paraId="16F5B0DB"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(0.007)</w:t>
            </w:r>
          </w:p>
        </w:tc>
        <w:tc>
          <w:tcPr>
            <w:tcW w:w="1205" w:type="dxa"/>
            <w:tcBorders>
              <w:top w:val="nil"/>
              <w:left w:val="nil"/>
              <w:bottom w:val="nil"/>
              <w:right w:val="nil"/>
            </w:tcBorders>
            <w:shd w:val="clear" w:color="000000" w:fill="FFFFFF"/>
            <w:noWrap/>
            <w:vAlign w:val="center"/>
            <w:hideMark/>
          </w:tcPr>
          <w:p w14:paraId="6A8E739C"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0.028***</w:t>
            </w:r>
          </w:p>
        </w:tc>
        <w:tc>
          <w:tcPr>
            <w:tcW w:w="878" w:type="dxa"/>
            <w:tcBorders>
              <w:top w:val="nil"/>
              <w:left w:val="nil"/>
              <w:bottom w:val="nil"/>
              <w:right w:val="nil"/>
            </w:tcBorders>
            <w:shd w:val="clear" w:color="000000" w:fill="FFFFFF"/>
            <w:noWrap/>
            <w:vAlign w:val="center"/>
            <w:hideMark/>
          </w:tcPr>
          <w:p w14:paraId="75F60E65"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(0.004)</w:t>
            </w:r>
          </w:p>
        </w:tc>
        <w:tc>
          <w:tcPr>
            <w:tcW w:w="1004" w:type="dxa"/>
            <w:tcBorders>
              <w:top w:val="nil"/>
              <w:left w:val="nil"/>
              <w:bottom w:val="nil"/>
              <w:right w:val="nil"/>
            </w:tcBorders>
            <w:shd w:val="clear" w:color="000000" w:fill="FFFFFF"/>
            <w:noWrap/>
            <w:vAlign w:val="center"/>
            <w:hideMark/>
          </w:tcPr>
          <w:p w14:paraId="7B933A04"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0.020</w:t>
            </w:r>
          </w:p>
        </w:tc>
        <w:tc>
          <w:tcPr>
            <w:tcW w:w="732" w:type="dxa"/>
            <w:tcBorders>
              <w:top w:val="nil"/>
              <w:left w:val="nil"/>
              <w:bottom w:val="nil"/>
              <w:right w:val="nil"/>
            </w:tcBorders>
            <w:shd w:val="clear" w:color="000000" w:fill="FFFFFF"/>
            <w:noWrap/>
            <w:vAlign w:val="center"/>
            <w:hideMark/>
          </w:tcPr>
          <w:p w14:paraId="5A259912"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(0.011)</w:t>
            </w:r>
          </w:p>
        </w:tc>
        <w:tc>
          <w:tcPr>
            <w:tcW w:w="1067" w:type="dxa"/>
            <w:tcBorders>
              <w:top w:val="nil"/>
              <w:left w:val="nil"/>
              <w:bottom w:val="nil"/>
              <w:right w:val="nil"/>
            </w:tcBorders>
            <w:shd w:val="clear" w:color="000000" w:fill="FFFFFF"/>
            <w:noWrap/>
            <w:vAlign w:val="center"/>
            <w:hideMark/>
          </w:tcPr>
          <w:p w14:paraId="6F6E3DD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0.059</w:t>
            </w:r>
          </w:p>
        </w:tc>
        <w:tc>
          <w:tcPr>
            <w:tcW w:w="777" w:type="dxa"/>
            <w:tcBorders>
              <w:top w:val="nil"/>
              <w:left w:val="nil"/>
              <w:bottom w:val="nil"/>
              <w:right w:val="nil"/>
            </w:tcBorders>
            <w:shd w:val="clear" w:color="000000" w:fill="FFFFFF"/>
            <w:noWrap/>
            <w:vAlign w:val="center"/>
            <w:hideMark/>
          </w:tcPr>
          <w:p w14:paraId="7347A6C3"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(0.033)</w:t>
            </w:r>
          </w:p>
        </w:tc>
      </w:tr>
      <w:tr w:rsidR="007A295D" w:rsidRPr="00375327" w14:paraId="3153FF21" w14:textId="77777777" w:rsidTr="00071D0E">
        <w:trPr>
          <w:trHeight w:val="290"/>
        </w:trPr>
        <w:tc>
          <w:tcPr>
            <w:tcW w:w="2048" w:type="dxa"/>
            <w:tcBorders>
              <w:top w:val="nil"/>
              <w:left w:val="nil"/>
              <w:bottom w:val="nil"/>
              <w:right w:val="nil"/>
            </w:tcBorders>
            <w:shd w:val="clear" w:color="000000" w:fill="FFFFFF"/>
            <w:noWrap/>
            <w:vAlign w:val="center"/>
            <w:hideMark/>
          </w:tcPr>
          <w:p w14:paraId="01A7775E"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Causal beliefs: ego # Causal beliefs: region</w:t>
            </w:r>
          </w:p>
        </w:tc>
        <w:tc>
          <w:tcPr>
            <w:tcW w:w="954" w:type="dxa"/>
            <w:tcBorders>
              <w:top w:val="nil"/>
              <w:left w:val="nil"/>
              <w:bottom w:val="nil"/>
              <w:right w:val="nil"/>
            </w:tcBorders>
            <w:shd w:val="clear" w:color="000000" w:fill="FFFFFF"/>
            <w:noWrap/>
            <w:vAlign w:val="center"/>
            <w:hideMark/>
          </w:tcPr>
          <w:p w14:paraId="109AF9C3"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695" w:type="dxa"/>
            <w:tcBorders>
              <w:top w:val="nil"/>
              <w:left w:val="nil"/>
              <w:bottom w:val="nil"/>
              <w:right w:val="nil"/>
            </w:tcBorders>
            <w:shd w:val="clear" w:color="000000" w:fill="FFFFFF"/>
            <w:noWrap/>
            <w:vAlign w:val="center"/>
            <w:hideMark/>
          </w:tcPr>
          <w:p w14:paraId="246C728D"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1205" w:type="dxa"/>
            <w:tcBorders>
              <w:top w:val="nil"/>
              <w:left w:val="nil"/>
              <w:bottom w:val="nil"/>
              <w:right w:val="nil"/>
            </w:tcBorders>
            <w:shd w:val="clear" w:color="000000" w:fill="FFFFFF"/>
            <w:noWrap/>
            <w:vAlign w:val="center"/>
            <w:hideMark/>
          </w:tcPr>
          <w:p w14:paraId="6F735FDA"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878" w:type="dxa"/>
            <w:tcBorders>
              <w:top w:val="nil"/>
              <w:left w:val="nil"/>
              <w:bottom w:val="nil"/>
              <w:right w:val="nil"/>
            </w:tcBorders>
            <w:shd w:val="clear" w:color="000000" w:fill="FFFFFF"/>
            <w:noWrap/>
            <w:vAlign w:val="center"/>
            <w:hideMark/>
          </w:tcPr>
          <w:p w14:paraId="3831217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1004" w:type="dxa"/>
            <w:tcBorders>
              <w:top w:val="nil"/>
              <w:left w:val="nil"/>
              <w:bottom w:val="nil"/>
              <w:right w:val="nil"/>
            </w:tcBorders>
            <w:shd w:val="clear" w:color="000000" w:fill="FFFFFF"/>
            <w:noWrap/>
            <w:vAlign w:val="center"/>
            <w:hideMark/>
          </w:tcPr>
          <w:p w14:paraId="4FDDF726"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0.006</w:t>
            </w:r>
          </w:p>
        </w:tc>
        <w:tc>
          <w:tcPr>
            <w:tcW w:w="732" w:type="dxa"/>
            <w:tcBorders>
              <w:top w:val="nil"/>
              <w:left w:val="nil"/>
              <w:bottom w:val="nil"/>
              <w:right w:val="nil"/>
            </w:tcBorders>
            <w:shd w:val="clear" w:color="000000" w:fill="FFFFFF"/>
            <w:noWrap/>
            <w:vAlign w:val="center"/>
            <w:hideMark/>
          </w:tcPr>
          <w:p w14:paraId="115F3EA1"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(0.005)</w:t>
            </w:r>
          </w:p>
        </w:tc>
        <w:tc>
          <w:tcPr>
            <w:tcW w:w="1067" w:type="dxa"/>
            <w:tcBorders>
              <w:top w:val="nil"/>
              <w:left w:val="nil"/>
              <w:bottom w:val="nil"/>
              <w:right w:val="nil"/>
            </w:tcBorders>
            <w:shd w:val="clear" w:color="000000" w:fill="FFFFFF"/>
            <w:noWrap/>
            <w:vAlign w:val="center"/>
            <w:hideMark/>
          </w:tcPr>
          <w:p w14:paraId="0DF26774"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0.003</w:t>
            </w:r>
          </w:p>
        </w:tc>
        <w:tc>
          <w:tcPr>
            <w:tcW w:w="777" w:type="dxa"/>
            <w:tcBorders>
              <w:top w:val="nil"/>
              <w:left w:val="nil"/>
              <w:bottom w:val="nil"/>
              <w:right w:val="nil"/>
            </w:tcBorders>
            <w:shd w:val="clear" w:color="000000" w:fill="FFFFFF"/>
            <w:noWrap/>
            <w:vAlign w:val="center"/>
            <w:hideMark/>
          </w:tcPr>
          <w:p w14:paraId="27779320"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(0.012)</w:t>
            </w:r>
          </w:p>
        </w:tc>
      </w:tr>
      <w:tr w:rsidR="007A295D" w:rsidRPr="00375327" w14:paraId="60FAE64A" w14:textId="77777777" w:rsidTr="00071D0E">
        <w:trPr>
          <w:trHeight w:val="290"/>
        </w:trPr>
        <w:tc>
          <w:tcPr>
            <w:tcW w:w="2048" w:type="dxa"/>
            <w:tcBorders>
              <w:top w:val="nil"/>
              <w:left w:val="nil"/>
              <w:bottom w:val="nil"/>
              <w:right w:val="nil"/>
            </w:tcBorders>
            <w:shd w:val="clear" w:color="000000" w:fill="FFFFFF"/>
            <w:noWrap/>
            <w:vAlign w:val="center"/>
            <w:hideMark/>
          </w:tcPr>
          <w:p w14:paraId="7E6F59EB"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Causal beliefs: ego # Causal beliefs: country</w:t>
            </w:r>
          </w:p>
        </w:tc>
        <w:tc>
          <w:tcPr>
            <w:tcW w:w="954" w:type="dxa"/>
            <w:tcBorders>
              <w:top w:val="nil"/>
              <w:left w:val="nil"/>
              <w:bottom w:val="nil"/>
              <w:right w:val="nil"/>
            </w:tcBorders>
            <w:shd w:val="clear" w:color="000000" w:fill="FFFFFF"/>
            <w:noWrap/>
            <w:vAlign w:val="center"/>
            <w:hideMark/>
          </w:tcPr>
          <w:p w14:paraId="10D990C6"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695" w:type="dxa"/>
            <w:tcBorders>
              <w:top w:val="nil"/>
              <w:left w:val="nil"/>
              <w:bottom w:val="nil"/>
              <w:right w:val="nil"/>
            </w:tcBorders>
            <w:shd w:val="clear" w:color="000000" w:fill="FFFFFF"/>
            <w:noWrap/>
            <w:vAlign w:val="center"/>
            <w:hideMark/>
          </w:tcPr>
          <w:p w14:paraId="0593ADE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1205" w:type="dxa"/>
            <w:tcBorders>
              <w:top w:val="nil"/>
              <w:left w:val="nil"/>
              <w:bottom w:val="nil"/>
              <w:right w:val="nil"/>
            </w:tcBorders>
            <w:shd w:val="clear" w:color="000000" w:fill="FFFFFF"/>
            <w:noWrap/>
            <w:vAlign w:val="center"/>
            <w:hideMark/>
          </w:tcPr>
          <w:p w14:paraId="0D837D0B"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878" w:type="dxa"/>
            <w:tcBorders>
              <w:top w:val="nil"/>
              <w:left w:val="nil"/>
              <w:bottom w:val="nil"/>
              <w:right w:val="nil"/>
            </w:tcBorders>
            <w:shd w:val="clear" w:color="000000" w:fill="FFFFFF"/>
            <w:noWrap/>
            <w:vAlign w:val="center"/>
            <w:hideMark/>
          </w:tcPr>
          <w:p w14:paraId="0860C7B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1004" w:type="dxa"/>
            <w:tcBorders>
              <w:top w:val="nil"/>
              <w:left w:val="nil"/>
              <w:bottom w:val="nil"/>
              <w:right w:val="nil"/>
            </w:tcBorders>
            <w:shd w:val="clear" w:color="000000" w:fill="FFFFFF"/>
            <w:noWrap/>
            <w:vAlign w:val="center"/>
            <w:hideMark/>
          </w:tcPr>
          <w:p w14:paraId="03DAA494"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-0.005</w:t>
            </w:r>
          </w:p>
        </w:tc>
        <w:tc>
          <w:tcPr>
            <w:tcW w:w="732" w:type="dxa"/>
            <w:tcBorders>
              <w:top w:val="nil"/>
              <w:left w:val="nil"/>
              <w:bottom w:val="nil"/>
              <w:right w:val="nil"/>
            </w:tcBorders>
            <w:shd w:val="clear" w:color="000000" w:fill="FFFFFF"/>
            <w:noWrap/>
            <w:vAlign w:val="center"/>
            <w:hideMark/>
          </w:tcPr>
          <w:p w14:paraId="75E8873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(0.005)</w:t>
            </w:r>
          </w:p>
        </w:tc>
        <w:tc>
          <w:tcPr>
            <w:tcW w:w="1067" w:type="dxa"/>
            <w:tcBorders>
              <w:top w:val="nil"/>
              <w:left w:val="nil"/>
              <w:bottom w:val="nil"/>
              <w:right w:val="nil"/>
            </w:tcBorders>
            <w:shd w:val="clear" w:color="000000" w:fill="FFFFFF"/>
            <w:noWrap/>
            <w:vAlign w:val="center"/>
            <w:hideMark/>
          </w:tcPr>
          <w:p w14:paraId="74987E27"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-0.028*</w:t>
            </w:r>
          </w:p>
        </w:tc>
        <w:tc>
          <w:tcPr>
            <w:tcW w:w="777" w:type="dxa"/>
            <w:tcBorders>
              <w:top w:val="nil"/>
              <w:left w:val="nil"/>
              <w:bottom w:val="nil"/>
              <w:right w:val="nil"/>
            </w:tcBorders>
            <w:shd w:val="clear" w:color="000000" w:fill="FFFFFF"/>
            <w:noWrap/>
            <w:vAlign w:val="center"/>
            <w:hideMark/>
          </w:tcPr>
          <w:p w14:paraId="192CA677"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(0.013)</w:t>
            </w:r>
          </w:p>
        </w:tc>
      </w:tr>
      <w:tr w:rsidR="007A295D" w:rsidRPr="00375327" w14:paraId="75837B80" w14:textId="77777777" w:rsidTr="00071D0E">
        <w:trPr>
          <w:trHeight w:val="290"/>
        </w:trPr>
        <w:tc>
          <w:tcPr>
            <w:tcW w:w="2048" w:type="dxa"/>
            <w:tcBorders>
              <w:top w:val="nil"/>
              <w:left w:val="nil"/>
              <w:bottom w:val="nil"/>
              <w:right w:val="nil"/>
            </w:tcBorders>
            <w:shd w:val="clear" w:color="000000" w:fill="FFFFFF"/>
            <w:noWrap/>
            <w:vAlign w:val="center"/>
            <w:hideMark/>
          </w:tcPr>
          <w:p w14:paraId="14619487"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Causal beliefs: ego # Causal beliefs: Europe</w:t>
            </w:r>
          </w:p>
        </w:tc>
        <w:tc>
          <w:tcPr>
            <w:tcW w:w="954" w:type="dxa"/>
            <w:tcBorders>
              <w:top w:val="nil"/>
              <w:left w:val="nil"/>
              <w:bottom w:val="nil"/>
              <w:right w:val="nil"/>
            </w:tcBorders>
            <w:shd w:val="clear" w:color="000000" w:fill="FFFFFF"/>
            <w:noWrap/>
            <w:vAlign w:val="center"/>
            <w:hideMark/>
          </w:tcPr>
          <w:p w14:paraId="7E8BCB3E"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695" w:type="dxa"/>
            <w:tcBorders>
              <w:top w:val="nil"/>
              <w:left w:val="nil"/>
              <w:bottom w:val="nil"/>
              <w:right w:val="nil"/>
            </w:tcBorders>
            <w:shd w:val="clear" w:color="000000" w:fill="FFFFFF"/>
            <w:noWrap/>
            <w:vAlign w:val="center"/>
            <w:hideMark/>
          </w:tcPr>
          <w:p w14:paraId="5400FF4F"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1205" w:type="dxa"/>
            <w:tcBorders>
              <w:top w:val="nil"/>
              <w:left w:val="nil"/>
              <w:bottom w:val="nil"/>
              <w:right w:val="nil"/>
            </w:tcBorders>
            <w:shd w:val="clear" w:color="000000" w:fill="FFFFFF"/>
            <w:noWrap/>
            <w:vAlign w:val="center"/>
            <w:hideMark/>
          </w:tcPr>
          <w:p w14:paraId="454F683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878" w:type="dxa"/>
            <w:tcBorders>
              <w:top w:val="nil"/>
              <w:left w:val="nil"/>
              <w:bottom w:val="nil"/>
              <w:right w:val="nil"/>
            </w:tcBorders>
            <w:shd w:val="clear" w:color="000000" w:fill="FFFFFF"/>
            <w:noWrap/>
            <w:vAlign w:val="center"/>
            <w:hideMark/>
          </w:tcPr>
          <w:p w14:paraId="125E031D"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w:t>
            </w:r>
          </w:p>
        </w:tc>
        <w:tc>
          <w:tcPr>
            <w:tcW w:w="1004" w:type="dxa"/>
            <w:tcBorders>
              <w:top w:val="nil"/>
              <w:left w:val="nil"/>
              <w:bottom w:val="nil"/>
              <w:right w:val="nil"/>
            </w:tcBorders>
            <w:shd w:val="clear" w:color="000000" w:fill="FFFFFF"/>
            <w:noWrap/>
            <w:vAlign w:val="center"/>
            <w:hideMark/>
          </w:tcPr>
          <w:p w14:paraId="3BAA300D"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c>
          <w:tcPr>
            <w:tcW w:w="732" w:type="dxa"/>
            <w:tcBorders>
              <w:top w:val="nil"/>
              <w:left w:val="nil"/>
              <w:bottom w:val="nil"/>
              <w:right w:val="nil"/>
            </w:tcBorders>
            <w:shd w:val="clear" w:color="000000" w:fill="FFFFFF"/>
            <w:noWrap/>
            <w:vAlign w:val="center"/>
            <w:hideMark/>
          </w:tcPr>
          <w:p w14:paraId="0B022543"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(0.004)</w:t>
            </w:r>
          </w:p>
        </w:tc>
        <w:tc>
          <w:tcPr>
            <w:tcW w:w="1067" w:type="dxa"/>
            <w:tcBorders>
              <w:top w:val="nil"/>
              <w:left w:val="nil"/>
              <w:bottom w:val="nil"/>
              <w:right w:val="nil"/>
            </w:tcBorders>
            <w:shd w:val="clear" w:color="000000" w:fill="FFFFFF"/>
            <w:noWrap/>
            <w:vAlign w:val="center"/>
            <w:hideMark/>
          </w:tcPr>
          <w:p w14:paraId="6C5C3A34"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-0.013</w:t>
            </w:r>
          </w:p>
        </w:tc>
        <w:tc>
          <w:tcPr>
            <w:tcW w:w="777" w:type="dxa"/>
            <w:tcBorders>
              <w:top w:val="nil"/>
              <w:left w:val="nil"/>
              <w:bottom w:val="nil"/>
              <w:right w:val="nil"/>
            </w:tcBorders>
            <w:shd w:val="clear" w:color="000000" w:fill="FFFFFF"/>
            <w:noWrap/>
            <w:vAlign w:val="center"/>
            <w:hideMark/>
          </w:tcPr>
          <w:p w14:paraId="2931C5F1"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(0.010)</w:t>
            </w:r>
          </w:p>
        </w:tc>
      </w:tr>
      <w:tr w:rsidR="007A295D" w:rsidRPr="00375327" w14:paraId="1836DA1F" w14:textId="77777777" w:rsidTr="00071D0E">
        <w:trPr>
          <w:trHeight w:val="290"/>
        </w:trPr>
        <w:tc>
          <w:tcPr>
            <w:tcW w:w="2048" w:type="dxa"/>
            <w:tcBorders>
              <w:top w:val="nil"/>
              <w:left w:val="nil"/>
              <w:bottom w:val="nil"/>
              <w:right w:val="nil"/>
            </w:tcBorders>
            <w:shd w:val="clear" w:color="000000" w:fill="FFFFFF"/>
            <w:noWrap/>
            <w:vAlign w:val="center"/>
            <w:hideMark/>
          </w:tcPr>
          <w:p w14:paraId="5025CC3E"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Age</w:t>
            </w:r>
          </w:p>
        </w:tc>
        <w:tc>
          <w:tcPr>
            <w:tcW w:w="954" w:type="dxa"/>
            <w:tcBorders>
              <w:top w:val="nil"/>
              <w:left w:val="nil"/>
              <w:bottom w:val="nil"/>
              <w:right w:val="nil"/>
            </w:tcBorders>
            <w:shd w:val="clear" w:color="000000" w:fill="FFFFFF"/>
            <w:noWrap/>
            <w:vAlign w:val="center"/>
            <w:hideMark/>
          </w:tcPr>
          <w:p w14:paraId="5519525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c>
          <w:tcPr>
            <w:tcW w:w="695" w:type="dxa"/>
            <w:tcBorders>
              <w:top w:val="nil"/>
              <w:left w:val="nil"/>
              <w:bottom w:val="nil"/>
              <w:right w:val="nil"/>
            </w:tcBorders>
            <w:shd w:val="clear" w:color="000000" w:fill="FFFFFF"/>
            <w:noWrap/>
            <w:vAlign w:val="center"/>
            <w:hideMark/>
          </w:tcPr>
          <w:p w14:paraId="4778E26B"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c>
          <w:tcPr>
            <w:tcW w:w="1205" w:type="dxa"/>
            <w:tcBorders>
              <w:top w:val="nil"/>
              <w:left w:val="nil"/>
              <w:bottom w:val="nil"/>
              <w:right w:val="nil"/>
            </w:tcBorders>
            <w:shd w:val="clear" w:color="000000" w:fill="FFFFFF"/>
            <w:noWrap/>
            <w:vAlign w:val="center"/>
            <w:hideMark/>
          </w:tcPr>
          <w:p w14:paraId="039304A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c>
          <w:tcPr>
            <w:tcW w:w="878" w:type="dxa"/>
            <w:tcBorders>
              <w:top w:val="nil"/>
              <w:left w:val="nil"/>
              <w:bottom w:val="nil"/>
              <w:right w:val="nil"/>
            </w:tcBorders>
            <w:shd w:val="clear" w:color="000000" w:fill="FFFFFF"/>
            <w:noWrap/>
            <w:vAlign w:val="center"/>
            <w:hideMark/>
          </w:tcPr>
          <w:p w14:paraId="3A265615"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c>
          <w:tcPr>
            <w:tcW w:w="1004" w:type="dxa"/>
            <w:tcBorders>
              <w:top w:val="nil"/>
              <w:left w:val="nil"/>
              <w:bottom w:val="nil"/>
              <w:right w:val="nil"/>
            </w:tcBorders>
            <w:shd w:val="clear" w:color="000000" w:fill="FFFFFF"/>
            <w:noWrap/>
            <w:vAlign w:val="center"/>
            <w:hideMark/>
          </w:tcPr>
          <w:p w14:paraId="6BC12E2E"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c>
          <w:tcPr>
            <w:tcW w:w="732" w:type="dxa"/>
            <w:tcBorders>
              <w:top w:val="nil"/>
              <w:left w:val="nil"/>
              <w:bottom w:val="nil"/>
              <w:right w:val="nil"/>
            </w:tcBorders>
            <w:shd w:val="clear" w:color="000000" w:fill="FFFFFF"/>
            <w:noWrap/>
            <w:vAlign w:val="center"/>
            <w:hideMark/>
          </w:tcPr>
          <w:p w14:paraId="6D1590A5"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c>
          <w:tcPr>
            <w:tcW w:w="1067" w:type="dxa"/>
            <w:tcBorders>
              <w:top w:val="nil"/>
              <w:left w:val="nil"/>
              <w:bottom w:val="nil"/>
              <w:right w:val="nil"/>
            </w:tcBorders>
            <w:shd w:val="clear" w:color="000000" w:fill="FFFFFF"/>
            <w:noWrap/>
            <w:vAlign w:val="center"/>
            <w:hideMark/>
          </w:tcPr>
          <w:p w14:paraId="6F5B068B"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-0.001***</w:t>
            </w:r>
          </w:p>
        </w:tc>
        <w:tc>
          <w:tcPr>
            <w:tcW w:w="777" w:type="dxa"/>
            <w:tcBorders>
              <w:top w:val="nil"/>
              <w:left w:val="nil"/>
              <w:bottom w:val="nil"/>
              <w:right w:val="nil"/>
            </w:tcBorders>
            <w:shd w:val="clear" w:color="000000" w:fill="FFFFFF"/>
            <w:noWrap/>
            <w:vAlign w:val="center"/>
            <w:hideMark/>
          </w:tcPr>
          <w:p w14:paraId="12170566"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r>
      <w:tr w:rsidR="007A295D" w:rsidRPr="00375327" w14:paraId="43E43F95" w14:textId="77777777" w:rsidTr="00071D0E">
        <w:trPr>
          <w:trHeight w:val="290"/>
        </w:trPr>
        <w:tc>
          <w:tcPr>
            <w:tcW w:w="2048" w:type="dxa"/>
            <w:tcBorders>
              <w:top w:val="nil"/>
              <w:left w:val="nil"/>
              <w:bottom w:val="nil"/>
              <w:right w:val="nil"/>
            </w:tcBorders>
            <w:shd w:val="clear" w:color="000000" w:fill="FFFFFF"/>
            <w:noWrap/>
            <w:vAlign w:val="center"/>
            <w:hideMark/>
          </w:tcPr>
          <w:p w14:paraId="0B5A965B"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Income: low</w:t>
            </w:r>
          </w:p>
        </w:tc>
        <w:tc>
          <w:tcPr>
            <w:tcW w:w="954" w:type="dxa"/>
            <w:tcBorders>
              <w:top w:val="nil"/>
              <w:left w:val="nil"/>
              <w:bottom w:val="nil"/>
              <w:right w:val="nil"/>
            </w:tcBorders>
            <w:shd w:val="clear" w:color="000000" w:fill="FFFFFF"/>
            <w:noWrap/>
            <w:vAlign w:val="center"/>
            <w:hideMark/>
          </w:tcPr>
          <w:p w14:paraId="2D46D24A"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c>
          <w:tcPr>
            <w:tcW w:w="695" w:type="dxa"/>
            <w:tcBorders>
              <w:top w:val="nil"/>
              <w:left w:val="nil"/>
              <w:bottom w:val="nil"/>
              <w:right w:val="nil"/>
            </w:tcBorders>
            <w:shd w:val="clear" w:color="000000" w:fill="FFFFFF"/>
            <w:noWrap/>
            <w:vAlign w:val="center"/>
            <w:hideMark/>
          </w:tcPr>
          <w:p w14:paraId="10FE2153"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w:t>
            </w:r>
          </w:p>
        </w:tc>
        <w:tc>
          <w:tcPr>
            <w:tcW w:w="1205" w:type="dxa"/>
            <w:tcBorders>
              <w:top w:val="nil"/>
              <w:left w:val="nil"/>
              <w:bottom w:val="nil"/>
              <w:right w:val="nil"/>
            </w:tcBorders>
            <w:shd w:val="clear" w:color="000000" w:fill="FFFFFF"/>
            <w:noWrap/>
            <w:vAlign w:val="center"/>
            <w:hideMark/>
          </w:tcPr>
          <w:p w14:paraId="005128B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c>
          <w:tcPr>
            <w:tcW w:w="878" w:type="dxa"/>
            <w:tcBorders>
              <w:top w:val="nil"/>
              <w:left w:val="nil"/>
              <w:bottom w:val="nil"/>
              <w:right w:val="nil"/>
            </w:tcBorders>
            <w:shd w:val="clear" w:color="000000" w:fill="FFFFFF"/>
            <w:noWrap/>
            <w:vAlign w:val="center"/>
            <w:hideMark/>
          </w:tcPr>
          <w:p w14:paraId="44940431"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w:t>
            </w:r>
          </w:p>
        </w:tc>
        <w:tc>
          <w:tcPr>
            <w:tcW w:w="1004" w:type="dxa"/>
            <w:tcBorders>
              <w:top w:val="nil"/>
              <w:left w:val="nil"/>
              <w:bottom w:val="nil"/>
              <w:right w:val="nil"/>
            </w:tcBorders>
            <w:shd w:val="clear" w:color="000000" w:fill="FFFFFF"/>
            <w:noWrap/>
            <w:vAlign w:val="center"/>
            <w:hideMark/>
          </w:tcPr>
          <w:p w14:paraId="7D71B47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c>
          <w:tcPr>
            <w:tcW w:w="732" w:type="dxa"/>
            <w:tcBorders>
              <w:top w:val="nil"/>
              <w:left w:val="nil"/>
              <w:bottom w:val="nil"/>
              <w:right w:val="nil"/>
            </w:tcBorders>
            <w:shd w:val="clear" w:color="000000" w:fill="FFFFFF"/>
            <w:noWrap/>
            <w:vAlign w:val="center"/>
            <w:hideMark/>
          </w:tcPr>
          <w:p w14:paraId="0E258B0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w:t>
            </w:r>
          </w:p>
        </w:tc>
        <w:tc>
          <w:tcPr>
            <w:tcW w:w="1067" w:type="dxa"/>
            <w:tcBorders>
              <w:top w:val="nil"/>
              <w:left w:val="nil"/>
              <w:bottom w:val="nil"/>
              <w:right w:val="nil"/>
            </w:tcBorders>
            <w:shd w:val="clear" w:color="000000" w:fill="FFFFFF"/>
            <w:noWrap/>
            <w:vAlign w:val="center"/>
            <w:hideMark/>
          </w:tcPr>
          <w:p w14:paraId="51537C2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c>
          <w:tcPr>
            <w:tcW w:w="777" w:type="dxa"/>
            <w:tcBorders>
              <w:top w:val="nil"/>
              <w:left w:val="nil"/>
              <w:bottom w:val="nil"/>
              <w:right w:val="nil"/>
            </w:tcBorders>
            <w:shd w:val="clear" w:color="000000" w:fill="FFFFFF"/>
            <w:noWrap/>
            <w:vAlign w:val="center"/>
            <w:hideMark/>
          </w:tcPr>
          <w:p w14:paraId="0ACF0AF6"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w:t>
            </w:r>
          </w:p>
        </w:tc>
      </w:tr>
      <w:tr w:rsidR="007A295D" w:rsidRPr="00375327" w14:paraId="6801C8C8" w14:textId="77777777" w:rsidTr="00071D0E">
        <w:trPr>
          <w:trHeight w:val="290"/>
        </w:trPr>
        <w:tc>
          <w:tcPr>
            <w:tcW w:w="2048" w:type="dxa"/>
            <w:tcBorders>
              <w:top w:val="nil"/>
              <w:left w:val="nil"/>
              <w:bottom w:val="nil"/>
              <w:right w:val="nil"/>
            </w:tcBorders>
            <w:shd w:val="clear" w:color="000000" w:fill="FFFFFF"/>
            <w:noWrap/>
            <w:vAlign w:val="center"/>
            <w:hideMark/>
          </w:tcPr>
          <w:p w14:paraId="2668042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Income: middle</w:t>
            </w:r>
          </w:p>
        </w:tc>
        <w:tc>
          <w:tcPr>
            <w:tcW w:w="954" w:type="dxa"/>
            <w:tcBorders>
              <w:top w:val="nil"/>
              <w:left w:val="nil"/>
              <w:bottom w:val="nil"/>
              <w:right w:val="nil"/>
            </w:tcBorders>
            <w:shd w:val="clear" w:color="000000" w:fill="FFFFFF"/>
            <w:noWrap/>
            <w:vAlign w:val="center"/>
            <w:hideMark/>
          </w:tcPr>
          <w:p w14:paraId="7F7441E0"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0.008</w:t>
            </w:r>
          </w:p>
        </w:tc>
        <w:tc>
          <w:tcPr>
            <w:tcW w:w="695" w:type="dxa"/>
            <w:tcBorders>
              <w:top w:val="nil"/>
              <w:left w:val="nil"/>
              <w:bottom w:val="nil"/>
              <w:right w:val="nil"/>
            </w:tcBorders>
            <w:shd w:val="clear" w:color="000000" w:fill="FFFFFF"/>
            <w:noWrap/>
            <w:vAlign w:val="center"/>
            <w:hideMark/>
          </w:tcPr>
          <w:p w14:paraId="2A103C4A"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(0.017)</w:t>
            </w:r>
          </w:p>
        </w:tc>
        <w:tc>
          <w:tcPr>
            <w:tcW w:w="1205" w:type="dxa"/>
            <w:tcBorders>
              <w:top w:val="nil"/>
              <w:left w:val="nil"/>
              <w:bottom w:val="nil"/>
              <w:right w:val="nil"/>
            </w:tcBorders>
            <w:shd w:val="clear" w:color="000000" w:fill="FFFFFF"/>
            <w:noWrap/>
            <w:vAlign w:val="center"/>
            <w:hideMark/>
          </w:tcPr>
          <w:p w14:paraId="4BE5BDEC"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-0.006</w:t>
            </w:r>
          </w:p>
        </w:tc>
        <w:tc>
          <w:tcPr>
            <w:tcW w:w="878" w:type="dxa"/>
            <w:tcBorders>
              <w:top w:val="nil"/>
              <w:left w:val="nil"/>
              <w:bottom w:val="nil"/>
              <w:right w:val="nil"/>
            </w:tcBorders>
            <w:shd w:val="clear" w:color="000000" w:fill="FFFFFF"/>
            <w:noWrap/>
            <w:vAlign w:val="center"/>
            <w:hideMark/>
          </w:tcPr>
          <w:p w14:paraId="47B3D4CF"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(0.007)</w:t>
            </w:r>
          </w:p>
        </w:tc>
        <w:tc>
          <w:tcPr>
            <w:tcW w:w="1004" w:type="dxa"/>
            <w:tcBorders>
              <w:top w:val="nil"/>
              <w:left w:val="nil"/>
              <w:bottom w:val="nil"/>
              <w:right w:val="nil"/>
            </w:tcBorders>
            <w:shd w:val="clear" w:color="000000" w:fill="FFFFFF"/>
            <w:noWrap/>
            <w:vAlign w:val="center"/>
            <w:hideMark/>
          </w:tcPr>
          <w:p w14:paraId="58F7ED61"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-0.004</w:t>
            </w:r>
          </w:p>
        </w:tc>
        <w:tc>
          <w:tcPr>
            <w:tcW w:w="732" w:type="dxa"/>
            <w:tcBorders>
              <w:top w:val="nil"/>
              <w:left w:val="nil"/>
              <w:bottom w:val="nil"/>
              <w:right w:val="nil"/>
            </w:tcBorders>
            <w:shd w:val="clear" w:color="000000" w:fill="FFFFFF"/>
            <w:noWrap/>
            <w:vAlign w:val="center"/>
            <w:hideMark/>
          </w:tcPr>
          <w:p w14:paraId="3A5A7675"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(0.006)</w:t>
            </w:r>
          </w:p>
        </w:tc>
        <w:tc>
          <w:tcPr>
            <w:tcW w:w="1067" w:type="dxa"/>
            <w:tcBorders>
              <w:top w:val="nil"/>
              <w:left w:val="nil"/>
              <w:bottom w:val="nil"/>
              <w:right w:val="nil"/>
            </w:tcBorders>
            <w:shd w:val="clear" w:color="000000" w:fill="FFFFFF"/>
            <w:noWrap/>
            <w:vAlign w:val="center"/>
            <w:hideMark/>
          </w:tcPr>
          <w:p w14:paraId="3B7F46A3"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-0.021</w:t>
            </w:r>
          </w:p>
        </w:tc>
        <w:tc>
          <w:tcPr>
            <w:tcW w:w="777" w:type="dxa"/>
            <w:tcBorders>
              <w:top w:val="nil"/>
              <w:left w:val="nil"/>
              <w:bottom w:val="nil"/>
              <w:right w:val="nil"/>
            </w:tcBorders>
            <w:shd w:val="clear" w:color="000000" w:fill="FFFFFF"/>
            <w:noWrap/>
            <w:vAlign w:val="center"/>
            <w:hideMark/>
          </w:tcPr>
          <w:p w14:paraId="1CC5B6C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(0.013)</w:t>
            </w:r>
          </w:p>
        </w:tc>
      </w:tr>
      <w:tr w:rsidR="007A295D" w:rsidRPr="00375327" w14:paraId="48D136AC" w14:textId="77777777" w:rsidTr="00071D0E">
        <w:trPr>
          <w:trHeight w:val="290"/>
        </w:trPr>
        <w:tc>
          <w:tcPr>
            <w:tcW w:w="2048" w:type="dxa"/>
            <w:tcBorders>
              <w:top w:val="nil"/>
              <w:left w:val="nil"/>
              <w:bottom w:val="nil"/>
              <w:right w:val="nil"/>
            </w:tcBorders>
            <w:shd w:val="clear" w:color="000000" w:fill="FFFFFF"/>
            <w:noWrap/>
            <w:vAlign w:val="center"/>
            <w:hideMark/>
          </w:tcPr>
          <w:p w14:paraId="27808E5A"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Income: high</w:t>
            </w:r>
          </w:p>
        </w:tc>
        <w:tc>
          <w:tcPr>
            <w:tcW w:w="954" w:type="dxa"/>
            <w:tcBorders>
              <w:top w:val="nil"/>
              <w:left w:val="nil"/>
              <w:bottom w:val="nil"/>
              <w:right w:val="nil"/>
            </w:tcBorders>
            <w:shd w:val="clear" w:color="000000" w:fill="FFFFFF"/>
            <w:noWrap/>
            <w:vAlign w:val="center"/>
            <w:hideMark/>
          </w:tcPr>
          <w:p w14:paraId="09E1E98A"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0.007</w:t>
            </w:r>
          </w:p>
        </w:tc>
        <w:tc>
          <w:tcPr>
            <w:tcW w:w="695" w:type="dxa"/>
            <w:tcBorders>
              <w:top w:val="nil"/>
              <w:left w:val="nil"/>
              <w:bottom w:val="nil"/>
              <w:right w:val="nil"/>
            </w:tcBorders>
            <w:shd w:val="clear" w:color="000000" w:fill="FFFFFF"/>
            <w:noWrap/>
            <w:vAlign w:val="center"/>
            <w:hideMark/>
          </w:tcPr>
          <w:p w14:paraId="3AC91A9D"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(0.020)</w:t>
            </w:r>
          </w:p>
        </w:tc>
        <w:tc>
          <w:tcPr>
            <w:tcW w:w="1205" w:type="dxa"/>
            <w:tcBorders>
              <w:top w:val="nil"/>
              <w:left w:val="nil"/>
              <w:bottom w:val="nil"/>
              <w:right w:val="nil"/>
            </w:tcBorders>
            <w:shd w:val="clear" w:color="000000" w:fill="FFFFFF"/>
            <w:noWrap/>
            <w:vAlign w:val="center"/>
            <w:hideMark/>
          </w:tcPr>
          <w:p w14:paraId="500EDDD0"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-0.011</w:t>
            </w:r>
          </w:p>
        </w:tc>
        <w:tc>
          <w:tcPr>
            <w:tcW w:w="878" w:type="dxa"/>
            <w:tcBorders>
              <w:top w:val="nil"/>
              <w:left w:val="nil"/>
              <w:bottom w:val="nil"/>
              <w:right w:val="nil"/>
            </w:tcBorders>
            <w:shd w:val="clear" w:color="000000" w:fill="FFFFFF"/>
            <w:noWrap/>
            <w:vAlign w:val="center"/>
            <w:hideMark/>
          </w:tcPr>
          <w:p w14:paraId="65605A2A"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(0.008)</w:t>
            </w:r>
          </w:p>
        </w:tc>
        <w:tc>
          <w:tcPr>
            <w:tcW w:w="1004" w:type="dxa"/>
            <w:tcBorders>
              <w:top w:val="nil"/>
              <w:left w:val="nil"/>
              <w:bottom w:val="nil"/>
              <w:right w:val="nil"/>
            </w:tcBorders>
            <w:shd w:val="clear" w:color="000000" w:fill="FFFFFF"/>
            <w:noWrap/>
            <w:vAlign w:val="center"/>
            <w:hideMark/>
          </w:tcPr>
          <w:p w14:paraId="3C6FE2C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-0.008</w:t>
            </w:r>
          </w:p>
        </w:tc>
        <w:tc>
          <w:tcPr>
            <w:tcW w:w="732" w:type="dxa"/>
            <w:tcBorders>
              <w:top w:val="nil"/>
              <w:left w:val="nil"/>
              <w:bottom w:val="nil"/>
              <w:right w:val="nil"/>
            </w:tcBorders>
            <w:shd w:val="clear" w:color="000000" w:fill="FFFFFF"/>
            <w:noWrap/>
            <w:vAlign w:val="center"/>
            <w:hideMark/>
          </w:tcPr>
          <w:p w14:paraId="2B5C1795"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(0.007)</w:t>
            </w:r>
          </w:p>
        </w:tc>
        <w:tc>
          <w:tcPr>
            <w:tcW w:w="1067" w:type="dxa"/>
            <w:tcBorders>
              <w:top w:val="nil"/>
              <w:left w:val="nil"/>
              <w:bottom w:val="nil"/>
              <w:right w:val="nil"/>
            </w:tcBorders>
            <w:shd w:val="clear" w:color="000000" w:fill="FFFFFF"/>
            <w:noWrap/>
            <w:vAlign w:val="center"/>
            <w:hideMark/>
          </w:tcPr>
          <w:p w14:paraId="07016B73"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-0.034*</w:t>
            </w:r>
          </w:p>
        </w:tc>
        <w:tc>
          <w:tcPr>
            <w:tcW w:w="777" w:type="dxa"/>
            <w:tcBorders>
              <w:top w:val="nil"/>
              <w:left w:val="nil"/>
              <w:bottom w:val="nil"/>
              <w:right w:val="nil"/>
            </w:tcBorders>
            <w:shd w:val="clear" w:color="000000" w:fill="FFFFFF"/>
            <w:noWrap/>
            <w:vAlign w:val="center"/>
            <w:hideMark/>
          </w:tcPr>
          <w:p w14:paraId="5C83D6B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(0.015)</w:t>
            </w:r>
          </w:p>
        </w:tc>
      </w:tr>
      <w:tr w:rsidR="007A295D" w:rsidRPr="00375327" w14:paraId="44333956" w14:textId="77777777" w:rsidTr="00071D0E">
        <w:trPr>
          <w:trHeight w:val="290"/>
        </w:trPr>
        <w:tc>
          <w:tcPr>
            <w:tcW w:w="2048" w:type="dxa"/>
            <w:tcBorders>
              <w:top w:val="nil"/>
              <w:left w:val="nil"/>
              <w:bottom w:val="nil"/>
              <w:right w:val="nil"/>
            </w:tcBorders>
            <w:shd w:val="clear" w:color="000000" w:fill="FFFFFF"/>
            <w:noWrap/>
            <w:vAlign w:val="center"/>
            <w:hideMark/>
          </w:tcPr>
          <w:p w14:paraId="1D2B388E"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Income: refused</w:t>
            </w:r>
          </w:p>
        </w:tc>
        <w:tc>
          <w:tcPr>
            <w:tcW w:w="954" w:type="dxa"/>
            <w:tcBorders>
              <w:top w:val="nil"/>
              <w:left w:val="nil"/>
              <w:bottom w:val="nil"/>
              <w:right w:val="nil"/>
            </w:tcBorders>
            <w:shd w:val="clear" w:color="000000" w:fill="FFFFFF"/>
            <w:noWrap/>
            <w:vAlign w:val="center"/>
            <w:hideMark/>
          </w:tcPr>
          <w:p w14:paraId="1E2571C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-0.030</w:t>
            </w:r>
          </w:p>
        </w:tc>
        <w:tc>
          <w:tcPr>
            <w:tcW w:w="695" w:type="dxa"/>
            <w:tcBorders>
              <w:top w:val="nil"/>
              <w:left w:val="nil"/>
              <w:bottom w:val="nil"/>
              <w:right w:val="nil"/>
            </w:tcBorders>
            <w:shd w:val="clear" w:color="000000" w:fill="FFFFFF"/>
            <w:noWrap/>
            <w:vAlign w:val="center"/>
            <w:hideMark/>
          </w:tcPr>
          <w:p w14:paraId="1D8AE977"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(0.030)</w:t>
            </w:r>
          </w:p>
        </w:tc>
        <w:tc>
          <w:tcPr>
            <w:tcW w:w="1205" w:type="dxa"/>
            <w:tcBorders>
              <w:top w:val="nil"/>
              <w:left w:val="nil"/>
              <w:bottom w:val="nil"/>
              <w:right w:val="nil"/>
            </w:tcBorders>
            <w:shd w:val="clear" w:color="000000" w:fill="FFFFFF"/>
            <w:noWrap/>
            <w:vAlign w:val="center"/>
            <w:hideMark/>
          </w:tcPr>
          <w:p w14:paraId="752B2B9B"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-0.056***</w:t>
            </w:r>
          </w:p>
        </w:tc>
        <w:tc>
          <w:tcPr>
            <w:tcW w:w="878" w:type="dxa"/>
            <w:tcBorders>
              <w:top w:val="nil"/>
              <w:left w:val="nil"/>
              <w:bottom w:val="nil"/>
              <w:right w:val="nil"/>
            </w:tcBorders>
            <w:shd w:val="clear" w:color="000000" w:fill="FFFFFF"/>
            <w:noWrap/>
            <w:vAlign w:val="center"/>
            <w:hideMark/>
          </w:tcPr>
          <w:p w14:paraId="1434CE0D"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(0.012)</w:t>
            </w:r>
          </w:p>
        </w:tc>
        <w:tc>
          <w:tcPr>
            <w:tcW w:w="1004" w:type="dxa"/>
            <w:tcBorders>
              <w:top w:val="nil"/>
              <w:left w:val="nil"/>
              <w:bottom w:val="nil"/>
              <w:right w:val="nil"/>
            </w:tcBorders>
            <w:shd w:val="clear" w:color="000000" w:fill="FFFFFF"/>
            <w:noWrap/>
            <w:vAlign w:val="center"/>
            <w:hideMark/>
          </w:tcPr>
          <w:p w14:paraId="48D17C33"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-0.053***</w:t>
            </w:r>
          </w:p>
        </w:tc>
        <w:tc>
          <w:tcPr>
            <w:tcW w:w="732" w:type="dxa"/>
            <w:tcBorders>
              <w:top w:val="nil"/>
              <w:left w:val="nil"/>
              <w:bottom w:val="nil"/>
              <w:right w:val="nil"/>
            </w:tcBorders>
            <w:shd w:val="clear" w:color="000000" w:fill="FFFFFF"/>
            <w:noWrap/>
            <w:vAlign w:val="center"/>
            <w:hideMark/>
          </w:tcPr>
          <w:p w14:paraId="27968233"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(0.011)</w:t>
            </w:r>
          </w:p>
        </w:tc>
        <w:tc>
          <w:tcPr>
            <w:tcW w:w="1067" w:type="dxa"/>
            <w:tcBorders>
              <w:top w:val="nil"/>
              <w:left w:val="nil"/>
              <w:bottom w:val="nil"/>
              <w:right w:val="nil"/>
            </w:tcBorders>
            <w:shd w:val="clear" w:color="000000" w:fill="FFFFFF"/>
            <w:noWrap/>
            <w:vAlign w:val="center"/>
            <w:hideMark/>
          </w:tcPr>
          <w:p w14:paraId="540DB7EA"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-0.058**</w:t>
            </w:r>
          </w:p>
        </w:tc>
        <w:tc>
          <w:tcPr>
            <w:tcW w:w="777" w:type="dxa"/>
            <w:tcBorders>
              <w:top w:val="nil"/>
              <w:left w:val="nil"/>
              <w:bottom w:val="nil"/>
              <w:right w:val="nil"/>
            </w:tcBorders>
            <w:shd w:val="clear" w:color="000000" w:fill="FFFFFF"/>
            <w:noWrap/>
            <w:vAlign w:val="center"/>
            <w:hideMark/>
          </w:tcPr>
          <w:p w14:paraId="2D55809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(0.020)</w:t>
            </w:r>
          </w:p>
        </w:tc>
      </w:tr>
      <w:tr w:rsidR="007A295D" w:rsidRPr="00375327" w14:paraId="1FF169E7" w14:textId="77777777" w:rsidTr="00071D0E">
        <w:trPr>
          <w:trHeight w:val="290"/>
        </w:trPr>
        <w:tc>
          <w:tcPr>
            <w:tcW w:w="2048" w:type="dxa"/>
            <w:tcBorders>
              <w:top w:val="nil"/>
              <w:left w:val="nil"/>
              <w:bottom w:val="nil"/>
              <w:right w:val="nil"/>
            </w:tcBorders>
            <w:shd w:val="clear" w:color="000000" w:fill="FFFFFF"/>
            <w:noWrap/>
            <w:vAlign w:val="center"/>
            <w:hideMark/>
          </w:tcPr>
          <w:p w14:paraId="7C2B6437"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Gender</w:t>
            </w:r>
          </w:p>
        </w:tc>
        <w:tc>
          <w:tcPr>
            <w:tcW w:w="954" w:type="dxa"/>
            <w:tcBorders>
              <w:top w:val="nil"/>
              <w:left w:val="nil"/>
              <w:bottom w:val="nil"/>
              <w:right w:val="nil"/>
            </w:tcBorders>
            <w:shd w:val="clear" w:color="000000" w:fill="FFFFFF"/>
            <w:noWrap/>
            <w:vAlign w:val="center"/>
            <w:hideMark/>
          </w:tcPr>
          <w:p w14:paraId="27B0993A"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0.007</w:t>
            </w:r>
          </w:p>
        </w:tc>
        <w:tc>
          <w:tcPr>
            <w:tcW w:w="695" w:type="dxa"/>
            <w:tcBorders>
              <w:top w:val="nil"/>
              <w:left w:val="nil"/>
              <w:bottom w:val="nil"/>
              <w:right w:val="nil"/>
            </w:tcBorders>
            <w:shd w:val="clear" w:color="000000" w:fill="FFFFFF"/>
            <w:noWrap/>
            <w:vAlign w:val="center"/>
            <w:hideMark/>
          </w:tcPr>
          <w:p w14:paraId="3CF31AAA"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(0.014)</w:t>
            </w:r>
          </w:p>
        </w:tc>
        <w:tc>
          <w:tcPr>
            <w:tcW w:w="1205" w:type="dxa"/>
            <w:tcBorders>
              <w:top w:val="nil"/>
              <w:left w:val="nil"/>
              <w:bottom w:val="nil"/>
              <w:right w:val="nil"/>
            </w:tcBorders>
            <w:shd w:val="clear" w:color="000000" w:fill="FFFFFF"/>
            <w:noWrap/>
            <w:vAlign w:val="center"/>
            <w:hideMark/>
          </w:tcPr>
          <w:p w14:paraId="5552C85E"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-0.020***</w:t>
            </w:r>
          </w:p>
        </w:tc>
        <w:tc>
          <w:tcPr>
            <w:tcW w:w="878" w:type="dxa"/>
            <w:tcBorders>
              <w:top w:val="nil"/>
              <w:left w:val="nil"/>
              <w:bottom w:val="nil"/>
              <w:right w:val="nil"/>
            </w:tcBorders>
            <w:shd w:val="clear" w:color="000000" w:fill="FFFFFF"/>
            <w:noWrap/>
            <w:vAlign w:val="center"/>
            <w:hideMark/>
          </w:tcPr>
          <w:p w14:paraId="63DDAB7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(0.006)</w:t>
            </w:r>
          </w:p>
        </w:tc>
        <w:tc>
          <w:tcPr>
            <w:tcW w:w="1004" w:type="dxa"/>
            <w:tcBorders>
              <w:top w:val="nil"/>
              <w:left w:val="nil"/>
              <w:bottom w:val="nil"/>
              <w:right w:val="nil"/>
            </w:tcBorders>
            <w:shd w:val="clear" w:color="000000" w:fill="FFFFFF"/>
            <w:noWrap/>
            <w:vAlign w:val="center"/>
            <w:hideMark/>
          </w:tcPr>
          <w:p w14:paraId="4A07F4F5"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-0.016**</w:t>
            </w:r>
          </w:p>
        </w:tc>
        <w:tc>
          <w:tcPr>
            <w:tcW w:w="732" w:type="dxa"/>
            <w:tcBorders>
              <w:top w:val="nil"/>
              <w:left w:val="nil"/>
              <w:bottom w:val="nil"/>
              <w:right w:val="nil"/>
            </w:tcBorders>
            <w:shd w:val="clear" w:color="000000" w:fill="FFFFFF"/>
            <w:noWrap/>
            <w:vAlign w:val="center"/>
            <w:hideMark/>
          </w:tcPr>
          <w:p w14:paraId="2E4D371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(0.005)</w:t>
            </w:r>
          </w:p>
        </w:tc>
        <w:tc>
          <w:tcPr>
            <w:tcW w:w="1067" w:type="dxa"/>
            <w:tcBorders>
              <w:top w:val="nil"/>
              <w:left w:val="nil"/>
              <w:bottom w:val="nil"/>
              <w:right w:val="nil"/>
            </w:tcBorders>
            <w:shd w:val="clear" w:color="000000" w:fill="FFFFFF"/>
            <w:noWrap/>
            <w:vAlign w:val="center"/>
            <w:hideMark/>
          </w:tcPr>
          <w:p w14:paraId="63475042"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-0.012</w:t>
            </w:r>
          </w:p>
        </w:tc>
        <w:tc>
          <w:tcPr>
            <w:tcW w:w="777" w:type="dxa"/>
            <w:tcBorders>
              <w:top w:val="nil"/>
              <w:left w:val="nil"/>
              <w:bottom w:val="nil"/>
              <w:right w:val="nil"/>
            </w:tcBorders>
            <w:shd w:val="clear" w:color="000000" w:fill="FFFFFF"/>
            <w:noWrap/>
            <w:vAlign w:val="center"/>
            <w:hideMark/>
          </w:tcPr>
          <w:p w14:paraId="41DEEB30"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(0.010)</w:t>
            </w:r>
          </w:p>
        </w:tc>
      </w:tr>
      <w:tr w:rsidR="007A295D" w:rsidRPr="00375327" w14:paraId="467D0FBD" w14:textId="77777777" w:rsidTr="00071D0E">
        <w:trPr>
          <w:trHeight w:val="290"/>
        </w:trPr>
        <w:tc>
          <w:tcPr>
            <w:tcW w:w="2048" w:type="dxa"/>
            <w:tcBorders>
              <w:top w:val="nil"/>
              <w:left w:val="nil"/>
              <w:bottom w:val="nil"/>
              <w:right w:val="nil"/>
            </w:tcBorders>
            <w:shd w:val="clear" w:color="000000" w:fill="FFFFFF"/>
            <w:noWrap/>
            <w:vAlign w:val="center"/>
            <w:hideMark/>
          </w:tcPr>
          <w:p w14:paraId="0B78981D"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Education level</w:t>
            </w:r>
          </w:p>
        </w:tc>
        <w:tc>
          <w:tcPr>
            <w:tcW w:w="954" w:type="dxa"/>
            <w:tcBorders>
              <w:top w:val="nil"/>
              <w:left w:val="nil"/>
              <w:bottom w:val="nil"/>
              <w:right w:val="nil"/>
            </w:tcBorders>
            <w:shd w:val="clear" w:color="000000" w:fill="FFFFFF"/>
            <w:noWrap/>
            <w:vAlign w:val="center"/>
            <w:hideMark/>
          </w:tcPr>
          <w:p w14:paraId="2C70582B"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c>
          <w:tcPr>
            <w:tcW w:w="695" w:type="dxa"/>
            <w:tcBorders>
              <w:top w:val="nil"/>
              <w:left w:val="nil"/>
              <w:bottom w:val="nil"/>
              <w:right w:val="nil"/>
            </w:tcBorders>
            <w:shd w:val="clear" w:color="000000" w:fill="FFFFFF"/>
            <w:noWrap/>
            <w:vAlign w:val="center"/>
            <w:hideMark/>
          </w:tcPr>
          <w:p w14:paraId="6CF335F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(0.004)</w:t>
            </w:r>
          </w:p>
        </w:tc>
        <w:tc>
          <w:tcPr>
            <w:tcW w:w="1205" w:type="dxa"/>
            <w:tcBorders>
              <w:top w:val="nil"/>
              <w:left w:val="nil"/>
              <w:bottom w:val="nil"/>
              <w:right w:val="nil"/>
            </w:tcBorders>
            <w:shd w:val="clear" w:color="000000" w:fill="FFFFFF"/>
            <w:noWrap/>
            <w:vAlign w:val="center"/>
            <w:hideMark/>
          </w:tcPr>
          <w:p w14:paraId="496A6ED1"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0.005**</w:t>
            </w:r>
          </w:p>
        </w:tc>
        <w:tc>
          <w:tcPr>
            <w:tcW w:w="878" w:type="dxa"/>
            <w:tcBorders>
              <w:top w:val="nil"/>
              <w:left w:val="nil"/>
              <w:bottom w:val="nil"/>
              <w:right w:val="nil"/>
            </w:tcBorders>
            <w:shd w:val="clear" w:color="000000" w:fill="FFFFFF"/>
            <w:noWrap/>
            <w:vAlign w:val="center"/>
            <w:hideMark/>
          </w:tcPr>
          <w:p w14:paraId="132A2E5B"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(0.002)</w:t>
            </w:r>
          </w:p>
        </w:tc>
        <w:tc>
          <w:tcPr>
            <w:tcW w:w="1004" w:type="dxa"/>
            <w:tcBorders>
              <w:top w:val="nil"/>
              <w:left w:val="nil"/>
              <w:bottom w:val="nil"/>
              <w:right w:val="nil"/>
            </w:tcBorders>
            <w:shd w:val="clear" w:color="000000" w:fill="FFFFFF"/>
            <w:noWrap/>
            <w:vAlign w:val="center"/>
            <w:hideMark/>
          </w:tcPr>
          <w:p w14:paraId="54411826"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0.004**</w:t>
            </w:r>
          </w:p>
        </w:tc>
        <w:tc>
          <w:tcPr>
            <w:tcW w:w="732" w:type="dxa"/>
            <w:tcBorders>
              <w:top w:val="nil"/>
              <w:left w:val="nil"/>
              <w:bottom w:val="nil"/>
              <w:right w:val="nil"/>
            </w:tcBorders>
            <w:shd w:val="clear" w:color="000000" w:fill="FFFFFF"/>
            <w:noWrap/>
            <w:vAlign w:val="center"/>
            <w:hideMark/>
          </w:tcPr>
          <w:p w14:paraId="60484165"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(0.001)</w:t>
            </w:r>
          </w:p>
        </w:tc>
        <w:tc>
          <w:tcPr>
            <w:tcW w:w="1067" w:type="dxa"/>
            <w:tcBorders>
              <w:top w:val="nil"/>
              <w:left w:val="nil"/>
              <w:bottom w:val="nil"/>
              <w:right w:val="nil"/>
            </w:tcBorders>
            <w:shd w:val="clear" w:color="000000" w:fill="FFFFFF"/>
            <w:noWrap/>
            <w:vAlign w:val="center"/>
            <w:hideMark/>
          </w:tcPr>
          <w:p w14:paraId="4F01A67E"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-0.006*</w:t>
            </w:r>
          </w:p>
        </w:tc>
        <w:tc>
          <w:tcPr>
            <w:tcW w:w="777" w:type="dxa"/>
            <w:tcBorders>
              <w:top w:val="nil"/>
              <w:left w:val="nil"/>
              <w:bottom w:val="nil"/>
              <w:right w:val="nil"/>
            </w:tcBorders>
            <w:shd w:val="clear" w:color="000000" w:fill="FFFFFF"/>
            <w:noWrap/>
            <w:vAlign w:val="center"/>
            <w:hideMark/>
          </w:tcPr>
          <w:p w14:paraId="0D5D11B5"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(0.003)</w:t>
            </w:r>
          </w:p>
        </w:tc>
      </w:tr>
      <w:tr w:rsidR="007A295D" w:rsidRPr="00375327" w14:paraId="27230CB9" w14:textId="77777777" w:rsidTr="00071D0E">
        <w:trPr>
          <w:trHeight w:val="290"/>
        </w:trPr>
        <w:tc>
          <w:tcPr>
            <w:tcW w:w="2048" w:type="dxa"/>
            <w:tcBorders>
              <w:top w:val="nil"/>
              <w:left w:val="nil"/>
              <w:bottom w:val="nil"/>
              <w:right w:val="nil"/>
            </w:tcBorders>
            <w:shd w:val="clear" w:color="000000" w:fill="FFFFFF"/>
            <w:noWrap/>
            <w:vAlign w:val="center"/>
            <w:hideMark/>
          </w:tcPr>
          <w:p w14:paraId="46D1AE56"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General ideology</w:t>
            </w:r>
          </w:p>
        </w:tc>
        <w:tc>
          <w:tcPr>
            <w:tcW w:w="954" w:type="dxa"/>
            <w:tcBorders>
              <w:top w:val="nil"/>
              <w:left w:val="nil"/>
              <w:bottom w:val="nil"/>
              <w:right w:val="nil"/>
            </w:tcBorders>
            <w:shd w:val="clear" w:color="000000" w:fill="FFFFFF"/>
            <w:noWrap/>
            <w:vAlign w:val="center"/>
            <w:hideMark/>
          </w:tcPr>
          <w:p w14:paraId="7519E990"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0.003</w:t>
            </w:r>
          </w:p>
        </w:tc>
        <w:tc>
          <w:tcPr>
            <w:tcW w:w="695" w:type="dxa"/>
            <w:tcBorders>
              <w:top w:val="nil"/>
              <w:left w:val="nil"/>
              <w:bottom w:val="nil"/>
              <w:right w:val="nil"/>
            </w:tcBorders>
            <w:shd w:val="clear" w:color="000000" w:fill="FFFFFF"/>
            <w:noWrap/>
            <w:vAlign w:val="center"/>
            <w:hideMark/>
          </w:tcPr>
          <w:p w14:paraId="7E222EB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(0.003)</w:t>
            </w:r>
          </w:p>
        </w:tc>
        <w:tc>
          <w:tcPr>
            <w:tcW w:w="1205" w:type="dxa"/>
            <w:tcBorders>
              <w:top w:val="nil"/>
              <w:left w:val="nil"/>
              <w:bottom w:val="nil"/>
              <w:right w:val="nil"/>
            </w:tcBorders>
            <w:shd w:val="clear" w:color="000000" w:fill="FFFFFF"/>
            <w:noWrap/>
            <w:vAlign w:val="center"/>
            <w:hideMark/>
          </w:tcPr>
          <w:p w14:paraId="00676154"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0.000</w:t>
            </w:r>
          </w:p>
        </w:tc>
        <w:tc>
          <w:tcPr>
            <w:tcW w:w="878" w:type="dxa"/>
            <w:tcBorders>
              <w:top w:val="nil"/>
              <w:left w:val="nil"/>
              <w:bottom w:val="nil"/>
              <w:right w:val="nil"/>
            </w:tcBorders>
            <w:shd w:val="clear" w:color="000000" w:fill="FFFFFF"/>
            <w:noWrap/>
            <w:vAlign w:val="center"/>
            <w:hideMark/>
          </w:tcPr>
          <w:p w14:paraId="190D7935"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(0.001)</w:t>
            </w:r>
          </w:p>
        </w:tc>
        <w:tc>
          <w:tcPr>
            <w:tcW w:w="1004" w:type="dxa"/>
            <w:tcBorders>
              <w:top w:val="nil"/>
              <w:left w:val="nil"/>
              <w:bottom w:val="nil"/>
              <w:right w:val="nil"/>
            </w:tcBorders>
            <w:shd w:val="clear" w:color="000000" w:fill="FFFFFF"/>
            <w:noWrap/>
            <w:vAlign w:val="center"/>
            <w:hideMark/>
          </w:tcPr>
          <w:p w14:paraId="34EFA7BE"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0.001</w:t>
            </w:r>
          </w:p>
        </w:tc>
        <w:tc>
          <w:tcPr>
            <w:tcW w:w="732" w:type="dxa"/>
            <w:tcBorders>
              <w:top w:val="nil"/>
              <w:left w:val="nil"/>
              <w:bottom w:val="nil"/>
              <w:right w:val="nil"/>
            </w:tcBorders>
            <w:shd w:val="clear" w:color="000000" w:fill="FFFFFF"/>
            <w:noWrap/>
            <w:vAlign w:val="center"/>
            <w:hideMark/>
          </w:tcPr>
          <w:p w14:paraId="690302C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(0.001)</w:t>
            </w:r>
          </w:p>
        </w:tc>
        <w:tc>
          <w:tcPr>
            <w:tcW w:w="1067" w:type="dxa"/>
            <w:tcBorders>
              <w:top w:val="nil"/>
              <w:left w:val="nil"/>
              <w:bottom w:val="nil"/>
              <w:right w:val="nil"/>
            </w:tcBorders>
            <w:shd w:val="clear" w:color="000000" w:fill="FFFFFF"/>
            <w:noWrap/>
            <w:vAlign w:val="center"/>
            <w:hideMark/>
          </w:tcPr>
          <w:p w14:paraId="338ED87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0.002</w:t>
            </w:r>
          </w:p>
        </w:tc>
        <w:tc>
          <w:tcPr>
            <w:tcW w:w="777" w:type="dxa"/>
            <w:tcBorders>
              <w:top w:val="nil"/>
              <w:left w:val="nil"/>
              <w:bottom w:val="nil"/>
              <w:right w:val="nil"/>
            </w:tcBorders>
            <w:shd w:val="clear" w:color="000000" w:fill="FFFFFF"/>
            <w:noWrap/>
            <w:vAlign w:val="center"/>
            <w:hideMark/>
          </w:tcPr>
          <w:p w14:paraId="0A1372AD"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(0.002)</w:t>
            </w:r>
          </w:p>
        </w:tc>
      </w:tr>
      <w:tr w:rsidR="007A295D" w:rsidRPr="00375327" w14:paraId="0CCEC048" w14:textId="77777777" w:rsidTr="00071D0E">
        <w:trPr>
          <w:trHeight w:val="290"/>
        </w:trPr>
        <w:tc>
          <w:tcPr>
            <w:tcW w:w="2048" w:type="dxa"/>
            <w:tcBorders>
              <w:top w:val="nil"/>
              <w:left w:val="nil"/>
              <w:bottom w:val="nil"/>
              <w:right w:val="nil"/>
            </w:tcBorders>
            <w:shd w:val="clear" w:color="000000" w:fill="FFFFFF"/>
            <w:noWrap/>
            <w:vAlign w:val="center"/>
            <w:hideMark/>
          </w:tcPr>
          <w:p w14:paraId="06ABDFB1"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Exclusive nationalist</w:t>
            </w:r>
          </w:p>
        </w:tc>
        <w:tc>
          <w:tcPr>
            <w:tcW w:w="954" w:type="dxa"/>
            <w:tcBorders>
              <w:top w:val="nil"/>
              <w:left w:val="nil"/>
              <w:bottom w:val="nil"/>
              <w:right w:val="nil"/>
            </w:tcBorders>
            <w:shd w:val="clear" w:color="000000" w:fill="FFFFFF"/>
            <w:noWrap/>
            <w:vAlign w:val="center"/>
            <w:hideMark/>
          </w:tcPr>
          <w:p w14:paraId="0AB12B8C"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-0.051***</w:t>
            </w:r>
          </w:p>
        </w:tc>
        <w:tc>
          <w:tcPr>
            <w:tcW w:w="695" w:type="dxa"/>
            <w:tcBorders>
              <w:top w:val="nil"/>
              <w:left w:val="nil"/>
              <w:bottom w:val="nil"/>
              <w:right w:val="nil"/>
            </w:tcBorders>
            <w:shd w:val="clear" w:color="000000" w:fill="FFFFFF"/>
            <w:noWrap/>
            <w:vAlign w:val="center"/>
            <w:hideMark/>
          </w:tcPr>
          <w:p w14:paraId="49E04DB6"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(0.015)</w:t>
            </w:r>
          </w:p>
        </w:tc>
        <w:tc>
          <w:tcPr>
            <w:tcW w:w="1205" w:type="dxa"/>
            <w:tcBorders>
              <w:top w:val="nil"/>
              <w:left w:val="nil"/>
              <w:bottom w:val="nil"/>
              <w:right w:val="nil"/>
            </w:tcBorders>
            <w:shd w:val="clear" w:color="000000" w:fill="FFFFFF"/>
            <w:noWrap/>
            <w:vAlign w:val="center"/>
            <w:hideMark/>
          </w:tcPr>
          <w:p w14:paraId="3D120D45"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-0.002</w:t>
            </w:r>
          </w:p>
        </w:tc>
        <w:tc>
          <w:tcPr>
            <w:tcW w:w="878" w:type="dxa"/>
            <w:tcBorders>
              <w:top w:val="nil"/>
              <w:left w:val="nil"/>
              <w:bottom w:val="nil"/>
              <w:right w:val="nil"/>
            </w:tcBorders>
            <w:shd w:val="clear" w:color="000000" w:fill="FFFFFF"/>
            <w:noWrap/>
            <w:vAlign w:val="center"/>
            <w:hideMark/>
          </w:tcPr>
          <w:p w14:paraId="7893D4D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(0.007)</w:t>
            </w:r>
          </w:p>
        </w:tc>
        <w:tc>
          <w:tcPr>
            <w:tcW w:w="1004" w:type="dxa"/>
            <w:tcBorders>
              <w:top w:val="nil"/>
              <w:left w:val="nil"/>
              <w:bottom w:val="nil"/>
              <w:right w:val="nil"/>
            </w:tcBorders>
            <w:shd w:val="clear" w:color="000000" w:fill="FFFFFF"/>
            <w:noWrap/>
            <w:vAlign w:val="center"/>
            <w:hideMark/>
          </w:tcPr>
          <w:p w14:paraId="5A597F4B"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-0.011</w:t>
            </w:r>
          </w:p>
        </w:tc>
        <w:tc>
          <w:tcPr>
            <w:tcW w:w="732" w:type="dxa"/>
            <w:tcBorders>
              <w:top w:val="nil"/>
              <w:left w:val="nil"/>
              <w:bottom w:val="nil"/>
              <w:right w:val="nil"/>
            </w:tcBorders>
            <w:shd w:val="clear" w:color="000000" w:fill="FFFFFF"/>
            <w:noWrap/>
            <w:vAlign w:val="center"/>
            <w:hideMark/>
          </w:tcPr>
          <w:p w14:paraId="367540D4"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(0.006)</w:t>
            </w:r>
          </w:p>
        </w:tc>
        <w:tc>
          <w:tcPr>
            <w:tcW w:w="1067" w:type="dxa"/>
            <w:tcBorders>
              <w:top w:val="nil"/>
              <w:left w:val="nil"/>
              <w:bottom w:val="nil"/>
              <w:right w:val="nil"/>
            </w:tcBorders>
            <w:shd w:val="clear" w:color="000000" w:fill="FFFFFF"/>
            <w:noWrap/>
            <w:vAlign w:val="center"/>
            <w:hideMark/>
          </w:tcPr>
          <w:p w14:paraId="4B44E406"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-0.004</w:t>
            </w:r>
          </w:p>
        </w:tc>
        <w:tc>
          <w:tcPr>
            <w:tcW w:w="777" w:type="dxa"/>
            <w:tcBorders>
              <w:top w:val="nil"/>
              <w:left w:val="nil"/>
              <w:bottom w:val="nil"/>
              <w:right w:val="nil"/>
            </w:tcBorders>
            <w:shd w:val="clear" w:color="000000" w:fill="FFFFFF"/>
            <w:noWrap/>
            <w:vAlign w:val="center"/>
            <w:hideMark/>
          </w:tcPr>
          <w:p w14:paraId="2CECA04F"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(0.013)</w:t>
            </w:r>
          </w:p>
        </w:tc>
      </w:tr>
      <w:tr w:rsidR="007A295D" w:rsidRPr="00375327" w14:paraId="5E2E7CBE" w14:textId="77777777" w:rsidTr="00071D0E">
        <w:trPr>
          <w:trHeight w:val="290"/>
        </w:trPr>
        <w:tc>
          <w:tcPr>
            <w:tcW w:w="2048" w:type="dxa"/>
            <w:tcBorders>
              <w:top w:val="nil"/>
              <w:left w:val="nil"/>
              <w:bottom w:val="single" w:sz="4" w:space="0" w:color="auto"/>
              <w:right w:val="nil"/>
            </w:tcBorders>
            <w:shd w:val="clear" w:color="000000" w:fill="FFFFFF"/>
            <w:noWrap/>
            <w:vAlign w:val="center"/>
            <w:hideMark/>
          </w:tcPr>
          <w:p w14:paraId="72B34BDE"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Constant</w:t>
            </w:r>
          </w:p>
        </w:tc>
        <w:tc>
          <w:tcPr>
            <w:tcW w:w="954" w:type="dxa"/>
            <w:tcBorders>
              <w:top w:val="nil"/>
              <w:left w:val="nil"/>
              <w:bottom w:val="single" w:sz="4" w:space="0" w:color="auto"/>
              <w:right w:val="nil"/>
            </w:tcBorders>
            <w:shd w:val="clear" w:color="000000" w:fill="FFFFFF"/>
            <w:noWrap/>
            <w:vAlign w:val="center"/>
            <w:hideMark/>
          </w:tcPr>
          <w:p w14:paraId="637268F3"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0.179***</w:t>
            </w:r>
          </w:p>
        </w:tc>
        <w:tc>
          <w:tcPr>
            <w:tcW w:w="695" w:type="dxa"/>
            <w:tcBorders>
              <w:top w:val="nil"/>
              <w:left w:val="nil"/>
              <w:bottom w:val="single" w:sz="4" w:space="0" w:color="auto"/>
              <w:right w:val="nil"/>
            </w:tcBorders>
            <w:shd w:val="clear" w:color="000000" w:fill="FFFFFF"/>
            <w:noWrap/>
            <w:vAlign w:val="center"/>
            <w:hideMark/>
          </w:tcPr>
          <w:p w14:paraId="3731224C"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(0.051)</w:t>
            </w:r>
          </w:p>
        </w:tc>
        <w:tc>
          <w:tcPr>
            <w:tcW w:w="1205" w:type="dxa"/>
            <w:tcBorders>
              <w:top w:val="nil"/>
              <w:left w:val="nil"/>
              <w:bottom w:val="single" w:sz="4" w:space="0" w:color="auto"/>
              <w:right w:val="nil"/>
            </w:tcBorders>
            <w:shd w:val="clear" w:color="000000" w:fill="FFFFFF"/>
            <w:noWrap/>
            <w:vAlign w:val="center"/>
            <w:hideMark/>
          </w:tcPr>
          <w:p w14:paraId="72FD8649"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0.053*</w:t>
            </w:r>
          </w:p>
        </w:tc>
        <w:tc>
          <w:tcPr>
            <w:tcW w:w="878" w:type="dxa"/>
            <w:tcBorders>
              <w:top w:val="nil"/>
              <w:left w:val="nil"/>
              <w:bottom w:val="single" w:sz="4" w:space="0" w:color="auto"/>
              <w:right w:val="nil"/>
            </w:tcBorders>
            <w:shd w:val="clear" w:color="000000" w:fill="FFFFFF"/>
            <w:noWrap/>
            <w:vAlign w:val="center"/>
            <w:hideMark/>
          </w:tcPr>
          <w:p w14:paraId="0315A612"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(0.023)</w:t>
            </w:r>
          </w:p>
        </w:tc>
        <w:tc>
          <w:tcPr>
            <w:tcW w:w="1004" w:type="dxa"/>
            <w:tcBorders>
              <w:top w:val="nil"/>
              <w:left w:val="nil"/>
              <w:bottom w:val="single" w:sz="4" w:space="0" w:color="auto"/>
              <w:right w:val="nil"/>
            </w:tcBorders>
            <w:shd w:val="clear" w:color="000000" w:fill="FFFFFF"/>
            <w:noWrap/>
            <w:vAlign w:val="center"/>
            <w:hideMark/>
          </w:tcPr>
          <w:p w14:paraId="7090A447"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0.070*</w:t>
            </w:r>
          </w:p>
        </w:tc>
        <w:tc>
          <w:tcPr>
            <w:tcW w:w="732" w:type="dxa"/>
            <w:tcBorders>
              <w:top w:val="nil"/>
              <w:left w:val="nil"/>
              <w:bottom w:val="single" w:sz="4" w:space="0" w:color="auto"/>
              <w:right w:val="nil"/>
            </w:tcBorders>
            <w:shd w:val="clear" w:color="000000" w:fill="FFFFFF"/>
            <w:noWrap/>
            <w:vAlign w:val="center"/>
            <w:hideMark/>
          </w:tcPr>
          <w:p w14:paraId="77FB2A4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(0.034)</w:t>
            </w:r>
          </w:p>
        </w:tc>
        <w:tc>
          <w:tcPr>
            <w:tcW w:w="1067" w:type="dxa"/>
            <w:tcBorders>
              <w:top w:val="nil"/>
              <w:left w:val="nil"/>
              <w:bottom w:val="single" w:sz="4" w:space="0" w:color="auto"/>
              <w:right w:val="nil"/>
            </w:tcBorders>
            <w:shd w:val="clear" w:color="000000" w:fill="FFFFFF"/>
            <w:noWrap/>
            <w:vAlign w:val="center"/>
            <w:hideMark/>
          </w:tcPr>
          <w:p w14:paraId="7992120D"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2.150***</w:t>
            </w:r>
          </w:p>
        </w:tc>
        <w:tc>
          <w:tcPr>
            <w:tcW w:w="777" w:type="dxa"/>
            <w:tcBorders>
              <w:top w:val="nil"/>
              <w:left w:val="nil"/>
              <w:bottom w:val="single" w:sz="4" w:space="0" w:color="auto"/>
              <w:right w:val="nil"/>
            </w:tcBorders>
            <w:shd w:val="clear" w:color="000000" w:fill="FFFFFF"/>
            <w:noWrap/>
            <w:vAlign w:val="center"/>
            <w:hideMark/>
          </w:tcPr>
          <w:p w14:paraId="73CB6D56"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(0.102)</w:t>
            </w:r>
          </w:p>
        </w:tc>
      </w:tr>
      <w:tr w:rsidR="007A295D" w:rsidRPr="00375327" w14:paraId="576D12E7" w14:textId="77777777" w:rsidTr="00071D0E">
        <w:trPr>
          <w:trHeight w:val="290"/>
        </w:trPr>
        <w:tc>
          <w:tcPr>
            <w:tcW w:w="2048" w:type="dxa"/>
            <w:tcBorders>
              <w:top w:val="nil"/>
              <w:left w:val="nil"/>
              <w:bottom w:val="nil"/>
              <w:right w:val="nil"/>
            </w:tcBorders>
            <w:shd w:val="clear" w:color="000000" w:fill="FFFFFF"/>
            <w:noWrap/>
            <w:vAlign w:val="center"/>
            <w:hideMark/>
          </w:tcPr>
          <w:p w14:paraId="387472A5"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Observations</w:t>
            </w:r>
          </w:p>
        </w:tc>
        <w:tc>
          <w:tcPr>
            <w:tcW w:w="1649" w:type="dxa"/>
            <w:gridSpan w:val="2"/>
            <w:tcBorders>
              <w:top w:val="nil"/>
              <w:left w:val="nil"/>
              <w:bottom w:val="nil"/>
              <w:right w:val="nil"/>
            </w:tcBorders>
            <w:shd w:val="clear" w:color="000000" w:fill="FFFFFF"/>
            <w:noWrap/>
            <w:vAlign w:val="center"/>
            <w:hideMark/>
          </w:tcPr>
          <w:p w14:paraId="665EF3D0" w14:textId="77777777" w:rsidR="007A295D" w:rsidRPr="00375327" w:rsidRDefault="007A295D" w:rsidP="00D515E5">
            <w:pPr>
              <w:spacing w:line="240" w:lineRule="auto"/>
              <w:jc w:val="center"/>
              <w:rPr>
                <w:rFonts w:eastAsia="Times New Roman" w:cs="Times New Roman"/>
                <w:sz w:val="18"/>
                <w:szCs w:val="18"/>
              </w:rPr>
            </w:pPr>
            <w:r w:rsidRPr="00375327">
              <w:rPr>
                <w:rFonts w:eastAsia="Times New Roman" w:cs="Times New Roman"/>
                <w:sz w:val="18"/>
                <w:szCs w:val="18"/>
              </w:rPr>
              <w:t>7098</w:t>
            </w:r>
          </w:p>
        </w:tc>
        <w:tc>
          <w:tcPr>
            <w:tcW w:w="2083" w:type="dxa"/>
            <w:gridSpan w:val="2"/>
            <w:tcBorders>
              <w:top w:val="nil"/>
              <w:left w:val="nil"/>
              <w:bottom w:val="nil"/>
              <w:right w:val="nil"/>
            </w:tcBorders>
            <w:shd w:val="clear" w:color="000000" w:fill="FFFFFF"/>
            <w:noWrap/>
            <w:vAlign w:val="center"/>
            <w:hideMark/>
          </w:tcPr>
          <w:p w14:paraId="63BC6487" w14:textId="77777777" w:rsidR="007A295D" w:rsidRPr="00375327" w:rsidRDefault="007A295D" w:rsidP="00D515E5">
            <w:pPr>
              <w:spacing w:line="240" w:lineRule="auto"/>
              <w:jc w:val="center"/>
              <w:rPr>
                <w:rFonts w:eastAsia="Times New Roman" w:cs="Times New Roman"/>
                <w:sz w:val="18"/>
                <w:szCs w:val="18"/>
              </w:rPr>
            </w:pPr>
            <w:r w:rsidRPr="00375327">
              <w:rPr>
                <w:rFonts w:eastAsia="Times New Roman" w:cs="Times New Roman"/>
                <w:sz w:val="18"/>
                <w:szCs w:val="18"/>
              </w:rPr>
              <w:t>37926</w:t>
            </w:r>
          </w:p>
        </w:tc>
        <w:tc>
          <w:tcPr>
            <w:tcW w:w="1736" w:type="dxa"/>
            <w:gridSpan w:val="2"/>
            <w:tcBorders>
              <w:top w:val="nil"/>
              <w:left w:val="nil"/>
              <w:bottom w:val="nil"/>
              <w:right w:val="nil"/>
            </w:tcBorders>
            <w:shd w:val="clear" w:color="000000" w:fill="FFFFFF"/>
            <w:noWrap/>
            <w:vAlign w:val="center"/>
            <w:hideMark/>
          </w:tcPr>
          <w:p w14:paraId="4D697372" w14:textId="77777777" w:rsidR="007A295D" w:rsidRPr="00375327" w:rsidRDefault="007A295D" w:rsidP="00D515E5">
            <w:pPr>
              <w:spacing w:line="240" w:lineRule="auto"/>
              <w:jc w:val="center"/>
              <w:rPr>
                <w:rFonts w:eastAsia="Times New Roman" w:cs="Times New Roman"/>
                <w:sz w:val="18"/>
                <w:szCs w:val="18"/>
              </w:rPr>
            </w:pPr>
            <w:r w:rsidRPr="00375327">
              <w:rPr>
                <w:rFonts w:eastAsia="Times New Roman" w:cs="Times New Roman"/>
                <w:sz w:val="18"/>
                <w:szCs w:val="18"/>
              </w:rPr>
              <w:t>45024</w:t>
            </w:r>
          </w:p>
        </w:tc>
        <w:tc>
          <w:tcPr>
            <w:tcW w:w="1844" w:type="dxa"/>
            <w:gridSpan w:val="2"/>
            <w:tcBorders>
              <w:top w:val="nil"/>
              <w:left w:val="nil"/>
              <w:bottom w:val="nil"/>
              <w:right w:val="nil"/>
            </w:tcBorders>
            <w:shd w:val="clear" w:color="000000" w:fill="FFFFFF"/>
            <w:noWrap/>
            <w:vAlign w:val="center"/>
            <w:hideMark/>
          </w:tcPr>
          <w:p w14:paraId="617EC589" w14:textId="77777777" w:rsidR="007A295D" w:rsidRPr="00375327" w:rsidRDefault="007A295D" w:rsidP="00D515E5">
            <w:pPr>
              <w:spacing w:line="240" w:lineRule="auto"/>
              <w:jc w:val="center"/>
              <w:rPr>
                <w:rFonts w:eastAsia="Times New Roman" w:cs="Times New Roman"/>
                <w:sz w:val="18"/>
                <w:szCs w:val="18"/>
              </w:rPr>
            </w:pPr>
            <w:r w:rsidRPr="00375327">
              <w:rPr>
                <w:rFonts w:eastAsia="Times New Roman" w:cs="Times New Roman"/>
                <w:sz w:val="18"/>
                <w:szCs w:val="18"/>
              </w:rPr>
              <w:t>45024</w:t>
            </w:r>
          </w:p>
        </w:tc>
      </w:tr>
      <w:tr w:rsidR="007A295D" w:rsidRPr="00375327" w14:paraId="4D96BBCB" w14:textId="77777777" w:rsidTr="00071D0E">
        <w:trPr>
          <w:trHeight w:val="290"/>
        </w:trPr>
        <w:tc>
          <w:tcPr>
            <w:tcW w:w="2048" w:type="dxa"/>
            <w:tcBorders>
              <w:top w:val="nil"/>
              <w:left w:val="nil"/>
              <w:bottom w:val="single" w:sz="12" w:space="0" w:color="auto"/>
              <w:right w:val="nil"/>
            </w:tcBorders>
            <w:shd w:val="clear" w:color="000000" w:fill="FFFFFF"/>
            <w:noWrap/>
            <w:vAlign w:val="center"/>
            <w:hideMark/>
          </w:tcPr>
          <w:p w14:paraId="0E7B049C"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Adjusted R-squared</w:t>
            </w:r>
          </w:p>
        </w:tc>
        <w:tc>
          <w:tcPr>
            <w:tcW w:w="1649" w:type="dxa"/>
            <w:gridSpan w:val="2"/>
            <w:tcBorders>
              <w:top w:val="nil"/>
              <w:left w:val="nil"/>
              <w:bottom w:val="single" w:sz="12" w:space="0" w:color="auto"/>
              <w:right w:val="nil"/>
            </w:tcBorders>
            <w:shd w:val="clear" w:color="000000" w:fill="FFFFFF"/>
            <w:noWrap/>
            <w:vAlign w:val="center"/>
            <w:hideMark/>
          </w:tcPr>
          <w:p w14:paraId="206C7C3C" w14:textId="77777777" w:rsidR="007A295D" w:rsidRPr="00375327" w:rsidRDefault="007A295D" w:rsidP="00D515E5">
            <w:pPr>
              <w:spacing w:line="240" w:lineRule="auto"/>
              <w:jc w:val="center"/>
              <w:rPr>
                <w:rFonts w:eastAsia="Times New Roman" w:cs="Times New Roman"/>
                <w:sz w:val="18"/>
                <w:szCs w:val="18"/>
              </w:rPr>
            </w:pPr>
            <w:r w:rsidRPr="00375327">
              <w:rPr>
                <w:rFonts w:eastAsia="Times New Roman" w:cs="Times New Roman"/>
                <w:sz w:val="18"/>
                <w:szCs w:val="18"/>
              </w:rPr>
              <w:t>0.026</w:t>
            </w:r>
          </w:p>
        </w:tc>
        <w:tc>
          <w:tcPr>
            <w:tcW w:w="2083" w:type="dxa"/>
            <w:gridSpan w:val="2"/>
            <w:tcBorders>
              <w:top w:val="nil"/>
              <w:left w:val="nil"/>
              <w:bottom w:val="single" w:sz="12" w:space="0" w:color="auto"/>
              <w:right w:val="nil"/>
            </w:tcBorders>
            <w:shd w:val="clear" w:color="000000" w:fill="FFFFFF"/>
            <w:noWrap/>
            <w:vAlign w:val="center"/>
            <w:hideMark/>
          </w:tcPr>
          <w:p w14:paraId="7CE6E009" w14:textId="77777777" w:rsidR="007A295D" w:rsidRPr="00375327" w:rsidRDefault="007A295D" w:rsidP="00D515E5">
            <w:pPr>
              <w:spacing w:line="240" w:lineRule="auto"/>
              <w:jc w:val="center"/>
              <w:rPr>
                <w:rFonts w:eastAsia="Times New Roman" w:cs="Times New Roman"/>
                <w:sz w:val="18"/>
                <w:szCs w:val="18"/>
              </w:rPr>
            </w:pPr>
            <w:r w:rsidRPr="00375327">
              <w:rPr>
                <w:rFonts w:eastAsia="Times New Roman" w:cs="Times New Roman"/>
                <w:sz w:val="18"/>
                <w:szCs w:val="18"/>
              </w:rPr>
              <w:t>0.039</w:t>
            </w:r>
          </w:p>
        </w:tc>
        <w:tc>
          <w:tcPr>
            <w:tcW w:w="1736" w:type="dxa"/>
            <w:gridSpan w:val="2"/>
            <w:tcBorders>
              <w:top w:val="nil"/>
              <w:left w:val="nil"/>
              <w:bottom w:val="single" w:sz="12" w:space="0" w:color="auto"/>
              <w:right w:val="nil"/>
            </w:tcBorders>
            <w:shd w:val="clear" w:color="000000" w:fill="FFFFFF"/>
            <w:noWrap/>
            <w:vAlign w:val="center"/>
            <w:hideMark/>
          </w:tcPr>
          <w:p w14:paraId="402DBC18" w14:textId="77777777" w:rsidR="007A295D" w:rsidRPr="00375327" w:rsidRDefault="007A295D" w:rsidP="00D515E5">
            <w:pPr>
              <w:spacing w:line="240" w:lineRule="auto"/>
              <w:jc w:val="center"/>
              <w:rPr>
                <w:rFonts w:eastAsia="Times New Roman" w:cs="Times New Roman"/>
                <w:sz w:val="18"/>
                <w:szCs w:val="18"/>
              </w:rPr>
            </w:pPr>
            <w:r w:rsidRPr="00375327">
              <w:rPr>
                <w:rFonts w:eastAsia="Times New Roman" w:cs="Times New Roman"/>
                <w:sz w:val="18"/>
                <w:szCs w:val="18"/>
              </w:rPr>
              <w:t>0.039</w:t>
            </w:r>
          </w:p>
        </w:tc>
        <w:tc>
          <w:tcPr>
            <w:tcW w:w="1844" w:type="dxa"/>
            <w:gridSpan w:val="2"/>
            <w:tcBorders>
              <w:top w:val="nil"/>
              <w:left w:val="nil"/>
              <w:bottom w:val="single" w:sz="12" w:space="0" w:color="auto"/>
              <w:right w:val="nil"/>
            </w:tcBorders>
            <w:shd w:val="clear" w:color="000000" w:fill="FFFFFF"/>
            <w:noWrap/>
            <w:vAlign w:val="center"/>
            <w:hideMark/>
          </w:tcPr>
          <w:p w14:paraId="3595C441" w14:textId="77777777" w:rsidR="007A295D" w:rsidRPr="00375327" w:rsidRDefault="007A295D" w:rsidP="00D515E5">
            <w:pPr>
              <w:spacing w:line="240" w:lineRule="auto"/>
              <w:jc w:val="center"/>
              <w:rPr>
                <w:rFonts w:eastAsia="Times New Roman" w:cs="Times New Roman"/>
                <w:sz w:val="18"/>
                <w:szCs w:val="18"/>
              </w:rPr>
            </w:pPr>
            <w:r w:rsidRPr="00375327">
              <w:rPr>
                <w:rFonts w:eastAsia="Times New Roman" w:cs="Times New Roman"/>
                <w:sz w:val="18"/>
                <w:szCs w:val="18"/>
              </w:rPr>
              <w:t>0.052</w:t>
            </w:r>
          </w:p>
        </w:tc>
      </w:tr>
      <w:tr w:rsidR="007A295D" w:rsidRPr="00375327" w14:paraId="1D7E7BCE" w14:textId="77777777" w:rsidTr="00071D0E">
        <w:trPr>
          <w:trHeight w:val="290"/>
        </w:trPr>
        <w:tc>
          <w:tcPr>
            <w:tcW w:w="9360" w:type="dxa"/>
            <w:gridSpan w:val="9"/>
            <w:tcBorders>
              <w:top w:val="nil"/>
              <w:left w:val="nil"/>
              <w:bottom w:val="nil"/>
              <w:right w:val="nil"/>
            </w:tcBorders>
            <w:shd w:val="clear" w:color="000000" w:fill="FFFFFF"/>
            <w:noWrap/>
            <w:vAlign w:val="center"/>
            <w:hideMark/>
          </w:tcPr>
          <w:p w14:paraId="2AAF2DD8"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Note: standard errors in parentheses; conjoint dimension effects and country fixed effects suppressed from output; standard errors clustered on the individual level</w:t>
            </w:r>
          </w:p>
        </w:tc>
      </w:tr>
      <w:tr w:rsidR="007A295D" w:rsidRPr="00375327" w14:paraId="437C4048" w14:textId="77777777" w:rsidTr="00071D0E">
        <w:trPr>
          <w:trHeight w:val="290"/>
        </w:trPr>
        <w:tc>
          <w:tcPr>
            <w:tcW w:w="9360" w:type="dxa"/>
            <w:gridSpan w:val="9"/>
            <w:tcBorders>
              <w:top w:val="nil"/>
              <w:left w:val="nil"/>
              <w:bottom w:val="nil"/>
              <w:right w:val="nil"/>
            </w:tcBorders>
            <w:shd w:val="clear" w:color="000000" w:fill="FFFFFF"/>
            <w:noWrap/>
            <w:vAlign w:val="center"/>
            <w:hideMark/>
          </w:tcPr>
          <w:p w14:paraId="18605A7E" w14:textId="77777777" w:rsidR="007A295D" w:rsidRPr="00375327" w:rsidRDefault="007A295D" w:rsidP="00D515E5">
            <w:pPr>
              <w:spacing w:line="240" w:lineRule="auto"/>
              <w:rPr>
                <w:rFonts w:eastAsia="Times New Roman" w:cs="Times New Roman"/>
                <w:sz w:val="18"/>
                <w:szCs w:val="18"/>
              </w:rPr>
            </w:pPr>
            <w:r w:rsidRPr="00375327">
              <w:rPr>
                <w:rFonts w:eastAsia="Times New Roman" w:cs="Times New Roman"/>
                <w:sz w:val="18"/>
                <w:szCs w:val="18"/>
              </w:rPr>
              <w:t>* p&lt;0.05, ** p&lt;0.01, *** p&lt;0.001</w:t>
            </w:r>
          </w:p>
        </w:tc>
      </w:tr>
    </w:tbl>
    <w:p w14:paraId="10BADFF4" w14:textId="77777777" w:rsidR="007A295D" w:rsidRPr="00375327" w:rsidRDefault="007A295D" w:rsidP="00D515E5"/>
    <w:p w14:paraId="6C2E464A" w14:textId="77777777" w:rsidR="007A295D" w:rsidRPr="00375327" w:rsidRDefault="007A295D" w:rsidP="00D515E5">
      <w:pPr>
        <w:jc w:val="center"/>
      </w:pPr>
      <w:r w:rsidRPr="00375327">
        <w:rPr>
          <w:noProof/>
        </w:rPr>
        <w:lastRenderedPageBreak/>
        <w:drawing>
          <wp:inline distT="0" distB="0" distL="0" distR="0" wp14:anchorId="3F3E68C3" wp14:editId="5845E997">
            <wp:extent cx="54864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1ECBAECB" w14:textId="294A9C10" w:rsidR="006B2534" w:rsidRPr="00375327" w:rsidRDefault="006B2534" w:rsidP="00D515E5"/>
    <w:p w14:paraId="16012BE8" w14:textId="77777777" w:rsidR="007A295D" w:rsidRPr="00375327" w:rsidRDefault="007A295D" w:rsidP="006D4AFE">
      <w:pPr>
        <w:pStyle w:val="Heading3"/>
      </w:pPr>
      <w:r w:rsidRPr="00375327">
        <w:t>Interaction with identity</w:t>
      </w:r>
    </w:p>
    <w:p w14:paraId="40207D9F" w14:textId="77777777" w:rsidR="007A295D" w:rsidRPr="00375327" w:rsidRDefault="007A295D" w:rsidP="007A295D">
      <w:pPr>
        <w:rPr>
          <w:i/>
          <w:iCs/>
        </w:rPr>
      </w:pPr>
    </w:p>
    <w:tbl>
      <w:tblPr>
        <w:tblW w:w="9360" w:type="dxa"/>
        <w:tblLook w:val="04A0" w:firstRow="1" w:lastRow="0" w:firstColumn="1" w:lastColumn="0" w:noHBand="0" w:noVBand="1"/>
      </w:tblPr>
      <w:tblGrid>
        <w:gridCol w:w="5816"/>
        <w:gridCol w:w="960"/>
        <w:gridCol w:w="757"/>
        <w:gridCol w:w="1058"/>
        <w:gridCol w:w="769"/>
      </w:tblGrid>
      <w:tr w:rsidR="007A295D" w:rsidRPr="00375327" w14:paraId="0340347D" w14:textId="77777777" w:rsidTr="00071D0E">
        <w:trPr>
          <w:trHeight w:val="310"/>
        </w:trPr>
        <w:tc>
          <w:tcPr>
            <w:tcW w:w="9360" w:type="dxa"/>
            <w:gridSpan w:val="5"/>
            <w:tcBorders>
              <w:top w:val="nil"/>
              <w:left w:val="nil"/>
              <w:bottom w:val="nil"/>
              <w:right w:val="nil"/>
            </w:tcBorders>
            <w:shd w:val="clear" w:color="000000" w:fill="FFFFFF"/>
            <w:noWrap/>
            <w:vAlign w:val="center"/>
            <w:hideMark/>
          </w:tcPr>
          <w:p w14:paraId="39801F5E" w14:textId="250E8CC1" w:rsidR="007A295D" w:rsidRPr="00375327" w:rsidRDefault="007A295D" w:rsidP="00071D0E">
            <w:pPr>
              <w:spacing w:line="240" w:lineRule="auto"/>
              <w:rPr>
                <w:rFonts w:eastAsia="Times New Roman" w:cs="Times New Roman"/>
                <w:szCs w:val="24"/>
              </w:rPr>
            </w:pPr>
            <w:r w:rsidRPr="00375327">
              <w:rPr>
                <w:rFonts w:eastAsia="Times New Roman" w:cs="Times New Roman"/>
                <w:szCs w:val="24"/>
              </w:rPr>
              <w:t xml:space="preserve">Table </w:t>
            </w:r>
            <w:r w:rsidR="00D515E5" w:rsidRPr="00375327">
              <w:rPr>
                <w:rFonts w:eastAsia="Times New Roman" w:cs="Times New Roman"/>
                <w:szCs w:val="24"/>
              </w:rPr>
              <w:t>A.3</w:t>
            </w:r>
            <w:r w:rsidRPr="00375327">
              <w:rPr>
                <w:rFonts w:eastAsia="Times New Roman" w:cs="Times New Roman"/>
                <w:szCs w:val="24"/>
              </w:rPr>
              <w:t>. Regression of support for fiscal capacity on causal beliefs conditional on identity</w:t>
            </w:r>
          </w:p>
        </w:tc>
      </w:tr>
      <w:tr w:rsidR="007A295D" w:rsidRPr="00375327" w14:paraId="3A6505ED" w14:textId="77777777" w:rsidTr="00071D0E">
        <w:trPr>
          <w:trHeight w:val="290"/>
        </w:trPr>
        <w:tc>
          <w:tcPr>
            <w:tcW w:w="5816" w:type="dxa"/>
            <w:tcBorders>
              <w:top w:val="nil"/>
              <w:left w:val="nil"/>
              <w:bottom w:val="nil"/>
              <w:right w:val="nil"/>
            </w:tcBorders>
            <w:shd w:val="clear" w:color="000000" w:fill="FFFFFF"/>
            <w:noWrap/>
            <w:vAlign w:val="center"/>
            <w:hideMark/>
          </w:tcPr>
          <w:p w14:paraId="512A62FF"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 </w:t>
            </w:r>
          </w:p>
        </w:tc>
        <w:tc>
          <w:tcPr>
            <w:tcW w:w="1717" w:type="dxa"/>
            <w:gridSpan w:val="2"/>
            <w:tcBorders>
              <w:top w:val="nil"/>
              <w:left w:val="nil"/>
              <w:bottom w:val="nil"/>
              <w:right w:val="nil"/>
            </w:tcBorders>
            <w:shd w:val="clear" w:color="000000" w:fill="FFFFFF"/>
            <w:noWrap/>
            <w:vAlign w:val="center"/>
            <w:hideMark/>
          </w:tcPr>
          <w:p w14:paraId="6224A455" w14:textId="77777777" w:rsidR="007A295D" w:rsidRPr="00375327" w:rsidRDefault="007A295D" w:rsidP="00071D0E">
            <w:pPr>
              <w:spacing w:line="240" w:lineRule="auto"/>
              <w:jc w:val="center"/>
              <w:rPr>
                <w:rFonts w:eastAsia="Times New Roman" w:cs="Times New Roman"/>
                <w:sz w:val="18"/>
                <w:szCs w:val="18"/>
              </w:rPr>
            </w:pPr>
            <w:r w:rsidRPr="00375327">
              <w:rPr>
                <w:rFonts w:eastAsia="Times New Roman" w:cs="Times New Roman"/>
                <w:sz w:val="18"/>
                <w:szCs w:val="18"/>
              </w:rPr>
              <w:t>Base model</w:t>
            </w:r>
          </w:p>
        </w:tc>
        <w:tc>
          <w:tcPr>
            <w:tcW w:w="1827" w:type="dxa"/>
            <w:gridSpan w:val="2"/>
            <w:tcBorders>
              <w:top w:val="nil"/>
              <w:left w:val="nil"/>
              <w:bottom w:val="nil"/>
              <w:right w:val="nil"/>
            </w:tcBorders>
            <w:shd w:val="clear" w:color="000000" w:fill="FFFFFF"/>
            <w:noWrap/>
            <w:vAlign w:val="center"/>
            <w:hideMark/>
          </w:tcPr>
          <w:p w14:paraId="32C13D9A" w14:textId="77777777" w:rsidR="007A295D" w:rsidRPr="00375327" w:rsidRDefault="007A295D" w:rsidP="00071D0E">
            <w:pPr>
              <w:spacing w:line="240" w:lineRule="auto"/>
              <w:jc w:val="center"/>
              <w:rPr>
                <w:rFonts w:eastAsia="Times New Roman" w:cs="Times New Roman"/>
                <w:sz w:val="18"/>
                <w:szCs w:val="18"/>
              </w:rPr>
            </w:pPr>
            <w:r w:rsidRPr="00375327">
              <w:rPr>
                <w:rFonts w:eastAsia="Times New Roman" w:cs="Times New Roman"/>
                <w:sz w:val="18"/>
                <w:szCs w:val="18"/>
              </w:rPr>
              <w:t>Identity as ordinal</w:t>
            </w:r>
          </w:p>
        </w:tc>
      </w:tr>
      <w:tr w:rsidR="007A295D" w:rsidRPr="00375327" w14:paraId="5765AF1F" w14:textId="77777777" w:rsidTr="00071D0E">
        <w:trPr>
          <w:trHeight w:val="290"/>
        </w:trPr>
        <w:tc>
          <w:tcPr>
            <w:tcW w:w="5816" w:type="dxa"/>
            <w:tcBorders>
              <w:top w:val="nil"/>
              <w:left w:val="nil"/>
              <w:bottom w:val="single" w:sz="12" w:space="0" w:color="auto"/>
              <w:right w:val="nil"/>
            </w:tcBorders>
            <w:shd w:val="clear" w:color="000000" w:fill="FFFFFF"/>
            <w:noWrap/>
            <w:vAlign w:val="center"/>
            <w:hideMark/>
          </w:tcPr>
          <w:p w14:paraId="50A12BCA"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 </w:t>
            </w:r>
          </w:p>
        </w:tc>
        <w:tc>
          <w:tcPr>
            <w:tcW w:w="960" w:type="dxa"/>
            <w:tcBorders>
              <w:top w:val="nil"/>
              <w:left w:val="nil"/>
              <w:bottom w:val="single" w:sz="12" w:space="0" w:color="auto"/>
              <w:right w:val="nil"/>
            </w:tcBorders>
            <w:shd w:val="clear" w:color="000000" w:fill="FFFFFF"/>
            <w:noWrap/>
            <w:vAlign w:val="center"/>
            <w:hideMark/>
          </w:tcPr>
          <w:p w14:paraId="5219C44A"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B</w:t>
            </w:r>
          </w:p>
        </w:tc>
        <w:tc>
          <w:tcPr>
            <w:tcW w:w="757" w:type="dxa"/>
            <w:tcBorders>
              <w:top w:val="nil"/>
              <w:left w:val="nil"/>
              <w:bottom w:val="single" w:sz="12" w:space="0" w:color="auto"/>
              <w:right w:val="nil"/>
            </w:tcBorders>
            <w:shd w:val="clear" w:color="000000" w:fill="FFFFFF"/>
            <w:noWrap/>
            <w:vAlign w:val="center"/>
            <w:hideMark/>
          </w:tcPr>
          <w:p w14:paraId="418C37E7" w14:textId="77777777" w:rsidR="007A295D" w:rsidRPr="00375327" w:rsidRDefault="007A295D" w:rsidP="00071D0E">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c>
          <w:tcPr>
            <w:tcW w:w="1058" w:type="dxa"/>
            <w:tcBorders>
              <w:top w:val="nil"/>
              <w:left w:val="nil"/>
              <w:bottom w:val="single" w:sz="12" w:space="0" w:color="auto"/>
              <w:right w:val="nil"/>
            </w:tcBorders>
            <w:shd w:val="clear" w:color="000000" w:fill="FFFFFF"/>
            <w:noWrap/>
            <w:vAlign w:val="center"/>
            <w:hideMark/>
          </w:tcPr>
          <w:p w14:paraId="3B497DC6"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B</w:t>
            </w:r>
          </w:p>
        </w:tc>
        <w:tc>
          <w:tcPr>
            <w:tcW w:w="769" w:type="dxa"/>
            <w:tcBorders>
              <w:top w:val="nil"/>
              <w:left w:val="nil"/>
              <w:bottom w:val="single" w:sz="12" w:space="0" w:color="auto"/>
              <w:right w:val="nil"/>
            </w:tcBorders>
            <w:shd w:val="clear" w:color="000000" w:fill="FFFFFF"/>
            <w:noWrap/>
            <w:vAlign w:val="center"/>
            <w:hideMark/>
          </w:tcPr>
          <w:p w14:paraId="0D6ADB24" w14:textId="77777777" w:rsidR="007A295D" w:rsidRPr="00375327" w:rsidRDefault="007A295D" w:rsidP="00071D0E">
            <w:pPr>
              <w:spacing w:line="240" w:lineRule="auto"/>
              <w:rPr>
                <w:rFonts w:eastAsia="Times New Roman" w:cs="Times New Roman"/>
                <w:sz w:val="18"/>
                <w:szCs w:val="18"/>
              </w:rPr>
            </w:pPr>
            <w:proofErr w:type="spellStart"/>
            <w:r w:rsidRPr="00375327">
              <w:rPr>
                <w:rFonts w:eastAsia="Times New Roman" w:cs="Times New Roman"/>
                <w:sz w:val="18"/>
                <w:szCs w:val="18"/>
              </w:rPr>
              <w:t>s.e.</w:t>
            </w:r>
            <w:proofErr w:type="spellEnd"/>
          </w:p>
        </w:tc>
      </w:tr>
      <w:tr w:rsidR="007A295D" w:rsidRPr="00375327" w14:paraId="1772351F" w14:textId="77777777" w:rsidTr="00071D0E">
        <w:trPr>
          <w:trHeight w:val="290"/>
        </w:trPr>
        <w:tc>
          <w:tcPr>
            <w:tcW w:w="5816" w:type="dxa"/>
            <w:tcBorders>
              <w:top w:val="nil"/>
              <w:left w:val="nil"/>
              <w:bottom w:val="nil"/>
              <w:right w:val="nil"/>
            </w:tcBorders>
            <w:shd w:val="clear" w:color="000000" w:fill="FFFFFF"/>
            <w:noWrap/>
            <w:vAlign w:val="center"/>
            <w:hideMark/>
          </w:tcPr>
          <w:p w14:paraId="72FC1731"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Causal beliefs: ego</w:t>
            </w:r>
          </w:p>
        </w:tc>
        <w:tc>
          <w:tcPr>
            <w:tcW w:w="960" w:type="dxa"/>
            <w:tcBorders>
              <w:top w:val="nil"/>
              <w:left w:val="nil"/>
              <w:bottom w:val="nil"/>
              <w:right w:val="nil"/>
            </w:tcBorders>
            <w:shd w:val="clear" w:color="000000" w:fill="FFFFFF"/>
            <w:noWrap/>
            <w:vAlign w:val="center"/>
            <w:hideMark/>
          </w:tcPr>
          <w:p w14:paraId="4C12B853"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0.023***</w:t>
            </w:r>
          </w:p>
        </w:tc>
        <w:tc>
          <w:tcPr>
            <w:tcW w:w="757" w:type="dxa"/>
            <w:tcBorders>
              <w:top w:val="nil"/>
              <w:left w:val="nil"/>
              <w:bottom w:val="nil"/>
              <w:right w:val="nil"/>
            </w:tcBorders>
            <w:shd w:val="clear" w:color="000000" w:fill="FFFFFF"/>
            <w:noWrap/>
            <w:vAlign w:val="center"/>
            <w:hideMark/>
          </w:tcPr>
          <w:p w14:paraId="05361602"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(0.004)</w:t>
            </w:r>
          </w:p>
        </w:tc>
        <w:tc>
          <w:tcPr>
            <w:tcW w:w="1058" w:type="dxa"/>
            <w:tcBorders>
              <w:top w:val="nil"/>
              <w:left w:val="nil"/>
              <w:bottom w:val="nil"/>
              <w:right w:val="nil"/>
            </w:tcBorders>
            <w:shd w:val="clear" w:color="000000" w:fill="FFFFFF"/>
            <w:noWrap/>
            <w:vAlign w:val="center"/>
            <w:hideMark/>
          </w:tcPr>
          <w:p w14:paraId="06F6F3A4"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0.022***</w:t>
            </w:r>
          </w:p>
        </w:tc>
        <w:tc>
          <w:tcPr>
            <w:tcW w:w="769" w:type="dxa"/>
            <w:tcBorders>
              <w:top w:val="nil"/>
              <w:left w:val="nil"/>
              <w:bottom w:val="nil"/>
              <w:right w:val="nil"/>
            </w:tcBorders>
            <w:shd w:val="clear" w:color="000000" w:fill="FFFFFF"/>
            <w:noWrap/>
            <w:vAlign w:val="center"/>
            <w:hideMark/>
          </w:tcPr>
          <w:p w14:paraId="4AED94CC"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(0.004)</w:t>
            </w:r>
          </w:p>
        </w:tc>
      </w:tr>
      <w:tr w:rsidR="007A295D" w:rsidRPr="00375327" w14:paraId="76C5F1A1" w14:textId="77777777" w:rsidTr="00071D0E">
        <w:trPr>
          <w:trHeight w:val="290"/>
        </w:trPr>
        <w:tc>
          <w:tcPr>
            <w:tcW w:w="5816" w:type="dxa"/>
            <w:tcBorders>
              <w:top w:val="nil"/>
              <w:left w:val="nil"/>
              <w:bottom w:val="nil"/>
              <w:right w:val="nil"/>
            </w:tcBorders>
            <w:shd w:val="clear" w:color="000000" w:fill="FFFFFF"/>
            <w:noWrap/>
            <w:vAlign w:val="center"/>
            <w:hideMark/>
          </w:tcPr>
          <w:p w14:paraId="136CA607"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Causal beliefs: region</w:t>
            </w:r>
          </w:p>
        </w:tc>
        <w:tc>
          <w:tcPr>
            <w:tcW w:w="960" w:type="dxa"/>
            <w:tcBorders>
              <w:top w:val="nil"/>
              <w:left w:val="nil"/>
              <w:bottom w:val="nil"/>
              <w:right w:val="nil"/>
            </w:tcBorders>
            <w:shd w:val="clear" w:color="000000" w:fill="FFFFFF"/>
            <w:noWrap/>
            <w:vAlign w:val="center"/>
            <w:hideMark/>
          </w:tcPr>
          <w:p w14:paraId="4A2A241F"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0.012**</w:t>
            </w:r>
          </w:p>
        </w:tc>
        <w:tc>
          <w:tcPr>
            <w:tcW w:w="757" w:type="dxa"/>
            <w:tcBorders>
              <w:top w:val="nil"/>
              <w:left w:val="nil"/>
              <w:bottom w:val="nil"/>
              <w:right w:val="nil"/>
            </w:tcBorders>
            <w:shd w:val="clear" w:color="000000" w:fill="FFFFFF"/>
            <w:noWrap/>
            <w:vAlign w:val="center"/>
            <w:hideMark/>
          </w:tcPr>
          <w:p w14:paraId="4DB8A156"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(0.004)</w:t>
            </w:r>
          </w:p>
        </w:tc>
        <w:tc>
          <w:tcPr>
            <w:tcW w:w="1058" w:type="dxa"/>
            <w:tcBorders>
              <w:top w:val="nil"/>
              <w:left w:val="nil"/>
              <w:bottom w:val="nil"/>
              <w:right w:val="nil"/>
            </w:tcBorders>
            <w:shd w:val="clear" w:color="000000" w:fill="FFFFFF"/>
            <w:noWrap/>
            <w:vAlign w:val="center"/>
            <w:hideMark/>
          </w:tcPr>
          <w:p w14:paraId="3F12458C"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0.012**</w:t>
            </w:r>
          </w:p>
        </w:tc>
        <w:tc>
          <w:tcPr>
            <w:tcW w:w="769" w:type="dxa"/>
            <w:tcBorders>
              <w:top w:val="nil"/>
              <w:left w:val="nil"/>
              <w:bottom w:val="nil"/>
              <w:right w:val="nil"/>
            </w:tcBorders>
            <w:shd w:val="clear" w:color="000000" w:fill="FFFFFF"/>
            <w:noWrap/>
            <w:vAlign w:val="center"/>
            <w:hideMark/>
          </w:tcPr>
          <w:p w14:paraId="3B02D584"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(0.004)</w:t>
            </w:r>
          </w:p>
        </w:tc>
      </w:tr>
      <w:tr w:rsidR="007A295D" w:rsidRPr="00375327" w14:paraId="4BF63211" w14:textId="77777777" w:rsidTr="00071D0E">
        <w:trPr>
          <w:trHeight w:val="290"/>
        </w:trPr>
        <w:tc>
          <w:tcPr>
            <w:tcW w:w="5816" w:type="dxa"/>
            <w:tcBorders>
              <w:top w:val="nil"/>
              <w:left w:val="nil"/>
              <w:bottom w:val="nil"/>
              <w:right w:val="nil"/>
            </w:tcBorders>
            <w:shd w:val="clear" w:color="000000" w:fill="FFFFFF"/>
            <w:noWrap/>
            <w:vAlign w:val="center"/>
            <w:hideMark/>
          </w:tcPr>
          <w:p w14:paraId="22D3B509"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Causal beliefs: country</w:t>
            </w:r>
          </w:p>
        </w:tc>
        <w:tc>
          <w:tcPr>
            <w:tcW w:w="960" w:type="dxa"/>
            <w:tcBorders>
              <w:top w:val="nil"/>
              <w:left w:val="nil"/>
              <w:bottom w:val="nil"/>
              <w:right w:val="nil"/>
            </w:tcBorders>
            <w:shd w:val="clear" w:color="000000" w:fill="FFFFFF"/>
            <w:noWrap/>
            <w:vAlign w:val="center"/>
            <w:hideMark/>
          </w:tcPr>
          <w:p w14:paraId="2ED4E460"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0.019***</w:t>
            </w:r>
          </w:p>
        </w:tc>
        <w:tc>
          <w:tcPr>
            <w:tcW w:w="757" w:type="dxa"/>
            <w:tcBorders>
              <w:top w:val="nil"/>
              <w:left w:val="nil"/>
              <w:bottom w:val="nil"/>
              <w:right w:val="nil"/>
            </w:tcBorders>
            <w:shd w:val="clear" w:color="000000" w:fill="FFFFFF"/>
            <w:noWrap/>
            <w:vAlign w:val="center"/>
            <w:hideMark/>
          </w:tcPr>
          <w:p w14:paraId="384A0301"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(0.004)</w:t>
            </w:r>
          </w:p>
        </w:tc>
        <w:tc>
          <w:tcPr>
            <w:tcW w:w="1058" w:type="dxa"/>
            <w:tcBorders>
              <w:top w:val="nil"/>
              <w:left w:val="nil"/>
              <w:bottom w:val="nil"/>
              <w:right w:val="nil"/>
            </w:tcBorders>
            <w:shd w:val="clear" w:color="000000" w:fill="FFFFFF"/>
            <w:noWrap/>
            <w:vAlign w:val="center"/>
            <w:hideMark/>
          </w:tcPr>
          <w:p w14:paraId="0A6205D3"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0.048***</w:t>
            </w:r>
          </w:p>
        </w:tc>
        <w:tc>
          <w:tcPr>
            <w:tcW w:w="769" w:type="dxa"/>
            <w:tcBorders>
              <w:top w:val="nil"/>
              <w:left w:val="nil"/>
              <w:bottom w:val="nil"/>
              <w:right w:val="nil"/>
            </w:tcBorders>
            <w:shd w:val="clear" w:color="000000" w:fill="FFFFFF"/>
            <w:noWrap/>
            <w:vAlign w:val="center"/>
            <w:hideMark/>
          </w:tcPr>
          <w:p w14:paraId="6D861590"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(0.009)</w:t>
            </w:r>
          </w:p>
        </w:tc>
      </w:tr>
      <w:tr w:rsidR="007A295D" w:rsidRPr="00375327" w14:paraId="38DFA7D4" w14:textId="77777777" w:rsidTr="00071D0E">
        <w:trPr>
          <w:trHeight w:val="290"/>
        </w:trPr>
        <w:tc>
          <w:tcPr>
            <w:tcW w:w="5816" w:type="dxa"/>
            <w:tcBorders>
              <w:top w:val="nil"/>
              <w:left w:val="nil"/>
              <w:bottom w:val="nil"/>
              <w:right w:val="nil"/>
            </w:tcBorders>
            <w:shd w:val="clear" w:color="000000" w:fill="FFFFFF"/>
            <w:noWrap/>
            <w:vAlign w:val="center"/>
            <w:hideMark/>
          </w:tcPr>
          <w:p w14:paraId="3EEBA0A6"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Identification with country vs EU # Causal beliefs: country</w:t>
            </w:r>
          </w:p>
        </w:tc>
        <w:tc>
          <w:tcPr>
            <w:tcW w:w="960" w:type="dxa"/>
            <w:tcBorders>
              <w:top w:val="nil"/>
              <w:left w:val="nil"/>
              <w:bottom w:val="nil"/>
              <w:right w:val="nil"/>
            </w:tcBorders>
            <w:shd w:val="clear" w:color="000000" w:fill="FFFFFF"/>
            <w:noWrap/>
            <w:vAlign w:val="center"/>
            <w:hideMark/>
          </w:tcPr>
          <w:p w14:paraId="707EDE69"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 </w:t>
            </w:r>
          </w:p>
        </w:tc>
        <w:tc>
          <w:tcPr>
            <w:tcW w:w="757" w:type="dxa"/>
            <w:tcBorders>
              <w:top w:val="nil"/>
              <w:left w:val="nil"/>
              <w:bottom w:val="nil"/>
              <w:right w:val="nil"/>
            </w:tcBorders>
            <w:shd w:val="clear" w:color="000000" w:fill="FFFFFF"/>
            <w:noWrap/>
            <w:vAlign w:val="center"/>
            <w:hideMark/>
          </w:tcPr>
          <w:p w14:paraId="4E2767BE"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 </w:t>
            </w:r>
          </w:p>
        </w:tc>
        <w:tc>
          <w:tcPr>
            <w:tcW w:w="1058" w:type="dxa"/>
            <w:tcBorders>
              <w:top w:val="nil"/>
              <w:left w:val="nil"/>
              <w:bottom w:val="nil"/>
              <w:right w:val="nil"/>
            </w:tcBorders>
            <w:shd w:val="clear" w:color="000000" w:fill="FFFFFF"/>
            <w:noWrap/>
            <w:vAlign w:val="center"/>
            <w:hideMark/>
          </w:tcPr>
          <w:p w14:paraId="58C3B8C4"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-0.016***</w:t>
            </w:r>
          </w:p>
        </w:tc>
        <w:tc>
          <w:tcPr>
            <w:tcW w:w="769" w:type="dxa"/>
            <w:tcBorders>
              <w:top w:val="nil"/>
              <w:left w:val="nil"/>
              <w:bottom w:val="nil"/>
              <w:right w:val="nil"/>
            </w:tcBorders>
            <w:shd w:val="clear" w:color="000000" w:fill="FFFFFF"/>
            <w:noWrap/>
            <w:vAlign w:val="center"/>
            <w:hideMark/>
          </w:tcPr>
          <w:p w14:paraId="679421C0"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(0.005)</w:t>
            </w:r>
          </w:p>
        </w:tc>
      </w:tr>
      <w:tr w:rsidR="007A295D" w:rsidRPr="00375327" w14:paraId="27125468" w14:textId="77777777" w:rsidTr="00071D0E">
        <w:trPr>
          <w:trHeight w:val="290"/>
        </w:trPr>
        <w:tc>
          <w:tcPr>
            <w:tcW w:w="5816" w:type="dxa"/>
            <w:tcBorders>
              <w:top w:val="nil"/>
              <w:left w:val="nil"/>
              <w:bottom w:val="nil"/>
              <w:right w:val="nil"/>
            </w:tcBorders>
            <w:shd w:val="clear" w:color="000000" w:fill="FFFFFF"/>
            <w:noWrap/>
            <w:vAlign w:val="center"/>
            <w:hideMark/>
          </w:tcPr>
          <w:p w14:paraId="77364B20"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Causal beliefs: Europe</w:t>
            </w:r>
          </w:p>
        </w:tc>
        <w:tc>
          <w:tcPr>
            <w:tcW w:w="960" w:type="dxa"/>
            <w:tcBorders>
              <w:top w:val="nil"/>
              <w:left w:val="nil"/>
              <w:bottom w:val="nil"/>
              <w:right w:val="nil"/>
            </w:tcBorders>
            <w:shd w:val="clear" w:color="000000" w:fill="FFFFFF"/>
            <w:noWrap/>
            <w:vAlign w:val="center"/>
            <w:hideMark/>
          </w:tcPr>
          <w:p w14:paraId="78ED0607"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0.021***</w:t>
            </w:r>
          </w:p>
        </w:tc>
        <w:tc>
          <w:tcPr>
            <w:tcW w:w="757" w:type="dxa"/>
            <w:tcBorders>
              <w:top w:val="nil"/>
              <w:left w:val="nil"/>
              <w:bottom w:val="nil"/>
              <w:right w:val="nil"/>
            </w:tcBorders>
            <w:shd w:val="clear" w:color="000000" w:fill="FFFFFF"/>
            <w:noWrap/>
            <w:vAlign w:val="center"/>
            <w:hideMark/>
          </w:tcPr>
          <w:p w14:paraId="380D410A"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(0.003)</w:t>
            </w:r>
          </w:p>
        </w:tc>
        <w:tc>
          <w:tcPr>
            <w:tcW w:w="1058" w:type="dxa"/>
            <w:tcBorders>
              <w:top w:val="nil"/>
              <w:left w:val="nil"/>
              <w:bottom w:val="nil"/>
              <w:right w:val="nil"/>
            </w:tcBorders>
            <w:shd w:val="clear" w:color="000000" w:fill="FFFFFF"/>
            <w:noWrap/>
            <w:vAlign w:val="center"/>
            <w:hideMark/>
          </w:tcPr>
          <w:p w14:paraId="6F84F844"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0.012</w:t>
            </w:r>
          </w:p>
        </w:tc>
        <w:tc>
          <w:tcPr>
            <w:tcW w:w="769" w:type="dxa"/>
            <w:tcBorders>
              <w:top w:val="nil"/>
              <w:left w:val="nil"/>
              <w:bottom w:val="nil"/>
              <w:right w:val="nil"/>
            </w:tcBorders>
            <w:shd w:val="clear" w:color="000000" w:fill="FFFFFF"/>
            <w:noWrap/>
            <w:vAlign w:val="center"/>
            <w:hideMark/>
          </w:tcPr>
          <w:p w14:paraId="5B354E86"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(0.009)</w:t>
            </w:r>
          </w:p>
        </w:tc>
      </w:tr>
      <w:tr w:rsidR="007A295D" w:rsidRPr="00375327" w14:paraId="568FE9FA" w14:textId="77777777" w:rsidTr="00071D0E">
        <w:trPr>
          <w:trHeight w:val="290"/>
        </w:trPr>
        <w:tc>
          <w:tcPr>
            <w:tcW w:w="5816" w:type="dxa"/>
            <w:tcBorders>
              <w:top w:val="nil"/>
              <w:left w:val="nil"/>
              <w:bottom w:val="nil"/>
              <w:right w:val="nil"/>
            </w:tcBorders>
            <w:shd w:val="clear" w:color="000000" w:fill="FFFFFF"/>
            <w:noWrap/>
            <w:vAlign w:val="center"/>
            <w:hideMark/>
          </w:tcPr>
          <w:p w14:paraId="053CD893"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Identification with country vs EU # Causal beliefs: Europe</w:t>
            </w:r>
          </w:p>
        </w:tc>
        <w:tc>
          <w:tcPr>
            <w:tcW w:w="960" w:type="dxa"/>
            <w:tcBorders>
              <w:top w:val="nil"/>
              <w:left w:val="nil"/>
              <w:bottom w:val="nil"/>
              <w:right w:val="nil"/>
            </w:tcBorders>
            <w:shd w:val="clear" w:color="000000" w:fill="FFFFFF"/>
            <w:noWrap/>
            <w:vAlign w:val="center"/>
            <w:hideMark/>
          </w:tcPr>
          <w:p w14:paraId="0A4D3B20"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 </w:t>
            </w:r>
          </w:p>
        </w:tc>
        <w:tc>
          <w:tcPr>
            <w:tcW w:w="757" w:type="dxa"/>
            <w:tcBorders>
              <w:top w:val="nil"/>
              <w:left w:val="nil"/>
              <w:bottom w:val="nil"/>
              <w:right w:val="nil"/>
            </w:tcBorders>
            <w:shd w:val="clear" w:color="000000" w:fill="FFFFFF"/>
            <w:noWrap/>
            <w:vAlign w:val="center"/>
            <w:hideMark/>
          </w:tcPr>
          <w:p w14:paraId="4FE1E52F"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 </w:t>
            </w:r>
          </w:p>
        </w:tc>
        <w:tc>
          <w:tcPr>
            <w:tcW w:w="1058" w:type="dxa"/>
            <w:tcBorders>
              <w:top w:val="nil"/>
              <w:left w:val="nil"/>
              <w:bottom w:val="nil"/>
              <w:right w:val="nil"/>
            </w:tcBorders>
            <w:shd w:val="clear" w:color="000000" w:fill="FFFFFF"/>
            <w:noWrap/>
            <w:vAlign w:val="center"/>
            <w:hideMark/>
          </w:tcPr>
          <w:p w14:paraId="28221C82"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0.005</w:t>
            </w:r>
          </w:p>
        </w:tc>
        <w:tc>
          <w:tcPr>
            <w:tcW w:w="769" w:type="dxa"/>
            <w:tcBorders>
              <w:top w:val="nil"/>
              <w:left w:val="nil"/>
              <w:bottom w:val="nil"/>
              <w:right w:val="nil"/>
            </w:tcBorders>
            <w:shd w:val="clear" w:color="000000" w:fill="FFFFFF"/>
            <w:noWrap/>
            <w:vAlign w:val="center"/>
            <w:hideMark/>
          </w:tcPr>
          <w:p w14:paraId="3FAC784D"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(0.005)</w:t>
            </w:r>
          </w:p>
        </w:tc>
      </w:tr>
      <w:tr w:rsidR="007A295D" w:rsidRPr="00375327" w14:paraId="4240FACC" w14:textId="77777777" w:rsidTr="00071D0E">
        <w:trPr>
          <w:trHeight w:val="290"/>
        </w:trPr>
        <w:tc>
          <w:tcPr>
            <w:tcW w:w="5816" w:type="dxa"/>
            <w:tcBorders>
              <w:top w:val="nil"/>
              <w:left w:val="nil"/>
              <w:bottom w:val="nil"/>
              <w:right w:val="nil"/>
            </w:tcBorders>
            <w:shd w:val="clear" w:color="000000" w:fill="FFFFFF"/>
            <w:noWrap/>
            <w:vAlign w:val="center"/>
            <w:hideMark/>
          </w:tcPr>
          <w:p w14:paraId="6A100B03"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Identification with country vs EU</w:t>
            </w:r>
          </w:p>
        </w:tc>
        <w:tc>
          <w:tcPr>
            <w:tcW w:w="960" w:type="dxa"/>
            <w:tcBorders>
              <w:top w:val="nil"/>
              <w:left w:val="nil"/>
              <w:bottom w:val="nil"/>
              <w:right w:val="nil"/>
            </w:tcBorders>
            <w:shd w:val="clear" w:color="000000" w:fill="FFFFFF"/>
            <w:noWrap/>
            <w:vAlign w:val="center"/>
            <w:hideMark/>
          </w:tcPr>
          <w:p w14:paraId="04836136"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0.004</w:t>
            </w:r>
          </w:p>
        </w:tc>
        <w:tc>
          <w:tcPr>
            <w:tcW w:w="757" w:type="dxa"/>
            <w:tcBorders>
              <w:top w:val="nil"/>
              <w:left w:val="nil"/>
              <w:bottom w:val="nil"/>
              <w:right w:val="nil"/>
            </w:tcBorders>
            <w:shd w:val="clear" w:color="000000" w:fill="FFFFFF"/>
            <w:noWrap/>
            <w:vAlign w:val="center"/>
            <w:hideMark/>
          </w:tcPr>
          <w:p w14:paraId="3F351668"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(0.004)</w:t>
            </w:r>
          </w:p>
        </w:tc>
        <w:tc>
          <w:tcPr>
            <w:tcW w:w="1058" w:type="dxa"/>
            <w:tcBorders>
              <w:top w:val="nil"/>
              <w:left w:val="nil"/>
              <w:bottom w:val="nil"/>
              <w:right w:val="nil"/>
            </w:tcBorders>
            <w:shd w:val="clear" w:color="000000" w:fill="FFFFFF"/>
            <w:noWrap/>
            <w:vAlign w:val="center"/>
            <w:hideMark/>
          </w:tcPr>
          <w:p w14:paraId="72A959B0"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0.040**</w:t>
            </w:r>
          </w:p>
        </w:tc>
        <w:tc>
          <w:tcPr>
            <w:tcW w:w="769" w:type="dxa"/>
            <w:tcBorders>
              <w:top w:val="nil"/>
              <w:left w:val="nil"/>
              <w:bottom w:val="nil"/>
              <w:right w:val="nil"/>
            </w:tcBorders>
            <w:shd w:val="clear" w:color="000000" w:fill="FFFFFF"/>
            <w:noWrap/>
            <w:vAlign w:val="center"/>
            <w:hideMark/>
          </w:tcPr>
          <w:p w14:paraId="65E2A0D5"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(0.015)</w:t>
            </w:r>
          </w:p>
        </w:tc>
      </w:tr>
      <w:tr w:rsidR="007A295D" w:rsidRPr="00375327" w14:paraId="0BD71734" w14:textId="77777777" w:rsidTr="00071D0E">
        <w:trPr>
          <w:trHeight w:val="290"/>
        </w:trPr>
        <w:tc>
          <w:tcPr>
            <w:tcW w:w="5816" w:type="dxa"/>
            <w:tcBorders>
              <w:top w:val="nil"/>
              <w:left w:val="nil"/>
              <w:bottom w:val="single" w:sz="4" w:space="0" w:color="auto"/>
              <w:right w:val="nil"/>
            </w:tcBorders>
            <w:shd w:val="clear" w:color="000000" w:fill="FFFFFF"/>
            <w:noWrap/>
            <w:vAlign w:val="center"/>
            <w:hideMark/>
          </w:tcPr>
          <w:p w14:paraId="51E241C5"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Constant</w:t>
            </w:r>
          </w:p>
        </w:tc>
        <w:tc>
          <w:tcPr>
            <w:tcW w:w="960" w:type="dxa"/>
            <w:tcBorders>
              <w:top w:val="nil"/>
              <w:left w:val="nil"/>
              <w:bottom w:val="single" w:sz="4" w:space="0" w:color="auto"/>
              <w:right w:val="nil"/>
            </w:tcBorders>
            <w:shd w:val="clear" w:color="000000" w:fill="FFFFFF"/>
            <w:noWrap/>
            <w:vAlign w:val="center"/>
            <w:hideMark/>
          </w:tcPr>
          <w:p w14:paraId="7001FE5A"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0.045*</w:t>
            </w:r>
          </w:p>
        </w:tc>
        <w:tc>
          <w:tcPr>
            <w:tcW w:w="757" w:type="dxa"/>
            <w:tcBorders>
              <w:top w:val="nil"/>
              <w:left w:val="nil"/>
              <w:bottom w:val="single" w:sz="4" w:space="0" w:color="auto"/>
              <w:right w:val="nil"/>
            </w:tcBorders>
            <w:shd w:val="clear" w:color="000000" w:fill="FFFFFF"/>
            <w:noWrap/>
            <w:vAlign w:val="center"/>
            <w:hideMark/>
          </w:tcPr>
          <w:p w14:paraId="1787B018"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(0.021)</w:t>
            </w:r>
          </w:p>
        </w:tc>
        <w:tc>
          <w:tcPr>
            <w:tcW w:w="1058" w:type="dxa"/>
            <w:tcBorders>
              <w:top w:val="nil"/>
              <w:left w:val="nil"/>
              <w:bottom w:val="single" w:sz="4" w:space="0" w:color="auto"/>
              <w:right w:val="nil"/>
            </w:tcBorders>
            <w:shd w:val="clear" w:color="000000" w:fill="FFFFFF"/>
            <w:noWrap/>
            <w:vAlign w:val="center"/>
            <w:hideMark/>
          </w:tcPr>
          <w:p w14:paraId="4B7B43B0"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-0.018</w:t>
            </w:r>
          </w:p>
        </w:tc>
        <w:tc>
          <w:tcPr>
            <w:tcW w:w="769" w:type="dxa"/>
            <w:tcBorders>
              <w:top w:val="nil"/>
              <w:left w:val="nil"/>
              <w:bottom w:val="single" w:sz="4" w:space="0" w:color="auto"/>
              <w:right w:val="nil"/>
            </w:tcBorders>
            <w:shd w:val="clear" w:color="000000" w:fill="FFFFFF"/>
            <w:noWrap/>
            <w:vAlign w:val="center"/>
            <w:hideMark/>
          </w:tcPr>
          <w:p w14:paraId="52E08EE7"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(0.033)</w:t>
            </w:r>
          </w:p>
        </w:tc>
      </w:tr>
      <w:tr w:rsidR="007A295D" w:rsidRPr="00375327" w14:paraId="5DD99893" w14:textId="77777777" w:rsidTr="00071D0E">
        <w:trPr>
          <w:trHeight w:val="290"/>
        </w:trPr>
        <w:tc>
          <w:tcPr>
            <w:tcW w:w="5816" w:type="dxa"/>
            <w:tcBorders>
              <w:top w:val="nil"/>
              <w:left w:val="nil"/>
              <w:bottom w:val="nil"/>
              <w:right w:val="nil"/>
            </w:tcBorders>
            <w:shd w:val="clear" w:color="000000" w:fill="FFFFFF"/>
            <w:noWrap/>
            <w:vAlign w:val="center"/>
            <w:hideMark/>
          </w:tcPr>
          <w:p w14:paraId="55A1CCDA"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Observations</w:t>
            </w:r>
          </w:p>
        </w:tc>
        <w:tc>
          <w:tcPr>
            <w:tcW w:w="1717" w:type="dxa"/>
            <w:gridSpan w:val="2"/>
            <w:tcBorders>
              <w:top w:val="nil"/>
              <w:left w:val="nil"/>
              <w:bottom w:val="nil"/>
              <w:right w:val="nil"/>
            </w:tcBorders>
            <w:shd w:val="clear" w:color="000000" w:fill="FFFFFF"/>
            <w:noWrap/>
            <w:vAlign w:val="center"/>
            <w:hideMark/>
          </w:tcPr>
          <w:p w14:paraId="3B3CB26B" w14:textId="77777777" w:rsidR="007A295D" w:rsidRPr="00375327" w:rsidRDefault="007A295D" w:rsidP="00071D0E">
            <w:pPr>
              <w:spacing w:line="240" w:lineRule="auto"/>
              <w:jc w:val="center"/>
              <w:rPr>
                <w:rFonts w:eastAsia="Times New Roman" w:cs="Times New Roman"/>
                <w:sz w:val="18"/>
                <w:szCs w:val="18"/>
              </w:rPr>
            </w:pPr>
            <w:r w:rsidRPr="00375327">
              <w:rPr>
                <w:rFonts w:eastAsia="Times New Roman" w:cs="Times New Roman"/>
                <w:sz w:val="18"/>
                <w:szCs w:val="18"/>
              </w:rPr>
              <w:t>45024</w:t>
            </w:r>
          </w:p>
        </w:tc>
        <w:tc>
          <w:tcPr>
            <w:tcW w:w="1827" w:type="dxa"/>
            <w:gridSpan w:val="2"/>
            <w:tcBorders>
              <w:top w:val="nil"/>
              <w:left w:val="nil"/>
              <w:bottom w:val="nil"/>
              <w:right w:val="nil"/>
            </w:tcBorders>
            <w:shd w:val="clear" w:color="000000" w:fill="FFFFFF"/>
            <w:noWrap/>
            <w:vAlign w:val="center"/>
            <w:hideMark/>
          </w:tcPr>
          <w:p w14:paraId="229589F1" w14:textId="77777777" w:rsidR="007A295D" w:rsidRPr="00375327" w:rsidRDefault="007A295D" w:rsidP="00071D0E">
            <w:pPr>
              <w:spacing w:line="240" w:lineRule="auto"/>
              <w:jc w:val="center"/>
              <w:rPr>
                <w:rFonts w:eastAsia="Times New Roman" w:cs="Times New Roman"/>
                <w:sz w:val="18"/>
                <w:szCs w:val="18"/>
              </w:rPr>
            </w:pPr>
            <w:r w:rsidRPr="00375327">
              <w:rPr>
                <w:rFonts w:eastAsia="Times New Roman" w:cs="Times New Roman"/>
                <w:sz w:val="18"/>
                <w:szCs w:val="18"/>
              </w:rPr>
              <w:t>45024</w:t>
            </w:r>
          </w:p>
        </w:tc>
      </w:tr>
      <w:tr w:rsidR="007A295D" w:rsidRPr="00375327" w14:paraId="181415D5" w14:textId="77777777" w:rsidTr="00071D0E">
        <w:trPr>
          <w:trHeight w:val="290"/>
        </w:trPr>
        <w:tc>
          <w:tcPr>
            <w:tcW w:w="5816" w:type="dxa"/>
            <w:tcBorders>
              <w:top w:val="nil"/>
              <w:left w:val="nil"/>
              <w:bottom w:val="single" w:sz="12" w:space="0" w:color="auto"/>
              <w:right w:val="nil"/>
            </w:tcBorders>
            <w:shd w:val="clear" w:color="000000" w:fill="FFFFFF"/>
            <w:noWrap/>
            <w:vAlign w:val="center"/>
            <w:hideMark/>
          </w:tcPr>
          <w:p w14:paraId="7FBF17D0"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Adjusted R-squared</w:t>
            </w:r>
          </w:p>
        </w:tc>
        <w:tc>
          <w:tcPr>
            <w:tcW w:w="1717" w:type="dxa"/>
            <w:gridSpan w:val="2"/>
            <w:tcBorders>
              <w:top w:val="nil"/>
              <w:left w:val="nil"/>
              <w:bottom w:val="single" w:sz="12" w:space="0" w:color="auto"/>
              <w:right w:val="nil"/>
            </w:tcBorders>
            <w:shd w:val="clear" w:color="000000" w:fill="FFFFFF"/>
            <w:noWrap/>
            <w:vAlign w:val="center"/>
            <w:hideMark/>
          </w:tcPr>
          <w:p w14:paraId="610193A7" w14:textId="77777777" w:rsidR="007A295D" w:rsidRPr="00375327" w:rsidRDefault="007A295D" w:rsidP="00071D0E">
            <w:pPr>
              <w:spacing w:line="240" w:lineRule="auto"/>
              <w:jc w:val="center"/>
              <w:rPr>
                <w:rFonts w:eastAsia="Times New Roman" w:cs="Times New Roman"/>
                <w:sz w:val="18"/>
                <w:szCs w:val="18"/>
              </w:rPr>
            </w:pPr>
            <w:r w:rsidRPr="00375327">
              <w:rPr>
                <w:rFonts w:eastAsia="Times New Roman" w:cs="Times New Roman"/>
                <w:sz w:val="18"/>
                <w:szCs w:val="18"/>
              </w:rPr>
              <w:t>0.039</w:t>
            </w:r>
          </w:p>
        </w:tc>
        <w:tc>
          <w:tcPr>
            <w:tcW w:w="1827" w:type="dxa"/>
            <w:gridSpan w:val="2"/>
            <w:tcBorders>
              <w:top w:val="nil"/>
              <w:left w:val="nil"/>
              <w:bottom w:val="single" w:sz="12" w:space="0" w:color="auto"/>
              <w:right w:val="nil"/>
            </w:tcBorders>
            <w:shd w:val="clear" w:color="000000" w:fill="FFFFFF"/>
            <w:noWrap/>
            <w:vAlign w:val="center"/>
            <w:hideMark/>
          </w:tcPr>
          <w:p w14:paraId="148A48B5" w14:textId="77777777" w:rsidR="007A295D" w:rsidRPr="00375327" w:rsidRDefault="007A295D" w:rsidP="00071D0E">
            <w:pPr>
              <w:spacing w:line="240" w:lineRule="auto"/>
              <w:jc w:val="center"/>
              <w:rPr>
                <w:rFonts w:eastAsia="Times New Roman" w:cs="Times New Roman"/>
                <w:sz w:val="18"/>
                <w:szCs w:val="18"/>
              </w:rPr>
            </w:pPr>
            <w:r w:rsidRPr="00375327">
              <w:rPr>
                <w:rFonts w:eastAsia="Times New Roman" w:cs="Times New Roman"/>
                <w:sz w:val="18"/>
                <w:szCs w:val="18"/>
              </w:rPr>
              <w:t>0.039</w:t>
            </w:r>
          </w:p>
        </w:tc>
      </w:tr>
      <w:tr w:rsidR="007A295D" w:rsidRPr="00375327" w14:paraId="01A93463" w14:textId="77777777" w:rsidTr="00071D0E">
        <w:trPr>
          <w:trHeight w:val="290"/>
        </w:trPr>
        <w:tc>
          <w:tcPr>
            <w:tcW w:w="9360" w:type="dxa"/>
            <w:gridSpan w:val="5"/>
            <w:tcBorders>
              <w:top w:val="nil"/>
              <w:left w:val="nil"/>
              <w:bottom w:val="nil"/>
              <w:right w:val="nil"/>
            </w:tcBorders>
            <w:shd w:val="clear" w:color="000000" w:fill="FFFFFF"/>
            <w:noWrap/>
            <w:vAlign w:val="center"/>
            <w:hideMark/>
          </w:tcPr>
          <w:p w14:paraId="55964A32"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Note: standard errors in parentheses; conjoint dimension effects and country fixed effects suppressed from output; standard errors clustered on the individual level</w:t>
            </w:r>
          </w:p>
        </w:tc>
      </w:tr>
      <w:tr w:rsidR="007A295D" w:rsidRPr="00375327" w14:paraId="10A3CEDD" w14:textId="77777777" w:rsidTr="00071D0E">
        <w:trPr>
          <w:trHeight w:val="290"/>
        </w:trPr>
        <w:tc>
          <w:tcPr>
            <w:tcW w:w="9360" w:type="dxa"/>
            <w:gridSpan w:val="5"/>
            <w:tcBorders>
              <w:top w:val="nil"/>
              <w:left w:val="nil"/>
              <w:bottom w:val="nil"/>
              <w:right w:val="nil"/>
            </w:tcBorders>
            <w:shd w:val="clear" w:color="000000" w:fill="FFFFFF"/>
            <w:noWrap/>
            <w:vAlign w:val="center"/>
            <w:hideMark/>
          </w:tcPr>
          <w:p w14:paraId="534B73BC" w14:textId="77777777" w:rsidR="007A295D" w:rsidRPr="00375327" w:rsidRDefault="007A295D" w:rsidP="00071D0E">
            <w:pPr>
              <w:spacing w:line="240" w:lineRule="auto"/>
              <w:rPr>
                <w:rFonts w:eastAsia="Times New Roman" w:cs="Times New Roman"/>
                <w:sz w:val="18"/>
                <w:szCs w:val="18"/>
              </w:rPr>
            </w:pPr>
            <w:r w:rsidRPr="00375327">
              <w:rPr>
                <w:rFonts w:eastAsia="Times New Roman" w:cs="Times New Roman"/>
                <w:sz w:val="18"/>
                <w:szCs w:val="18"/>
              </w:rPr>
              <w:t>* p&lt;0.05, ** p&lt;0.01, *** p&lt;0.001</w:t>
            </w:r>
          </w:p>
        </w:tc>
      </w:tr>
    </w:tbl>
    <w:p w14:paraId="7743B1E0" w14:textId="77777777" w:rsidR="007A295D" w:rsidRPr="00375327" w:rsidRDefault="007A295D" w:rsidP="007A295D"/>
    <w:p w14:paraId="0DE6110B" w14:textId="02C69E1C" w:rsidR="009A1540" w:rsidRPr="00375327" w:rsidRDefault="007A295D" w:rsidP="00375327">
      <w:pPr>
        <w:keepNext/>
      </w:pPr>
      <w:r w:rsidRPr="00375327">
        <w:rPr>
          <w:noProof/>
        </w:rPr>
        <w:lastRenderedPageBreak/>
        <w:drawing>
          <wp:inline distT="0" distB="0" distL="0" distR="0" wp14:anchorId="2C8A05BB" wp14:editId="1C3EF74D">
            <wp:extent cx="5486400" cy="339031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7308"/>
                    <a:stretch/>
                  </pic:blipFill>
                  <pic:spPr bwMode="auto">
                    <a:xfrm>
                      <a:off x="0" y="0"/>
                      <a:ext cx="5486400" cy="3390314"/>
                    </a:xfrm>
                    <a:prstGeom prst="rect">
                      <a:avLst/>
                    </a:prstGeom>
                    <a:noFill/>
                    <a:ln>
                      <a:noFill/>
                    </a:ln>
                    <a:extLst>
                      <a:ext uri="{53640926-AAD7-44D8-BBD7-CCE9431645EC}">
                        <a14:shadowObscured xmlns:a14="http://schemas.microsoft.com/office/drawing/2010/main"/>
                      </a:ext>
                    </a:extLst>
                  </pic:spPr>
                </pic:pic>
              </a:graphicData>
            </a:graphic>
          </wp:inline>
        </w:drawing>
      </w:r>
    </w:p>
    <w:p w14:paraId="7B0BC40D" w14:textId="6EEFCA04" w:rsidR="007A295D" w:rsidRPr="00375327" w:rsidRDefault="009A1540" w:rsidP="00375327">
      <w:pPr>
        <w:pStyle w:val="Caption"/>
        <w:jc w:val="right"/>
        <w:rPr>
          <w:i w:val="0"/>
          <w:iCs w:val="0"/>
        </w:rPr>
      </w:pPr>
      <w:r w:rsidRPr="00375327">
        <w:t>Figure A.2</w:t>
      </w:r>
    </w:p>
    <w:p w14:paraId="2E51DFBD" w14:textId="77777777" w:rsidR="007A295D" w:rsidRPr="00375327" w:rsidRDefault="007A295D" w:rsidP="006B2534"/>
    <w:sectPr w:rsidR="007A295D" w:rsidRPr="00375327" w:rsidSect="00A17E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632C" w14:textId="77777777" w:rsidR="00921052" w:rsidRDefault="00921052" w:rsidP="00C16D2A">
      <w:pPr>
        <w:spacing w:line="240" w:lineRule="auto"/>
      </w:pPr>
      <w:r>
        <w:separator/>
      </w:r>
    </w:p>
  </w:endnote>
  <w:endnote w:type="continuationSeparator" w:id="0">
    <w:p w14:paraId="32092E2B" w14:textId="77777777" w:rsidR="00921052" w:rsidRDefault="00921052" w:rsidP="00C16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1D5C" w14:textId="77777777" w:rsidR="00921052" w:rsidRDefault="00921052" w:rsidP="00C16D2A">
      <w:pPr>
        <w:spacing w:line="240" w:lineRule="auto"/>
      </w:pPr>
      <w:r>
        <w:separator/>
      </w:r>
    </w:p>
  </w:footnote>
  <w:footnote w:type="continuationSeparator" w:id="0">
    <w:p w14:paraId="2548A228" w14:textId="77777777" w:rsidR="00921052" w:rsidRDefault="00921052" w:rsidP="00C16D2A">
      <w:pPr>
        <w:spacing w:line="240" w:lineRule="auto"/>
      </w:pPr>
      <w:r>
        <w:continuationSeparator/>
      </w:r>
    </w:p>
  </w:footnote>
  <w:footnote w:id="1">
    <w:p w14:paraId="04375996" w14:textId="72117AB7" w:rsidR="00363CE9" w:rsidRDefault="00363CE9">
      <w:pPr>
        <w:pStyle w:val="FootnoteText"/>
      </w:pPr>
      <w:r>
        <w:rPr>
          <w:rStyle w:val="FootnoteReference"/>
        </w:rPr>
        <w:footnoteRef/>
      </w:r>
      <w:r>
        <w:t xml:space="preserve"> In the remainder of this paper, the term sociotropic concern will be used to in the meaning of ‘genuine’ sociotropic concern discussed above. </w:t>
      </w:r>
    </w:p>
  </w:footnote>
  <w:footnote w:id="2">
    <w:p w14:paraId="09C7E78D" w14:textId="2B520975" w:rsidR="0081452A" w:rsidRDefault="0081452A">
      <w:pPr>
        <w:pStyle w:val="FootnoteText"/>
      </w:pPr>
      <w:r>
        <w:rPr>
          <w:rStyle w:val="FootnoteReference"/>
        </w:rPr>
        <w:footnoteRef/>
      </w:r>
      <w:r>
        <w:t xml:space="preserve"> The quotas were based on Eurostat data. </w:t>
      </w:r>
    </w:p>
  </w:footnote>
  <w:footnote w:id="3">
    <w:p w14:paraId="2F24D9CC" w14:textId="77777777" w:rsidR="006A7EE8" w:rsidRDefault="006A7EE8" w:rsidP="006A7EE8">
      <w:pPr>
        <w:pStyle w:val="FootnoteText"/>
      </w:pPr>
      <w:r>
        <w:rPr>
          <w:rStyle w:val="FootnoteReference"/>
        </w:rPr>
        <w:footnoteRef/>
      </w:r>
      <w:r>
        <w:t xml:space="preserve"> The specific NUTS 2 region and the country in which the respondent lives was shown in the questionnaire.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52ED"/>
    <w:multiLevelType w:val="hybridMultilevel"/>
    <w:tmpl w:val="26F4A8C6"/>
    <w:lvl w:ilvl="0" w:tplc="0F58096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C16367"/>
    <w:multiLevelType w:val="hybridMultilevel"/>
    <w:tmpl w:val="2536FFA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4E7964"/>
    <w:multiLevelType w:val="hybridMultilevel"/>
    <w:tmpl w:val="5B229F7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D916EB7"/>
    <w:multiLevelType w:val="hybridMultilevel"/>
    <w:tmpl w:val="AE1CE504"/>
    <w:lvl w:ilvl="0" w:tplc="557E375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956156"/>
    <w:multiLevelType w:val="hybridMultilevel"/>
    <w:tmpl w:val="E0D627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B7971C7"/>
    <w:multiLevelType w:val="hybridMultilevel"/>
    <w:tmpl w:val="5150F144"/>
    <w:lvl w:ilvl="0" w:tplc="53460E9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F44081D"/>
    <w:multiLevelType w:val="hybridMultilevel"/>
    <w:tmpl w:val="08C25BDA"/>
    <w:lvl w:ilvl="0" w:tplc="0F58096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DDF42B5"/>
    <w:multiLevelType w:val="hybridMultilevel"/>
    <w:tmpl w:val="D07CCF9C"/>
    <w:lvl w:ilvl="0" w:tplc="0F58096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3EE530C"/>
    <w:multiLevelType w:val="hybridMultilevel"/>
    <w:tmpl w:val="7ADCB278"/>
    <w:lvl w:ilvl="0" w:tplc="D5E2F02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46602174"/>
    <w:multiLevelType w:val="hybridMultilevel"/>
    <w:tmpl w:val="8F1A667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B4E43CA"/>
    <w:multiLevelType w:val="hybridMultilevel"/>
    <w:tmpl w:val="B5528612"/>
    <w:lvl w:ilvl="0" w:tplc="0F58096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5073D2"/>
    <w:multiLevelType w:val="hybridMultilevel"/>
    <w:tmpl w:val="98D6F0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FD13E47"/>
    <w:multiLevelType w:val="hybridMultilevel"/>
    <w:tmpl w:val="481022A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BF43F4B"/>
    <w:multiLevelType w:val="hybridMultilevel"/>
    <w:tmpl w:val="D75C85CA"/>
    <w:lvl w:ilvl="0" w:tplc="0F58096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E2B3A38"/>
    <w:multiLevelType w:val="hybridMultilevel"/>
    <w:tmpl w:val="2C5AF29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83377962">
    <w:abstractNumId w:val="5"/>
  </w:num>
  <w:num w:numId="2" w16cid:durableId="1234310992">
    <w:abstractNumId w:val="10"/>
  </w:num>
  <w:num w:numId="3" w16cid:durableId="1350715336">
    <w:abstractNumId w:val="0"/>
  </w:num>
  <w:num w:numId="4" w16cid:durableId="729620272">
    <w:abstractNumId w:val="6"/>
  </w:num>
  <w:num w:numId="5" w16cid:durableId="1636712094">
    <w:abstractNumId w:val="12"/>
  </w:num>
  <w:num w:numId="6" w16cid:durableId="1374040718">
    <w:abstractNumId w:val="7"/>
  </w:num>
  <w:num w:numId="7" w16cid:durableId="1379360863">
    <w:abstractNumId w:val="14"/>
  </w:num>
  <w:num w:numId="8" w16cid:durableId="789279371">
    <w:abstractNumId w:val="4"/>
  </w:num>
  <w:num w:numId="9" w16cid:durableId="1574510642">
    <w:abstractNumId w:val="9"/>
  </w:num>
  <w:num w:numId="10" w16cid:durableId="1603606006">
    <w:abstractNumId w:val="1"/>
  </w:num>
  <w:num w:numId="11" w16cid:durableId="1348023143">
    <w:abstractNumId w:val="2"/>
  </w:num>
  <w:num w:numId="12" w16cid:durableId="2080900900">
    <w:abstractNumId w:val="11"/>
  </w:num>
  <w:num w:numId="13" w16cid:durableId="1067613384">
    <w:abstractNumId w:val="3"/>
  </w:num>
  <w:num w:numId="14" w16cid:durableId="1863320104">
    <w:abstractNumId w:val="13"/>
  </w:num>
  <w:num w:numId="15" w16cid:durableId="10276331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EE"/>
    <w:rsid w:val="000008F7"/>
    <w:rsid w:val="00004A0C"/>
    <w:rsid w:val="00004F2C"/>
    <w:rsid w:val="00005359"/>
    <w:rsid w:val="00005F7B"/>
    <w:rsid w:val="00006513"/>
    <w:rsid w:val="0000760D"/>
    <w:rsid w:val="0001005A"/>
    <w:rsid w:val="00012ABE"/>
    <w:rsid w:val="00021522"/>
    <w:rsid w:val="00021567"/>
    <w:rsid w:val="00022319"/>
    <w:rsid w:val="00022A73"/>
    <w:rsid w:val="00023B42"/>
    <w:rsid w:val="00023C01"/>
    <w:rsid w:val="00026958"/>
    <w:rsid w:val="00026F88"/>
    <w:rsid w:val="00031227"/>
    <w:rsid w:val="00033D44"/>
    <w:rsid w:val="0003569A"/>
    <w:rsid w:val="00035917"/>
    <w:rsid w:val="00041259"/>
    <w:rsid w:val="00043B1E"/>
    <w:rsid w:val="00046CB7"/>
    <w:rsid w:val="00053FCB"/>
    <w:rsid w:val="00056A4B"/>
    <w:rsid w:val="000572B9"/>
    <w:rsid w:val="0005736E"/>
    <w:rsid w:val="00057B1F"/>
    <w:rsid w:val="000633D5"/>
    <w:rsid w:val="0006365D"/>
    <w:rsid w:val="00063C07"/>
    <w:rsid w:val="00070675"/>
    <w:rsid w:val="00072BE4"/>
    <w:rsid w:val="00072C43"/>
    <w:rsid w:val="00074E4A"/>
    <w:rsid w:val="0007674D"/>
    <w:rsid w:val="00076912"/>
    <w:rsid w:val="000809B1"/>
    <w:rsid w:val="00084943"/>
    <w:rsid w:val="00086CB4"/>
    <w:rsid w:val="00087385"/>
    <w:rsid w:val="0009020E"/>
    <w:rsid w:val="000917DC"/>
    <w:rsid w:val="000919A3"/>
    <w:rsid w:val="0009433E"/>
    <w:rsid w:val="000963B1"/>
    <w:rsid w:val="000A2ECC"/>
    <w:rsid w:val="000A6BCD"/>
    <w:rsid w:val="000B1AFE"/>
    <w:rsid w:val="000B1DDE"/>
    <w:rsid w:val="000B3281"/>
    <w:rsid w:val="000B6CDF"/>
    <w:rsid w:val="000B7509"/>
    <w:rsid w:val="000B7CD5"/>
    <w:rsid w:val="000C154B"/>
    <w:rsid w:val="000C2416"/>
    <w:rsid w:val="000C29FC"/>
    <w:rsid w:val="000C42D8"/>
    <w:rsid w:val="000C7D4D"/>
    <w:rsid w:val="000D18CE"/>
    <w:rsid w:val="000D1C9C"/>
    <w:rsid w:val="000D4529"/>
    <w:rsid w:val="000D50C1"/>
    <w:rsid w:val="000E016F"/>
    <w:rsid w:val="000E03C6"/>
    <w:rsid w:val="000E373E"/>
    <w:rsid w:val="000E431E"/>
    <w:rsid w:val="000E532C"/>
    <w:rsid w:val="000E6A51"/>
    <w:rsid w:val="000F35F9"/>
    <w:rsid w:val="00101B2A"/>
    <w:rsid w:val="0010337B"/>
    <w:rsid w:val="00104BF9"/>
    <w:rsid w:val="001078EB"/>
    <w:rsid w:val="001128D3"/>
    <w:rsid w:val="00114D66"/>
    <w:rsid w:val="00115B78"/>
    <w:rsid w:val="00122D98"/>
    <w:rsid w:val="00127CB9"/>
    <w:rsid w:val="00131533"/>
    <w:rsid w:val="00131EC4"/>
    <w:rsid w:val="00141AE0"/>
    <w:rsid w:val="00141F6C"/>
    <w:rsid w:val="001432DD"/>
    <w:rsid w:val="001433DA"/>
    <w:rsid w:val="00144A19"/>
    <w:rsid w:val="00147C0B"/>
    <w:rsid w:val="00150E06"/>
    <w:rsid w:val="001559CF"/>
    <w:rsid w:val="00156F32"/>
    <w:rsid w:val="001578A2"/>
    <w:rsid w:val="001604CE"/>
    <w:rsid w:val="001614C6"/>
    <w:rsid w:val="00163BAD"/>
    <w:rsid w:val="00164158"/>
    <w:rsid w:val="0016610B"/>
    <w:rsid w:val="00166B33"/>
    <w:rsid w:val="0016724A"/>
    <w:rsid w:val="00167D9E"/>
    <w:rsid w:val="00167F5D"/>
    <w:rsid w:val="001708ED"/>
    <w:rsid w:val="00171ECE"/>
    <w:rsid w:val="0017308D"/>
    <w:rsid w:val="00175311"/>
    <w:rsid w:val="00176BB4"/>
    <w:rsid w:val="00180482"/>
    <w:rsid w:val="001838FA"/>
    <w:rsid w:val="00185713"/>
    <w:rsid w:val="00190298"/>
    <w:rsid w:val="00190F3D"/>
    <w:rsid w:val="001918CA"/>
    <w:rsid w:val="00194E79"/>
    <w:rsid w:val="00197F0A"/>
    <w:rsid w:val="001A094F"/>
    <w:rsid w:val="001A0B97"/>
    <w:rsid w:val="001A0CD8"/>
    <w:rsid w:val="001B07EC"/>
    <w:rsid w:val="001B4A0C"/>
    <w:rsid w:val="001B55C0"/>
    <w:rsid w:val="001C5CCA"/>
    <w:rsid w:val="001C69DE"/>
    <w:rsid w:val="001D2704"/>
    <w:rsid w:val="001D2E05"/>
    <w:rsid w:val="001D362B"/>
    <w:rsid w:val="001D5091"/>
    <w:rsid w:val="001D7886"/>
    <w:rsid w:val="001E2473"/>
    <w:rsid w:val="001E2F79"/>
    <w:rsid w:val="001E4C09"/>
    <w:rsid w:val="001E4E20"/>
    <w:rsid w:val="001F127C"/>
    <w:rsid w:val="00205328"/>
    <w:rsid w:val="00207D9A"/>
    <w:rsid w:val="00207F45"/>
    <w:rsid w:val="00210B67"/>
    <w:rsid w:val="00216223"/>
    <w:rsid w:val="00216432"/>
    <w:rsid w:val="002179D6"/>
    <w:rsid w:val="002209FF"/>
    <w:rsid w:val="00225237"/>
    <w:rsid w:val="002271F6"/>
    <w:rsid w:val="00232154"/>
    <w:rsid w:val="00236C40"/>
    <w:rsid w:val="002377B9"/>
    <w:rsid w:val="00237B2E"/>
    <w:rsid w:val="00241358"/>
    <w:rsid w:val="0024258B"/>
    <w:rsid w:val="00242748"/>
    <w:rsid w:val="002460FA"/>
    <w:rsid w:val="002467D6"/>
    <w:rsid w:val="00250A4E"/>
    <w:rsid w:val="00250EA3"/>
    <w:rsid w:val="00250F5A"/>
    <w:rsid w:val="0025201E"/>
    <w:rsid w:val="00252230"/>
    <w:rsid w:val="00255409"/>
    <w:rsid w:val="00255A51"/>
    <w:rsid w:val="002611DC"/>
    <w:rsid w:val="0026430F"/>
    <w:rsid w:val="002651B0"/>
    <w:rsid w:val="002707A1"/>
    <w:rsid w:val="0027081A"/>
    <w:rsid w:val="00272371"/>
    <w:rsid w:val="00272DC1"/>
    <w:rsid w:val="002743B0"/>
    <w:rsid w:val="0027459F"/>
    <w:rsid w:val="00274EF4"/>
    <w:rsid w:val="00276A93"/>
    <w:rsid w:val="002807DF"/>
    <w:rsid w:val="00287BF5"/>
    <w:rsid w:val="00290D16"/>
    <w:rsid w:val="002921DD"/>
    <w:rsid w:val="0029278F"/>
    <w:rsid w:val="00293F68"/>
    <w:rsid w:val="00295C81"/>
    <w:rsid w:val="00296F08"/>
    <w:rsid w:val="002A087C"/>
    <w:rsid w:val="002A2C36"/>
    <w:rsid w:val="002A532D"/>
    <w:rsid w:val="002A5DB4"/>
    <w:rsid w:val="002A63EE"/>
    <w:rsid w:val="002A6561"/>
    <w:rsid w:val="002B009D"/>
    <w:rsid w:val="002B05CB"/>
    <w:rsid w:val="002B47E7"/>
    <w:rsid w:val="002B513B"/>
    <w:rsid w:val="002C0928"/>
    <w:rsid w:val="002C40B6"/>
    <w:rsid w:val="002C6B3B"/>
    <w:rsid w:val="002C7BAA"/>
    <w:rsid w:val="002D12F7"/>
    <w:rsid w:val="002D7D6D"/>
    <w:rsid w:val="002E13AE"/>
    <w:rsid w:val="002E1D03"/>
    <w:rsid w:val="002E1E80"/>
    <w:rsid w:val="002E51E4"/>
    <w:rsid w:val="002E61BD"/>
    <w:rsid w:val="002E6C35"/>
    <w:rsid w:val="002E6CE6"/>
    <w:rsid w:val="002E7224"/>
    <w:rsid w:val="002F119C"/>
    <w:rsid w:val="002F6E88"/>
    <w:rsid w:val="002F6FE3"/>
    <w:rsid w:val="002F7A66"/>
    <w:rsid w:val="00301BBC"/>
    <w:rsid w:val="00302466"/>
    <w:rsid w:val="003069DB"/>
    <w:rsid w:val="00307A80"/>
    <w:rsid w:val="00313976"/>
    <w:rsid w:val="003144A4"/>
    <w:rsid w:val="00314B9E"/>
    <w:rsid w:val="00314C55"/>
    <w:rsid w:val="003155DA"/>
    <w:rsid w:val="003162FB"/>
    <w:rsid w:val="00320493"/>
    <w:rsid w:val="00321289"/>
    <w:rsid w:val="0032143C"/>
    <w:rsid w:val="00321EAA"/>
    <w:rsid w:val="003232B0"/>
    <w:rsid w:val="00335FB7"/>
    <w:rsid w:val="0033714A"/>
    <w:rsid w:val="00337A02"/>
    <w:rsid w:val="003417F6"/>
    <w:rsid w:val="003441DD"/>
    <w:rsid w:val="00344332"/>
    <w:rsid w:val="003524D8"/>
    <w:rsid w:val="00354896"/>
    <w:rsid w:val="00354D94"/>
    <w:rsid w:val="00354DC8"/>
    <w:rsid w:val="00355834"/>
    <w:rsid w:val="0035612F"/>
    <w:rsid w:val="00360EA0"/>
    <w:rsid w:val="0036252C"/>
    <w:rsid w:val="00363CE9"/>
    <w:rsid w:val="00372D5F"/>
    <w:rsid w:val="00375327"/>
    <w:rsid w:val="00377522"/>
    <w:rsid w:val="00377EBD"/>
    <w:rsid w:val="003857DD"/>
    <w:rsid w:val="0038589C"/>
    <w:rsid w:val="00386BC4"/>
    <w:rsid w:val="00387B5D"/>
    <w:rsid w:val="00390B2C"/>
    <w:rsid w:val="00390E2E"/>
    <w:rsid w:val="00392434"/>
    <w:rsid w:val="00392E0C"/>
    <w:rsid w:val="0039454F"/>
    <w:rsid w:val="003A006F"/>
    <w:rsid w:val="003A01B9"/>
    <w:rsid w:val="003A07D9"/>
    <w:rsid w:val="003A317B"/>
    <w:rsid w:val="003A3364"/>
    <w:rsid w:val="003A5D71"/>
    <w:rsid w:val="003B3F52"/>
    <w:rsid w:val="003B4783"/>
    <w:rsid w:val="003B63FE"/>
    <w:rsid w:val="003C0700"/>
    <w:rsid w:val="003C1D63"/>
    <w:rsid w:val="003C31B3"/>
    <w:rsid w:val="003C4172"/>
    <w:rsid w:val="003C5F90"/>
    <w:rsid w:val="003C7F41"/>
    <w:rsid w:val="003D1157"/>
    <w:rsid w:val="003D40A9"/>
    <w:rsid w:val="003D7AEE"/>
    <w:rsid w:val="003E29F6"/>
    <w:rsid w:val="003E5724"/>
    <w:rsid w:val="003E7CD6"/>
    <w:rsid w:val="003F087F"/>
    <w:rsid w:val="003F0B8C"/>
    <w:rsid w:val="003F143C"/>
    <w:rsid w:val="003F1920"/>
    <w:rsid w:val="003F3443"/>
    <w:rsid w:val="003F404B"/>
    <w:rsid w:val="003F496E"/>
    <w:rsid w:val="003F671B"/>
    <w:rsid w:val="003F7CF9"/>
    <w:rsid w:val="00400070"/>
    <w:rsid w:val="004028B9"/>
    <w:rsid w:val="004048E3"/>
    <w:rsid w:val="004052B2"/>
    <w:rsid w:val="00410256"/>
    <w:rsid w:val="004130E9"/>
    <w:rsid w:val="00415B85"/>
    <w:rsid w:val="00417BB2"/>
    <w:rsid w:val="004204C9"/>
    <w:rsid w:val="00420C95"/>
    <w:rsid w:val="004218FA"/>
    <w:rsid w:val="00425396"/>
    <w:rsid w:val="004275C9"/>
    <w:rsid w:val="004309DD"/>
    <w:rsid w:val="00432D31"/>
    <w:rsid w:val="00436073"/>
    <w:rsid w:val="00436081"/>
    <w:rsid w:val="00446077"/>
    <w:rsid w:val="00447281"/>
    <w:rsid w:val="00450894"/>
    <w:rsid w:val="004540FC"/>
    <w:rsid w:val="00455314"/>
    <w:rsid w:val="004606B6"/>
    <w:rsid w:val="00460723"/>
    <w:rsid w:val="00463868"/>
    <w:rsid w:val="004651BB"/>
    <w:rsid w:val="00472FE4"/>
    <w:rsid w:val="004761AA"/>
    <w:rsid w:val="0048073D"/>
    <w:rsid w:val="00481FE6"/>
    <w:rsid w:val="00482E95"/>
    <w:rsid w:val="00484E1F"/>
    <w:rsid w:val="00486AA2"/>
    <w:rsid w:val="004908FF"/>
    <w:rsid w:val="00494375"/>
    <w:rsid w:val="00496717"/>
    <w:rsid w:val="004A14FC"/>
    <w:rsid w:val="004A4E27"/>
    <w:rsid w:val="004A567A"/>
    <w:rsid w:val="004A7669"/>
    <w:rsid w:val="004B286F"/>
    <w:rsid w:val="004C2498"/>
    <w:rsid w:val="004C53E9"/>
    <w:rsid w:val="004C7D45"/>
    <w:rsid w:val="004D178A"/>
    <w:rsid w:val="004D1AFE"/>
    <w:rsid w:val="004D3BB8"/>
    <w:rsid w:val="004D3C56"/>
    <w:rsid w:val="004D7F8F"/>
    <w:rsid w:val="004E1796"/>
    <w:rsid w:val="004E583B"/>
    <w:rsid w:val="004E5AA9"/>
    <w:rsid w:val="004E6845"/>
    <w:rsid w:val="004E694C"/>
    <w:rsid w:val="004E7FFD"/>
    <w:rsid w:val="004F0C82"/>
    <w:rsid w:val="004F134B"/>
    <w:rsid w:val="004F47E1"/>
    <w:rsid w:val="004F4E2B"/>
    <w:rsid w:val="00501B3B"/>
    <w:rsid w:val="005038CD"/>
    <w:rsid w:val="00505CA8"/>
    <w:rsid w:val="00506A0A"/>
    <w:rsid w:val="00507FB1"/>
    <w:rsid w:val="00511375"/>
    <w:rsid w:val="005115F1"/>
    <w:rsid w:val="00511AAB"/>
    <w:rsid w:val="00514D83"/>
    <w:rsid w:val="005165F9"/>
    <w:rsid w:val="00525EA7"/>
    <w:rsid w:val="00527E18"/>
    <w:rsid w:val="00531571"/>
    <w:rsid w:val="00531A8A"/>
    <w:rsid w:val="00532710"/>
    <w:rsid w:val="005332EF"/>
    <w:rsid w:val="00545D99"/>
    <w:rsid w:val="005462EC"/>
    <w:rsid w:val="005468E6"/>
    <w:rsid w:val="005479C4"/>
    <w:rsid w:val="005504EB"/>
    <w:rsid w:val="00552E61"/>
    <w:rsid w:val="00553EF7"/>
    <w:rsid w:val="00575F6E"/>
    <w:rsid w:val="00582B4D"/>
    <w:rsid w:val="00584708"/>
    <w:rsid w:val="005873FA"/>
    <w:rsid w:val="00587506"/>
    <w:rsid w:val="00591DD8"/>
    <w:rsid w:val="00592581"/>
    <w:rsid w:val="00594B2F"/>
    <w:rsid w:val="00595C59"/>
    <w:rsid w:val="005A0A5D"/>
    <w:rsid w:val="005A7CB8"/>
    <w:rsid w:val="005B2B19"/>
    <w:rsid w:val="005B4FF0"/>
    <w:rsid w:val="005B7840"/>
    <w:rsid w:val="005C1DB1"/>
    <w:rsid w:val="005C23A2"/>
    <w:rsid w:val="005C62D6"/>
    <w:rsid w:val="005C73B9"/>
    <w:rsid w:val="005C784B"/>
    <w:rsid w:val="005C79B1"/>
    <w:rsid w:val="005D0443"/>
    <w:rsid w:val="005D2EFF"/>
    <w:rsid w:val="005D4142"/>
    <w:rsid w:val="005E01C0"/>
    <w:rsid w:val="005E05C9"/>
    <w:rsid w:val="005E0D28"/>
    <w:rsid w:val="005E6CD1"/>
    <w:rsid w:val="005E781D"/>
    <w:rsid w:val="005F0983"/>
    <w:rsid w:val="005F10D6"/>
    <w:rsid w:val="005F1294"/>
    <w:rsid w:val="005F176C"/>
    <w:rsid w:val="005F27CC"/>
    <w:rsid w:val="005F6375"/>
    <w:rsid w:val="005F7183"/>
    <w:rsid w:val="005F782C"/>
    <w:rsid w:val="005F7A82"/>
    <w:rsid w:val="0060158D"/>
    <w:rsid w:val="00604671"/>
    <w:rsid w:val="00604DED"/>
    <w:rsid w:val="00605C96"/>
    <w:rsid w:val="00606C84"/>
    <w:rsid w:val="00607FF3"/>
    <w:rsid w:val="00623704"/>
    <w:rsid w:val="00625849"/>
    <w:rsid w:val="006265F6"/>
    <w:rsid w:val="00626E77"/>
    <w:rsid w:val="00631B2C"/>
    <w:rsid w:val="00631CD0"/>
    <w:rsid w:val="00636663"/>
    <w:rsid w:val="00636CF8"/>
    <w:rsid w:val="00640FEC"/>
    <w:rsid w:val="00642711"/>
    <w:rsid w:val="00642C03"/>
    <w:rsid w:val="0064304A"/>
    <w:rsid w:val="00644EEF"/>
    <w:rsid w:val="0064543C"/>
    <w:rsid w:val="006463ED"/>
    <w:rsid w:val="006464C9"/>
    <w:rsid w:val="00646DD8"/>
    <w:rsid w:val="00651723"/>
    <w:rsid w:val="00653A6D"/>
    <w:rsid w:val="00655439"/>
    <w:rsid w:val="006572CB"/>
    <w:rsid w:val="0066220B"/>
    <w:rsid w:val="006763B0"/>
    <w:rsid w:val="00683254"/>
    <w:rsid w:val="00687687"/>
    <w:rsid w:val="00691CAC"/>
    <w:rsid w:val="00692509"/>
    <w:rsid w:val="00692DA1"/>
    <w:rsid w:val="006970A7"/>
    <w:rsid w:val="006A175B"/>
    <w:rsid w:val="006A2575"/>
    <w:rsid w:val="006A2DF0"/>
    <w:rsid w:val="006A3B41"/>
    <w:rsid w:val="006A435D"/>
    <w:rsid w:val="006A454F"/>
    <w:rsid w:val="006A67FD"/>
    <w:rsid w:val="006A7A8D"/>
    <w:rsid w:val="006A7EE8"/>
    <w:rsid w:val="006B0654"/>
    <w:rsid w:val="006B15A9"/>
    <w:rsid w:val="006B2534"/>
    <w:rsid w:val="006B3590"/>
    <w:rsid w:val="006B50DC"/>
    <w:rsid w:val="006B7679"/>
    <w:rsid w:val="006C1AC7"/>
    <w:rsid w:val="006C3B36"/>
    <w:rsid w:val="006C7847"/>
    <w:rsid w:val="006D2A05"/>
    <w:rsid w:val="006D4AFE"/>
    <w:rsid w:val="006D536D"/>
    <w:rsid w:val="006D6B2C"/>
    <w:rsid w:val="006E3058"/>
    <w:rsid w:val="006E47A3"/>
    <w:rsid w:val="006E4EDD"/>
    <w:rsid w:val="006E6D6E"/>
    <w:rsid w:val="006F08EF"/>
    <w:rsid w:val="006F173E"/>
    <w:rsid w:val="006F1FF9"/>
    <w:rsid w:val="006F2217"/>
    <w:rsid w:val="006F52D1"/>
    <w:rsid w:val="006F66DC"/>
    <w:rsid w:val="0070041B"/>
    <w:rsid w:val="00701C06"/>
    <w:rsid w:val="007055DE"/>
    <w:rsid w:val="00705781"/>
    <w:rsid w:val="007115B1"/>
    <w:rsid w:val="007131D0"/>
    <w:rsid w:val="007138A9"/>
    <w:rsid w:val="00713F6F"/>
    <w:rsid w:val="007154A7"/>
    <w:rsid w:val="007159CF"/>
    <w:rsid w:val="00715B99"/>
    <w:rsid w:val="00715D23"/>
    <w:rsid w:val="00721A44"/>
    <w:rsid w:val="007237F7"/>
    <w:rsid w:val="007251EE"/>
    <w:rsid w:val="00725ABD"/>
    <w:rsid w:val="00733AC9"/>
    <w:rsid w:val="007350EB"/>
    <w:rsid w:val="00736A43"/>
    <w:rsid w:val="007422D9"/>
    <w:rsid w:val="00742618"/>
    <w:rsid w:val="00742A0E"/>
    <w:rsid w:val="007437ED"/>
    <w:rsid w:val="00744620"/>
    <w:rsid w:val="00746163"/>
    <w:rsid w:val="00746E68"/>
    <w:rsid w:val="00746FE8"/>
    <w:rsid w:val="00747554"/>
    <w:rsid w:val="00747A0A"/>
    <w:rsid w:val="00747E67"/>
    <w:rsid w:val="00750082"/>
    <w:rsid w:val="00752096"/>
    <w:rsid w:val="007569BF"/>
    <w:rsid w:val="007642A6"/>
    <w:rsid w:val="00764E2C"/>
    <w:rsid w:val="007662E1"/>
    <w:rsid w:val="00767E42"/>
    <w:rsid w:val="007722D6"/>
    <w:rsid w:val="00777E72"/>
    <w:rsid w:val="00780F03"/>
    <w:rsid w:val="00781A05"/>
    <w:rsid w:val="007832F8"/>
    <w:rsid w:val="00783589"/>
    <w:rsid w:val="007867E6"/>
    <w:rsid w:val="007913E9"/>
    <w:rsid w:val="007934DC"/>
    <w:rsid w:val="00793B1D"/>
    <w:rsid w:val="00795A74"/>
    <w:rsid w:val="00796305"/>
    <w:rsid w:val="007A25D6"/>
    <w:rsid w:val="007A295D"/>
    <w:rsid w:val="007A2F1F"/>
    <w:rsid w:val="007A60F0"/>
    <w:rsid w:val="007B1033"/>
    <w:rsid w:val="007B4FAD"/>
    <w:rsid w:val="007B507B"/>
    <w:rsid w:val="007B7B6B"/>
    <w:rsid w:val="007C1B47"/>
    <w:rsid w:val="007C65CB"/>
    <w:rsid w:val="007D070A"/>
    <w:rsid w:val="007D24BB"/>
    <w:rsid w:val="007D44C5"/>
    <w:rsid w:val="007D4876"/>
    <w:rsid w:val="007D6FD6"/>
    <w:rsid w:val="007D70BC"/>
    <w:rsid w:val="007E0E33"/>
    <w:rsid w:val="007E0EB6"/>
    <w:rsid w:val="007E19E7"/>
    <w:rsid w:val="007E2C89"/>
    <w:rsid w:val="007E4841"/>
    <w:rsid w:val="007E636E"/>
    <w:rsid w:val="007E692D"/>
    <w:rsid w:val="007F3F40"/>
    <w:rsid w:val="007F6F89"/>
    <w:rsid w:val="007F7A1C"/>
    <w:rsid w:val="00801C16"/>
    <w:rsid w:val="008025C9"/>
    <w:rsid w:val="00802B8B"/>
    <w:rsid w:val="008047C0"/>
    <w:rsid w:val="0080615F"/>
    <w:rsid w:val="00807376"/>
    <w:rsid w:val="00807B19"/>
    <w:rsid w:val="0081189A"/>
    <w:rsid w:val="00811C11"/>
    <w:rsid w:val="0081243A"/>
    <w:rsid w:val="00813555"/>
    <w:rsid w:val="0081452A"/>
    <w:rsid w:val="00815CA3"/>
    <w:rsid w:val="0081651E"/>
    <w:rsid w:val="00816707"/>
    <w:rsid w:val="00816E1A"/>
    <w:rsid w:val="00826355"/>
    <w:rsid w:val="0082684A"/>
    <w:rsid w:val="0082703E"/>
    <w:rsid w:val="008310A7"/>
    <w:rsid w:val="008354D7"/>
    <w:rsid w:val="00835FAC"/>
    <w:rsid w:val="0083635A"/>
    <w:rsid w:val="0084040D"/>
    <w:rsid w:val="00840525"/>
    <w:rsid w:val="00846DC3"/>
    <w:rsid w:val="0085169E"/>
    <w:rsid w:val="008564DD"/>
    <w:rsid w:val="0086024E"/>
    <w:rsid w:val="0086616C"/>
    <w:rsid w:val="0086711D"/>
    <w:rsid w:val="008707FF"/>
    <w:rsid w:val="00871C36"/>
    <w:rsid w:val="00873213"/>
    <w:rsid w:val="0087391E"/>
    <w:rsid w:val="0087401D"/>
    <w:rsid w:val="00876F3D"/>
    <w:rsid w:val="00881056"/>
    <w:rsid w:val="008814B5"/>
    <w:rsid w:val="00881E52"/>
    <w:rsid w:val="0088283C"/>
    <w:rsid w:val="00883AFF"/>
    <w:rsid w:val="00883B19"/>
    <w:rsid w:val="00883E51"/>
    <w:rsid w:val="008841E4"/>
    <w:rsid w:val="008906C3"/>
    <w:rsid w:val="008929E6"/>
    <w:rsid w:val="008960D0"/>
    <w:rsid w:val="008A133F"/>
    <w:rsid w:val="008A1AC1"/>
    <w:rsid w:val="008A2D58"/>
    <w:rsid w:val="008A2DC9"/>
    <w:rsid w:val="008A44E9"/>
    <w:rsid w:val="008A5B8F"/>
    <w:rsid w:val="008A65AF"/>
    <w:rsid w:val="008B4EFE"/>
    <w:rsid w:val="008B6581"/>
    <w:rsid w:val="008B7AF0"/>
    <w:rsid w:val="008C09C0"/>
    <w:rsid w:val="008C1821"/>
    <w:rsid w:val="008C340D"/>
    <w:rsid w:val="008C3F42"/>
    <w:rsid w:val="008C42D4"/>
    <w:rsid w:val="008C6051"/>
    <w:rsid w:val="008C6341"/>
    <w:rsid w:val="008C7225"/>
    <w:rsid w:val="008D0D04"/>
    <w:rsid w:val="008D257D"/>
    <w:rsid w:val="008D33E3"/>
    <w:rsid w:val="008D3ED4"/>
    <w:rsid w:val="008D595B"/>
    <w:rsid w:val="008E03EB"/>
    <w:rsid w:val="008E052A"/>
    <w:rsid w:val="008E0928"/>
    <w:rsid w:val="008E17DA"/>
    <w:rsid w:val="008E2F10"/>
    <w:rsid w:val="008E436B"/>
    <w:rsid w:val="008E594A"/>
    <w:rsid w:val="008E6B95"/>
    <w:rsid w:val="008E6CB4"/>
    <w:rsid w:val="008E729B"/>
    <w:rsid w:val="008F0681"/>
    <w:rsid w:val="008F2BC1"/>
    <w:rsid w:val="008F5FB8"/>
    <w:rsid w:val="0090067B"/>
    <w:rsid w:val="0091272E"/>
    <w:rsid w:val="009152D6"/>
    <w:rsid w:val="009158B7"/>
    <w:rsid w:val="00915D50"/>
    <w:rsid w:val="00921052"/>
    <w:rsid w:val="00922C76"/>
    <w:rsid w:val="009239AF"/>
    <w:rsid w:val="00924B2A"/>
    <w:rsid w:val="009304A2"/>
    <w:rsid w:val="00934B56"/>
    <w:rsid w:val="00934B64"/>
    <w:rsid w:val="009358A9"/>
    <w:rsid w:val="009375C4"/>
    <w:rsid w:val="009378FE"/>
    <w:rsid w:val="00937F0C"/>
    <w:rsid w:val="00942F21"/>
    <w:rsid w:val="00945D0C"/>
    <w:rsid w:val="00954E3E"/>
    <w:rsid w:val="00957EBE"/>
    <w:rsid w:val="00960A8E"/>
    <w:rsid w:val="00960D61"/>
    <w:rsid w:val="009610FA"/>
    <w:rsid w:val="009654BA"/>
    <w:rsid w:val="00965584"/>
    <w:rsid w:val="0096573C"/>
    <w:rsid w:val="00966051"/>
    <w:rsid w:val="00966381"/>
    <w:rsid w:val="009670D2"/>
    <w:rsid w:val="009725BA"/>
    <w:rsid w:val="009825BA"/>
    <w:rsid w:val="00984273"/>
    <w:rsid w:val="00984C21"/>
    <w:rsid w:val="00985CA8"/>
    <w:rsid w:val="00985D0A"/>
    <w:rsid w:val="009875AA"/>
    <w:rsid w:val="00991769"/>
    <w:rsid w:val="0099769B"/>
    <w:rsid w:val="00997B4D"/>
    <w:rsid w:val="009A1540"/>
    <w:rsid w:val="009A1881"/>
    <w:rsid w:val="009A45BB"/>
    <w:rsid w:val="009A4D85"/>
    <w:rsid w:val="009A54E4"/>
    <w:rsid w:val="009A5D76"/>
    <w:rsid w:val="009A7DAB"/>
    <w:rsid w:val="009B07AE"/>
    <w:rsid w:val="009B0D09"/>
    <w:rsid w:val="009B11D2"/>
    <w:rsid w:val="009B187E"/>
    <w:rsid w:val="009B2746"/>
    <w:rsid w:val="009B31A5"/>
    <w:rsid w:val="009B3F54"/>
    <w:rsid w:val="009B747A"/>
    <w:rsid w:val="009B7FDA"/>
    <w:rsid w:val="009C0530"/>
    <w:rsid w:val="009C234E"/>
    <w:rsid w:val="009C3FAF"/>
    <w:rsid w:val="009D024B"/>
    <w:rsid w:val="009D761D"/>
    <w:rsid w:val="009E5B0B"/>
    <w:rsid w:val="009F4C62"/>
    <w:rsid w:val="009F632C"/>
    <w:rsid w:val="009F6CFA"/>
    <w:rsid w:val="00A0213E"/>
    <w:rsid w:val="00A052FD"/>
    <w:rsid w:val="00A0530D"/>
    <w:rsid w:val="00A07294"/>
    <w:rsid w:val="00A077F7"/>
    <w:rsid w:val="00A1515B"/>
    <w:rsid w:val="00A163DD"/>
    <w:rsid w:val="00A17E9E"/>
    <w:rsid w:val="00A218D5"/>
    <w:rsid w:val="00A219D7"/>
    <w:rsid w:val="00A257D1"/>
    <w:rsid w:val="00A3268C"/>
    <w:rsid w:val="00A35B14"/>
    <w:rsid w:val="00A4058B"/>
    <w:rsid w:val="00A433C5"/>
    <w:rsid w:val="00A43A23"/>
    <w:rsid w:val="00A44204"/>
    <w:rsid w:val="00A455C8"/>
    <w:rsid w:val="00A459CF"/>
    <w:rsid w:val="00A5066A"/>
    <w:rsid w:val="00A51F63"/>
    <w:rsid w:val="00A52268"/>
    <w:rsid w:val="00A52FBF"/>
    <w:rsid w:val="00A55513"/>
    <w:rsid w:val="00A55796"/>
    <w:rsid w:val="00A62276"/>
    <w:rsid w:val="00A653E8"/>
    <w:rsid w:val="00A67FF1"/>
    <w:rsid w:val="00A70BB1"/>
    <w:rsid w:val="00A74675"/>
    <w:rsid w:val="00A7597E"/>
    <w:rsid w:val="00A76264"/>
    <w:rsid w:val="00A80DD0"/>
    <w:rsid w:val="00A810EE"/>
    <w:rsid w:val="00A82B0B"/>
    <w:rsid w:val="00A8389A"/>
    <w:rsid w:val="00A83D77"/>
    <w:rsid w:val="00A85536"/>
    <w:rsid w:val="00A85BFC"/>
    <w:rsid w:val="00A930D7"/>
    <w:rsid w:val="00A95D1C"/>
    <w:rsid w:val="00A97B4C"/>
    <w:rsid w:val="00AA23F8"/>
    <w:rsid w:val="00AA3316"/>
    <w:rsid w:val="00AA39B6"/>
    <w:rsid w:val="00AA5C7D"/>
    <w:rsid w:val="00AA6BA1"/>
    <w:rsid w:val="00AA7747"/>
    <w:rsid w:val="00AB2261"/>
    <w:rsid w:val="00AB7ACA"/>
    <w:rsid w:val="00AB7DF6"/>
    <w:rsid w:val="00AC1B35"/>
    <w:rsid w:val="00AC233A"/>
    <w:rsid w:val="00AC3FDA"/>
    <w:rsid w:val="00AC44B4"/>
    <w:rsid w:val="00AC6D18"/>
    <w:rsid w:val="00AD061C"/>
    <w:rsid w:val="00AD6333"/>
    <w:rsid w:val="00AD6C07"/>
    <w:rsid w:val="00AE05BE"/>
    <w:rsid w:val="00AE6B80"/>
    <w:rsid w:val="00AF208B"/>
    <w:rsid w:val="00AF2D74"/>
    <w:rsid w:val="00B002C8"/>
    <w:rsid w:val="00B01185"/>
    <w:rsid w:val="00B01EF8"/>
    <w:rsid w:val="00B074E8"/>
    <w:rsid w:val="00B119C0"/>
    <w:rsid w:val="00B1294B"/>
    <w:rsid w:val="00B178EE"/>
    <w:rsid w:val="00B17DFA"/>
    <w:rsid w:val="00B22D6A"/>
    <w:rsid w:val="00B277FE"/>
    <w:rsid w:val="00B31D39"/>
    <w:rsid w:val="00B3579D"/>
    <w:rsid w:val="00B37703"/>
    <w:rsid w:val="00B40B49"/>
    <w:rsid w:val="00B426A7"/>
    <w:rsid w:val="00B43225"/>
    <w:rsid w:val="00B438EF"/>
    <w:rsid w:val="00B50B71"/>
    <w:rsid w:val="00B510F4"/>
    <w:rsid w:val="00B513E2"/>
    <w:rsid w:val="00B51C6C"/>
    <w:rsid w:val="00B550C0"/>
    <w:rsid w:val="00B604CB"/>
    <w:rsid w:val="00B60B00"/>
    <w:rsid w:val="00B6254F"/>
    <w:rsid w:val="00B637C5"/>
    <w:rsid w:val="00B638BA"/>
    <w:rsid w:val="00B662D6"/>
    <w:rsid w:val="00B67286"/>
    <w:rsid w:val="00B70AAC"/>
    <w:rsid w:val="00B71B4D"/>
    <w:rsid w:val="00B77DC1"/>
    <w:rsid w:val="00B81AF0"/>
    <w:rsid w:val="00B83300"/>
    <w:rsid w:val="00B84C86"/>
    <w:rsid w:val="00B92C20"/>
    <w:rsid w:val="00B92D33"/>
    <w:rsid w:val="00B95023"/>
    <w:rsid w:val="00BA068A"/>
    <w:rsid w:val="00BA1351"/>
    <w:rsid w:val="00BA3143"/>
    <w:rsid w:val="00BA43AE"/>
    <w:rsid w:val="00BA5E76"/>
    <w:rsid w:val="00BA676D"/>
    <w:rsid w:val="00BA70A9"/>
    <w:rsid w:val="00BA7192"/>
    <w:rsid w:val="00BB164C"/>
    <w:rsid w:val="00BB1E9B"/>
    <w:rsid w:val="00BB2188"/>
    <w:rsid w:val="00BB35C4"/>
    <w:rsid w:val="00BB3F4B"/>
    <w:rsid w:val="00BC5ABA"/>
    <w:rsid w:val="00BC759C"/>
    <w:rsid w:val="00BC7DDB"/>
    <w:rsid w:val="00BD03EE"/>
    <w:rsid w:val="00BD222E"/>
    <w:rsid w:val="00BD2B85"/>
    <w:rsid w:val="00BD69A6"/>
    <w:rsid w:val="00BE1831"/>
    <w:rsid w:val="00BE4CF9"/>
    <w:rsid w:val="00BE6DAC"/>
    <w:rsid w:val="00BF1A7C"/>
    <w:rsid w:val="00BF1C7C"/>
    <w:rsid w:val="00BF67E3"/>
    <w:rsid w:val="00BF7229"/>
    <w:rsid w:val="00BF7246"/>
    <w:rsid w:val="00BF7346"/>
    <w:rsid w:val="00C02951"/>
    <w:rsid w:val="00C03CCB"/>
    <w:rsid w:val="00C04635"/>
    <w:rsid w:val="00C10AF8"/>
    <w:rsid w:val="00C11A78"/>
    <w:rsid w:val="00C1666D"/>
    <w:rsid w:val="00C16D2A"/>
    <w:rsid w:val="00C16E37"/>
    <w:rsid w:val="00C1782A"/>
    <w:rsid w:val="00C26B79"/>
    <w:rsid w:val="00C32201"/>
    <w:rsid w:val="00C32348"/>
    <w:rsid w:val="00C34A4E"/>
    <w:rsid w:val="00C4354E"/>
    <w:rsid w:val="00C4497E"/>
    <w:rsid w:val="00C46743"/>
    <w:rsid w:val="00C502EA"/>
    <w:rsid w:val="00C50CEC"/>
    <w:rsid w:val="00C51D3B"/>
    <w:rsid w:val="00C53622"/>
    <w:rsid w:val="00C67BB5"/>
    <w:rsid w:val="00C7043A"/>
    <w:rsid w:val="00C7061E"/>
    <w:rsid w:val="00C74498"/>
    <w:rsid w:val="00C74A37"/>
    <w:rsid w:val="00C75BFB"/>
    <w:rsid w:val="00C75F10"/>
    <w:rsid w:val="00C91261"/>
    <w:rsid w:val="00C92931"/>
    <w:rsid w:val="00C95663"/>
    <w:rsid w:val="00C957BB"/>
    <w:rsid w:val="00CA7DF8"/>
    <w:rsid w:val="00CB058F"/>
    <w:rsid w:val="00CB0BEE"/>
    <w:rsid w:val="00CB4DB7"/>
    <w:rsid w:val="00CB70B7"/>
    <w:rsid w:val="00CB7489"/>
    <w:rsid w:val="00CB7C4A"/>
    <w:rsid w:val="00CC2119"/>
    <w:rsid w:val="00CC2DA7"/>
    <w:rsid w:val="00CC2E09"/>
    <w:rsid w:val="00CC4E41"/>
    <w:rsid w:val="00CC6F8D"/>
    <w:rsid w:val="00CD11C8"/>
    <w:rsid w:val="00CD3682"/>
    <w:rsid w:val="00CD55C1"/>
    <w:rsid w:val="00CE16F6"/>
    <w:rsid w:val="00CE32C4"/>
    <w:rsid w:val="00CE3E68"/>
    <w:rsid w:val="00CE467F"/>
    <w:rsid w:val="00CE4C92"/>
    <w:rsid w:val="00CE583E"/>
    <w:rsid w:val="00CE5B0E"/>
    <w:rsid w:val="00CF10E9"/>
    <w:rsid w:val="00CF3DE2"/>
    <w:rsid w:val="00CF6B1E"/>
    <w:rsid w:val="00D04A77"/>
    <w:rsid w:val="00D04FFF"/>
    <w:rsid w:val="00D05EC9"/>
    <w:rsid w:val="00D071BF"/>
    <w:rsid w:val="00D0762A"/>
    <w:rsid w:val="00D10FE4"/>
    <w:rsid w:val="00D11DDB"/>
    <w:rsid w:val="00D122AD"/>
    <w:rsid w:val="00D174B5"/>
    <w:rsid w:val="00D20095"/>
    <w:rsid w:val="00D20C0F"/>
    <w:rsid w:val="00D21CD2"/>
    <w:rsid w:val="00D21DBC"/>
    <w:rsid w:val="00D22E10"/>
    <w:rsid w:val="00D2319A"/>
    <w:rsid w:val="00D23253"/>
    <w:rsid w:val="00D23EBC"/>
    <w:rsid w:val="00D24FA3"/>
    <w:rsid w:val="00D26471"/>
    <w:rsid w:val="00D27FBC"/>
    <w:rsid w:val="00D32C74"/>
    <w:rsid w:val="00D35381"/>
    <w:rsid w:val="00D40657"/>
    <w:rsid w:val="00D424D4"/>
    <w:rsid w:val="00D511A0"/>
    <w:rsid w:val="00D515E5"/>
    <w:rsid w:val="00D51840"/>
    <w:rsid w:val="00D51EA0"/>
    <w:rsid w:val="00D55FAA"/>
    <w:rsid w:val="00D606E6"/>
    <w:rsid w:val="00D60F3D"/>
    <w:rsid w:val="00D61E3C"/>
    <w:rsid w:val="00D712B1"/>
    <w:rsid w:val="00D74B4F"/>
    <w:rsid w:val="00D74E09"/>
    <w:rsid w:val="00D76A37"/>
    <w:rsid w:val="00D80893"/>
    <w:rsid w:val="00D83688"/>
    <w:rsid w:val="00D85143"/>
    <w:rsid w:val="00D9159E"/>
    <w:rsid w:val="00D94C4B"/>
    <w:rsid w:val="00D94EA4"/>
    <w:rsid w:val="00DA0C22"/>
    <w:rsid w:val="00DA1EB8"/>
    <w:rsid w:val="00DB3BA5"/>
    <w:rsid w:val="00DB5F89"/>
    <w:rsid w:val="00DC2C81"/>
    <w:rsid w:val="00DC48AC"/>
    <w:rsid w:val="00DD0315"/>
    <w:rsid w:val="00DD1B71"/>
    <w:rsid w:val="00DD2BC5"/>
    <w:rsid w:val="00DD2D34"/>
    <w:rsid w:val="00DD3455"/>
    <w:rsid w:val="00DD52C2"/>
    <w:rsid w:val="00DD5E2A"/>
    <w:rsid w:val="00DD7E0C"/>
    <w:rsid w:val="00DE5F90"/>
    <w:rsid w:val="00DE6868"/>
    <w:rsid w:val="00DF01CB"/>
    <w:rsid w:val="00DF4F81"/>
    <w:rsid w:val="00DF68CC"/>
    <w:rsid w:val="00E03677"/>
    <w:rsid w:val="00E03CDC"/>
    <w:rsid w:val="00E0464E"/>
    <w:rsid w:val="00E05F5C"/>
    <w:rsid w:val="00E0678D"/>
    <w:rsid w:val="00E123F9"/>
    <w:rsid w:val="00E200B2"/>
    <w:rsid w:val="00E216AA"/>
    <w:rsid w:val="00E23E77"/>
    <w:rsid w:val="00E26673"/>
    <w:rsid w:val="00E300BB"/>
    <w:rsid w:val="00E305E6"/>
    <w:rsid w:val="00E322B9"/>
    <w:rsid w:val="00E32643"/>
    <w:rsid w:val="00E33D82"/>
    <w:rsid w:val="00E35C2F"/>
    <w:rsid w:val="00E36C7B"/>
    <w:rsid w:val="00E37F47"/>
    <w:rsid w:val="00E4047F"/>
    <w:rsid w:val="00E426E1"/>
    <w:rsid w:val="00E44B5B"/>
    <w:rsid w:val="00E4749E"/>
    <w:rsid w:val="00E50071"/>
    <w:rsid w:val="00E55240"/>
    <w:rsid w:val="00E57A01"/>
    <w:rsid w:val="00E6050F"/>
    <w:rsid w:val="00E60F4E"/>
    <w:rsid w:val="00E661F8"/>
    <w:rsid w:val="00E746E8"/>
    <w:rsid w:val="00E75C09"/>
    <w:rsid w:val="00E80A27"/>
    <w:rsid w:val="00E812D9"/>
    <w:rsid w:val="00E82E2E"/>
    <w:rsid w:val="00E87C53"/>
    <w:rsid w:val="00E91D01"/>
    <w:rsid w:val="00E91FF4"/>
    <w:rsid w:val="00E96B17"/>
    <w:rsid w:val="00EA0AA8"/>
    <w:rsid w:val="00EA314D"/>
    <w:rsid w:val="00EA3655"/>
    <w:rsid w:val="00EA3B54"/>
    <w:rsid w:val="00EB1DB7"/>
    <w:rsid w:val="00EB58D0"/>
    <w:rsid w:val="00EB657E"/>
    <w:rsid w:val="00EB6A5F"/>
    <w:rsid w:val="00EB73D1"/>
    <w:rsid w:val="00EB7A3D"/>
    <w:rsid w:val="00EC0631"/>
    <w:rsid w:val="00EC59A3"/>
    <w:rsid w:val="00EC6182"/>
    <w:rsid w:val="00ED0299"/>
    <w:rsid w:val="00ED0A05"/>
    <w:rsid w:val="00ED17D4"/>
    <w:rsid w:val="00ED32E6"/>
    <w:rsid w:val="00ED36AA"/>
    <w:rsid w:val="00ED6C22"/>
    <w:rsid w:val="00ED7856"/>
    <w:rsid w:val="00EE3179"/>
    <w:rsid w:val="00EE3546"/>
    <w:rsid w:val="00EE4E52"/>
    <w:rsid w:val="00EE59DD"/>
    <w:rsid w:val="00EF1E89"/>
    <w:rsid w:val="00EF28FD"/>
    <w:rsid w:val="00EF3449"/>
    <w:rsid w:val="00EF608E"/>
    <w:rsid w:val="00F00A10"/>
    <w:rsid w:val="00F028F1"/>
    <w:rsid w:val="00F02FC3"/>
    <w:rsid w:val="00F052E0"/>
    <w:rsid w:val="00F05B22"/>
    <w:rsid w:val="00F06BCF"/>
    <w:rsid w:val="00F10A48"/>
    <w:rsid w:val="00F13E93"/>
    <w:rsid w:val="00F161BD"/>
    <w:rsid w:val="00F174E2"/>
    <w:rsid w:val="00F20473"/>
    <w:rsid w:val="00F20649"/>
    <w:rsid w:val="00F20C42"/>
    <w:rsid w:val="00F236B0"/>
    <w:rsid w:val="00F25484"/>
    <w:rsid w:val="00F26147"/>
    <w:rsid w:val="00F2738D"/>
    <w:rsid w:val="00F27391"/>
    <w:rsid w:val="00F27804"/>
    <w:rsid w:val="00F303F1"/>
    <w:rsid w:val="00F311DD"/>
    <w:rsid w:val="00F31C0A"/>
    <w:rsid w:val="00F373DE"/>
    <w:rsid w:val="00F41DD4"/>
    <w:rsid w:val="00F426FA"/>
    <w:rsid w:val="00F44956"/>
    <w:rsid w:val="00F45F2E"/>
    <w:rsid w:val="00F51957"/>
    <w:rsid w:val="00F546C3"/>
    <w:rsid w:val="00F55FA3"/>
    <w:rsid w:val="00F64380"/>
    <w:rsid w:val="00F65059"/>
    <w:rsid w:val="00F65AD8"/>
    <w:rsid w:val="00F70EC4"/>
    <w:rsid w:val="00F74E1E"/>
    <w:rsid w:val="00F75960"/>
    <w:rsid w:val="00F766B2"/>
    <w:rsid w:val="00F77044"/>
    <w:rsid w:val="00F7709F"/>
    <w:rsid w:val="00F8088E"/>
    <w:rsid w:val="00F80A03"/>
    <w:rsid w:val="00F82534"/>
    <w:rsid w:val="00F8660C"/>
    <w:rsid w:val="00F914E3"/>
    <w:rsid w:val="00F91853"/>
    <w:rsid w:val="00F9254A"/>
    <w:rsid w:val="00F93264"/>
    <w:rsid w:val="00F93E43"/>
    <w:rsid w:val="00F94356"/>
    <w:rsid w:val="00FA0145"/>
    <w:rsid w:val="00FA0325"/>
    <w:rsid w:val="00FA257A"/>
    <w:rsid w:val="00FA376B"/>
    <w:rsid w:val="00FA4E72"/>
    <w:rsid w:val="00FA5514"/>
    <w:rsid w:val="00FB12AF"/>
    <w:rsid w:val="00FB1B41"/>
    <w:rsid w:val="00FB2D18"/>
    <w:rsid w:val="00FB3D5B"/>
    <w:rsid w:val="00FB5833"/>
    <w:rsid w:val="00FB5E5E"/>
    <w:rsid w:val="00FC078D"/>
    <w:rsid w:val="00FC2719"/>
    <w:rsid w:val="00FC3440"/>
    <w:rsid w:val="00FC3965"/>
    <w:rsid w:val="00FD1DAF"/>
    <w:rsid w:val="00FD3725"/>
    <w:rsid w:val="00FD3EF2"/>
    <w:rsid w:val="00FD4348"/>
    <w:rsid w:val="00FD613B"/>
    <w:rsid w:val="00FD622C"/>
    <w:rsid w:val="00FD6DB8"/>
    <w:rsid w:val="00FE3A4A"/>
    <w:rsid w:val="00FE6E85"/>
    <w:rsid w:val="00FE7566"/>
    <w:rsid w:val="00FE7A6F"/>
    <w:rsid w:val="00FF1EE1"/>
    <w:rsid w:val="00FF3545"/>
    <w:rsid w:val="00FF4C81"/>
    <w:rsid w:val="00FF5C66"/>
    <w:rsid w:val="00FF6593"/>
    <w:rsid w:val="00FF7069"/>
    <w:rsid w:val="00FF790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E933"/>
  <w15:chartTrackingRefBased/>
  <w15:docId w15:val="{05BDF7B9-51D7-4971-B007-7CEB68CB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96E"/>
    <w:pPr>
      <w:spacing w:after="0" w:line="360" w:lineRule="auto"/>
    </w:pPr>
    <w:rPr>
      <w:rFonts w:ascii="Times New Roman" w:hAnsi="Times New Roman"/>
      <w:sz w:val="24"/>
      <w:lang w:val="en-GB"/>
    </w:rPr>
  </w:style>
  <w:style w:type="paragraph" w:styleId="Heading1">
    <w:name w:val="heading 1"/>
    <w:basedOn w:val="Normal"/>
    <w:next w:val="Normal"/>
    <w:link w:val="Heading1Char"/>
    <w:autoRedefine/>
    <w:uiPriority w:val="9"/>
    <w:qFormat/>
    <w:rsid w:val="007F3F40"/>
    <w:pPr>
      <w:keepNext/>
      <w:keepLines/>
      <w:spacing w:before="24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D27FBC"/>
    <w:pPr>
      <w:keepNext/>
      <w:keepLines/>
      <w:spacing w:before="40"/>
      <w:jc w:val="center"/>
      <w:outlineLvl w:val="1"/>
    </w:pPr>
    <w:rPr>
      <w:rFonts w:eastAsiaTheme="majorEastAsia" w:cstheme="majorBidi"/>
      <w:b/>
      <w:bCs/>
      <w:iCs/>
      <w:color w:val="000000" w:themeColor="text1"/>
      <w:szCs w:val="24"/>
    </w:rPr>
  </w:style>
  <w:style w:type="paragraph" w:styleId="Heading3">
    <w:name w:val="heading 3"/>
    <w:basedOn w:val="Normal"/>
    <w:next w:val="Normal"/>
    <w:link w:val="Heading3Char"/>
    <w:autoRedefine/>
    <w:uiPriority w:val="9"/>
    <w:unhideWhenUsed/>
    <w:qFormat/>
    <w:rsid w:val="003F1920"/>
    <w:pPr>
      <w:keepNext/>
      <w:keepLines/>
      <w:spacing w:before="40"/>
      <w:jc w:val="center"/>
      <w:outlineLvl w:val="2"/>
    </w:pPr>
    <w:rPr>
      <w:rFonts w:eastAsiaTheme="majorEastAsia" w:cs="Times New Roman"/>
      <w:b/>
      <w:bCs/>
      <w:i/>
      <w:iCs/>
      <w:szCs w:val="24"/>
    </w:rPr>
  </w:style>
  <w:style w:type="paragraph" w:styleId="Heading4">
    <w:name w:val="heading 4"/>
    <w:basedOn w:val="Normal"/>
    <w:next w:val="Normal"/>
    <w:link w:val="Heading4Char"/>
    <w:autoRedefine/>
    <w:uiPriority w:val="9"/>
    <w:unhideWhenUsed/>
    <w:qFormat/>
    <w:rsid w:val="00E60F4E"/>
    <w:pPr>
      <w:keepNext/>
      <w:keepLines/>
      <w:spacing w:before="40"/>
      <w:outlineLvl w:val="3"/>
    </w:pPr>
    <w:rPr>
      <w:rFonts w:eastAsiaTheme="majorEastAsia"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375327"/>
    <w:pPr>
      <w:spacing w:line="240" w:lineRule="auto"/>
      <w:contextualSpacing/>
    </w:pPr>
    <w:rPr>
      <w:sz w:val="20"/>
      <w:szCs w:val="20"/>
    </w:rPr>
  </w:style>
  <w:style w:type="character" w:customStyle="1" w:styleId="CommentTextChar">
    <w:name w:val="Comment Text Char"/>
    <w:basedOn w:val="DefaultParagraphFont"/>
    <w:link w:val="CommentText"/>
    <w:uiPriority w:val="99"/>
    <w:rsid w:val="00375327"/>
    <w:rPr>
      <w:rFonts w:ascii="Times New Roman" w:hAnsi="Times New Roman"/>
      <w:sz w:val="20"/>
      <w:szCs w:val="20"/>
      <w:lang w:val="en-GB"/>
    </w:rPr>
  </w:style>
  <w:style w:type="paragraph" w:customStyle="1" w:styleId="T-Heading1">
    <w:name w:val="T-Heading 1"/>
    <w:basedOn w:val="Heading1"/>
    <w:link w:val="T-Heading1Char"/>
    <w:qFormat/>
    <w:rsid w:val="007B7B6B"/>
    <w:pPr>
      <w:contextualSpacing/>
    </w:pPr>
    <w:rPr>
      <w:b w:val="0"/>
      <w:bCs w:val="0"/>
      <w:sz w:val="30"/>
      <w:szCs w:val="30"/>
    </w:rPr>
  </w:style>
  <w:style w:type="character" w:customStyle="1" w:styleId="T-Heading1Char">
    <w:name w:val="T-Heading 1 Char"/>
    <w:basedOn w:val="Heading1Char"/>
    <w:link w:val="T-Heading1"/>
    <w:rsid w:val="007B7B6B"/>
    <w:rPr>
      <w:rFonts w:ascii="Times New Roman" w:eastAsiaTheme="majorEastAsia" w:hAnsi="Times New Roman" w:cstheme="majorBidi"/>
      <w:b w:val="0"/>
      <w:bCs w:val="0"/>
      <w:color w:val="000000" w:themeColor="text1"/>
      <w:sz w:val="30"/>
      <w:szCs w:val="30"/>
      <w:lang w:val="en-GB"/>
    </w:rPr>
  </w:style>
  <w:style w:type="character" w:customStyle="1" w:styleId="Heading1Char">
    <w:name w:val="Heading 1 Char"/>
    <w:basedOn w:val="DefaultParagraphFont"/>
    <w:link w:val="Heading1"/>
    <w:uiPriority w:val="9"/>
    <w:rsid w:val="007F3F40"/>
    <w:rPr>
      <w:rFonts w:ascii="Times New Roman" w:eastAsiaTheme="majorEastAsia" w:hAnsi="Times New Roman" w:cstheme="majorBidi"/>
      <w:b/>
      <w:bCs/>
      <w:color w:val="000000" w:themeColor="text1"/>
      <w:sz w:val="28"/>
      <w:szCs w:val="28"/>
      <w:lang w:val="en-GB"/>
    </w:rPr>
  </w:style>
  <w:style w:type="character" w:customStyle="1" w:styleId="Heading2Char">
    <w:name w:val="Heading 2 Char"/>
    <w:basedOn w:val="DefaultParagraphFont"/>
    <w:link w:val="Heading2"/>
    <w:uiPriority w:val="9"/>
    <w:rsid w:val="00D27FBC"/>
    <w:rPr>
      <w:rFonts w:ascii="Times New Roman" w:eastAsiaTheme="majorEastAsia" w:hAnsi="Times New Roman" w:cstheme="majorBidi"/>
      <w:b/>
      <w:bCs/>
      <w:iCs/>
      <w:color w:val="000000" w:themeColor="text1"/>
      <w:sz w:val="24"/>
      <w:szCs w:val="24"/>
      <w:lang w:val="en-GB"/>
    </w:rPr>
  </w:style>
  <w:style w:type="character" w:customStyle="1" w:styleId="Heading3Char">
    <w:name w:val="Heading 3 Char"/>
    <w:basedOn w:val="DefaultParagraphFont"/>
    <w:link w:val="Heading3"/>
    <w:uiPriority w:val="9"/>
    <w:rsid w:val="003F1920"/>
    <w:rPr>
      <w:rFonts w:ascii="Times New Roman" w:eastAsiaTheme="majorEastAsia" w:hAnsi="Times New Roman" w:cs="Times New Roman"/>
      <w:b/>
      <w:bCs/>
      <w:i/>
      <w:iCs/>
      <w:sz w:val="24"/>
      <w:szCs w:val="24"/>
      <w:lang w:val="en-GB"/>
    </w:rPr>
  </w:style>
  <w:style w:type="character" w:customStyle="1" w:styleId="Heading4Char">
    <w:name w:val="Heading 4 Char"/>
    <w:basedOn w:val="DefaultParagraphFont"/>
    <w:link w:val="Heading4"/>
    <w:uiPriority w:val="9"/>
    <w:rsid w:val="00E60F4E"/>
    <w:rPr>
      <w:rFonts w:ascii="Times New Roman" w:eastAsiaTheme="majorEastAsia" w:hAnsi="Times New Roman" w:cs="Times New Roman"/>
      <w:i/>
      <w:iCs/>
      <w:sz w:val="24"/>
      <w:lang w:val="en-GB"/>
    </w:rPr>
  </w:style>
  <w:style w:type="paragraph" w:styleId="ListParagraph">
    <w:name w:val="List Paragraph"/>
    <w:basedOn w:val="Normal"/>
    <w:uiPriority w:val="34"/>
    <w:qFormat/>
    <w:rsid w:val="00B178EE"/>
    <w:pPr>
      <w:ind w:left="720"/>
      <w:contextualSpacing/>
    </w:pPr>
  </w:style>
  <w:style w:type="character" w:styleId="CommentReference">
    <w:name w:val="annotation reference"/>
    <w:basedOn w:val="DefaultParagraphFont"/>
    <w:uiPriority w:val="99"/>
    <w:semiHidden/>
    <w:unhideWhenUsed/>
    <w:rsid w:val="005E781D"/>
    <w:rPr>
      <w:sz w:val="16"/>
      <w:szCs w:val="16"/>
    </w:rPr>
  </w:style>
  <w:style w:type="paragraph" w:styleId="CommentSubject">
    <w:name w:val="annotation subject"/>
    <w:basedOn w:val="CommentText"/>
    <w:next w:val="CommentText"/>
    <w:link w:val="CommentSubjectChar"/>
    <w:uiPriority w:val="99"/>
    <w:semiHidden/>
    <w:unhideWhenUsed/>
    <w:rsid w:val="005E781D"/>
    <w:pPr>
      <w:contextualSpacing w:val="0"/>
    </w:pPr>
    <w:rPr>
      <w:b/>
      <w:bCs/>
    </w:rPr>
  </w:style>
  <w:style w:type="character" w:customStyle="1" w:styleId="CommentSubjectChar">
    <w:name w:val="Comment Subject Char"/>
    <w:basedOn w:val="CommentTextChar"/>
    <w:link w:val="CommentSubject"/>
    <w:uiPriority w:val="99"/>
    <w:semiHidden/>
    <w:rsid w:val="005E781D"/>
    <w:rPr>
      <w:rFonts w:ascii="Times New Roman" w:hAnsi="Times New Roman"/>
      <w:b/>
      <w:bCs/>
      <w:i w:val="0"/>
      <w:iCs w:val="0"/>
      <w:sz w:val="20"/>
      <w:szCs w:val="20"/>
      <w:lang w:val="en-GB"/>
    </w:rPr>
  </w:style>
  <w:style w:type="paragraph" w:styleId="FootnoteText">
    <w:name w:val="footnote text"/>
    <w:basedOn w:val="Normal"/>
    <w:link w:val="FootnoteTextChar"/>
    <w:uiPriority w:val="99"/>
    <w:semiHidden/>
    <w:unhideWhenUsed/>
    <w:rsid w:val="00C16D2A"/>
    <w:pPr>
      <w:spacing w:line="240" w:lineRule="auto"/>
    </w:pPr>
    <w:rPr>
      <w:sz w:val="20"/>
      <w:szCs w:val="20"/>
    </w:rPr>
  </w:style>
  <w:style w:type="character" w:customStyle="1" w:styleId="FootnoteTextChar">
    <w:name w:val="Footnote Text Char"/>
    <w:basedOn w:val="DefaultParagraphFont"/>
    <w:link w:val="FootnoteText"/>
    <w:uiPriority w:val="99"/>
    <w:semiHidden/>
    <w:rsid w:val="00C16D2A"/>
    <w:rPr>
      <w:rFonts w:ascii="Times New Roman" w:hAnsi="Times New Roman"/>
      <w:sz w:val="20"/>
      <w:szCs w:val="20"/>
      <w:lang w:val="en-GB"/>
    </w:rPr>
  </w:style>
  <w:style w:type="character" w:styleId="FootnoteReference">
    <w:name w:val="footnote reference"/>
    <w:basedOn w:val="DefaultParagraphFont"/>
    <w:uiPriority w:val="99"/>
    <w:semiHidden/>
    <w:unhideWhenUsed/>
    <w:rsid w:val="00C16D2A"/>
    <w:rPr>
      <w:vertAlign w:val="superscript"/>
    </w:rPr>
  </w:style>
  <w:style w:type="paragraph" w:styleId="Revision">
    <w:name w:val="Revision"/>
    <w:hidden/>
    <w:uiPriority w:val="99"/>
    <w:semiHidden/>
    <w:rsid w:val="009158B7"/>
    <w:pPr>
      <w:spacing w:after="0" w:line="240" w:lineRule="auto"/>
    </w:pPr>
    <w:rPr>
      <w:rFonts w:ascii="Times New Roman" w:hAnsi="Times New Roman"/>
      <w:sz w:val="24"/>
      <w:lang w:val="en-GB"/>
    </w:rPr>
  </w:style>
  <w:style w:type="paragraph" w:styleId="Bibliography">
    <w:name w:val="Bibliography"/>
    <w:basedOn w:val="Normal"/>
    <w:next w:val="Normal"/>
    <w:uiPriority w:val="37"/>
    <w:unhideWhenUsed/>
    <w:rsid w:val="00CB058F"/>
    <w:pPr>
      <w:spacing w:line="480" w:lineRule="auto"/>
      <w:ind w:left="720" w:hanging="720"/>
    </w:pPr>
  </w:style>
  <w:style w:type="paragraph" w:styleId="Caption">
    <w:name w:val="caption"/>
    <w:basedOn w:val="Normal"/>
    <w:next w:val="Normal"/>
    <w:uiPriority w:val="35"/>
    <w:unhideWhenUsed/>
    <w:qFormat/>
    <w:rsid w:val="009A1540"/>
    <w:pPr>
      <w:spacing w:after="200" w:line="240" w:lineRule="auto"/>
    </w:pPr>
    <w:rPr>
      <w:i/>
      <w:iCs/>
      <w:color w:val="44546A" w:themeColor="text2"/>
      <w:sz w:val="18"/>
      <w:szCs w:val="18"/>
    </w:rPr>
  </w:style>
  <w:style w:type="character" w:styleId="Hyperlink">
    <w:name w:val="Hyperlink"/>
    <w:basedOn w:val="DefaultParagraphFont"/>
    <w:uiPriority w:val="99"/>
    <w:unhideWhenUsed/>
    <w:rsid w:val="00E300BB"/>
    <w:rPr>
      <w:color w:val="0563C1" w:themeColor="hyperlink"/>
      <w:u w:val="single"/>
    </w:rPr>
  </w:style>
  <w:style w:type="character" w:styleId="UnresolvedMention">
    <w:name w:val="Unresolved Mention"/>
    <w:basedOn w:val="DefaultParagraphFont"/>
    <w:uiPriority w:val="99"/>
    <w:semiHidden/>
    <w:unhideWhenUsed/>
    <w:rsid w:val="00E30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599">
      <w:bodyDiv w:val="1"/>
      <w:marLeft w:val="0"/>
      <w:marRight w:val="0"/>
      <w:marTop w:val="0"/>
      <w:marBottom w:val="0"/>
      <w:divBdr>
        <w:top w:val="none" w:sz="0" w:space="0" w:color="auto"/>
        <w:left w:val="none" w:sz="0" w:space="0" w:color="auto"/>
        <w:bottom w:val="none" w:sz="0" w:space="0" w:color="auto"/>
        <w:right w:val="none" w:sz="0" w:space="0" w:color="auto"/>
      </w:divBdr>
    </w:div>
    <w:div w:id="96871770">
      <w:bodyDiv w:val="1"/>
      <w:marLeft w:val="0"/>
      <w:marRight w:val="0"/>
      <w:marTop w:val="0"/>
      <w:marBottom w:val="0"/>
      <w:divBdr>
        <w:top w:val="none" w:sz="0" w:space="0" w:color="auto"/>
        <w:left w:val="none" w:sz="0" w:space="0" w:color="auto"/>
        <w:bottom w:val="none" w:sz="0" w:space="0" w:color="auto"/>
        <w:right w:val="none" w:sz="0" w:space="0" w:color="auto"/>
      </w:divBdr>
    </w:div>
    <w:div w:id="238710956">
      <w:bodyDiv w:val="1"/>
      <w:marLeft w:val="0"/>
      <w:marRight w:val="0"/>
      <w:marTop w:val="0"/>
      <w:marBottom w:val="0"/>
      <w:divBdr>
        <w:top w:val="none" w:sz="0" w:space="0" w:color="auto"/>
        <w:left w:val="none" w:sz="0" w:space="0" w:color="auto"/>
        <w:bottom w:val="none" w:sz="0" w:space="0" w:color="auto"/>
        <w:right w:val="none" w:sz="0" w:space="0" w:color="auto"/>
      </w:divBdr>
      <w:divsChild>
        <w:div w:id="483199854">
          <w:marLeft w:val="0"/>
          <w:marRight w:val="0"/>
          <w:marTop w:val="0"/>
          <w:marBottom w:val="0"/>
          <w:divBdr>
            <w:top w:val="none" w:sz="0" w:space="0" w:color="auto"/>
            <w:left w:val="none" w:sz="0" w:space="0" w:color="auto"/>
            <w:bottom w:val="none" w:sz="0" w:space="0" w:color="auto"/>
            <w:right w:val="none" w:sz="0" w:space="0" w:color="auto"/>
          </w:divBdr>
        </w:div>
      </w:divsChild>
    </w:div>
    <w:div w:id="260068792">
      <w:bodyDiv w:val="1"/>
      <w:marLeft w:val="0"/>
      <w:marRight w:val="0"/>
      <w:marTop w:val="0"/>
      <w:marBottom w:val="0"/>
      <w:divBdr>
        <w:top w:val="none" w:sz="0" w:space="0" w:color="auto"/>
        <w:left w:val="none" w:sz="0" w:space="0" w:color="auto"/>
        <w:bottom w:val="none" w:sz="0" w:space="0" w:color="auto"/>
        <w:right w:val="none" w:sz="0" w:space="0" w:color="auto"/>
      </w:divBdr>
    </w:div>
    <w:div w:id="269901491">
      <w:bodyDiv w:val="1"/>
      <w:marLeft w:val="0"/>
      <w:marRight w:val="0"/>
      <w:marTop w:val="0"/>
      <w:marBottom w:val="0"/>
      <w:divBdr>
        <w:top w:val="none" w:sz="0" w:space="0" w:color="auto"/>
        <w:left w:val="none" w:sz="0" w:space="0" w:color="auto"/>
        <w:bottom w:val="none" w:sz="0" w:space="0" w:color="auto"/>
        <w:right w:val="none" w:sz="0" w:space="0" w:color="auto"/>
      </w:divBdr>
    </w:div>
    <w:div w:id="285964451">
      <w:bodyDiv w:val="1"/>
      <w:marLeft w:val="0"/>
      <w:marRight w:val="0"/>
      <w:marTop w:val="0"/>
      <w:marBottom w:val="0"/>
      <w:divBdr>
        <w:top w:val="none" w:sz="0" w:space="0" w:color="auto"/>
        <w:left w:val="none" w:sz="0" w:space="0" w:color="auto"/>
        <w:bottom w:val="none" w:sz="0" w:space="0" w:color="auto"/>
        <w:right w:val="none" w:sz="0" w:space="0" w:color="auto"/>
      </w:divBdr>
    </w:div>
    <w:div w:id="369305354">
      <w:bodyDiv w:val="1"/>
      <w:marLeft w:val="0"/>
      <w:marRight w:val="0"/>
      <w:marTop w:val="0"/>
      <w:marBottom w:val="0"/>
      <w:divBdr>
        <w:top w:val="none" w:sz="0" w:space="0" w:color="auto"/>
        <w:left w:val="none" w:sz="0" w:space="0" w:color="auto"/>
        <w:bottom w:val="none" w:sz="0" w:space="0" w:color="auto"/>
        <w:right w:val="none" w:sz="0" w:space="0" w:color="auto"/>
      </w:divBdr>
    </w:div>
    <w:div w:id="375815047">
      <w:bodyDiv w:val="1"/>
      <w:marLeft w:val="0"/>
      <w:marRight w:val="0"/>
      <w:marTop w:val="0"/>
      <w:marBottom w:val="0"/>
      <w:divBdr>
        <w:top w:val="none" w:sz="0" w:space="0" w:color="auto"/>
        <w:left w:val="none" w:sz="0" w:space="0" w:color="auto"/>
        <w:bottom w:val="none" w:sz="0" w:space="0" w:color="auto"/>
        <w:right w:val="none" w:sz="0" w:space="0" w:color="auto"/>
      </w:divBdr>
    </w:div>
    <w:div w:id="500970549">
      <w:bodyDiv w:val="1"/>
      <w:marLeft w:val="0"/>
      <w:marRight w:val="0"/>
      <w:marTop w:val="0"/>
      <w:marBottom w:val="0"/>
      <w:divBdr>
        <w:top w:val="none" w:sz="0" w:space="0" w:color="auto"/>
        <w:left w:val="none" w:sz="0" w:space="0" w:color="auto"/>
        <w:bottom w:val="none" w:sz="0" w:space="0" w:color="auto"/>
        <w:right w:val="none" w:sz="0" w:space="0" w:color="auto"/>
      </w:divBdr>
    </w:div>
    <w:div w:id="521629987">
      <w:bodyDiv w:val="1"/>
      <w:marLeft w:val="0"/>
      <w:marRight w:val="0"/>
      <w:marTop w:val="0"/>
      <w:marBottom w:val="0"/>
      <w:divBdr>
        <w:top w:val="none" w:sz="0" w:space="0" w:color="auto"/>
        <w:left w:val="none" w:sz="0" w:space="0" w:color="auto"/>
        <w:bottom w:val="none" w:sz="0" w:space="0" w:color="auto"/>
        <w:right w:val="none" w:sz="0" w:space="0" w:color="auto"/>
      </w:divBdr>
    </w:div>
    <w:div w:id="720176663">
      <w:bodyDiv w:val="1"/>
      <w:marLeft w:val="0"/>
      <w:marRight w:val="0"/>
      <w:marTop w:val="0"/>
      <w:marBottom w:val="0"/>
      <w:divBdr>
        <w:top w:val="none" w:sz="0" w:space="0" w:color="auto"/>
        <w:left w:val="none" w:sz="0" w:space="0" w:color="auto"/>
        <w:bottom w:val="none" w:sz="0" w:space="0" w:color="auto"/>
        <w:right w:val="none" w:sz="0" w:space="0" w:color="auto"/>
      </w:divBdr>
    </w:div>
    <w:div w:id="738213169">
      <w:bodyDiv w:val="1"/>
      <w:marLeft w:val="0"/>
      <w:marRight w:val="0"/>
      <w:marTop w:val="0"/>
      <w:marBottom w:val="0"/>
      <w:divBdr>
        <w:top w:val="none" w:sz="0" w:space="0" w:color="auto"/>
        <w:left w:val="none" w:sz="0" w:space="0" w:color="auto"/>
        <w:bottom w:val="none" w:sz="0" w:space="0" w:color="auto"/>
        <w:right w:val="none" w:sz="0" w:space="0" w:color="auto"/>
      </w:divBdr>
    </w:div>
    <w:div w:id="837693149">
      <w:bodyDiv w:val="1"/>
      <w:marLeft w:val="0"/>
      <w:marRight w:val="0"/>
      <w:marTop w:val="0"/>
      <w:marBottom w:val="0"/>
      <w:divBdr>
        <w:top w:val="none" w:sz="0" w:space="0" w:color="auto"/>
        <w:left w:val="none" w:sz="0" w:space="0" w:color="auto"/>
        <w:bottom w:val="none" w:sz="0" w:space="0" w:color="auto"/>
        <w:right w:val="none" w:sz="0" w:space="0" w:color="auto"/>
      </w:divBdr>
      <w:divsChild>
        <w:div w:id="1396078618">
          <w:marLeft w:val="0"/>
          <w:marRight w:val="0"/>
          <w:marTop w:val="0"/>
          <w:marBottom w:val="0"/>
          <w:divBdr>
            <w:top w:val="none" w:sz="0" w:space="0" w:color="auto"/>
            <w:left w:val="none" w:sz="0" w:space="0" w:color="auto"/>
            <w:bottom w:val="none" w:sz="0" w:space="0" w:color="auto"/>
            <w:right w:val="none" w:sz="0" w:space="0" w:color="auto"/>
          </w:divBdr>
        </w:div>
      </w:divsChild>
    </w:div>
    <w:div w:id="931626962">
      <w:bodyDiv w:val="1"/>
      <w:marLeft w:val="0"/>
      <w:marRight w:val="0"/>
      <w:marTop w:val="0"/>
      <w:marBottom w:val="0"/>
      <w:divBdr>
        <w:top w:val="none" w:sz="0" w:space="0" w:color="auto"/>
        <w:left w:val="none" w:sz="0" w:space="0" w:color="auto"/>
        <w:bottom w:val="none" w:sz="0" w:space="0" w:color="auto"/>
        <w:right w:val="none" w:sz="0" w:space="0" w:color="auto"/>
      </w:divBdr>
    </w:div>
    <w:div w:id="997417804">
      <w:bodyDiv w:val="1"/>
      <w:marLeft w:val="0"/>
      <w:marRight w:val="0"/>
      <w:marTop w:val="0"/>
      <w:marBottom w:val="0"/>
      <w:divBdr>
        <w:top w:val="none" w:sz="0" w:space="0" w:color="auto"/>
        <w:left w:val="none" w:sz="0" w:space="0" w:color="auto"/>
        <w:bottom w:val="none" w:sz="0" w:space="0" w:color="auto"/>
        <w:right w:val="none" w:sz="0" w:space="0" w:color="auto"/>
      </w:divBdr>
    </w:div>
    <w:div w:id="1374233752">
      <w:bodyDiv w:val="1"/>
      <w:marLeft w:val="0"/>
      <w:marRight w:val="0"/>
      <w:marTop w:val="0"/>
      <w:marBottom w:val="0"/>
      <w:divBdr>
        <w:top w:val="none" w:sz="0" w:space="0" w:color="auto"/>
        <w:left w:val="none" w:sz="0" w:space="0" w:color="auto"/>
        <w:bottom w:val="none" w:sz="0" w:space="0" w:color="auto"/>
        <w:right w:val="none" w:sz="0" w:space="0" w:color="auto"/>
      </w:divBdr>
      <w:divsChild>
        <w:div w:id="1002439906">
          <w:marLeft w:val="0"/>
          <w:marRight w:val="0"/>
          <w:marTop w:val="0"/>
          <w:marBottom w:val="0"/>
          <w:divBdr>
            <w:top w:val="none" w:sz="0" w:space="0" w:color="auto"/>
            <w:left w:val="none" w:sz="0" w:space="0" w:color="auto"/>
            <w:bottom w:val="none" w:sz="0" w:space="0" w:color="auto"/>
            <w:right w:val="none" w:sz="0" w:space="0" w:color="auto"/>
          </w:divBdr>
        </w:div>
        <w:div w:id="1761216982">
          <w:marLeft w:val="0"/>
          <w:marRight w:val="0"/>
          <w:marTop w:val="0"/>
          <w:marBottom w:val="0"/>
          <w:divBdr>
            <w:top w:val="none" w:sz="0" w:space="0" w:color="auto"/>
            <w:left w:val="none" w:sz="0" w:space="0" w:color="auto"/>
            <w:bottom w:val="none" w:sz="0" w:space="0" w:color="auto"/>
            <w:right w:val="none" w:sz="0" w:space="0" w:color="auto"/>
          </w:divBdr>
        </w:div>
      </w:divsChild>
    </w:div>
    <w:div w:id="1446460347">
      <w:bodyDiv w:val="1"/>
      <w:marLeft w:val="0"/>
      <w:marRight w:val="0"/>
      <w:marTop w:val="0"/>
      <w:marBottom w:val="0"/>
      <w:divBdr>
        <w:top w:val="none" w:sz="0" w:space="0" w:color="auto"/>
        <w:left w:val="none" w:sz="0" w:space="0" w:color="auto"/>
        <w:bottom w:val="none" w:sz="0" w:space="0" w:color="auto"/>
        <w:right w:val="none" w:sz="0" w:space="0" w:color="auto"/>
      </w:divBdr>
    </w:div>
    <w:div w:id="1446658286">
      <w:bodyDiv w:val="1"/>
      <w:marLeft w:val="0"/>
      <w:marRight w:val="0"/>
      <w:marTop w:val="0"/>
      <w:marBottom w:val="0"/>
      <w:divBdr>
        <w:top w:val="none" w:sz="0" w:space="0" w:color="auto"/>
        <w:left w:val="none" w:sz="0" w:space="0" w:color="auto"/>
        <w:bottom w:val="none" w:sz="0" w:space="0" w:color="auto"/>
        <w:right w:val="none" w:sz="0" w:space="0" w:color="auto"/>
      </w:divBdr>
    </w:div>
    <w:div w:id="1455712613">
      <w:bodyDiv w:val="1"/>
      <w:marLeft w:val="0"/>
      <w:marRight w:val="0"/>
      <w:marTop w:val="0"/>
      <w:marBottom w:val="0"/>
      <w:divBdr>
        <w:top w:val="none" w:sz="0" w:space="0" w:color="auto"/>
        <w:left w:val="none" w:sz="0" w:space="0" w:color="auto"/>
        <w:bottom w:val="none" w:sz="0" w:space="0" w:color="auto"/>
        <w:right w:val="none" w:sz="0" w:space="0" w:color="auto"/>
      </w:divBdr>
    </w:div>
    <w:div w:id="1492939480">
      <w:bodyDiv w:val="1"/>
      <w:marLeft w:val="0"/>
      <w:marRight w:val="0"/>
      <w:marTop w:val="0"/>
      <w:marBottom w:val="0"/>
      <w:divBdr>
        <w:top w:val="none" w:sz="0" w:space="0" w:color="auto"/>
        <w:left w:val="none" w:sz="0" w:space="0" w:color="auto"/>
        <w:bottom w:val="none" w:sz="0" w:space="0" w:color="auto"/>
        <w:right w:val="none" w:sz="0" w:space="0" w:color="auto"/>
      </w:divBdr>
    </w:div>
    <w:div w:id="1510830855">
      <w:bodyDiv w:val="1"/>
      <w:marLeft w:val="0"/>
      <w:marRight w:val="0"/>
      <w:marTop w:val="0"/>
      <w:marBottom w:val="0"/>
      <w:divBdr>
        <w:top w:val="none" w:sz="0" w:space="0" w:color="auto"/>
        <w:left w:val="none" w:sz="0" w:space="0" w:color="auto"/>
        <w:bottom w:val="none" w:sz="0" w:space="0" w:color="auto"/>
        <w:right w:val="none" w:sz="0" w:space="0" w:color="auto"/>
      </w:divBdr>
    </w:div>
    <w:div w:id="1604142509">
      <w:bodyDiv w:val="1"/>
      <w:marLeft w:val="0"/>
      <w:marRight w:val="0"/>
      <w:marTop w:val="0"/>
      <w:marBottom w:val="0"/>
      <w:divBdr>
        <w:top w:val="none" w:sz="0" w:space="0" w:color="auto"/>
        <w:left w:val="none" w:sz="0" w:space="0" w:color="auto"/>
        <w:bottom w:val="none" w:sz="0" w:space="0" w:color="auto"/>
        <w:right w:val="none" w:sz="0" w:space="0" w:color="auto"/>
      </w:divBdr>
    </w:div>
    <w:div w:id="1797678870">
      <w:bodyDiv w:val="1"/>
      <w:marLeft w:val="0"/>
      <w:marRight w:val="0"/>
      <w:marTop w:val="0"/>
      <w:marBottom w:val="0"/>
      <w:divBdr>
        <w:top w:val="none" w:sz="0" w:space="0" w:color="auto"/>
        <w:left w:val="none" w:sz="0" w:space="0" w:color="auto"/>
        <w:bottom w:val="none" w:sz="0" w:space="0" w:color="auto"/>
        <w:right w:val="none" w:sz="0" w:space="0" w:color="auto"/>
      </w:divBdr>
    </w:div>
    <w:div w:id="20939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4FC7-1A55-48A1-8E40-B947026D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15788</Words>
  <Characters>89997</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der Duin</dc:creator>
  <cp:keywords/>
  <dc:description/>
  <cp:lastModifiedBy>David van der Duin</cp:lastModifiedBy>
  <cp:revision>13</cp:revision>
  <dcterms:created xsi:type="dcterms:W3CDTF">2022-05-09T18:52:00Z</dcterms:created>
  <dcterms:modified xsi:type="dcterms:W3CDTF">2022-05-10T08:37:00Z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id="N8csGxYM"/&gt;&lt;style id="http://www.zotero.org/styles/apa" locale="en-GB" hasBibliography="1" bibliographyStyleHasBeenSet="1"/&gt;&lt;prefs&gt;&lt;pref name="fieldType" value="Field"/&gt;&lt;/prefs&gt;&lt;/data&gt;</vt:lpwstr>
  </property>
</Properties>
</file>