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5BC3A" w14:textId="5B9D28E6" w:rsidR="00247530" w:rsidRPr="00247530" w:rsidRDefault="00247530" w:rsidP="00247530">
      <w:pPr>
        <w:shd w:val="clear" w:color="auto" w:fill="FFFFFF"/>
        <w:spacing w:line="360" w:lineRule="auto"/>
        <w:rPr>
          <w:rFonts w:ascii="Times New Roman" w:eastAsia="Calibri" w:hAnsi="Times New Roman" w:cs="Times New Roman"/>
          <w:i/>
          <w:color w:val="000000"/>
        </w:rPr>
      </w:pPr>
      <w:r w:rsidRPr="00247530">
        <w:rPr>
          <w:rFonts w:ascii="Times New Roman" w:eastAsia="Calibri" w:hAnsi="Times New Roman" w:cs="Times New Roman"/>
          <w:i/>
          <w:color w:val="000000"/>
        </w:rPr>
        <w:t>**Draft paper, in progress. Please do not cite or circulate**</w:t>
      </w:r>
    </w:p>
    <w:p w14:paraId="6051D42A" w14:textId="77777777" w:rsidR="00834F26" w:rsidRPr="00160E45" w:rsidRDefault="00834F26" w:rsidP="00834F26">
      <w:pPr>
        <w:autoSpaceDE w:val="0"/>
        <w:autoSpaceDN w:val="0"/>
        <w:adjustRightInd w:val="0"/>
        <w:rPr>
          <w:rFonts w:ascii="Times New Roman" w:hAnsi="Times New Roman" w:cs="Times New Roman"/>
          <w:b/>
          <w:bCs/>
          <w:color w:val="1F1C1B"/>
        </w:rPr>
      </w:pPr>
    </w:p>
    <w:p w14:paraId="3E45287F" w14:textId="77777777" w:rsidR="00834F26" w:rsidRPr="00160E45" w:rsidRDefault="00834F26" w:rsidP="00834F26">
      <w:pPr>
        <w:autoSpaceDE w:val="0"/>
        <w:autoSpaceDN w:val="0"/>
        <w:adjustRightInd w:val="0"/>
        <w:rPr>
          <w:rFonts w:ascii="Times New Roman" w:hAnsi="Times New Roman" w:cs="Times New Roman"/>
          <w:b/>
          <w:bCs/>
          <w:color w:val="1F1C1B"/>
        </w:rPr>
      </w:pPr>
      <w:r w:rsidRPr="00160E45">
        <w:rPr>
          <w:rFonts w:ascii="Times New Roman" w:hAnsi="Times New Roman" w:cs="Times New Roman"/>
          <w:b/>
          <w:bCs/>
          <w:color w:val="1F1C1B"/>
        </w:rPr>
        <w:t>When Europe does not hit home:</w:t>
      </w:r>
    </w:p>
    <w:p w14:paraId="7E2F76C9" w14:textId="77777777" w:rsidR="00834F26" w:rsidRPr="00160E45" w:rsidRDefault="00834F26" w:rsidP="00834F26">
      <w:pPr>
        <w:autoSpaceDE w:val="0"/>
        <w:autoSpaceDN w:val="0"/>
        <w:adjustRightInd w:val="0"/>
        <w:rPr>
          <w:rFonts w:ascii="Times New Roman" w:hAnsi="Times New Roman" w:cs="Times New Roman"/>
          <w:b/>
          <w:bCs/>
          <w:color w:val="000000" w:themeColor="text1"/>
        </w:rPr>
      </w:pPr>
      <w:r w:rsidRPr="00160E45">
        <w:rPr>
          <w:rFonts w:ascii="Times New Roman" w:hAnsi="Times New Roman" w:cs="Times New Roman"/>
          <w:b/>
          <w:bCs/>
          <w:color w:val="1F1C1B"/>
        </w:rPr>
        <w:t xml:space="preserve">Domestic Struggles, Global Power Shifts and </w:t>
      </w:r>
      <w:r w:rsidRPr="00160E45">
        <w:rPr>
          <w:rFonts w:ascii="Times New Roman" w:hAnsi="Times New Roman" w:cs="Times New Roman"/>
          <w:b/>
          <w:bCs/>
          <w:color w:val="000000" w:themeColor="text1"/>
        </w:rPr>
        <w:t xml:space="preserve">EU’s Democracy Promotion in Turkey </w:t>
      </w:r>
    </w:p>
    <w:p w14:paraId="7DECF760" w14:textId="3ADC88FF" w:rsidR="00834F26" w:rsidRPr="00160E45" w:rsidRDefault="00834F26" w:rsidP="00834F26">
      <w:pPr>
        <w:autoSpaceDE w:val="0"/>
        <w:autoSpaceDN w:val="0"/>
        <w:adjustRightInd w:val="0"/>
        <w:rPr>
          <w:rFonts w:ascii="Times New Roman" w:hAnsi="Times New Roman" w:cs="Times New Roman"/>
          <w:b/>
          <w:bCs/>
          <w:i/>
          <w:iCs/>
        </w:rPr>
      </w:pPr>
    </w:p>
    <w:p w14:paraId="2F35552B" w14:textId="5A62BFAD" w:rsidR="00217FCE" w:rsidRPr="00160E45" w:rsidRDefault="00217FCE" w:rsidP="00217FCE">
      <w:pPr>
        <w:autoSpaceDE w:val="0"/>
        <w:autoSpaceDN w:val="0"/>
        <w:adjustRightInd w:val="0"/>
        <w:rPr>
          <w:rFonts w:ascii="Times New Roman" w:hAnsi="Times New Roman" w:cs="Times New Roman"/>
          <w:i/>
          <w:iCs/>
          <w:lang w:val="tr-TR"/>
        </w:rPr>
      </w:pPr>
      <w:r w:rsidRPr="00160E45">
        <w:rPr>
          <w:rFonts w:ascii="Times New Roman" w:hAnsi="Times New Roman" w:cs="Times New Roman"/>
          <w:i/>
          <w:iCs/>
          <w:lang w:val="tr-TR"/>
        </w:rPr>
        <w:t>Canan Balkir</w:t>
      </w:r>
      <w:r w:rsidR="00F01C08">
        <w:rPr>
          <w:rFonts w:ascii="Times New Roman" w:hAnsi="Times New Roman" w:cs="Times New Roman"/>
          <w:i/>
          <w:iCs/>
          <w:lang w:val="tr-TR"/>
        </w:rPr>
        <w:t>&amp;</w:t>
      </w:r>
      <w:r w:rsidR="00F01C08" w:rsidRPr="00F01C08">
        <w:rPr>
          <w:rFonts w:ascii="Times New Roman" w:hAnsi="Times New Roman" w:cs="Times New Roman"/>
          <w:i/>
          <w:iCs/>
          <w:lang w:val="tr-TR"/>
        </w:rPr>
        <w:t xml:space="preserve"> Digdem Soyaltin Colella</w:t>
      </w:r>
      <w:r w:rsidR="003A6943">
        <w:rPr>
          <w:rStyle w:val="FootnoteReference"/>
          <w:rFonts w:ascii="Times New Roman" w:hAnsi="Times New Roman" w:cs="Times New Roman"/>
          <w:i/>
          <w:iCs/>
          <w:lang w:val="tr-TR"/>
        </w:rPr>
        <w:footnoteReference w:id="1"/>
      </w:r>
    </w:p>
    <w:p w14:paraId="39806A8A" w14:textId="2C111409" w:rsidR="00217FCE" w:rsidRPr="00160E45" w:rsidRDefault="00217FCE" w:rsidP="00834F26">
      <w:pPr>
        <w:autoSpaceDE w:val="0"/>
        <w:autoSpaceDN w:val="0"/>
        <w:adjustRightInd w:val="0"/>
        <w:rPr>
          <w:rFonts w:ascii="Times New Roman" w:hAnsi="Times New Roman" w:cs="Times New Roman"/>
          <w:i/>
          <w:iCs/>
          <w:lang w:val="tr-TR"/>
        </w:rPr>
      </w:pPr>
    </w:p>
    <w:p w14:paraId="1CF0101B" w14:textId="77777777" w:rsidR="00834F26" w:rsidRPr="00160E45" w:rsidRDefault="00834F26" w:rsidP="00834F26">
      <w:pPr>
        <w:autoSpaceDE w:val="0"/>
        <w:autoSpaceDN w:val="0"/>
        <w:adjustRightInd w:val="0"/>
        <w:rPr>
          <w:rFonts w:ascii="Times New Roman" w:hAnsi="Times New Roman" w:cs="Times New Roman"/>
          <w:b/>
          <w:bCs/>
          <w:i/>
          <w:iCs/>
        </w:rPr>
      </w:pPr>
      <w:r w:rsidRPr="00160E45">
        <w:rPr>
          <w:rFonts w:ascii="Times New Roman" w:hAnsi="Times New Roman" w:cs="Times New Roman"/>
          <w:b/>
          <w:bCs/>
          <w:i/>
          <w:iCs/>
        </w:rPr>
        <w:t>To be presented at the EUSA conference</w:t>
      </w:r>
    </w:p>
    <w:p w14:paraId="40A68FA9" w14:textId="304AB753" w:rsidR="00834F26" w:rsidRPr="00160E45" w:rsidRDefault="00B33390" w:rsidP="00834F26">
      <w:pPr>
        <w:autoSpaceDE w:val="0"/>
        <w:autoSpaceDN w:val="0"/>
        <w:adjustRightInd w:val="0"/>
        <w:rPr>
          <w:rFonts w:ascii="Times New Roman" w:hAnsi="Times New Roman" w:cs="Times New Roman"/>
          <w:b/>
          <w:bCs/>
          <w:i/>
          <w:iCs/>
        </w:rPr>
      </w:pPr>
      <w:r w:rsidRPr="00160E45">
        <w:rPr>
          <w:rFonts w:ascii="Times New Roman" w:hAnsi="Times New Roman" w:cs="Times New Roman"/>
          <w:b/>
          <w:bCs/>
          <w:i/>
          <w:iCs/>
          <w:lang w:val="tr-TR"/>
        </w:rPr>
        <w:t xml:space="preserve">19-21 </w:t>
      </w:r>
      <w:r w:rsidR="00834F26" w:rsidRPr="00160E45">
        <w:rPr>
          <w:rFonts w:ascii="Times New Roman" w:hAnsi="Times New Roman" w:cs="Times New Roman"/>
          <w:b/>
          <w:bCs/>
          <w:i/>
          <w:iCs/>
        </w:rPr>
        <w:t>May 2022, Miami</w:t>
      </w:r>
    </w:p>
    <w:p w14:paraId="6C2AD2BD" w14:textId="41E392BF" w:rsidR="00217FCE" w:rsidRPr="00160E45" w:rsidRDefault="00217FCE" w:rsidP="00834F26">
      <w:pPr>
        <w:pStyle w:val="NormalWeb"/>
        <w:shd w:val="clear" w:color="auto" w:fill="FFFFFF"/>
        <w:spacing w:before="0" w:beforeAutospacing="0" w:after="160" w:afterAutospacing="0" w:line="235" w:lineRule="atLeast"/>
        <w:textAlignment w:val="baseline"/>
        <w:rPr>
          <w:color w:val="000000"/>
          <w:spacing w:val="-6"/>
          <w:bdr w:val="none" w:sz="0" w:space="0" w:color="auto" w:frame="1"/>
          <w:lang w:val="tr-TR"/>
        </w:rPr>
      </w:pPr>
    </w:p>
    <w:p w14:paraId="5B14A88B" w14:textId="77777777" w:rsidR="00217FCE" w:rsidRPr="00160E45" w:rsidRDefault="00217FCE" w:rsidP="00834F26">
      <w:pPr>
        <w:pStyle w:val="NormalWeb"/>
        <w:shd w:val="clear" w:color="auto" w:fill="FFFFFF"/>
        <w:spacing w:before="0" w:beforeAutospacing="0" w:after="160" w:afterAutospacing="0" w:line="235" w:lineRule="atLeast"/>
        <w:textAlignment w:val="baseline"/>
        <w:rPr>
          <w:color w:val="000000"/>
          <w:spacing w:val="-6"/>
          <w:bdr w:val="none" w:sz="0" w:space="0" w:color="auto" w:frame="1"/>
          <w:lang w:val="tr-TR"/>
        </w:rPr>
      </w:pPr>
    </w:p>
    <w:p w14:paraId="5A26F8F0" w14:textId="7AACFF94" w:rsidR="00F325A4" w:rsidRPr="00940ADE" w:rsidRDefault="00834F26" w:rsidP="009E7BD9">
      <w:pPr>
        <w:pStyle w:val="NormalWeb"/>
        <w:numPr>
          <w:ilvl w:val="0"/>
          <w:numId w:val="1"/>
        </w:numPr>
        <w:shd w:val="clear" w:color="auto" w:fill="FFFFFF"/>
        <w:spacing w:before="0" w:beforeAutospacing="0" w:after="160" w:afterAutospacing="0" w:line="235" w:lineRule="atLeast"/>
        <w:textAlignment w:val="baseline"/>
        <w:rPr>
          <w:color w:val="26282A"/>
          <w:spacing w:val="-6"/>
          <w:bdr w:val="none" w:sz="0" w:space="0" w:color="auto" w:frame="1"/>
          <w:lang w:val="en-GB"/>
        </w:rPr>
      </w:pPr>
      <w:r w:rsidRPr="00940ADE">
        <w:rPr>
          <w:b/>
          <w:bCs/>
          <w:color w:val="000000"/>
          <w:spacing w:val="-6"/>
          <w:bdr w:val="none" w:sz="0" w:space="0" w:color="auto" w:frame="1"/>
          <w:lang w:val="tr-TR"/>
        </w:rPr>
        <w:t>Introduction </w:t>
      </w:r>
    </w:p>
    <w:p w14:paraId="7782B115" w14:textId="3736E04A" w:rsidR="00940ADE" w:rsidRDefault="00940ADE" w:rsidP="00940ADE">
      <w:pPr>
        <w:jc w:val="both"/>
        <w:rPr>
          <w:rFonts w:ascii="Times New Roman" w:hAnsi="Times New Roman" w:cs="Times New Roman"/>
          <w:bCs/>
          <w:color w:val="000000" w:themeColor="text1"/>
        </w:rPr>
      </w:pPr>
      <w:r w:rsidRPr="00940ADE">
        <w:rPr>
          <w:rFonts w:ascii="Times New Roman" w:hAnsi="Times New Roman" w:cs="Times New Roman"/>
          <w:color w:val="000000" w:themeColor="text1"/>
        </w:rPr>
        <w:t>This paper addresses the substance of EU’s democracy promotion in Turkey</w:t>
      </w:r>
      <w:r w:rsidRPr="00940ADE">
        <w:rPr>
          <w:rFonts w:ascii="Times New Roman" w:hAnsi="Times New Roman" w:cs="Times New Roman"/>
          <w:bCs/>
        </w:rPr>
        <w:t xml:space="preserve"> which is not adequately examined in the literature</w:t>
      </w:r>
      <w:r w:rsidRPr="00940ADE">
        <w:rPr>
          <w:rFonts w:ascii="Times New Roman" w:hAnsi="Times New Roman" w:cs="Times New Roman"/>
          <w:color w:val="000000" w:themeColor="text1"/>
        </w:rPr>
        <w:t xml:space="preserve">. It will </w:t>
      </w:r>
      <w:r w:rsidRPr="00940ADE">
        <w:rPr>
          <w:rFonts w:ascii="Times New Roman" w:hAnsi="Times New Roman" w:cs="Times New Roman"/>
          <w:bCs/>
          <w:color w:val="000000" w:themeColor="text1"/>
        </w:rPr>
        <w:t>assess EU democracy promotion during two consecutive periods, 1999-2012 and 2013-2020. W</w:t>
      </w:r>
      <w:r w:rsidRPr="00940ADE">
        <w:rPr>
          <w:rFonts w:ascii="Times New Roman" w:hAnsi="Times New Roman" w:cs="Times New Roman"/>
          <w:color w:val="000000" w:themeColor="text1"/>
        </w:rPr>
        <w:t xml:space="preserve">e argue that </w:t>
      </w:r>
      <w:r w:rsidRPr="00940ADE">
        <w:rPr>
          <w:rFonts w:ascii="Times New Roman" w:hAnsi="Times New Roman" w:cs="Times New Roman"/>
          <w:bCs/>
          <w:color w:val="000000" w:themeColor="text1"/>
        </w:rPr>
        <w:t>EU has scaled down the substance of its democracy promotion in Turkey</w:t>
      </w:r>
      <w:r w:rsidRPr="00940ADE">
        <w:rPr>
          <w:rFonts w:ascii="Times New Roman" w:hAnsi="Times New Roman" w:cs="Times New Roman"/>
          <w:color w:val="000000" w:themeColor="text1"/>
        </w:rPr>
        <w:t xml:space="preserve"> from broad in the first period to the shallow in the second period which could be explained by revisiting three factors: </w:t>
      </w:r>
      <w:r w:rsidRPr="00940ADE">
        <w:rPr>
          <w:rFonts w:ascii="Times New Roman" w:hAnsi="Times New Roman" w:cs="Times New Roman"/>
          <w:i/>
          <w:iCs/>
          <w:color w:val="000000" w:themeColor="text1"/>
        </w:rPr>
        <w:t>domestic struggles</w:t>
      </w:r>
      <w:r w:rsidR="001C3E77">
        <w:rPr>
          <w:rFonts w:ascii="Times New Roman" w:hAnsi="Times New Roman" w:cs="Times New Roman"/>
          <w:i/>
          <w:iCs/>
          <w:color w:val="000000" w:themeColor="text1"/>
        </w:rPr>
        <w:t>,</w:t>
      </w:r>
      <w:r w:rsidRPr="00940ADE">
        <w:rPr>
          <w:rFonts w:ascii="Times New Roman" w:hAnsi="Times New Roman" w:cs="Times New Roman"/>
          <w:i/>
          <w:iCs/>
          <w:color w:val="000000" w:themeColor="text1"/>
        </w:rPr>
        <w:t xml:space="preserve"> power asymmetries, EU resilience politics</w:t>
      </w:r>
      <w:r w:rsidRPr="00940ADE">
        <w:rPr>
          <w:rFonts w:ascii="Times New Roman" w:hAnsi="Times New Roman" w:cs="Times New Roman"/>
          <w:color w:val="000000" w:themeColor="text1"/>
        </w:rPr>
        <w:t xml:space="preserve">. The </w:t>
      </w:r>
      <w:r w:rsidRPr="00940ADE">
        <w:rPr>
          <w:rFonts w:ascii="Times New Roman" w:hAnsi="Times New Roman" w:cs="Times New Roman"/>
          <w:bCs/>
          <w:color w:val="000000" w:themeColor="text1"/>
        </w:rPr>
        <w:t xml:space="preserve">domestic struggles have become the identifying factor due to the dramatic internal struggles the country went through especially after the corruption scandal of 2013 and failed coup of July 2016. The ongoing democratic backsliding </w:t>
      </w:r>
      <w:r w:rsidR="00D63B29">
        <w:rPr>
          <w:rFonts w:ascii="Times New Roman" w:hAnsi="Times New Roman" w:cs="Times New Roman"/>
          <w:bCs/>
          <w:color w:val="000000" w:themeColor="text1"/>
        </w:rPr>
        <w:t xml:space="preserve">in </w:t>
      </w:r>
      <w:r w:rsidR="00D63B29" w:rsidRPr="00940ADE">
        <w:rPr>
          <w:rFonts w:ascii="Times New Roman" w:hAnsi="Times New Roman" w:cs="Times New Roman"/>
          <w:bCs/>
          <w:color w:val="000000" w:themeColor="text1"/>
        </w:rPr>
        <w:t>and</w:t>
      </w:r>
      <w:r w:rsidRPr="00940ADE">
        <w:rPr>
          <w:rFonts w:ascii="Times New Roman" w:hAnsi="Times New Roman" w:cs="Times New Roman"/>
          <w:bCs/>
          <w:color w:val="000000" w:themeColor="text1"/>
        </w:rPr>
        <w:t xml:space="preserve"> increasing misfit was coupled with the EU’s shallow reform agenda that fails to compensate the domestic adoption costs. Instead, the EU largely associate</w:t>
      </w:r>
      <w:r w:rsidR="00D63B29">
        <w:rPr>
          <w:rFonts w:ascii="Times New Roman" w:hAnsi="Times New Roman" w:cs="Times New Roman"/>
          <w:bCs/>
          <w:color w:val="000000" w:themeColor="text1"/>
        </w:rPr>
        <w:t>d</w:t>
      </w:r>
      <w:r w:rsidRPr="00940ADE">
        <w:rPr>
          <w:rFonts w:ascii="Times New Roman" w:hAnsi="Times New Roman" w:cs="Times New Roman"/>
          <w:bCs/>
          <w:color w:val="000000" w:themeColor="text1"/>
        </w:rPr>
        <w:t xml:space="preserve"> Turkey’s EU accession process with its success in ending the refugee flows to Europe rather than </w:t>
      </w:r>
      <w:r w:rsidR="00263C3F">
        <w:rPr>
          <w:rFonts w:ascii="Times New Roman" w:hAnsi="Times New Roman" w:cs="Times New Roman"/>
          <w:bCs/>
          <w:color w:val="000000" w:themeColor="text1"/>
        </w:rPr>
        <w:t xml:space="preserve">the </w:t>
      </w:r>
      <w:r w:rsidRPr="00940ADE">
        <w:rPr>
          <w:rFonts w:ascii="Times New Roman" w:hAnsi="Times New Roman" w:cs="Times New Roman"/>
          <w:bCs/>
          <w:color w:val="000000" w:themeColor="text1"/>
        </w:rPr>
        <w:t xml:space="preserve">realization of democratic reforms under official membership conditionality. The externalization of the refugee crisis raised Eurosceptic criticisms against the EU in Turkey and undermined the credibility of the EU’s transformative power for the domestic politics. The second factor which should be re-considered is the shift in the power asymmetries. The emergence of Turkey as a new center of aid and trade to developing countries in Africa, a rising partner for the countries in Central Asia, and a provider of security and stability in Euro-Atlantic region changed the power dynamics and constricted EU’s appeal for Turkey. Moreover, Turkey’s crucial partnership in terms of refugee crisis decreased the degree of interdependency and trimmed down EU’s ability to </w:t>
      </w:r>
      <w:r w:rsidR="007205B1">
        <w:rPr>
          <w:rFonts w:ascii="Times New Roman" w:hAnsi="Times New Roman" w:cs="Times New Roman"/>
          <w:bCs/>
          <w:color w:val="000000" w:themeColor="text1"/>
        </w:rPr>
        <w:t xml:space="preserve">exert </w:t>
      </w:r>
      <w:r w:rsidRPr="00940ADE">
        <w:rPr>
          <w:rFonts w:ascii="Times New Roman" w:hAnsi="Times New Roman" w:cs="Times New Roman"/>
          <w:lang w:val="en-GB"/>
        </w:rPr>
        <w:t>direct influence and adaptational pressure for institutional change in Turkey</w:t>
      </w:r>
      <w:r w:rsidRPr="00940ADE">
        <w:rPr>
          <w:rFonts w:ascii="Times New Roman" w:hAnsi="Times New Roman" w:cs="Times New Roman"/>
          <w:bCs/>
          <w:color w:val="000000" w:themeColor="text1"/>
        </w:rPr>
        <w:t>. Third,</w:t>
      </w:r>
      <w:r w:rsidRPr="00940ADE">
        <w:rPr>
          <w:rFonts w:ascii="Times New Roman" w:hAnsi="Times New Roman" w:cs="Times New Roman"/>
          <w:color w:val="000000"/>
        </w:rPr>
        <w:t xml:space="preserve"> </w:t>
      </w:r>
      <w:r w:rsidRPr="00940ADE">
        <w:rPr>
          <w:rFonts w:ascii="Times New Roman" w:hAnsi="Times New Roman" w:cs="Times New Roman"/>
          <w:color w:val="000000"/>
          <w:lang w:val="tr-TR"/>
        </w:rPr>
        <w:t xml:space="preserve">with the change </w:t>
      </w:r>
      <w:r w:rsidRPr="00940ADE">
        <w:rPr>
          <w:rFonts w:ascii="Times New Roman" w:hAnsi="Times New Roman" w:cs="Times New Roman"/>
        </w:rPr>
        <w:t>in EU Global Strategy</w:t>
      </w:r>
      <w:r w:rsidRPr="00940ADE">
        <w:rPr>
          <w:rFonts w:ascii="Times New Roman" w:hAnsi="Times New Roman" w:cs="Times New Roman"/>
          <w:lang w:val="tr-TR"/>
        </w:rPr>
        <w:t xml:space="preserve">, EU </w:t>
      </w:r>
      <w:r w:rsidRPr="00940ADE">
        <w:rPr>
          <w:rFonts w:ascii="Times New Roman" w:hAnsi="Times New Roman" w:cs="Times New Roman"/>
        </w:rPr>
        <w:t xml:space="preserve">turned resilience into one of the cornerstones of foreign and security policy, replacing the earlier focus on democracy promotion. </w:t>
      </w:r>
      <w:r w:rsidRPr="00503B10">
        <w:rPr>
          <w:rFonts w:ascii="Times New Roman" w:hAnsi="Times New Roman" w:cs="Times New Roman"/>
          <w:bCs/>
          <w:color w:val="000000" w:themeColor="text1"/>
        </w:rPr>
        <w:t xml:space="preserve">While EU’s resilience politics </w:t>
      </w:r>
      <w:r w:rsidR="001D36D2" w:rsidRPr="00503B10">
        <w:rPr>
          <w:rFonts w:ascii="Times New Roman" w:hAnsi="Times New Roman" w:cs="Times New Roman"/>
          <w:bCs/>
          <w:color w:val="000000" w:themeColor="text1"/>
        </w:rPr>
        <w:t>under</w:t>
      </w:r>
      <w:r w:rsidR="00847B8C" w:rsidRPr="00503B10">
        <w:rPr>
          <w:rFonts w:ascii="Times New Roman" w:hAnsi="Times New Roman" w:cs="Times New Roman"/>
          <w:bCs/>
          <w:color w:val="000000" w:themeColor="text1"/>
        </w:rPr>
        <w:t xml:space="preserve"> </w:t>
      </w:r>
      <w:r w:rsidRPr="00503B10">
        <w:rPr>
          <w:rFonts w:ascii="Times New Roman" w:hAnsi="Times New Roman" w:cs="Times New Roman"/>
          <w:bCs/>
          <w:color w:val="000000" w:themeColor="text1"/>
        </w:rPr>
        <w:t>the enlargement policy prioritizes stability/security over d</w:t>
      </w:r>
      <w:r w:rsidRPr="00940ADE">
        <w:rPr>
          <w:rFonts w:ascii="Times New Roman" w:hAnsi="Times New Roman" w:cs="Times New Roman"/>
          <w:bCs/>
          <w:color w:val="000000" w:themeColor="text1"/>
        </w:rPr>
        <w:t xml:space="preserve">emocracy in Turkey </w:t>
      </w:r>
      <w:proofErr w:type="gramStart"/>
      <w:r w:rsidRPr="00940ADE">
        <w:rPr>
          <w:rFonts w:ascii="Times New Roman" w:hAnsi="Times New Roman" w:cs="Times New Roman"/>
          <w:bCs/>
          <w:color w:val="000000" w:themeColor="text1"/>
        </w:rPr>
        <w:t>similar to</w:t>
      </w:r>
      <w:proofErr w:type="gramEnd"/>
      <w:r w:rsidRPr="00940ADE">
        <w:rPr>
          <w:rFonts w:ascii="Times New Roman" w:hAnsi="Times New Roman" w:cs="Times New Roman"/>
          <w:bCs/>
          <w:color w:val="000000" w:themeColor="text1"/>
        </w:rPr>
        <w:t xml:space="preserve"> Western Balkans and MENA countries, it opens up new research venues for diverging views about </w:t>
      </w:r>
      <w:r w:rsidRPr="00940ADE">
        <w:rPr>
          <w:rFonts w:ascii="Times New Roman" w:hAnsi="Times New Roman" w:cs="Times New Roman"/>
        </w:rPr>
        <w:t>scope and depth of EU’s transformative power in its near abroad.</w:t>
      </w:r>
      <w:r w:rsidRPr="00940ADE">
        <w:rPr>
          <w:rFonts w:ascii="Times New Roman" w:hAnsi="Times New Roman" w:cs="Times New Roman"/>
          <w:lang w:val="tr-TR"/>
        </w:rPr>
        <w:t xml:space="preserve"> </w:t>
      </w:r>
      <w:r w:rsidRPr="00940ADE">
        <w:rPr>
          <w:rFonts w:ascii="Times New Roman" w:hAnsi="Times New Roman" w:cs="Times New Roman"/>
          <w:bCs/>
          <w:color w:val="000000" w:themeColor="text1"/>
        </w:rPr>
        <w:t xml:space="preserve">Due to coupling of these three factors, the EU’s democracy promotion for Turkey weakly hits home and </w:t>
      </w:r>
      <w:r w:rsidR="00BA3814">
        <w:rPr>
          <w:rFonts w:ascii="Times New Roman" w:hAnsi="Times New Roman" w:cs="Times New Roman"/>
          <w:bCs/>
          <w:color w:val="000000" w:themeColor="text1"/>
        </w:rPr>
        <w:t xml:space="preserve">instead </w:t>
      </w:r>
      <w:r w:rsidRPr="00940ADE">
        <w:rPr>
          <w:rFonts w:ascii="Times New Roman" w:hAnsi="Times New Roman" w:cs="Times New Roman"/>
          <w:bCs/>
          <w:color w:val="000000" w:themeColor="text1"/>
        </w:rPr>
        <w:t xml:space="preserve">highlights strategic co-operation on </w:t>
      </w:r>
      <w:proofErr w:type="gramStart"/>
      <w:r w:rsidRPr="00940ADE">
        <w:rPr>
          <w:rFonts w:ascii="Times New Roman" w:hAnsi="Times New Roman" w:cs="Times New Roman"/>
          <w:bCs/>
          <w:color w:val="000000" w:themeColor="text1"/>
        </w:rPr>
        <w:t>a number of</w:t>
      </w:r>
      <w:proofErr w:type="gramEnd"/>
      <w:r w:rsidRPr="00940ADE">
        <w:rPr>
          <w:rFonts w:ascii="Times New Roman" w:hAnsi="Times New Roman" w:cs="Times New Roman"/>
          <w:bCs/>
          <w:color w:val="000000" w:themeColor="text1"/>
        </w:rPr>
        <w:t xml:space="preserve"> key areas (such as trade, energy, and migration).</w:t>
      </w:r>
    </w:p>
    <w:p w14:paraId="4F473D77" w14:textId="7B0DDC1D" w:rsidR="00247530" w:rsidRDefault="00247530" w:rsidP="00940ADE">
      <w:pPr>
        <w:jc w:val="both"/>
        <w:rPr>
          <w:rFonts w:ascii="Times New Roman" w:hAnsi="Times New Roman" w:cs="Times New Roman"/>
          <w:bCs/>
          <w:color w:val="000000" w:themeColor="text1"/>
        </w:rPr>
      </w:pPr>
    </w:p>
    <w:p w14:paraId="7CB3C017" w14:textId="487E6A93" w:rsidR="00D44FEB" w:rsidRPr="00940ADE" w:rsidRDefault="00834F26" w:rsidP="003A59CC">
      <w:pPr>
        <w:pStyle w:val="NormalWeb"/>
        <w:numPr>
          <w:ilvl w:val="0"/>
          <w:numId w:val="1"/>
        </w:numPr>
        <w:shd w:val="clear" w:color="auto" w:fill="FFFFFF"/>
        <w:spacing w:before="0" w:beforeAutospacing="0" w:after="160" w:afterAutospacing="0" w:line="235" w:lineRule="atLeast"/>
        <w:jc w:val="both"/>
        <w:textAlignment w:val="baseline"/>
        <w:rPr>
          <w:color w:val="000000"/>
        </w:rPr>
      </w:pPr>
      <w:r w:rsidRPr="00940ADE">
        <w:rPr>
          <w:b/>
          <w:bCs/>
          <w:color w:val="1F1C1B"/>
          <w:spacing w:val="-6"/>
          <w:bdr w:val="none" w:sz="0" w:space="0" w:color="auto" w:frame="1"/>
        </w:rPr>
        <w:lastRenderedPageBreak/>
        <w:t>EU democracy Promotion-</w:t>
      </w:r>
      <w:r w:rsidR="00F41961">
        <w:rPr>
          <w:b/>
          <w:bCs/>
          <w:color w:val="1F1C1B"/>
          <w:spacing w:val="-6"/>
          <w:bdr w:val="none" w:sz="0" w:space="0" w:color="auto" w:frame="1"/>
        </w:rPr>
        <w:t xml:space="preserve"> </w:t>
      </w:r>
      <w:r w:rsidRPr="00940ADE">
        <w:rPr>
          <w:b/>
          <w:bCs/>
          <w:color w:val="1F1C1B"/>
          <w:spacing w:val="-6"/>
          <w:bdr w:val="none" w:sz="0" w:space="0" w:color="auto" w:frame="1"/>
        </w:rPr>
        <w:t>When Europe does not hit hom</w:t>
      </w:r>
      <w:r w:rsidR="00146CA1" w:rsidRPr="00940ADE">
        <w:rPr>
          <w:b/>
          <w:bCs/>
          <w:color w:val="1F1C1B"/>
          <w:spacing w:val="-6"/>
          <w:bdr w:val="none" w:sz="0" w:space="0" w:color="auto" w:frame="1"/>
        </w:rPr>
        <w:t>e</w:t>
      </w:r>
      <w:r w:rsidRPr="00940ADE">
        <w:rPr>
          <w:b/>
          <w:bCs/>
          <w:color w:val="1F1C1B"/>
          <w:spacing w:val="-6"/>
          <w:bdr w:val="none" w:sz="0" w:space="0" w:color="auto" w:frame="1"/>
        </w:rPr>
        <w:t xml:space="preserve">  </w:t>
      </w:r>
    </w:p>
    <w:p w14:paraId="42346BFC" w14:textId="310DB2D3" w:rsidR="005E36B6" w:rsidRPr="00D44FEB" w:rsidRDefault="00F325A4" w:rsidP="009E7BD9">
      <w:pPr>
        <w:pStyle w:val="NormalWeb"/>
        <w:shd w:val="clear" w:color="auto" w:fill="FFFFFF"/>
        <w:spacing w:before="0" w:beforeAutospacing="0" w:after="160" w:afterAutospacing="0" w:line="235" w:lineRule="atLeast"/>
        <w:jc w:val="both"/>
        <w:textAlignment w:val="baseline"/>
        <w:rPr>
          <w:color w:val="000000"/>
        </w:rPr>
      </w:pPr>
      <w:r w:rsidRPr="00D44FEB">
        <w:t xml:space="preserve">Theoretical and empirical state-of-the-art on the EU democracy promotion focused on the </w:t>
      </w:r>
      <w:r w:rsidRPr="00D44FEB">
        <w:rPr>
          <w:color w:val="000000"/>
        </w:rPr>
        <w:t xml:space="preserve">mechanisms and tools of its external rule transfer. The research on ‘transformative’ power of Europe elaborated on how under which conditions and to what extent the EU </w:t>
      </w:r>
      <w:r w:rsidR="00F22501" w:rsidRPr="00D44FEB">
        <w:rPr>
          <w:color w:val="000000"/>
        </w:rPr>
        <w:t xml:space="preserve">hits home in the </w:t>
      </w:r>
      <w:r w:rsidRPr="00D44FEB">
        <w:rPr>
          <w:color w:val="000000"/>
        </w:rPr>
        <w:t>countries that are not members (yet)</w:t>
      </w:r>
      <w:r w:rsidR="00F22501" w:rsidRPr="00D44FEB">
        <w:rPr>
          <w:color w:val="000000"/>
        </w:rPr>
        <w:t xml:space="preserve">. </w:t>
      </w:r>
      <w:r w:rsidR="005E36B6" w:rsidRPr="00D44FEB">
        <w:rPr>
          <w:color w:val="000000"/>
        </w:rPr>
        <w:t xml:space="preserve">Scholars </w:t>
      </w:r>
      <w:r w:rsidR="00F22501" w:rsidRPr="00D44FEB">
        <w:rPr>
          <w:color w:val="000000"/>
        </w:rPr>
        <w:t xml:space="preserve">intensely examined the top-down Europeanisation in the post-communist Europe and </w:t>
      </w:r>
      <w:r w:rsidR="005E36B6" w:rsidRPr="00D44FEB">
        <w:rPr>
          <w:color w:val="000000"/>
        </w:rPr>
        <w:t xml:space="preserve">identified domestic misfit and membership conditionality as two factors that decisively shape the effectiveness of the EU’s transformative power in the Central and Eastern European accession countries (Kelley 2006; </w:t>
      </w:r>
      <w:proofErr w:type="spellStart"/>
      <w:r w:rsidR="005E36B6" w:rsidRPr="00D44FEB">
        <w:rPr>
          <w:color w:val="000000"/>
        </w:rPr>
        <w:t>Lavenex</w:t>
      </w:r>
      <w:proofErr w:type="spellEnd"/>
      <w:r w:rsidR="005E36B6" w:rsidRPr="00D44FEB">
        <w:rPr>
          <w:color w:val="000000"/>
        </w:rPr>
        <w:t xml:space="preserve"> 2004; </w:t>
      </w:r>
      <w:proofErr w:type="spellStart"/>
      <w:r w:rsidR="005E36B6" w:rsidRPr="00D44FEB">
        <w:rPr>
          <w:color w:val="000000"/>
        </w:rPr>
        <w:t>Schimmelfennig</w:t>
      </w:r>
      <w:proofErr w:type="spellEnd"/>
      <w:r w:rsidR="005E36B6" w:rsidRPr="00D44FEB">
        <w:rPr>
          <w:color w:val="000000"/>
        </w:rPr>
        <w:t>/</w:t>
      </w:r>
      <w:proofErr w:type="spellStart"/>
      <w:r w:rsidR="005E36B6" w:rsidRPr="00D44FEB">
        <w:rPr>
          <w:color w:val="000000"/>
        </w:rPr>
        <w:t>Trauner</w:t>
      </w:r>
      <w:proofErr w:type="spellEnd"/>
      <w:r w:rsidR="005E36B6" w:rsidRPr="00D44FEB">
        <w:rPr>
          <w:color w:val="000000"/>
        </w:rPr>
        <w:t xml:space="preserve"> 2010). If high and credible conditionality combines with policy or institutional misfit, </w:t>
      </w:r>
      <w:r w:rsidR="00710A07">
        <w:rPr>
          <w:color w:val="000000"/>
        </w:rPr>
        <w:t xml:space="preserve">the </w:t>
      </w:r>
      <w:r w:rsidR="005E36B6" w:rsidRPr="00D44FEB">
        <w:rPr>
          <w:color w:val="000000"/>
        </w:rPr>
        <w:t xml:space="preserve">EU-induced domestic change is likely to occur because the domestic elites reply to the </w:t>
      </w:r>
      <w:r w:rsidR="00F22501" w:rsidRPr="00D44FEB">
        <w:rPr>
          <w:color w:val="000000"/>
        </w:rPr>
        <w:t xml:space="preserve">EU </w:t>
      </w:r>
      <w:r w:rsidR="005E36B6" w:rsidRPr="00D44FEB">
        <w:rPr>
          <w:color w:val="000000"/>
        </w:rPr>
        <w:t xml:space="preserve">pressure for change </w:t>
      </w:r>
      <w:r w:rsidR="00F22501" w:rsidRPr="00D44FEB">
        <w:rPr>
          <w:color w:val="000000"/>
        </w:rPr>
        <w:t xml:space="preserve">to reach to benefits </w:t>
      </w:r>
      <w:r w:rsidR="005E36B6" w:rsidRPr="00D44FEB">
        <w:rPr>
          <w:color w:val="000000"/>
        </w:rPr>
        <w:t xml:space="preserve">and EU offers enough to pay off the domestic adoption </w:t>
      </w:r>
      <w:r w:rsidR="00F22501" w:rsidRPr="00D44FEB">
        <w:rPr>
          <w:color w:val="000000"/>
        </w:rPr>
        <w:t>costs (</w:t>
      </w:r>
      <w:proofErr w:type="spellStart"/>
      <w:r w:rsidR="005E36B6" w:rsidRPr="00D44FEB">
        <w:rPr>
          <w:color w:val="000000"/>
        </w:rPr>
        <w:t>Schimmelfennig</w:t>
      </w:r>
      <w:proofErr w:type="spellEnd"/>
      <w:r w:rsidR="005E36B6" w:rsidRPr="00D44FEB">
        <w:rPr>
          <w:color w:val="000000"/>
        </w:rPr>
        <w:t xml:space="preserve">/ </w:t>
      </w:r>
      <w:proofErr w:type="spellStart"/>
      <w:r w:rsidR="005E36B6" w:rsidRPr="00D44FEB">
        <w:rPr>
          <w:color w:val="000000"/>
        </w:rPr>
        <w:t>Sedelmeier</w:t>
      </w:r>
      <w:proofErr w:type="spellEnd"/>
      <w:r w:rsidR="005E36B6" w:rsidRPr="00D44FEB">
        <w:rPr>
          <w:color w:val="000000"/>
        </w:rPr>
        <w:t xml:space="preserve"> 2004). Strong incentives </w:t>
      </w:r>
      <w:r w:rsidR="00F22501" w:rsidRPr="00D44FEB">
        <w:rPr>
          <w:color w:val="000000"/>
        </w:rPr>
        <w:t xml:space="preserve">combined with domestic misfit </w:t>
      </w:r>
      <w:r w:rsidR="005E36B6" w:rsidRPr="00D44FEB">
        <w:rPr>
          <w:color w:val="000000"/>
        </w:rPr>
        <w:t xml:space="preserve">generated </w:t>
      </w:r>
      <w:r w:rsidRPr="00D44FEB">
        <w:rPr>
          <w:color w:val="000000"/>
        </w:rPr>
        <w:t xml:space="preserve">EU-led domestic reforms </w:t>
      </w:r>
      <w:r w:rsidR="00F22501" w:rsidRPr="009E7BD9">
        <w:rPr>
          <w:color w:val="000000"/>
        </w:rPr>
        <w:t>and</w:t>
      </w:r>
      <w:r w:rsidRPr="002701A7">
        <w:rPr>
          <w:color w:val="000000"/>
        </w:rPr>
        <w:t xml:space="preserve"> promoted </w:t>
      </w:r>
      <w:r w:rsidR="00F22501" w:rsidRPr="00D44FEB">
        <w:rPr>
          <w:color w:val="000000"/>
        </w:rPr>
        <w:t xml:space="preserve">democratization and </w:t>
      </w:r>
      <w:r w:rsidRPr="00D44FEB">
        <w:rPr>
          <w:color w:val="000000"/>
        </w:rPr>
        <w:t xml:space="preserve">political </w:t>
      </w:r>
      <w:r w:rsidR="00F22501" w:rsidRPr="00D44FEB">
        <w:rPr>
          <w:color w:val="000000"/>
        </w:rPr>
        <w:t>liberalization</w:t>
      </w:r>
      <w:r w:rsidRPr="00D44FEB">
        <w:rPr>
          <w:color w:val="000000"/>
        </w:rPr>
        <w:t xml:space="preserve"> </w:t>
      </w:r>
      <w:r w:rsidR="00F22501" w:rsidRPr="00D44FEB">
        <w:rPr>
          <w:color w:val="000000"/>
        </w:rPr>
        <w:t xml:space="preserve">in the Central and Eastern European </w:t>
      </w:r>
      <w:r w:rsidRPr="00D44FEB">
        <w:rPr>
          <w:color w:val="000000"/>
        </w:rPr>
        <w:t>(</w:t>
      </w:r>
      <w:proofErr w:type="spellStart"/>
      <w:r w:rsidRPr="00D44FEB">
        <w:rPr>
          <w:color w:val="000000"/>
        </w:rPr>
        <w:t>Börzel</w:t>
      </w:r>
      <w:proofErr w:type="spellEnd"/>
      <w:r w:rsidRPr="00D44FEB">
        <w:rPr>
          <w:color w:val="000000"/>
        </w:rPr>
        <w:t xml:space="preserve"> and </w:t>
      </w:r>
      <w:proofErr w:type="spellStart"/>
      <w:r w:rsidRPr="00D44FEB">
        <w:rPr>
          <w:color w:val="000000"/>
        </w:rPr>
        <w:t>Risse</w:t>
      </w:r>
      <w:proofErr w:type="spellEnd"/>
      <w:r w:rsidRPr="00D44FEB">
        <w:rPr>
          <w:color w:val="000000"/>
        </w:rPr>
        <w:t xml:space="preserve">, 2009, 2012; </w:t>
      </w:r>
      <w:proofErr w:type="spellStart"/>
      <w:r w:rsidRPr="00D44FEB">
        <w:rPr>
          <w:color w:val="000000"/>
        </w:rPr>
        <w:t>Lavenex</w:t>
      </w:r>
      <w:proofErr w:type="spellEnd"/>
      <w:r w:rsidRPr="00D44FEB">
        <w:rPr>
          <w:color w:val="000000"/>
        </w:rPr>
        <w:t xml:space="preserve"> et al. 2015; </w:t>
      </w:r>
      <w:proofErr w:type="spellStart"/>
      <w:r w:rsidRPr="00D44FEB">
        <w:rPr>
          <w:color w:val="000000"/>
        </w:rPr>
        <w:t>Schimmelfennig</w:t>
      </w:r>
      <w:proofErr w:type="spellEnd"/>
      <w:r w:rsidRPr="00D44FEB">
        <w:rPr>
          <w:color w:val="000000"/>
        </w:rPr>
        <w:t xml:space="preserve"> and </w:t>
      </w:r>
      <w:proofErr w:type="spellStart"/>
      <w:r w:rsidRPr="00D44FEB">
        <w:rPr>
          <w:color w:val="000000"/>
        </w:rPr>
        <w:t>Sedelmeier</w:t>
      </w:r>
      <w:proofErr w:type="spellEnd"/>
      <w:r w:rsidRPr="00D44FEB">
        <w:rPr>
          <w:color w:val="000000"/>
        </w:rPr>
        <w:t xml:space="preserve">, 2005; </w:t>
      </w:r>
      <w:proofErr w:type="spellStart"/>
      <w:r w:rsidRPr="00D44FEB">
        <w:rPr>
          <w:color w:val="000000"/>
        </w:rPr>
        <w:t>Vachudova</w:t>
      </w:r>
      <w:proofErr w:type="spellEnd"/>
      <w:r w:rsidRPr="00D44FEB">
        <w:rPr>
          <w:color w:val="000000"/>
        </w:rPr>
        <w:t>, 2005).</w:t>
      </w:r>
    </w:p>
    <w:p w14:paraId="0B8F8C32" w14:textId="10C6E7E9" w:rsidR="00F22501" w:rsidRPr="00160E45" w:rsidRDefault="00C21F89" w:rsidP="00F325A4">
      <w:pPr>
        <w:pStyle w:val="NormalWeb"/>
        <w:jc w:val="both"/>
        <w:rPr>
          <w:color w:val="000000"/>
        </w:rPr>
      </w:pPr>
      <w:r w:rsidRPr="00160E45">
        <w:rPr>
          <w:color w:val="000000"/>
        </w:rPr>
        <w:t xml:space="preserve">Like in </w:t>
      </w:r>
      <w:r w:rsidRPr="00160E45">
        <w:rPr>
          <w:color w:val="000000"/>
          <w:lang w:val="tr-TR"/>
        </w:rPr>
        <w:t xml:space="preserve">the </w:t>
      </w:r>
      <w:r w:rsidR="00393FF5" w:rsidRPr="00160E45">
        <w:rPr>
          <w:color w:val="000000"/>
          <w:lang w:val="tr-TR"/>
        </w:rPr>
        <w:t xml:space="preserve">CEE, </w:t>
      </w:r>
      <w:r w:rsidR="00393FF5" w:rsidRPr="00160E45">
        <w:rPr>
          <w:color w:val="000000"/>
        </w:rPr>
        <w:t>EU</w:t>
      </w:r>
      <w:r w:rsidR="00F22501" w:rsidRPr="00160E45">
        <w:rPr>
          <w:color w:val="000000"/>
        </w:rPr>
        <w:t xml:space="preserve"> accession created pressure for the adaptation for deep-seated reforms between 1999 and 2004 when the credibility of EU conditionality towards Turkey was still high (</w:t>
      </w:r>
      <w:proofErr w:type="spellStart"/>
      <w:r w:rsidR="00F22501" w:rsidRPr="00160E45">
        <w:rPr>
          <w:color w:val="000000"/>
        </w:rPr>
        <w:t>Saatçioğlu</w:t>
      </w:r>
      <w:proofErr w:type="spellEnd"/>
      <w:r w:rsidR="00F22501" w:rsidRPr="00160E45">
        <w:rPr>
          <w:color w:val="000000"/>
        </w:rPr>
        <w:t xml:space="preserve"> 2010; </w:t>
      </w:r>
      <w:proofErr w:type="spellStart"/>
      <w:r w:rsidR="00F22501" w:rsidRPr="00160E45">
        <w:rPr>
          <w:color w:val="000000"/>
        </w:rPr>
        <w:t>Yılmaz</w:t>
      </w:r>
      <w:proofErr w:type="spellEnd"/>
      <w:r w:rsidR="00F22501" w:rsidRPr="00160E45">
        <w:rPr>
          <w:color w:val="000000"/>
        </w:rPr>
        <w:t xml:space="preserve"> 2011). Sizeable and credible EU incentives empowered pro-reformist coalitions vis-à-vis nationalist forces to push for domestic change (</w:t>
      </w:r>
      <w:proofErr w:type="spellStart"/>
      <w:r w:rsidR="00F22501" w:rsidRPr="00160E45">
        <w:rPr>
          <w:color w:val="000000"/>
        </w:rPr>
        <w:t>Aydın</w:t>
      </w:r>
      <w:proofErr w:type="spellEnd"/>
      <w:r w:rsidR="00F22501" w:rsidRPr="00160E45">
        <w:rPr>
          <w:color w:val="000000"/>
        </w:rPr>
        <w:t xml:space="preserve">/Keyman 2004; </w:t>
      </w:r>
      <w:proofErr w:type="spellStart"/>
      <w:r w:rsidR="00F22501" w:rsidRPr="00160E45">
        <w:rPr>
          <w:color w:val="000000"/>
        </w:rPr>
        <w:t>Baç</w:t>
      </w:r>
      <w:proofErr w:type="spellEnd"/>
      <w:r w:rsidR="00F22501" w:rsidRPr="00160E45">
        <w:rPr>
          <w:color w:val="000000"/>
        </w:rPr>
        <w:t xml:space="preserve"> 2005; </w:t>
      </w:r>
      <w:proofErr w:type="spellStart"/>
      <w:r w:rsidR="00F22501" w:rsidRPr="00160E45">
        <w:rPr>
          <w:color w:val="000000"/>
        </w:rPr>
        <w:t>Börzel</w:t>
      </w:r>
      <w:proofErr w:type="spellEnd"/>
      <w:r w:rsidR="00F22501" w:rsidRPr="00160E45">
        <w:rPr>
          <w:color w:val="000000"/>
        </w:rPr>
        <w:t xml:space="preserve"> 2012; </w:t>
      </w:r>
      <w:proofErr w:type="spellStart"/>
      <w:r w:rsidR="00F22501" w:rsidRPr="00160E45">
        <w:rPr>
          <w:color w:val="000000"/>
        </w:rPr>
        <w:t>Grigoriadis</w:t>
      </w:r>
      <w:proofErr w:type="spellEnd"/>
      <w:r w:rsidR="00F22501" w:rsidRPr="00160E45">
        <w:rPr>
          <w:color w:val="000000"/>
        </w:rPr>
        <w:t xml:space="preserve"> 2009; </w:t>
      </w:r>
      <w:proofErr w:type="spellStart"/>
      <w:r w:rsidR="00F22501" w:rsidRPr="00160E45">
        <w:rPr>
          <w:color w:val="000000"/>
        </w:rPr>
        <w:t>Narbone</w:t>
      </w:r>
      <w:proofErr w:type="spellEnd"/>
      <w:r w:rsidR="00F22501" w:rsidRPr="00160E45">
        <w:rPr>
          <w:color w:val="000000"/>
        </w:rPr>
        <w:t>/</w:t>
      </w:r>
      <w:proofErr w:type="spellStart"/>
      <w:r w:rsidR="00F22501" w:rsidRPr="00160E45">
        <w:rPr>
          <w:color w:val="000000"/>
        </w:rPr>
        <w:t>Tocci</w:t>
      </w:r>
      <w:proofErr w:type="spellEnd"/>
      <w:r w:rsidR="00F22501" w:rsidRPr="00160E45">
        <w:rPr>
          <w:color w:val="000000"/>
        </w:rPr>
        <w:t xml:space="preserve"> 2009; </w:t>
      </w:r>
      <w:proofErr w:type="spellStart"/>
      <w:r w:rsidR="00F22501" w:rsidRPr="00160E45">
        <w:rPr>
          <w:color w:val="000000"/>
        </w:rPr>
        <w:t>Noutcheva</w:t>
      </w:r>
      <w:proofErr w:type="spellEnd"/>
      <w:r w:rsidR="00F22501" w:rsidRPr="00160E45">
        <w:rPr>
          <w:color w:val="000000"/>
        </w:rPr>
        <w:t>/</w:t>
      </w:r>
      <w:proofErr w:type="spellStart"/>
      <w:r w:rsidR="00F22501" w:rsidRPr="00160E45">
        <w:rPr>
          <w:color w:val="000000"/>
        </w:rPr>
        <w:t>Düzgit</w:t>
      </w:r>
      <w:proofErr w:type="spellEnd"/>
      <w:r w:rsidR="00F22501" w:rsidRPr="00160E45">
        <w:rPr>
          <w:color w:val="000000"/>
        </w:rPr>
        <w:t xml:space="preserve"> 2012; </w:t>
      </w:r>
      <w:proofErr w:type="spellStart"/>
      <w:r w:rsidR="00F22501" w:rsidRPr="00160E45">
        <w:rPr>
          <w:color w:val="000000"/>
        </w:rPr>
        <w:t>Öniş</w:t>
      </w:r>
      <w:proofErr w:type="spellEnd"/>
      <w:r w:rsidR="00F22501" w:rsidRPr="00160E45">
        <w:rPr>
          <w:color w:val="000000"/>
        </w:rPr>
        <w:t xml:space="preserve"> 2007; </w:t>
      </w:r>
      <w:proofErr w:type="spellStart"/>
      <w:r w:rsidR="00F22501" w:rsidRPr="00160E45">
        <w:rPr>
          <w:color w:val="000000"/>
        </w:rPr>
        <w:t>Tocci</w:t>
      </w:r>
      <w:proofErr w:type="spellEnd"/>
      <w:r w:rsidR="00F22501" w:rsidRPr="00160E45">
        <w:rPr>
          <w:color w:val="000000"/>
        </w:rPr>
        <w:t xml:space="preserve"> 2005). Whether the “prospect of starting accession negotiations worked wonders for Turkey’s transformation” (</w:t>
      </w:r>
      <w:proofErr w:type="spellStart"/>
      <w:r w:rsidR="00F22501" w:rsidRPr="00160E45">
        <w:rPr>
          <w:color w:val="000000"/>
        </w:rPr>
        <w:t>Kirişci</w:t>
      </w:r>
      <w:proofErr w:type="spellEnd"/>
      <w:r w:rsidR="00F22501" w:rsidRPr="00160E45">
        <w:rPr>
          <w:color w:val="000000"/>
        </w:rPr>
        <w:t xml:space="preserve"> 2011) or reinforced domestic reforms that started long before it received a membership perspective did so (</w:t>
      </w:r>
      <w:proofErr w:type="spellStart"/>
      <w:r w:rsidR="00F22501" w:rsidRPr="00160E45">
        <w:rPr>
          <w:color w:val="000000"/>
        </w:rPr>
        <w:t>Kalaycıoğlu</w:t>
      </w:r>
      <w:proofErr w:type="spellEnd"/>
      <w:r w:rsidR="00F22501" w:rsidRPr="00160E45">
        <w:rPr>
          <w:color w:val="000000"/>
        </w:rPr>
        <w:t xml:space="preserve"> 2011; </w:t>
      </w:r>
      <w:proofErr w:type="spellStart"/>
      <w:r w:rsidR="00F22501" w:rsidRPr="00160E45">
        <w:rPr>
          <w:color w:val="000000"/>
        </w:rPr>
        <w:t>Tocci</w:t>
      </w:r>
      <w:proofErr w:type="spellEnd"/>
      <w:r w:rsidR="00F22501" w:rsidRPr="00160E45">
        <w:rPr>
          <w:color w:val="000000"/>
        </w:rPr>
        <w:t xml:space="preserve"> 2005; </w:t>
      </w:r>
      <w:proofErr w:type="spellStart"/>
      <w:r w:rsidR="00F22501" w:rsidRPr="00160E45">
        <w:rPr>
          <w:color w:val="000000"/>
        </w:rPr>
        <w:t>Uğur</w:t>
      </w:r>
      <w:proofErr w:type="spellEnd"/>
      <w:r w:rsidR="00F22501" w:rsidRPr="00160E45">
        <w:rPr>
          <w:color w:val="000000"/>
        </w:rPr>
        <w:t xml:space="preserve"> 1999; </w:t>
      </w:r>
      <w:proofErr w:type="spellStart"/>
      <w:r w:rsidR="00F22501" w:rsidRPr="00160E45">
        <w:rPr>
          <w:color w:val="000000"/>
        </w:rPr>
        <w:t>Ulusoy</w:t>
      </w:r>
      <w:proofErr w:type="spellEnd"/>
      <w:r w:rsidR="00F22501" w:rsidRPr="00160E45">
        <w:rPr>
          <w:color w:val="000000"/>
        </w:rPr>
        <w:t xml:space="preserve"> 2005), is an open question. Especially after 2005, the EU certainly has provided not only new opportunities, but also legitimacy for the AKP government to overcome the resistance of veto players in the state structure (such as the military and </w:t>
      </w:r>
      <w:r w:rsidR="00F22501" w:rsidRPr="003A395D">
        <w:rPr>
          <w:color w:val="000000"/>
        </w:rPr>
        <w:t>large parts of the judiciary and</w:t>
      </w:r>
      <w:r w:rsidR="00F22501" w:rsidRPr="00160E45">
        <w:rPr>
          <w:color w:val="000000"/>
        </w:rPr>
        <w:t xml:space="preserve"> bureaucracy) and to introduce domestic reforms which are to a large extent in line with its own political agenda.</w:t>
      </w:r>
    </w:p>
    <w:p w14:paraId="79CEFB3A" w14:textId="5A5A018D" w:rsidR="00F22501" w:rsidRPr="00160E45" w:rsidRDefault="007F53D4" w:rsidP="008660C7">
      <w:pPr>
        <w:pBdr>
          <w:top w:val="nil"/>
          <w:left w:val="nil"/>
          <w:bottom w:val="nil"/>
          <w:right w:val="nil"/>
          <w:between w:val="nil"/>
        </w:pBdr>
        <w:jc w:val="both"/>
        <w:rPr>
          <w:rFonts w:ascii="Times New Roman" w:hAnsi="Times New Roman" w:cs="Times New Roman"/>
          <w:lang w:val="tr-TR"/>
        </w:rPr>
      </w:pPr>
      <w:r w:rsidRPr="00160E45">
        <w:rPr>
          <w:rFonts w:ascii="Times New Roman" w:hAnsi="Times New Roman" w:cs="Times New Roman"/>
          <w:color w:val="000000"/>
        </w:rPr>
        <w:t xml:space="preserve">Yet, a growing number of studies underscored the fact that EU’s policies triggered largely surface-thin reforms across countries (Wetzel and </w:t>
      </w:r>
      <w:proofErr w:type="spellStart"/>
      <w:r w:rsidRPr="00160E45">
        <w:rPr>
          <w:rFonts w:ascii="Times New Roman" w:hAnsi="Times New Roman" w:cs="Times New Roman"/>
          <w:color w:val="000000"/>
        </w:rPr>
        <w:t>Orbie</w:t>
      </w:r>
      <w:proofErr w:type="spellEnd"/>
      <w:r w:rsidRPr="00160E45">
        <w:rPr>
          <w:rFonts w:ascii="Times New Roman" w:hAnsi="Times New Roman" w:cs="Times New Roman"/>
          <w:color w:val="000000"/>
        </w:rPr>
        <w:t xml:space="preserve">, 2015). While some scholars underlined technical and bureaucratic capacity problems leading to implementation gaps (Falkner and </w:t>
      </w:r>
      <w:proofErr w:type="spellStart"/>
      <w:r w:rsidRPr="00160E45">
        <w:rPr>
          <w:rFonts w:ascii="Times New Roman" w:hAnsi="Times New Roman" w:cs="Times New Roman"/>
          <w:color w:val="000000"/>
        </w:rPr>
        <w:t>Treib</w:t>
      </w:r>
      <w:proofErr w:type="spellEnd"/>
      <w:r w:rsidRPr="00160E45">
        <w:rPr>
          <w:rFonts w:ascii="Times New Roman" w:hAnsi="Times New Roman" w:cs="Times New Roman"/>
          <w:color w:val="000000"/>
        </w:rPr>
        <w:t xml:space="preserve">, 2008; </w:t>
      </w:r>
      <w:proofErr w:type="spellStart"/>
      <w:r w:rsidRPr="00160E45">
        <w:rPr>
          <w:rFonts w:ascii="Times New Roman" w:hAnsi="Times New Roman" w:cs="Times New Roman"/>
          <w:color w:val="000000"/>
        </w:rPr>
        <w:t>Mastenbroek</w:t>
      </w:r>
      <w:proofErr w:type="spellEnd"/>
      <w:r w:rsidRPr="00160E45">
        <w:rPr>
          <w:rFonts w:ascii="Times New Roman" w:hAnsi="Times New Roman" w:cs="Times New Roman"/>
          <w:color w:val="000000"/>
        </w:rPr>
        <w:t xml:space="preserve"> and </w:t>
      </w:r>
      <w:proofErr w:type="spellStart"/>
      <w:r w:rsidRPr="00160E45">
        <w:rPr>
          <w:rFonts w:ascii="Times New Roman" w:hAnsi="Times New Roman" w:cs="Times New Roman"/>
          <w:color w:val="000000"/>
        </w:rPr>
        <w:t>Kaeding</w:t>
      </w:r>
      <w:proofErr w:type="spellEnd"/>
      <w:r w:rsidRPr="00160E45">
        <w:rPr>
          <w:rFonts w:ascii="Times New Roman" w:hAnsi="Times New Roman" w:cs="Times New Roman"/>
          <w:color w:val="000000"/>
        </w:rPr>
        <w:t xml:space="preserve">, 2006) and pointed out unfavorable domestic conditions limiting EU’s transformative power (Magen and </w:t>
      </w:r>
      <w:proofErr w:type="spellStart"/>
      <w:r w:rsidRPr="00160E45">
        <w:rPr>
          <w:rFonts w:ascii="Times New Roman" w:hAnsi="Times New Roman" w:cs="Times New Roman"/>
          <w:color w:val="000000"/>
        </w:rPr>
        <w:t>Morlino</w:t>
      </w:r>
      <w:proofErr w:type="spellEnd"/>
      <w:r w:rsidRPr="00160E45">
        <w:rPr>
          <w:rFonts w:ascii="Times New Roman" w:hAnsi="Times New Roman" w:cs="Times New Roman"/>
          <w:color w:val="000000"/>
        </w:rPr>
        <w:t xml:space="preserve">, 2009; </w:t>
      </w:r>
      <w:proofErr w:type="spellStart"/>
      <w:r w:rsidRPr="00160E45">
        <w:rPr>
          <w:rFonts w:ascii="Times New Roman" w:hAnsi="Times New Roman" w:cs="Times New Roman"/>
          <w:color w:val="000000"/>
        </w:rPr>
        <w:t>Elbasani</w:t>
      </w:r>
      <w:proofErr w:type="spellEnd"/>
      <w:r w:rsidRPr="00160E45">
        <w:rPr>
          <w:rFonts w:ascii="Times New Roman" w:hAnsi="Times New Roman" w:cs="Times New Roman"/>
          <w:color w:val="000000"/>
        </w:rPr>
        <w:t xml:space="preserve"> 2012; Soyaltin, 2017) some others focused on negative and pathological effects of EU conditionality and revealed how the selective and shallow Europeanisation processes have become instrumental for political leaders to neutrali</w:t>
      </w:r>
      <w:r w:rsidR="00C02C68">
        <w:rPr>
          <w:rFonts w:ascii="Times New Roman" w:hAnsi="Times New Roman" w:cs="Times New Roman"/>
          <w:color w:val="000000"/>
        </w:rPr>
        <w:t>z</w:t>
      </w:r>
      <w:r w:rsidRPr="00160E45">
        <w:rPr>
          <w:rFonts w:ascii="Times New Roman" w:hAnsi="Times New Roman" w:cs="Times New Roman"/>
          <w:color w:val="000000"/>
        </w:rPr>
        <w:t xml:space="preserve">e domestic opponents and reward their </w:t>
      </w:r>
      <w:r w:rsidRPr="009E7BD9">
        <w:rPr>
          <w:rFonts w:ascii="Times New Roman" w:hAnsi="Times New Roman" w:cs="Times New Roman"/>
          <w:color w:val="000000"/>
        </w:rPr>
        <w:t>domestic capital groups (</w:t>
      </w:r>
      <w:proofErr w:type="spellStart"/>
      <w:r w:rsidRPr="009E7BD9">
        <w:rPr>
          <w:rFonts w:ascii="Times New Roman" w:hAnsi="Times New Roman" w:cs="Times New Roman"/>
          <w:color w:val="000000"/>
        </w:rPr>
        <w:t>Börzel</w:t>
      </w:r>
      <w:proofErr w:type="spellEnd"/>
      <w:r w:rsidRPr="009E7BD9">
        <w:rPr>
          <w:rFonts w:ascii="Times New Roman" w:hAnsi="Times New Roman" w:cs="Times New Roman"/>
          <w:color w:val="000000"/>
        </w:rPr>
        <w:t xml:space="preserve"> and Pamuk, 2012; </w:t>
      </w:r>
      <w:proofErr w:type="spellStart"/>
      <w:r w:rsidRPr="009E7BD9">
        <w:rPr>
          <w:rFonts w:ascii="Times New Roman" w:hAnsi="Times New Roman" w:cs="Times New Roman"/>
          <w:color w:val="333333"/>
        </w:rPr>
        <w:t>Dandashly</w:t>
      </w:r>
      <w:proofErr w:type="spellEnd"/>
      <w:r w:rsidRPr="009E7BD9">
        <w:rPr>
          <w:rFonts w:ascii="Times New Roman" w:hAnsi="Times New Roman" w:cs="Times New Roman"/>
          <w:color w:val="333333"/>
        </w:rPr>
        <w:t xml:space="preserve"> and </w:t>
      </w:r>
      <w:proofErr w:type="spellStart"/>
      <w:r w:rsidRPr="009E7BD9">
        <w:rPr>
          <w:rFonts w:ascii="Times New Roman" w:hAnsi="Times New Roman" w:cs="Times New Roman"/>
          <w:color w:val="333333"/>
        </w:rPr>
        <w:t>Noutcheva</w:t>
      </w:r>
      <w:proofErr w:type="spellEnd"/>
      <w:r w:rsidRPr="009E7BD9">
        <w:rPr>
          <w:rFonts w:ascii="Times New Roman" w:hAnsi="Times New Roman" w:cs="Times New Roman"/>
          <w:color w:val="333333"/>
        </w:rPr>
        <w:t xml:space="preserve">, 2019; </w:t>
      </w:r>
      <w:proofErr w:type="spellStart"/>
      <w:r w:rsidRPr="009E7BD9">
        <w:rPr>
          <w:rFonts w:ascii="Times New Roman" w:hAnsi="Times New Roman" w:cs="Times New Roman"/>
          <w:color w:val="000000"/>
        </w:rPr>
        <w:t>Mendelski</w:t>
      </w:r>
      <w:proofErr w:type="spellEnd"/>
      <w:r w:rsidRPr="009E7BD9">
        <w:rPr>
          <w:rFonts w:ascii="Times New Roman" w:hAnsi="Times New Roman" w:cs="Times New Roman"/>
          <w:color w:val="000000"/>
        </w:rPr>
        <w:t>, 2015</w:t>
      </w:r>
      <w:r w:rsidRPr="009E7BD9">
        <w:rPr>
          <w:rFonts w:ascii="Times New Roman" w:hAnsi="Times New Roman" w:cs="Times New Roman"/>
        </w:rPr>
        <w:t>; Soyaltin, 2017a</w:t>
      </w:r>
      <w:r w:rsidRPr="009E7BD9">
        <w:rPr>
          <w:rFonts w:ascii="Times New Roman" w:hAnsi="Times New Roman" w:cs="Times New Roman"/>
          <w:color w:val="000000"/>
        </w:rPr>
        <w:t>).</w:t>
      </w:r>
      <w:r w:rsidRPr="009E7BD9">
        <w:rPr>
          <w:rFonts w:ascii="Times New Roman" w:hAnsi="Times New Roman" w:cs="Times New Roman"/>
        </w:rPr>
        <w:t xml:space="preserve"> Yet, as happened in the Balkan countries, the corrupt and authoritarian leaders have even proceeded in the EU accession process not because of fulfilling EU’s democracy criteria but aligning with principles of good neighborly relations. The EU’s focus on stability over democracy and governance problems enabled this </w:t>
      </w:r>
      <w:r w:rsidR="00BD1077" w:rsidRPr="009E7BD9">
        <w:rPr>
          <w:rFonts w:ascii="Times New Roman" w:hAnsi="Times New Roman" w:cs="Times New Roman"/>
        </w:rPr>
        <w:t>progress</w:t>
      </w:r>
      <w:r w:rsidR="00B33390" w:rsidRPr="009E7BD9">
        <w:rPr>
          <w:rFonts w:ascii="Times New Roman" w:hAnsi="Times New Roman" w:cs="Times New Roman"/>
          <w:lang w:val="tr-TR"/>
        </w:rPr>
        <w:t>,</w:t>
      </w:r>
      <w:r w:rsidRPr="009E7BD9">
        <w:rPr>
          <w:rFonts w:ascii="Times New Roman" w:hAnsi="Times New Roman" w:cs="Times New Roman"/>
        </w:rPr>
        <w:t xml:space="preserve"> </w:t>
      </w:r>
      <w:r w:rsidR="00BD1077" w:rsidRPr="009E7BD9">
        <w:rPr>
          <w:rFonts w:ascii="Times New Roman" w:hAnsi="Times New Roman" w:cs="Times New Roman"/>
        </w:rPr>
        <w:t>stabilized</w:t>
      </w:r>
      <w:r w:rsidRPr="009E7BD9">
        <w:rPr>
          <w:rFonts w:ascii="Times New Roman" w:hAnsi="Times New Roman" w:cs="Times New Roman"/>
        </w:rPr>
        <w:t xml:space="preserve"> existing regimes instead of transforming them (Bieber 2019)</w:t>
      </w:r>
      <w:r w:rsidR="00B33390" w:rsidRPr="009E7BD9">
        <w:rPr>
          <w:rFonts w:ascii="Times New Roman" w:hAnsi="Times New Roman" w:cs="Times New Roman"/>
          <w:lang w:val="tr-TR"/>
        </w:rPr>
        <w:t xml:space="preserve"> ye</w:t>
      </w:r>
      <w:r w:rsidR="009E7BD9" w:rsidRPr="009E7BD9">
        <w:rPr>
          <w:rFonts w:ascii="Times New Roman" w:hAnsi="Times New Roman" w:cs="Times New Roman"/>
          <w:lang w:val="tr-TR"/>
        </w:rPr>
        <w:t>t</w:t>
      </w:r>
      <w:r w:rsidR="00B33390" w:rsidRPr="00160E45">
        <w:rPr>
          <w:rFonts w:ascii="Times New Roman" w:hAnsi="Times New Roman" w:cs="Times New Roman"/>
          <w:lang w:val="tr-TR"/>
        </w:rPr>
        <w:t xml:space="preserve"> undermined the EU’s democracy age</w:t>
      </w:r>
      <w:r w:rsidR="00D6066C">
        <w:rPr>
          <w:rFonts w:ascii="Times New Roman" w:hAnsi="Times New Roman" w:cs="Times New Roman"/>
          <w:lang w:val="tr-TR"/>
        </w:rPr>
        <w:t>n</w:t>
      </w:r>
      <w:r w:rsidR="00B33390" w:rsidRPr="00160E45">
        <w:rPr>
          <w:rFonts w:ascii="Times New Roman" w:hAnsi="Times New Roman" w:cs="Times New Roman"/>
          <w:lang w:val="tr-TR"/>
        </w:rPr>
        <w:t>da.</w:t>
      </w:r>
    </w:p>
    <w:p w14:paraId="5E8CF7BB" w14:textId="77777777" w:rsidR="00F22501" w:rsidRPr="00160E45" w:rsidRDefault="00F22501" w:rsidP="008660C7">
      <w:pPr>
        <w:pBdr>
          <w:top w:val="nil"/>
          <w:left w:val="nil"/>
          <w:bottom w:val="nil"/>
          <w:right w:val="nil"/>
          <w:between w:val="nil"/>
        </w:pBdr>
        <w:jc w:val="both"/>
        <w:rPr>
          <w:rFonts w:ascii="Times New Roman" w:hAnsi="Times New Roman" w:cs="Times New Roman"/>
          <w:lang w:val="tr-TR"/>
        </w:rPr>
      </w:pPr>
    </w:p>
    <w:p w14:paraId="4DF1378A" w14:textId="656ED416" w:rsidR="007F53D4" w:rsidRPr="00160E45" w:rsidRDefault="007F53D4" w:rsidP="008660C7">
      <w:pPr>
        <w:pBdr>
          <w:top w:val="nil"/>
          <w:left w:val="nil"/>
          <w:bottom w:val="nil"/>
          <w:right w:val="nil"/>
          <w:between w:val="nil"/>
        </w:pBdr>
        <w:jc w:val="both"/>
        <w:rPr>
          <w:rFonts w:ascii="Times New Roman" w:hAnsi="Times New Roman" w:cs="Times New Roman"/>
        </w:rPr>
      </w:pPr>
      <w:r w:rsidRPr="00160E45">
        <w:rPr>
          <w:rFonts w:ascii="Times New Roman" w:hAnsi="Times New Roman" w:cs="Times New Roman"/>
          <w:color w:val="000000"/>
        </w:rPr>
        <w:t xml:space="preserve">Following the </w:t>
      </w:r>
      <w:r w:rsidRPr="003A395D">
        <w:rPr>
          <w:rFonts w:ascii="Times New Roman" w:hAnsi="Times New Roman" w:cs="Times New Roman"/>
          <w:color w:val="000000"/>
        </w:rPr>
        <w:t>euro</w:t>
      </w:r>
      <w:r w:rsidR="00EF6A57" w:rsidRPr="003A395D">
        <w:rPr>
          <w:rFonts w:ascii="Times New Roman" w:hAnsi="Times New Roman" w:cs="Times New Roman"/>
          <w:color w:val="000000"/>
        </w:rPr>
        <w:t>-zone</w:t>
      </w:r>
      <w:r w:rsidR="00EF6A57">
        <w:rPr>
          <w:rFonts w:ascii="Times New Roman" w:hAnsi="Times New Roman" w:cs="Times New Roman"/>
          <w:color w:val="000000"/>
        </w:rPr>
        <w:t xml:space="preserve"> </w:t>
      </w:r>
      <w:r w:rsidRPr="00160E45">
        <w:rPr>
          <w:rFonts w:ascii="Times New Roman" w:hAnsi="Times New Roman" w:cs="Times New Roman"/>
          <w:color w:val="000000"/>
        </w:rPr>
        <w:t xml:space="preserve">crisis, the high influx of asylum seekers in 2015, the UK’s decision to withdraw from EU membership and recent COVID-19 pandemic </w:t>
      </w:r>
      <w:r w:rsidR="00297602" w:rsidRPr="00160E45">
        <w:rPr>
          <w:rFonts w:ascii="Times New Roman" w:hAnsi="Times New Roman" w:cs="Times New Roman"/>
          <w:lang w:val="en-GB"/>
        </w:rPr>
        <w:t>deepened internal</w:t>
      </w:r>
      <w:r w:rsidR="00F56D08" w:rsidRPr="00160E45">
        <w:rPr>
          <w:rFonts w:ascii="Times New Roman" w:hAnsi="Times New Roman" w:cs="Times New Roman"/>
          <w:lang w:val="en-GB"/>
        </w:rPr>
        <w:t xml:space="preserve"> divisions between the member states and </w:t>
      </w:r>
      <w:r w:rsidRPr="00160E45">
        <w:rPr>
          <w:rFonts w:ascii="Times New Roman" w:hAnsi="Times New Roman" w:cs="Times New Roman"/>
          <w:color w:val="000000"/>
          <w:lang w:val="tr-TR"/>
        </w:rPr>
        <w:t xml:space="preserve">further </w:t>
      </w:r>
      <w:r w:rsidRPr="00160E45">
        <w:rPr>
          <w:rFonts w:ascii="Times New Roman" w:hAnsi="Times New Roman" w:cs="Times New Roman"/>
          <w:color w:val="000000"/>
        </w:rPr>
        <w:t>constrained EU’s</w:t>
      </w:r>
      <w:r w:rsidRPr="00160E45">
        <w:rPr>
          <w:rFonts w:ascii="Times New Roman" w:hAnsi="Times New Roman" w:cs="Times New Roman"/>
          <w:color w:val="000000"/>
          <w:lang w:val="tr-TR"/>
        </w:rPr>
        <w:t xml:space="preserve"> trasnformative power </w:t>
      </w:r>
      <w:r w:rsidRPr="00160E45">
        <w:rPr>
          <w:rFonts w:ascii="Times New Roman" w:hAnsi="Times New Roman" w:cs="Times New Roman"/>
          <w:color w:val="000000"/>
        </w:rPr>
        <w:t>(</w:t>
      </w:r>
      <w:proofErr w:type="spellStart"/>
      <w:r w:rsidRPr="00160E45">
        <w:rPr>
          <w:rFonts w:ascii="Times New Roman" w:hAnsi="Times New Roman" w:cs="Times New Roman"/>
          <w:color w:val="000000"/>
        </w:rPr>
        <w:t>Börzel</w:t>
      </w:r>
      <w:proofErr w:type="spellEnd"/>
      <w:r w:rsidRPr="00160E45">
        <w:rPr>
          <w:rFonts w:ascii="Times New Roman" w:hAnsi="Times New Roman" w:cs="Times New Roman"/>
          <w:color w:val="000000"/>
        </w:rPr>
        <w:t xml:space="preserve"> and </w:t>
      </w:r>
      <w:proofErr w:type="spellStart"/>
      <w:r w:rsidRPr="00160E45">
        <w:rPr>
          <w:rFonts w:ascii="Times New Roman" w:hAnsi="Times New Roman" w:cs="Times New Roman"/>
          <w:color w:val="000000"/>
        </w:rPr>
        <w:t>Schimmelfennig</w:t>
      </w:r>
      <w:proofErr w:type="spellEnd"/>
      <w:r w:rsidRPr="00160E45">
        <w:rPr>
          <w:rFonts w:ascii="Times New Roman" w:hAnsi="Times New Roman" w:cs="Times New Roman"/>
          <w:color w:val="000000"/>
        </w:rPr>
        <w:t xml:space="preserve">, 2017; </w:t>
      </w:r>
      <w:proofErr w:type="spellStart"/>
      <w:r w:rsidRPr="00160E45">
        <w:rPr>
          <w:rFonts w:ascii="Times New Roman" w:hAnsi="Times New Roman" w:cs="Times New Roman"/>
          <w:color w:val="000000"/>
        </w:rPr>
        <w:t>Kaliber</w:t>
      </w:r>
      <w:proofErr w:type="spellEnd"/>
      <w:r w:rsidRPr="00160E45">
        <w:rPr>
          <w:rFonts w:ascii="Times New Roman" w:hAnsi="Times New Roman" w:cs="Times New Roman"/>
          <w:color w:val="000000"/>
        </w:rPr>
        <w:t xml:space="preserve"> and </w:t>
      </w:r>
      <w:proofErr w:type="spellStart"/>
      <w:r w:rsidRPr="00160E45">
        <w:rPr>
          <w:rFonts w:ascii="Times New Roman" w:hAnsi="Times New Roman" w:cs="Times New Roman"/>
          <w:color w:val="000000"/>
        </w:rPr>
        <w:t>Aydın-Düzgit</w:t>
      </w:r>
      <w:proofErr w:type="spellEnd"/>
      <w:r w:rsidRPr="00160E45">
        <w:rPr>
          <w:rFonts w:ascii="Times New Roman" w:hAnsi="Times New Roman" w:cs="Times New Roman"/>
          <w:color w:val="000000"/>
        </w:rPr>
        <w:t xml:space="preserve">, 2017; </w:t>
      </w:r>
      <w:proofErr w:type="spellStart"/>
      <w:r w:rsidRPr="00160E45">
        <w:rPr>
          <w:rFonts w:ascii="Times New Roman" w:hAnsi="Times New Roman" w:cs="Times New Roman"/>
          <w:color w:val="000000"/>
        </w:rPr>
        <w:t>Mungui-Pippidi</w:t>
      </w:r>
      <w:proofErr w:type="spellEnd"/>
      <w:r w:rsidRPr="00160E45">
        <w:rPr>
          <w:rFonts w:ascii="Times New Roman" w:hAnsi="Times New Roman" w:cs="Times New Roman"/>
          <w:color w:val="000000"/>
        </w:rPr>
        <w:t xml:space="preserve">, 2020; </w:t>
      </w:r>
      <w:proofErr w:type="spellStart"/>
      <w:r w:rsidRPr="00160E45">
        <w:rPr>
          <w:rFonts w:ascii="Times New Roman" w:hAnsi="Times New Roman" w:cs="Times New Roman"/>
          <w:color w:val="000000"/>
        </w:rPr>
        <w:t>Öniş</w:t>
      </w:r>
      <w:proofErr w:type="spellEnd"/>
      <w:r w:rsidRPr="00160E45">
        <w:rPr>
          <w:rFonts w:ascii="Times New Roman" w:hAnsi="Times New Roman" w:cs="Times New Roman"/>
          <w:color w:val="000000"/>
        </w:rPr>
        <w:t xml:space="preserve"> and </w:t>
      </w:r>
      <w:proofErr w:type="spellStart"/>
      <w:r w:rsidRPr="00160E45">
        <w:rPr>
          <w:rFonts w:ascii="Times New Roman" w:hAnsi="Times New Roman" w:cs="Times New Roman"/>
          <w:color w:val="000000"/>
        </w:rPr>
        <w:t>Kutlay</w:t>
      </w:r>
      <w:proofErr w:type="spellEnd"/>
      <w:r w:rsidRPr="00160E45">
        <w:rPr>
          <w:rFonts w:ascii="Times New Roman" w:hAnsi="Times New Roman" w:cs="Times New Roman"/>
          <w:color w:val="000000"/>
        </w:rPr>
        <w:t xml:space="preserve"> 2019; </w:t>
      </w:r>
      <w:proofErr w:type="spellStart"/>
      <w:r w:rsidRPr="00160E45">
        <w:rPr>
          <w:rFonts w:ascii="Times New Roman" w:hAnsi="Times New Roman" w:cs="Times New Roman"/>
          <w:color w:val="000000"/>
        </w:rPr>
        <w:t>Schimmelfennig</w:t>
      </w:r>
      <w:proofErr w:type="spellEnd"/>
      <w:r w:rsidRPr="00160E45">
        <w:rPr>
          <w:rFonts w:ascii="Times New Roman" w:hAnsi="Times New Roman" w:cs="Times New Roman"/>
          <w:color w:val="000000"/>
        </w:rPr>
        <w:t xml:space="preserve"> and </w:t>
      </w:r>
      <w:proofErr w:type="spellStart"/>
      <w:r w:rsidRPr="00160E45">
        <w:rPr>
          <w:rFonts w:ascii="Times New Roman" w:hAnsi="Times New Roman" w:cs="Times New Roman"/>
          <w:color w:val="000000"/>
        </w:rPr>
        <w:t>Sedelmeier</w:t>
      </w:r>
      <w:proofErr w:type="spellEnd"/>
      <w:r w:rsidRPr="00160E45">
        <w:rPr>
          <w:rFonts w:ascii="Times New Roman" w:hAnsi="Times New Roman" w:cs="Times New Roman"/>
          <w:color w:val="000000"/>
        </w:rPr>
        <w:t>, 2019). Scholars have also underlined the rising importance of illiberal externals (such as China and Russia) and the normative rivalry between Western and non-Western actors (</w:t>
      </w:r>
      <w:proofErr w:type="spellStart"/>
      <w:r w:rsidRPr="00160E45">
        <w:rPr>
          <w:rFonts w:ascii="Times New Roman" w:hAnsi="Times New Roman" w:cs="Times New Roman"/>
          <w:color w:val="000000"/>
          <w:highlight w:val="white"/>
        </w:rPr>
        <w:t>Dandashly</w:t>
      </w:r>
      <w:proofErr w:type="spellEnd"/>
      <w:r w:rsidRPr="00160E45">
        <w:rPr>
          <w:rFonts w:ascii="Times New Roman" w:hAnsi="Times New Roman" w:cs="Times New Roman"/>
          <w:color w:val="000000"/>
          <w:highlight w:val="white"/>
        </w:rPr>
        <w:t xml:space="preserve"> and </w:t>
      </w:r>
      <w:proofErr w:type="spellStart"/>
      <w:r w:rsidRPr="00160E45">
        <w:rPr>
          <w:rFonts w:ascii="Times New Roman" w:hAnsi="Times New Roman" w:cs="Times New Roman"/>
          <w:color w:val="000000"/>
          <w:highlight w:val="white"/>
        </w:rPr>
        <w:t>Noutcheva</w:t>
      </w:r>
      <w:proofErr w:type="spellEnd"/>
      <w:r w:rsidRPr="00160E45">
        <w:rPr>
          <w:rFonts w:ascii="Times New Roman" w:hAnsi="Times New Roman" w:cs="Times New Roman"/>
          <w:color w:val="000000"/>
          <w:highlight w:val="white"/>
        </w:rPr>
        <w:t xml:space="preserve">, 2021) </w:t>
      </w:r>
      <w:r w:rsidRPr="00160E45">
        <w:rPr>
          <w:rFonts w:ascii="Times New Roman" w:hAnsi="Times New Roman" w:cs="Times New Roman"/>
          <w:color w:val="000000"/>
        </w:rPr>
        <w:t xml:space="preserve">challenging EU’s </w:t>
      </w:r>
      <w:r w:rsidR="007B2A23" w:rsidRPr="00160E45">
        <w:rPr>
          <w:rFonts w:ascii="Times New Roman" w:hAnsi="Times New Roman" w:cs="Times New Roman"/>
          <w:color w:val="000000"/>
          <w:lang w:val="tr-TR"/>
        </w:rPr>
        <w:t xml:space="preserve">democracy </w:t>
      </w:r>
      <w:r w:rsidR="007B2A23" w:rsidRPr="00160E45">
        <w:rPr>
          <w:rFonts w:ascii="Times New Roman" w:hAnsi="Times New Roman" w:cs="Times New Roman"/>
          <w:color w:val="000000"/>
        </w:rPr>
        <w:t>agenda</w:t>
      </w:r>
      <w:r w:rsidRPr="00160E45">
        <w:rPr>
          <w:rFonts w:ascii="Times New Roman" w:hAnsi="Times New Roman" w:cs="Times New Roman"/>
          <w:color w:val="000000"/>
        </w:rPr>
        <w:t xml:space="preserve"> in its near abroad (Bieber </w:t>
      </w:r>
      <w:r w:rsidRPr="00160E45">
        <w:rPr>
          <w:rFonts w:ascii="Times New Roman" w:hAnsi="Times New Roman" w:cs="Times New Roman"/>
          <w:color w:val="000000"/>
          <w:highlight w:val="white"/>
        </w:rPr>
        <w:t xml:space="preserve">2019; </w:t>
      </w:r>
      <w:r w:rsidRPr="00160E45">
        <w:rPr>
          <w:rFonts w:ascii="Times New Roman" w:hAnsi="Times New Roman" w:cs="Times New Roman"/>
          <w:color w:val="000000"/>
        </w:rPr>
        <w:t>Markovic-</w:t>
      </w:r>
      <w:proofErr w:type="spellStart"/>
      <w:r w:rsidRPr="00160E45">
        <w:rPr>
          <w:rFonts w:ascii="Times New Roman" w:hAnsi="Times New Roman" w:cs="Times New Roman"/>
          <w:color w:val="000000"/>
        </w:rPr>
        <w:t>Khaze</w:t>
      </w:r>
      <w:proofErr w:type="spellEnd"/>
      <w:r w:rsidRPr="00160E45">
        <w:rPr>
          <w:rFonts w:ascii="Times New Roman" w:hAnsi="Times New Roman" w:cs="Times New Roman"/>
          <w:color w:val="000000"/>
        </w:rPr>
        <w:t xml:space="preserve"> and Wang, 2021; </w:t>
      </w:r>
      <w:r w:rsidRPr="00160E45">
        <w:rPr>
          <w:rFonts w:ascii="Times New Roman" w:hAnsi="Times New Roman" w:cs="Times New Roman"/>
          <w:color w:val="000000"/>
          <w:highlight w:val="white"/>
        </w:rPr>
        <w:t>Soyaltin-Colella, 2022).</w:t>
      </w:r>
      <w:r w:rsidRPr="00160E45">
        <w:rPr>
          <w:rFonts w:ascii="Times New Roman" w:hAnsi="Times New Roman" w:cs="Times New Roman"/>
          <w:color w:val="000000"/>
        </w:rPr>
        <w:t xml:space="preserve"> </w:t>
      </w:r>
    </w:p>
    <w:p w14:paraId="39EC952E" w14:textId="77777777" w:rsidR="007F53D4" w:rsidRPr="00160E45" w:rsidRDefault="007F53D4" w:rsidP="008660C7">
      <w:pPr>
        <w:jc w:val="both"/>
        <w:rPr>
          <w:rFonts w:ascii="Times New Roman" w:hAnsi="Times New Roman" w:cs="Times New Roman"/>
        </w:rPr>
      </w:pPr>
    </w:p>
    <w:p w14:paraId="4DE3D4BA" w14:textId="18301DE8" w:rsidR="00F56D08" w:rsidRPr="00160E45" w:rsidRDefault="00F56D08" w:rsidP="008660C7">
      <w:pPr>
        <w:jc w:val="both"/>
        <w:rPr>
          <w:rFonts w:ascii="Times New Roman" w:hAnsi="Times New Roman" w:cs="Times New Roman"/>
        </w:rPr>
      </w:pPr>
      <w:r w:rsidRPr="00160E45">
        <w:rPr>
          <w:rFonts w:ascii="Times New Roman" w:hAnsi="Times New Roman" w:cs="Times New Roman"/>
        </w:rPr>
        <w:t xml:space="preserve">Against these challenging dynamics inside and beyond its borders, the </w:t>
      </w:r>
      <w:r w:rsidRPr="009E7BD9">
        <w:rPr>
          <w:rFonts w:ascii="Times New Roman" w:hAnsi="Times New Roman" w:cs="Times New Roman"/>
        </w:rPr>
        <w:t>EU seems to downscale its</w:t>
      </w:r>
      <w:r w:rsidRPr="00160E45">
        <w:rPr>
          <w:rFonts w:ascii="Times New Roman" w:hAnsi="Times New Roman" w:cs="Times New Roman"/>
        </w:rPr>
        <w:t xml:space="preserve"> democratic transformative </w:t>
      </w:r>
      <w:r w:rsidR="001F6080">
        <w:rPr>
          <w:rFonts w:ascii="Times New Roman" w:hAnsi="Times New Roman" w:cs="Times New Roman"/>
        </w:rPr>
        <w:t xml:space="preserve">power </w:t>
      </w:r>
      <w:r w:rsidR="001F6080" w:rsidRPr="00160E45">
        <w:rPr>
          <w:rFonts w:ascii="Times New Roman" w:hAnsi="Times New Roman" w:cs="Times New Roman"/>
        </w:rPr>
        <w:t>in</w:t>
      </w:r>
      <w:r w:rsidRPr="00160E45">
        <w:rPr>
          <w:rFonts w:ascii="Times New Roman" w:hAnsi="Times New Roman" w:cs="Times New Roman"/>
        </w:rPr>
        <w:t xml:space="preserve"> the world and embrace more pragmatic principles as enshrined in the EU Global Strategy (EUGS) of 2016 (</w:t>
      </w:r>
      <w:proofErr w:type="spellStart"/>
      <w:r w:rsidRPr="00160E45">
        <w:rPr>
          <w:rFonts w:ascii="Times New Roman" w:hAnsi="Times New Roman" w:cs="Times New Roman"/>
        </w:rPr>
        <w:t>Barbé</w:t>
      </w:r>
      <w:proofErr w:type="spellEnd"/>
      <w:r w:rsidRPr="00160E45">
        <w:rPr>
          <w:rFonts w:ascii="Times New Roman" w:hAnsi="Times New Roman" w:cs="Times New Roman"/>
        </w:rPr>
        <w:t xml:space="preserve"> and </w:t>
      </w:r>
      <w:proofErr w:type="spellStart"/>
      <w:r w:rsidRPr="00160E45">
        <w:rPr>
          <w:rFonts w:ascii="Times New Roman" w:hAnsi="Times New Roman" w:cs="Times New Roman"/>
        </w:rPr>
        <w:t>Morillas</w:t>
      </w:r>
      <w:proofErr w:type="spellEnd"/>
      <w:r w:rsidRPr="00160E45">
        <w:rPr>
          <w:rFonts w:ascii="Times New Roman" w:hAnsi="Times New Roman" w:cs="Times New Roman"/>
        </w:rPr>
        <w:t>, 2019). Instead of state-building and democracy promotion, the EUGS has defined the concept of resilience as one of the cornerstones of EU foreign and security policy. This is bound to promote the EU’s image as a resilience builder (</w:t>
      </w:r>
      <w:proofErr w:type="spellStart"/>
      <w:r w:rsidRPr="00160E45">
        <w:rPr>
          <w:rFonts w:ascii="Times New Roman" w:hAnsi="Times New Roman" w:cs="Times New Roman"/>
        </w:rPr>
        <w:t>Stollenwerk</w:t>
      </w:r>
      <w:proofErr w:type="spellEnd"/>
      <w:r w:rsidRPr="00160E45">
        <w:rPr>
          <w:rFonts w:ascii="Times New Roman" w:hAnsi="Times New Roman" w:cs="Times New Roman"/>
        </w:rPr>
        <w:t xml:space="preserve"> et al., 2021; </w:t>
      </w:r>
      <w:proofErr w:type="spellStart"/>
      <w:r w:rsidRPr="00160E45">
        <w:rPr>
          <w:rFonts w:ascii="Times New Roman" w:hAnsi="Times New Roman" w:cs="Times New Roman"/>
        </w:rPr>
        <w:t>Tocci</w:t>
      </w:r>
      <w:proofErr w:type="spellEnd"/>
      <w:r w:rsidRPr="00160E45">
        <w:rPr>
          <w:rFonts w:ascii="Times New Roman" w:hAnsi="Times New Roman" w:cs="Times New Roman"/>
        </w:rPr>
        <w:t>, 2020) yet undermines its role as a democracy promoter.</w:t>
      </w:r>
    </w:p>
    <w:p w14:paraId="0B60B3F4" w14:textId="77777777" w:rsidR="00F56D08" w:rsidRPr="00160E45" w:rsidRDefault="00F56D08" w:rsidP="008660C7">
      <w:pPr>
        <w:jc w:val="both"/>
        <w:rPr>
          <w:rFonts w:ascii="Times New Roman" w:hAnsi="Times New Roman" w:cs="Times New Roman"/>
        </w:rPr>
      </w:pPr>
    </w:p>
    <w:p w14:paraId="3DA1F182" w14:textId="5A0867D7" w:rsidR="008660C7" w:rsidRPr="00160E45" w:rsidRDefault="007F53D4" w:rsidP="008660C7">
      <w:pPr>
        <w:spacing w:after="120"/>
        <w:jc w:val="both"/>
        <w:rPr>
          <w:rFonts w:ascii="Times New Roman" w:hAnsi="Times New Roman" w:cs="Times New Roman"/>
        </w:rPr>
      </w:pPr>
      <w:r w:rsidRPr="00160E45">
        <w:rPr>
          <w:rFonts w:ascii="Times New Roman" w:hAnsi="Times New Roman" w:cs="Times New Roman"/>
          <w:color w:val="000000"/>
        </w:rPr>
        <w:t xml:space="preserve">Based on these results, this </w:t>
      </w:r>
      <w:r w:rsidR="00F56D08" w:rsidRPr="00160E45">
        <w:rPr>
          <w:rFonts w:ascii="Times New Roman" w:hAnsi="Times New Roman" w:cs="Times New Roman"/>
          <w:color w:val="000000"/>
        </w:rPr>
        <w:t>paper</w:t>
      </w:r>
      <w:r w:rsidRPr="00160E45">
        <w:rPr>
          <w:rFonts w:ascii="Times New Roman" w:hAnsi="Times New Roman" w:cs="Times New Roman"/>
          <w:color w:val="000000"/>
        </w:rPr>
        <w:t xml:space="preserve"> re-evaluates the EU’s </w:t>
      </w:r>
      <w:r w:rsidR="00F56D08" w:rsidRPr="00160E45">
        <w:rPr>
          <w:rFonts w:ascii="Times New Roman" w:hAnsi="Times New Roman" w:cs="Times New Roman"/>
          <w:color w:val="000000"/>
        </w:rPr>
        <w:t>democracy promotion capacity</w:t>
      </w:r>
      <w:r w:rsidRPr="00160E45">
        <w:rPr>
          <w:rFonts w:ascii="Times New Roman" w:hAnsi="Times New Roman" w:cs="Times New Roman"/>
          <w:color w:val="000000"/>
        </w:rPr>
        <w:t xml:space="preserve"> </w:t>
      </w:r>
      <w:r w:rsidR="00F56D08" w:rsidRPr="00160E45">
        <w:rPr>
          <w:rFonts w:ascii="Times New Roman" w:hAnsi="Times New Roman" w:cs="Times New Roman"/>
          <w:color w:val="000000"/>
        </w:rPr>
        <w:t xml:space="preserve">and </w:t>
      </w:r>
      <w:r w:rsidR="00F56D08" w:rsidRPr="008B0CA2">
        <w:rPr>
          <w:rFonts w:ascii="Times New Roman" w:hAnsi="Times New Roman" w:cs="Times New Roman"/>
          <w:color w:val="000000"/>
        </w:rPr>
        <w:t>introduces a theoretical framework</w:t>
      </w:r>
      <w:r w:rsidR="00247530">
        <w:rPr>
          <w:rStyle w:val="FootnoteReference"/>
          <w:rFonts w:ascii="Times New Roman" w:hAnsi="Times New Roman" w:cs="Times New Roman"/>
          <w:color w:val="000000"/>
        </w:rPr>
        <w:footnoteReference w:id="2"/>
      </w:r>
      <w:r w:rsidR="00F56D08" w:rsidRPr="008B0CA2">
        <w:rPr>
          <w:rFonts w:ascii="Times New Roman" w:hAnsi="Times New Roman" w:cs="Times New Roman"/>
          <w:color w:val="000000"/>
        </w:rPr>
        <w:t xml:space="preserve"> to</w:t>
      </w:r>
      <w:r w:rsidR="00F56D08" w:rsidRPr="00160E45">
        <w:rPr>
          <w:rFonts w:ascii="Times New Roman" w:hAnsi="Times New Roman" w:cs="Times New Roman"/>
          <w:color w:val="000000"/>
        </w:rPr>
        <w:t xml:space="preserve"> explain when Europe does not hit home. We argue that </w:t>
      </w:r>
      <w:r w:rsidR="00491EB4" w:rsidRPr="00160E45">
        <w:rPr>
          <w:rFonts w:ascii="Times New Roman" w:hAnsi="Times New Roman" w:cs="Times New Roman"/>
          <w:color w:val="000000"/>
        </w:rPr>
        <w:t xml:space="preserve">when political misfit is high and is not compensated by </w:t>
      </w:r>
      <w:r w:rsidR="00A017AE">
        <w:rPr>
          <w:rFonts w:ascii="Times New Roman" w:hAnsi="Times New Roman" w:cs="Times New Roman"/>
          <w:color w:val="000000"/>
        </w:rPr>
        <w:t xml:space="preserve">great </w:t>
      </w:r>
      <w:r w:rsidR="00491EB4" w:rsidRPr="00160E45">
        <w:rPr>
          <w:rFonts w:ascii="Times New Roman" w:hAnsi="Times New Roman" w:cs="Times New Roman"/>
          <w:color w:val="000000"/>
        </w:rPr>
        <w:t>and credible incentives the domestic change is unlikely. Yet, despite high misfit, substantial costs, and few incentives, we do find evidence for the EU’s influ</w:t>
      </w:r>
      <w:r w:rsidR="00491EB4" w:rsidRPr="00160E45">
        <w:rPr>
          <w:rFonts w:ascii="Times New Roman" w:hAnsi="Times New Roman" w:cs="Times New Roman"/>
          <w:color w:val="000000"/>
        </w:rPr>
        <w:softHyphen/>
        <w:t>ence</w:t>
      </w:r>
      <w:r w:rsidR="00491EB4" w:rsidRPr="00160E45">
        <w:rPr>
          <w:rFonts w:ascii="Times New Roman" w:hAnsi="Times New Roman" w:cs="Times New Roman"/>
          <w:color w:val="000000"/>
          <w:lang w:val="tr-TR"/>
        </w:rPr>
        <w:t xml:space="preserve"> in various policy areas before in Turkey </w:t>
      </w:r>
      <w:r w:rsidR="008660C7" w:rsidRPr="00160E45">
        <w:rPr>
          <w:rFonts w:ascii="Times New Roman" w:hAnsi="Times New Roman" w:cs="Times New Roman"/>
          <w:color w:val="000000"/>
          <w:lang w:val="tr-TR"/>
        </w:rPr>
        <w:t xml:space="preserve">which can be explained by domestic incentives </w:t>
      </w:r>
      <w:r w:rsidR="00491EB4" w:rsidRPr="00160E45">
        <w:rPr>
          <w:rFonts w:ascii="Times New Roman" w:hAnsi="Times New Roman" w:cs="Times New Roman"/>
          <w:color w:val="000000"/>
          <w:lang w:val="tr-TR"/>
        </w:rPr>
        <w:t>(</w:t>
      </w:r>
      <w:proofErr w:type="spellStart"/>
      <w:r w:rsidR="00491EB4" w:rsidRPr="00160E45">
        <w:rPr>
          <w:rFonts w:ascii="Times New Roman" w:hAnsi="Times New Roman" w:cs="Times New Roman"/>
          <w:color w:val="000000"/>
        </w:rPr>
        <w:t>Nas</w:t>
      </w:r>
      <w:proofErr w:type="spellEnd"/>
      <w:r w:rsidR="00491EB4" w:rsidRPr="00160E45">
        <w:rPr>
          <w:rFonts w:ascii="Times New Roman" w:hAnsi="Times New Roman" w:cs="Times New Roman"/>
          <w:color w:val="000000"/>
        </w:rPr>
        <w:t>/</w:t>
      </w:r>
      <w:proofErr w:type="spellStart"/>
      <w:r w:rsidR="00491EB4" w:rsidRPr="00160E45">
        <w:rPr>
          <w:rFonts w:ascii="Times New Roman" w:hAnsi="Times New Roman" w:cs="Times New Roman"/>
          <w:color w:val="000000"/>
        </w:rPr>
        <w:t>Özer</w:t>
      </w:r>
      <w:proofErr w:type="spellEnd"/>
      <w:r w:rsidR="00491EB4" w:rsidRPr="00160E45">
        <w:rPr>
          <w:rFonts w:ascii="Times New Roman" w:hAnsi="Times New Roman" w:cs="Times New Roman"/>
          <w:color w:val="000000"/>
        </w:rPr>
        <w:t xml:space="preserve"> 2012; </w:t>
      </w:r>
      <w:proofErr w:type="spellStart"/>
      <w:r w:rsidR="00491EB4" w:rsidRPr="00160E45">
        <w:rPr>
          <w:rFonts w:ascii="Times New Roman" w:hAnsi="Times New Roman" w:cs="Times New Roman"/>
          <w:color w:val="000000"/>
        </w:rPr>
        <w:t>Noutcheva</w:t>
      </w:r>
      <w:proofErr w:type="spellEnd"/>
      <w:r w:rsidR="00491EB4" w:rsidRPr="00160E45">
        <w:rPr>
          <w:rFonts w:ascii="Times New Roman" w:hAnsi="Times New Roman" w:cs="Times New Roman"/>
          <w:color w:val="000000"/>
        </w:rPr>
        <w:t>/</w:t>
      </w:r>
      <w:proofErr w:type="spellStart"/>
      <w:r w:rsidR="00491EB4" w:rsidRPr="00160E45">
        <w:rPr>
          <w:rFonts w:ascii="Times New Roman" w:hAnsi="Times New Roman" w:cs="Times New Roman"/>
          <w:color w:val="000000"/>
        </w:rPr>
        <w:t>Düzgit</w:t>
      </w:r>
      <w:proofErr w:type="spellEnd"/>
      <w:r w:rsidR="00491EB4" w:rsidRPr="00160E45">
        <w:rPr>
          <w:rFonts w:ascii="Times New Roman" w:hAnsi="Times New Roman" w:cs="Times New Roman"/>
          <w:color w:val="000000"/>
        </w:rPr>
        <w:t xml:space="preserve"> 2012</w:t>
      </w:r>
      <w:r w:rsidR="00491EB4" w:rsidRPr="00160E45">
        <w:rPr>
          <w:rFonts w:ascii="Times New Roman" w:hAnsi="Times New Roman" w:cs="Times New Roman"/>
          <w:color w:val="000000"/>
          <w:lang w:val="tr-TR"/>
        </w:rPr>
        <w:t>, Soyaltin 2017, Balkır/Bolukbası 2016)</w:t>
      </w:r>
      <w:r w:rsidR="008660C7" w:rsidRPr="00160E45">
        <w:rPr>
          <w:rFonts w:ascii="Times New Roman" w:hAnsi="Times New Roman" w:cs="Times New Roman"/>
          <w:color w:val="000000"/>
          <w:lang w:val="tr-TR"/>
        </w:rPr>
        <w:t>.</w:t>
      </w:r>
      <w:r w:rsidR="008660C7" w:rsidRPr="00160E45">
        <w:rPr>
          <w:rFonts w:ascii="Times New Roman" w:hAnsi="Times New Roman" w:cs="Times New Roman"/>
          <w:lang w:val="en-GB"/>
        </w:rPr>
        <w:t xml:space="preserve"> As long as EU </w:t>
      </w:r>
      <w:r w:rsidR="008660C7" w:rsidRPr="009E7BD9">
        <w:rPr>
          <w:rFonts w:ascii="Times New Roman" w:hAnsi="Times New Roman" w:cs="Times New Roman"/>
          <w:lang w:val="en-GB"/>
        </w:rPr>
        <w:t xml:space="preserve">demands align with the political preferences or survival strategy of (semi-) authoritarian elites, the latter can use EU policies and institutions to push their own </w:t>
      </w:r>
      <w:r w:rsidR="008660C7" w:rsidRPr="009E7BD9">
        <w:rPr>
          <w:rFonts w:ascii="Times New Roman" w:hAnsi="Times New Roman" w:cs="Times New Roman"/>
        </w:rPr>
        <w:t>political agenda and consolidate</w:t>
      </w:r>
      <w:r w:rsidR="008660C7" w:rsidRPr="00160E45">
        <w:rPr>
          <w:rFonts w:ascii="Times New Roman" w:hAnsi="Times New Roman" w:cs="Times New Roman"/>
        </w:rPr>
        <w:t xml:space="preserve"> their power (</w:t>
      </w:r>
      <w:proofErr w:type="spellStart"/>
      <w:r w:rsidR="00370E30">
        <w:fldChar w:fldCharType="begin"/>
      </w:r>
      <w:r w:rsidR="00370E30">
        <w:instrText xml:space="preserve"> HYPERLINK \l "_ENREF_7" \o "Noutcheva, 2012 #7091" </w:instrText>
      </w:r>
      <w:r w:rsidR="00370E30">
        <w:fldChar w:fldCharType="separate"/>
      </w:r>
      <w:r w:rsidR="008660C7" w:rsidRPr="00160E45">
        <w:rPr>
          <w:rFonts w:ascii="Times New Roman" w:hAnsi="Times New Roman" w:cs="Times New Roman"/>
          <w:noProof/>
        </w:rPr>
        <w:t>Noutcheva</w:t>
      </w:r>
      <w:proofErr w:type="spellEnd"/>
      <w:r w:rsidR="008660C7" w:rsidRPr="00160E45">
        <w:rPr>
          <w:rFonts w:ascii="Times New Roman" w:hAnsi="Times New Roman" w:cs="Times New Roman"/>
          <w:noProof/>
        </w:rPr>
        <w:t xml:space="preserve"> and Düzgit 2012</w:t>
      </w:r>
      <w:r w:rsidR="00370E30">
        <w:rPr>
          <w:rFonts w:ascii="Times New Roman" w:hAnsi="Times New Roman" w:cs="Times New Roman"/>
          <w:noProof/>
        </w:rPr>
        <w:fldChar w:fldCharType="end"/>
      </w:r>
      <w:r w:rsidR="008660C7" w:rsidRPr="00160E45">
        <w:rPr>
          <w:rFonts w:ascii="Times New Roman" w:hAnsi="Times New Roman" w:cs="Times New Roman"/>
        </w:rPr>
        <w:t xml:space="preserve">; </w:t>
      </w:r>
      <w:hyperlink w:anchor="_ENREF_2" w:tooltip="Börzel, 2012 #6938" w:history="1">
        <w:r w:rsidR="008660C7" w:rsidRPr="00160E45">
          <w:rPr>
            <w:rFonts w:ascii="Times New Roman" w:hAnsi="Times New Roman" w:cs="Times New Roman"/>
            <w:noProof/>
          </w:rPr>
          <w:t>Börzel and Pamuk 2012</w:t>
        </w:r>
      </w:hyperlink>
      <w:r w:rsidR="008660C7" w:rsidRPr="00160E45">
        <w:rPr>
          <w:rFonts w:ascii="Times New Roman" w:hAnsi="Times New Roman" w:cs="Times New Roman"/>
        </w:rPr>
        <w:t xml:space="preserve">; </w:t>
      </w:r>
      <w:hyperlink w:anchor="_ENREF_10" w:tooltip="van Hüllen, 2012 #7094" w:history="1">
        <w:r w:rsidR="008660C7" w:rsidRPr="00160E45">
          <w:rPr>
            <w:rFonts w:ascii="Times New Roman" w:hAnsi="Times New Roman" w:cs="Times New Roman"/>
            <w:noProof/>
          </w:rPr>
          <w:t>van Hüllen 2012</w:t>
        </w:r>
      </w:hyperlink>
      <w:r w:rsidR="008660C7" w:rsidRPr="00160E45">
        <w:rPr>
          <w:rFonts w:ascii="Times New Roman" w:hAnsi="Times New Roman" w:cs="Times New Roman"/>
        </w:rPr>
        <w:t>). This factor explained selective reform process in Turkey.</w:t>
      </w:r>
    </w:p>
    <w:p w14:paraId="1B8453F1" w14:textId="2EFCDB97" w:rsidR="002F1C6E" w:rsidRPr="00160E45" w:rsidRDefault="002F1C6E" w:rsidP="00491EB4">
      <w:pPr>
        <w:jc w:val="both"/>
        <w:rPr>
          <w:rFonts w:ascii="Times New Roman" w:hAnsi="Times New Roman" w:cs="Times New Roman"/>
          <w:bCs/>
          <w:color w:val="000000" w:themeColor="text1"/>
        </w:rPr>
      </w:pPr>
      <w:r w:rsidRPr="00160E45">
        <w:rPr>
          <w:rFonts w:ascii="Times New Roman" w:hAnsi="Times New Roman" w:cs="Times New Roman"/>
          <w:color w:val="000000"/>
        </w:rPr>
        <w:t>The ongoing lack of reforms and democratic backsliding cannot be only explained by domestic misfit</w:t>
      </w:r>
      <w:r w:rsidR="008660C7" w:rsidRPr="00160E45">
        <w:rPr>
          <w:rFonts w:ascii="Times New Roman" w:hAnsi="Times New Roman" w:cs="Times New Roman"/>
          <w:color w:val="000000"/>
        </w:rPr>
        <w:t xml:space="preserve"> or domestic incentives</w:t>
      </w:r>
      <w:r w:rsidRPr="00160E45">
        <w:rPr>
          <w:rFonts w:ascii="Times New Roman" w:hAnsi="Times New Roman" w:cs="Times New Roman"/>
          <w:color w:val="000000"/>
        </w:rPr>
        <w:t xml:space="preserve">. We argue that </w:t>
      </w:r>
      <w:r w:rsidR="00B33390" w:rsidRPr="00160E45">
        <w:rPr>
          <w:rFonts w:ascii="Times New Roman" w:hAnsi="Times New Roman" w:cs="Times New Roman"/>
          <w:bCs/>
          <w:color w:val="000000" w:themeColor="text1"/>
        </w:rPr>
        <w:t xml:space="preserve">domestic power struggles at home </w:t>
      </w:r>
      <w:r w:rsidR="00491EB4" w:rsidRPr="00160E45">
        <w:rPr>
          <w:rFonts w:ascii="Times New Roman" w:hAnsi="Times New Roman" w:cs="Times New Roman"/>
          <w:bCs/>
          <w:color w:val="000000" w:themeColor="text1"/>
        </w:rPr>
        <w:t>ha</w:t>
      </w:r>
      <w:r w:rsidR="00B33390" w:rsidRPr="00160E45">
        <w:rPr>
          <w:rFonts w:ascii="Times New Roman" w:hAnsi="Times New Roman" w:cs="Times New Roman"/>
          <w:bCs/>
          <w:color w:val="000000" w:themeColor="text1"/>
        </w:rPr>
        <w:t>ve</w:t>
      </w:r>
      <w:r w:rsidR="00491EB4" w:rsidRPr="00160E45">
        <w:rPr>
          <w:rFonts w:ascii="Times New Roman" w:hAnsi="Times New Roman" w:cs="Times New Roman"/>
          <w:bCs/>
          <w:color w:val="000000" w:themeColor="text1"/>
        </w:rPr>
        <w:t xml:space="preserve"> become the identifying factor especially after the corruption scandal of 2013 and failed coup of July 2016</w:t>
      </w:r>
      <w:r w:rsidRPr="00160E45">
        <w:rPr>
          <w:rFonts w:ascii="Times New Roman" w:hAnsi="Times New Roman" w:cs="Times New Roman"/>
          <w:bCs/>
          <w:color w:val="000000" w:themeColor="text1"/>
        </w:rPr>
        <w:t xml:space="preserve"> and dramatically increased the political costs for the government at home</w:t>
      </w:r>
      <w:r w:rsidR="00B33390" w:rsidRPr="00160E45">
        <w:rPr>
          <w:rFonts w:ascii="Times New Roman" w:hAnsi="Times New Roman" w:cs="Times New Roman"/>
          <w:bCs/>
          <w:color w:val="000000" w:themeColor="text1"/>
        </w:rPr>
        <w:t xml:space="preserve"> (Soyaltin-Colella 2021)</w:t>
      </w:r>
      <w:r w:rsidR="00491EB4" w:rsidRPr="00160E45">
        <w:rPr>
          <w:rFonts w:ascii="Times New Roman" w:hAnsi="Times New Roman" w:cs="Times New Roman"/>
          <w:bCs/>
          <w:color w:val="000000" w:themeColor="text1"/>
        </w:rPr>
        <w:t>. The ongoing democratic backsliding in and increasing misfit was coupled with the EU’s shallow reform agenda that fails to compensate the domestic adoption costs. Instead, the EU largely associate</w:t>
      </w:r>
      <w:r w:rsidR="00C328D0">
        <w:rPr>
          <w:rFonts w:ascii="Times New Roman" w:hAnsi="Times New Roman" w:cs="Times New Roman"/>
          <w:bCs/>
          <w:color w:val="000000" w:themeColor="text1"/>
        </w:rPr>
        <w:t>d</w:t>
      </w:r>
      <w:r w:rsidR="00491EB4" w:rsidRPr="00160E45">
        <w:rPr>
          <w:rFonts w:ascii="Times New Roman" w:hAnsi="Times New Roman" w:cs="Times New Roman"/>
          <w:bCs/>
          <w:color w:val="000000" w:themeColor="text1"/>
        </w:rPr>
        <w:t xml:space="preserve"> Turkey’s EU accession process with its success in ending the refugee flows to Europe rather than realization of democratic reforms under official membership conditionality. The externalization of the refugee crisis raised Eurosceptic criticisms against the EU in Turkey and undermined the credibility of the EU’s transformative power for the domestic politics.</w:t>
      </w:r>
    </w:p>
    <w:p w14:paraId="106045D8" w14:textId="77777777" w:rsidR="00B33390" w:rsidRPr="00160E45" w:rsidRDefault="00B33390" w:rsidP="00E946C5">
      <w:pPr>
        <w:jc w:val="both"/>
        <w:rPr>
          <w:rFonts w:ascii="Times New Roman" w:hAnsi="Times New Roman" w:cs="Times New Roman"/>
          <w:bCs/>
          <w:color w:val="000000" w:themeColor="text1"/>
        </w:rPr>
      </w:pPr>
    </w:p>
    <w:p w14:paraId="55302A61" w14:textId="4BBDD794" w:rsidR="00E946C5" w:rsidRPr="00160E45" w:rsidRDefault="00491EB4" w:rsidP="00E946C5">
      <w:pPr>
        <w:jc w:val="both"/>
        <w:rPr>
          <w:rFonts w:ascii="Times New Roman" w:hAnsi="Times New Roman" w:cs="Times New Roman"/>
          <w:bCs/>
          <w:color w:val="000000" w:themeColor="text1"/>
        </w:rPr>
      </w:pPr>
      <w:r w:rsidRPr="00160E45">
        <w:rPr>
          <w:rFonts w:ascii="Times New Roman" w:hAnsi="Times New Roman" w:cs="Times New Roman"/>
          <w:bCs/>
          <w:color w:val="000000" w:themeColor="text1"/>
        </w:rPr>
        <w:t xml:space="preserve">The second factor which should be re-considered is the shift in the power </w:t>
      </w:r>
      <w:r w:rsidR="00B33390" w:rsidRPr="00160E45">
        <w:rPr>
          <w:rFonts w:ascii="Times New Roman" w:hAnsi="Times New Roman" w:cs="Times New Roman"/>
          <w:bCs/>
          <w:color w:val="000000" w:themeColor="text1"/>
        </w:rPr>
        <w:t>asymmetries between Turkey and the EU.</w:t>
      </w:r>
      <w:r w:rsidRPr="00160E45">
        <w:rPr>
          <w:rFonts w:ascii="Times New Roman" w:hAnsi="Times New Roman" w:cs="Times New Roman"/>
          <w:bCs/>
          <w:color w:val="000000" w:themeColor="text1"/>
        </w:rPr>
        <w:t xml:space="preserve"> </w:t>
      </w:r>
      <w:r w:rsidR="009476F2" w:rsidRPr="00160E45">
        <w:rPr>
          <w:rFonts w:ascii="Times New Roman" w:hAnsi="Times New Roman" w:cs="Times New Roman"/>
          <w:lang w:val="en-GB"/>
        </w:rPr>
        <w:t xml:space="preserve">The degree of interdependence crucially shapes the pressure for adaptation the EU is able to exert and the power of the target country to resist such pressures. </w:t>
      </w:r>
      <w:r w:rsidR="00E946C5" w:rsidRPr="00160E45">
        <w:rPr>
          <w:rFonts w:ascii="Times New Roman" w:hAnsi="Times New Roman" w:cs="Times New Roman"/>
          <w:lang w:val="en-GB"/>
        </w:rPr>
        <w:t xml:space="preserve">In principle, accession candidates have much to gain by closer relations with the EU which then increases the EU’s ability to exert pressure. </w:t>
      </w:r>
      <w:r w:rsidR="00E946C5" w:rsidRPr="00BD0979">
        <w:rPr>
          <w:rFonts w:ascii="Times New Roman" w:hAnsi="Times New Roman" w:cs="Times New Roman"/>
          <w:lang w:val="en-GB"/>
        </w:rPr>
        <w:t>However, some states possess resources (gas, oil) the EU is interested in, are of strategic importance and/or have the potential to create substantial negative externalities for the EU (illegal</w:t>
      </w:r>
      <w:r w:rsidR="00E946C5" w:rsidRPr="00160E45">
        <w:rPr>
          <w:rFonts w:ascii="Times New Roman" w:hAnsi="Times New Roman" w:cs="Times New Roman"/>
          <w:lang w:val="en-GB"/>
        </w:rPr>
        <w:t xml:space="preserve"> immigration, cross-border crime) (</w:t>
      </w:r>
      <w:proofErr w:type="spellStart"/>
      <w:r w:rsidR="00E946C5" w:rsidRPr="00160E45">
        <w:rPr>
          <w:rFonts w:ascii="Times New Roman" w:hAnsi="Times New Roman" w:cs="Times New Roman"/>
          <w:lang w:val="en-GB"/>
        </w:rPr>
        <w:t>Börzel</w:t>
      </w:r>
      <w:proofErr w:type="spellEnd"/>
      <w:r w:rsidR="00E946C5" w:rsidRPr="00160E45">
        <w:rPr>
          <w:rFonts w:ascii="Times New Roman" w:hAnsi="Times New Roman" w:cs="Times New Roman"/>
          <w:lang w:val="en-GB"/>
        </w:rPr>
        <w:t xml:space="preserve"> and </w:t>
      </w:r>
      <w:proofErr w:type="spellStart"/>
      <w:r w:rsidR="00E946C5" w:rsidRPr="00160E45">
        <w:rPr>
          <w:rFonts w:ascii="Times New Roman" w:hAnsi="Times New Roman" w:cs="Times New Roman"/>
          <w:lang w:val="en-GB"/>
        </w:rPr>
        <w:t>Risse</w:t>
      </w:r>
      <w:proofErr w:type="spellEnd"/>
      <w:r w:rsidR="00E946C5" w:rsidRPr="00160E45">
        <w:rPr>
          <w:rFonts w:ascii="Times New Roman" w:hAnsi="Times New Roman" w:cs="Times New Roman"/>
          <w:lang w:val="en-GB"/>
        </w:rPr>
        <w:t xml:space="preserve"> 2012).</w:t>
      </w:r>
      <w:r w:rsidR="00E946C5" w:rsidRPr="00160E45">
        <w:rPr>
          <w:rFonts w:ascii="Times New Roman" w:hAnsi="Times New Roman" w:cs="Times New Roman"/>
          <w:bCs/>
          <w:color w:val="000000" w:themeColor="text1"/>
        </w:rPr>
        <w:t xml:space="preserve"> The emergence of Turkey as a new center of aid and trade to developing countries in Africa, a rising partner for the countries in Central Asia, and a provider of security and stability in Euro-Atlantic region constricted EU’s appeal for Turkey. </w:t>
      </w:r>
      <w:r w:rsidR="009476F2" w:rsidRPr="00160E45">
        <w:rPr>
          <w:rFonts w:ascii="Times New Roman" w:hAnsi="Times New Roman" w:cs="Times New Roman"/>
          <w:bCs/>
          <w:color w:val="000000" w:themeColor="text1"/>
        </w:rPr>
        <w:t>Turkey also bec</w:t>
      </w:r>
      <w:r w:rsidR="00320137">
        <w:rPr>
          <w:rFonts w:ascii="Times New Roman" w:hAnsi="Times New Roman" w:cs="Times New Roman"/>
          <w:bCs/>
          <w:color w:val="000000" w:themeColor="text1"/>
        </w:rPr>
        <w:t>a</w:t>
      </w:r>
      <w:r w:rsidR="009476F2" w:rsidRPr="00160E45">
        <w:rPr>
          <w:rFonts w:ascii="Times New Roman" w:hAnsi="Times New Roman" w:cs="Times New Roman"/>
          <w:bCs/>
          <w:color w:val="000000" w:themeColor="text1"/>
        </w:rPr>
        <w:t>me a crucial partner of the EU in terms of managing the refugee crisis</w:t>
      </w:r>
      <w:r w:rsidR="00B33390" w:rsidRPr="00160E45">
        <w:rPr>
          <w:rFonts w:ascii="Times New Roman" w:hAnsi="Times New Roman" w:cs="Times New Roman"/>
          <w:bCs/>
          <w:color w:val="000000" w:themeColor="text1"/>
        </w:rPr>
        <w:t xml:space="preserve"> after the signature of EU-Tukey deal in 2016.</w:t>
      </w:r>
      <w:r w:rsidR="009476F2" w:rsidRPr="00160E45">
        <w:rPr>
          <w:rFonts w:ascii="Times New Roman" w:hAnsi="Times New Roman" w:cs="Times New Roman"/>
          <w:bCs/>
          <w:color w:val="000000" w:themeColor="text1"/>
        </w:rPr>
        <w:t xml:space="preserve"> </w:t>
      </w:r>
      <w:r w:rsidR="00E946C5" w:rsidRPr="00160E45">
        <w:rPr>
          <w:rFonts w:ascii="Times New Roman" w:hAnsi="Times New Roman" w:cs="Times New Roman"/>
          <w:bCs/>
          <w:color w:val="000000" w:themeColor="text1"/>
        </w:rPr>
        <w:t>The new power dynamics changed the degree of interdependency and trimmed down EU’s ability to ex</w:t>
      </w:r>
      <w:proofErr w:type="spellStart"/>
      <w:r w:rsidR="00E946C5" w:rsidRPr="00160E45">
        <w:rPr>
          <w:rFonts w:ascii="Times New Roman" w:hAnsi="Times New Roman" w:cs="Times New Roman"/>
          <w:lang w:val="en-GB"/>
        </w:rPr>
        <w:t>ert</w:t>
      </w:r>
      <w:proofErr w:type="spellEnd"/>
      <w:r w:rsidR="00E946C5" w:rsidRPr="00160E45">
        <w:rPr>
          <w:rFonts w:ascii="Times New Roman" w:hAnsi="Times New Roman" w:cs="Times New Roman"/>
          <w:lang w:val="en-GB"/>
        </w:rPr>
        <w:t xml:space="preserve"> direct influence and adaptational pressure for institutional change</w:t>
      </w:r>
      <w:r w:rsidR="009476F2" w:rsidRPr="00160E45">
        <w:rPr>
          <w:rFonts w:ascii="Times New Roman" w:hAnsi="Times New Roman" w:cs="Times New Roman"/>
          <w:lang w:val="en-GB"/>
        </w:rPr>
        <w:t xml:space="preserve"> in Turkey</w:t>
      </w:r>
      <w:r w:rsidR="00E946C5" w:rsidRPr="00160E45">
        <w:rPr>
          <w:rFonts w:ascii="Times New Roman" w:hAnsi="Times New Roman" w:cs="Times New Roman"/>
          <w:bCs/>
          <w:color w:val="000000" w:themeColor="text1"/>
        </w:rPr>
        <w:t xml:space="preserve">. </w:t>
      </w:r>
    </w:p>
    <w:p w14:paraId="4AA73A7E" w14:textId="77777777" w:rsidR="00B33390" w:rsidRPr="00160E45" w:rsidRDefault="00B33390" w:rsidP="00491EB4">
      <w:pPr>
        <w:jc w:val="both"/>
        <w:rPr>
          <w:rFonts w:ascii="Times New Roman" w:hAnsi="Times New Roman" w:cs="Times New Roman"/>
          <w:lang w:val="en-GB"/>
        </w:rPr>
      </w:pPr>
    </w:p>
    <w:p w14:paraId="5B3B4793" w14:textId="7754F8B0" w:rsidR="00B33390" w:rsidRPr="00160E45" w:rsidRDefault="00491EB4" w:rsidP="00146CA1">
      <w:pPr>
        <w:jc w:val="both"/>
        <w:rPr>
          <w:rFonts w:ascii="Times New Roman" w:hAnsi="Times New Roman" w:cs="Times New Roman"/>
          <w:color w:val="000000"/>
        </w:rPr>
      </w:pPr>
      <w:r w:rsidRPr="00160E45">
        <w:rPr>
          <w:rFonts w:ascii="Times New Roman" w:hAnsi="Times New Roman" w:cs="Times New Roman"/>
          <w:bCs/>
          <w:color w:val="000000" w:themeColor="text1"/>
        </w:rPr>
        <w:t>Third,</w:t>
      </w:r>
      <w:r w:rsidRPr="00160E45">
        <w:rPr>
          <w:rFonts w:ascii="Times New Roman" w:hAnsi="Times New Roman" w:cs="Times New Roman"/>
          <w:color w:val="000000"/>
        </w:rPr>
        <w:t xml:space="preserve"> </w:t>
      </w:r>
      <w:r w:rsidRPr="00160E45">
        <w:rPr>
          <w:rFonts w:ascii="Times New Roman" w:hAnsi="Times New Roman" w:cs="Times New Roman"/>
          <w:color w:val="000000"/>
          <w:lang w:val="tr-TR"/>
        </w:rPr>
        <w:t xml:space="preserve">with the change </w:t>
      </w:r>
      <w:r w:rsidRPr="00160E45">
        <w:rPr>
          <w:rFonts w:ascii="Times New Roman" w:hAnsi="Times New Roman" w:cs="Times New Roman"/>
        </w:rPr>
        <w:t>in EU Global Strategy</w:t>
      </w:r>
      <w:r w:rsidR="001678D8" w:rsidRPr="00160E45">
        <w:rPr>
          <w:rFonts w:ascii="Times New Roman" w:hAnsi="Times New Roman" w:cs="Times New Roman"/>
          <w:lang w:val="tr-TR"/>
        </w:rPr>
        <w:t xml:space="preserve"> (EUGS)</w:t>
      </w:r>
      <w:r w:rsidRPr="00160E45">
        <w:rPr>
          <w:rFonts w:ascii="Times New Roman" w:hAnsi="Times New Roman" w:cs="Times New Roman"/>
          <w:lang w:val="tr-TR"/>
        </w:rPr>
        <w:t xml:space="preserve">, EU </w:t>
      </w:r>
      <w:r w:rsidRPr="00160E45">
        <w:rPr>
          <w:rFonts w:ascii="Times New Roman" w:hAnsi="Times New Roman" w:cs="Times New Roman"/>
        </w:rPr>
        <w:t>turned resilience into one of the cornerstones of EU foreign and security policy and replaced the earlier focus on democracy promotion</w:t>
      </w:r>
      <w:r w:rsidR="001678D8" w:rsidRPr="00160E45">
        <w:rPr>
          <w:rFonts w:ascii="Times New Roman" w:hAnsi="Times New Roman" w:cs="Times New Roman"/>
          <w:lang w:val="tr-TR"/>
        </w:rPr>
        <w:t xml:space="preserve">. As indicated in </w:t>
      </w:r>
      <w:r w:rsidR="00B33390" w:rsidRPr="00160E45">
        <w:rPr>
          <w:rFonts w:ascii="Times New Roman" w:hAnsi="Times New Roman" w:cs="Times New Roman"/>
          <w:lang w:val="tr-TR"/>
        </w:rPr>
        <w:t xml:space="preserve">the </w:t>
      </w:r>
      <w:r w:rsidR="001678D8" w:rsidRPr="00160E45">
        <w:rPr>
          <w:rFonts w:ascii="Times New Roman" w:hAnsi="Times New Roman" w:cs="Times New Roman"/>
          <w:lang w:val="tr-TR"/>
        </w:rPr>
        <w:t>EUGS of 2016</w:t>
      </w:r>
      <w:r w:rsidR="003E74EB">
        <w:rPr>
          <w:rFonts w:ascii="Times New Roman" w:hAnsi="Times New Roman" w:cs="Times New Roman"/>
          <w:lang w:val="tr-TR"/>
        </w:rPr>
        <w:t>,</w:t>
      </w:r>
      <w:r w:rsidR="00EB4E24">
        <w:rPr>
          <w:rFonts w:ascii="Times New Roman" w:hAnsi="Times New Roman" w:cs="Times New Roman"/>
          <w:lang w:val="tr-TR"/>
        </w:rPr>
        <w:t xml:space="preserve"> </w:t>
      </w:r>
      <w:r w:rsidR="001678D8" w:rsidRPr="00160E45">
        <w:rPr>
          <w:rFonts w:ascii="Times New Roman" w:hAnsi="Times New Roman" w:cs="Times New Roman"/>
          <w:lang w:val="tr-TR"/>
        </w:rPr>
        <w:t xml:space="preserve"> </w:t>
      </w:r>
      <w:r w:rsidR="001678D8" w:rsidRPr="00160E45">
        <w:rPr>
          <w:rFonts w:ascii="Times New Roman" w:hAnsi="Times New Roman" w:cs="Times New Roman"/>
        </w:rPr>
        <w:t xml:space="preserve">resilience building does not entail giving up on the promotion of human rights, democracy, and the rule of law, but redirects attention to societies and communities rather than the state. It requires the EU to leave its state centric strategies of capacity-building towards strengthening the adaptive capacities of societies and local communities. Resilience building forwards attention to non-state actors in local communities rather than concentrating on free and fair elections. </w:t>
      </w:r>
      <w:r w:rsidR="001678D8" w:rsidRPr="00160E45">
        <w:rPr>
          <w:rFonts w:ascii="Times New Roman" w:hAnsi="Times New Roman" w:cs="Times New Roman"/>
          <w:color w:val="000000"/>
          <w:lang w:val="en-GB"/>
        </w:rPr>
        <w:t xml:space="preserve">Although this approach is defined for countries which are part of the EU’s partnership programmes or </w:t>
      </w:r>
      <w:r w:rsidR="001678D8" w:rsidRPr="009E7BD9">
        <w:rPr>
          <w:rFonts w:ascii="Times New Roman" w:hAnsi="Times New Roman" w:cs="Times New Roman"/>
          <w:color w:val="000000"/>
          <w:lang w:val="en-GB"/>
        </w:rPr>
        <w:t>neighbourhood policy with no membership perspective,</w:t>
      </w:r>
      <w:r w:rsidR="001678D8" w:rsidRPr="009E7BD9">
        <w:rPr>
          <w:rFonts w:ascii="Times New Roman" w:hAnsi="Times New Roman" w:cs="Times New Roman"/>
          <w:color w:val="000000"/>
        </w:rPr>
        <w:t xml:space="preserve"> the rapid influx of Syrian refugees to Europe in 2015 </w:t>
      </w:r>
      <w:r w:rsidR="001678D8" w:rsidRPr="009E7BD9">
        <w:rPr>
          <w:rFonts w:ascii="Times New Roman" w:hAnsi="Times New Roman" w:cs="Times New Roman"/>
        </w:rPr>
        <w:t>situate</w:t>
      </w:r>
      <w:r w:rsidR="00B74FD3" w:rsidRPr="009E7BD9">
        <w:rPr>
          <w:rFonts w:ascii="Times New Roman" w:hAnsi="Times New Roman" w:cs="Times New Roman"/>
        </w:rPr>
        <w:t>d</w:t>
      </w:r>
      <w:r w:rsidR="001678D8" w:rsidRPr="009E7BD9">
        <w:rPr>
          <w:rFonts w:ascii="Times New Roman" w:hAnsi="Times New Roman" w:cs="Times New Roman"/>
        </w:rPr>
        <w:t xml:space="preserve"> Turkey as a partner to maintain effective governance of the refugee crisis</w:t>
      </w:r>
      <w:r w:rsidR="00146CA1" w:rsidRPr="009E7BD9">
        <w:rPr>
          <w:rFonts w:ascii="Times New Roman" w:hAnsi="Times New Roman" w:cs="Times New Roman"/>
          <w:lang w:val="tr-TR"/>
        </w:rPr>
        <w:t>.</w:t>
      </w:r>
      <w:r w:rsidR="00146CA1" w:rsidRPr="009E7BD9">
        <w:rPr>
          <w:rFonts w:ascii="Times New Roman" w:hAnsi="Times New Roman" w:cs="Times New Roman"/>
          <w:color w:val="000000" w:themeColor="text1"/>
        </w:rPr>
        <w:t xml:space="preserve"> This approach</w:t>
      </w:r>
      <w:r w:rsidR="00146CA1" w:rsidRPr="009E7BD9">
        <w:rPr>
          <w:rFonts w:ascii="Times New Roman" w:hAnsi="Times New Roman" w:cs="Times New Roman"/>
        </w:rPr>
        <w:t xml:space="preserve"> </w:t>
      </w:r>
      <w:r w:rsidR="00146CA1" w:rsidRPr="009E7BD9">
        <w:rPr>
          <w:rFonts w:ascii="Times New Roman" w:hAnsi="Times New Roman" w:cs="Times New Roman"/>
          <w:lang w:val="tr-TR"/>
        </w:rPr>
        <w:t xml:space="preserve">turns </w:t>
      </w:r>
      <w:r w:rsidR="00146CA1" w:rsidRPr="009E7BD9">
        <w:rPr>
          <w:rFonts w:ascii="Times New Roman" w:hAnsi="Times New Roman" w:cs="Times New Roman"/>
        </w:rPr>
        <w:t xml:space="preserve">EU’s democracy promotion strategy for Turkey </w:t>
      </w:r>
      <w:r w:rsidR="00900C9D">
        <w:rPr>
          <w:rFonts w:ascii="Times New Roman" w:hAnsi="Times New Roman" w:cs="Times New Roman"/>
        </w:rPr>
        <w:t>to</w:t>
      </w:r>
      <w:r w:rsidR="00146CA1" w:rsidRPr="009E7BD9">
        <w:rPr>
          <w:rFonts w:ascii="Times New Roman" w:hAnsi="Times New Roman" w:cs="Times New Roman"/>
        </w:rPr>
        <w:t xml:space="preserve"> the promotion of resilience</w:t>
      </w:r>
      <w:r w:rsidR="00146CA1" w:rsidRPr="009E7BD9">
        <w:rPr>
          <w:rFonts w:ascii="Times New Roman" w:hAnsi="Times New Roman" w:cs="Times New Roman"/>
          <w:lang w:val="tr-TR"/>
        </w:rPr>
        <w:t xml:space="preserve">, </w:t>
      </w:r>
      <w:r w:rsidR="00146CA1" w:rsidRPr="009E7BD9">
        <w:rPr>
          <w:rFonts w:ascii="Times New Roman" w:hAnsi="Times New Roman" w:cs="Times New Roman"/>
          <w:color w:val="000000" w:themeColor="text1"/>
        </w:rPr>
        <w:t>prioritizes stability</w:t>
      </w:r>
      <w:r w:rsidR="00146CA1" w:rsidRPr="00160E45">
        <w:rPr>
          <w:rFonts w:ascii="Times New Roman" w:hAnsi="Times New Roman" w:cs="Times New Roman"/>
          <w:color w:val="000000" w:themeColor="text1"/>
        </w:rPr>
        <w:t>/security over democracy</w:t>
      </w:r>
      <w:r w:rsidR="00146CA1" w:rsidRPr="00160E45">
        <w:rPr>
          <w:rFonts w:ascii="Times New Roman" w:hAnsi="Times New Roman" w:cs="Times New Roman"/>
          <w:color w:val="000000"/>
        </w:rPr>
        <w:t xml:space="preserve"> and more importantly </w:t>
      </w:r>
      <w:r w:rsidR="001678D8" w:rsidRPr="00160E45">
        <w:rPr>
          <w:rFonts w:ascii="Times New Roman" w:hAnsi="Times New Roman" w:cs="Times New Roman"/>
          <w:color w:val="000000" w:themeColor="text1"/>
        </w:rPr>
        <w:t>highlights</w:t>
      </w:r>
      <w:r w:rsidR="001678D8" w:rsidRPr="00160E45">
        <w:rPr>
          <w:rFonts w:ascii="Times New Roman" w:hAnsi="Times New Roman" w:cs="Times New Roman"/>
          <w:lang w:val="tr-TR"/>
        </w:rPr>
        <w:t xml:space="preserve"> </w:t>
      </w:r>
      <w:r w:rsidR="001678D8" w:rsidRPr="00160E45">
        <w:rPr>
          <w:rFonts w:ascii="Times New Roman" w:hAnsi="Times New Roman" w:cs="Times New Roman"/>
          <w:color w:val="000000" w:themeColor="text1"/>
        </w:rPr>
        <w:t xml:space="preserve">strategic co-operation between Turkey and the EU on </w:t>
      </w:r>
      <w:proofErr w:type="gramStart"/>
      <w:r w:rsidR="001678D8" w:rsidRPr="00160E45">
        <w:rPr>
          <w:rFonts w:ascii="Times New Roman" w:hAnsi="Times New Roman" w:cs="Times New Roman"/>
          <w:color w:val="000000" w:themeColor="text1"/>
        </w:rPr>
        <w:t>a number of</w:t>
      </w:r>
      <w:proofErr w:type="gramEnd"/>
      <w:r w:rsidR="001678D8" w:rsidRPr="00160E45">
        <w:rPr>
          <w:rFonts w:ascii="Times New Roman" w:hAnsi="Times New Roman" w:cs="Times New Roman"/>
          <w:color w:val="000000" w:themeColor="text1"/>
        </w:rPr>
        <w:t xml:space="preserve"> key areas (such as trade, energy, and migration) instead of membership.</w:t>
      </w:r>
      <w:r w:rsidR="007A7392">
        <w:rPr>
          <w:rStyle w:val="FootnoteReference"/>
          <w:rFonts w:ascii="Times New Roman" w:hAnsi="Times New Roman" w:cs="Times New Roman"/>
          <w:color w:val="000000" w:themeColor="text1"/>
        </w:rPr>
        <w:footnoteReference w:id="3"/>
      </w:r>
      <w:r w:rsidR="00146CA1" w:rsidRPr="00160E45">
        <w:rPr>
          <w:rFonts w:ascii="Times New Roman" w:hAnsi="Times New Roman" w:cs="Times New Roman"/>
          <w:color w:val="000000"/>
        </w:rPr>
        <w:t xml:space="preserve"> </w:t>
      </w:r>
    </w:p>
    <w:p w14:paraId="05314BC4" w14:textId="77777777" w:rsidR="00B33390" w:rsidRPr="00160E45" w:rsidRDefault="00B33390" w:rsidP="00146CA1">
      <w:pPr>
        <w:jc w:val="both"/>
        <w:rPr>
          <w:rFonts w:ascii="Times New Roman" w:hAnsi="Times New Roman" w:cs="Times New Roman"/>
          <w:color w:val="000000"/>
        </w:rPr>
      </w:pPr>
    </w:p>
    <w:p w14:paraId="0B9B1720" w14:textId="0C35C0C7" w:rsidR="00146CA1" w:rsidRPr="00160E45" w:rsidRDefault="00146CA1" w:rsidP="00146CA1">
      <w:pPr>
        <w:jc w:val="both"/>
        <w:rPr>
          <w:rFonts w:ascii="Times New Roman" w:hAnsi="Times New Roman" w:cs="Times New Roman"/>
          <w:color w:val="000000"/>
        </w:rPr>
      </w:pPr>
      <w:r w:rsidRPr="00160E45">
        <w:rPr>
          <w:rFonts w:ascii="Times New Roman" w:hAnsi="Times New Roman" w:cs="Times New Roman"/>
          <w:bCs/>
        </w:rPr>
        <w:t xml:space="preserve">Due to the coupling of these three interlocking factors in a rapidly shifting international context, combined with the COVID pandemic, EU democracy promotion for Turkey weakly hit home. This approach opens new research venues for different views about </w:t>
      </w:r>
      <w:r w:rsidRPr="00160E45">
        <w:rPr>
          <w:rFonts w:ascii="Times New Roman" w:hAnsi="Times New Roman" w:cs="Times New Roman"/>
        </w:rPr>
        <w:t>scope and depth of EU’s transformative power and democracy agenda in its near abroad.</w:t>
      </w:r>
    </w:p>
    <w:p w14:paraId="57097476" w14:textId="77777777" w:rsidR="00217FCE" w:rsidRPr="00160E45" w:rsidRDefault="00217FCE" w:rsidP="00834F26">
      <w:pPr>
        <w:pStyle w:val="NormalWeb"/>
        <w:shd w:val="clear" w:color="auto" w:fill="FFFFFF"/>
        <w:spacing w:before="0" w:beforeAutospacing="0" w:after="160" w:afterAutospacing="0" w:line="235" w:lineRule="atLeast"/>
        <w:textAlignment w:val="baseline"/>
        <w:rPr>
          <w:color w:val="26282A"/>
          <w:spacing w:val="-6"/>
          <w:bdr w:val="none" w:sz="0" w:space="0" w:color="auto" w:frame="1"/>
          <w:lang w:val="en-GB"/>
        </w:rPr>
      </w:pPr>
    </w:p>
    <w:p w14:paraId="233B0AD2" w14:textId="77777777" w:rsidR="00F24607" w:rsidRPr="00F24607" w:rsidRDefault="00F24607" w:rsidP="00F24607">
      <w:pPr>
        <w:pStyle w:val="NormalWeb"/>
        <w:rPr>
          <w:b/>
          <w:bCs/>
          <w:color w:val="000000"/>
          <w:spacing w:val="-6"/>
          <w:bdr w:val="none" w:sz="0" w:space="0" w:color="auto" w:frame="1"/>
        </w:rPr>
      </w:pPr>
      <w:r w:rsidRPr="00F24607">
        <w:rPr>
          <w:b/>
          <w:bCs/>
          <w:color w:val="000000"/>
          <w:spacing w:val="-6"/>
          <w:bdr w:val="none" w:sz="0" w:space="0" w:color="auto" w:frame="1"/>
        </w:rPr>
        <w:t xml:space="preserve">3.  EU’s democracy agenda for Turkey From broad to shallow  </w:t>
      </w:r>
    </w:p>
    <w:p w14:paraId="7113734C" w14:textId="0FD1D768" w:rsidR="000C422A" w:rsidRDefault="00F24607" w:rsidP="00C73E90">
      <w:pPr>
        <w:pStyle w:val="NormalWeb"/>
        <w:shd w:val="clear" w:color="auto" w:fill="FFFFFF"/>
        <w:jc w:val="both"/>
        <w:textAlignment w:val="baseline"/>
        <w:rPr>
          <w:color w:val="000000"/>
          <w:spacing w:val="-6"/>
          <w:bdr w:val="none" w:sz="0" w:space="0" w:color="auto" w:frame="1"/>
        </w:rPr>
      </w:pPr>
      <w:r w:rsidRPr="00F24607">
        <w:rPr>
          <w:color w:val="000000"/>
          <w:spacing w:val="-6"/>
          <w:bdr w:val="none" w:sz="0" w:space="0" w:color="auto" w:frame="1"/>
          <w:lang w:val="en-GB"/>
        </w:rPr>
        <w:t xml:space="preserve">Although the mechanism and outcomes of the EU’s efforts of democracy promotion have been widely discussed, there has been less attention on the </w:t>
      </w:r>
      <w:r w:rsidR="00786017">
        <w:rPr>
          <w:color w:val="000000"/>
          <w:spacing w:val="-6"/>
          <w:bdr w:val="none" w:sz="0" w:space="0" w:color="auto" w:frame="1"/>
          <w:lang w:val="en-GB"/>
        </w:rPr>
        <w:t>substance of democracy promotion</w:t>
      </w:r>
      <w:r w:rsidRPr="00F24607">
        <w:rPr>
          <w:color w:val="000000"/>
          <w:spacing w:val="-6"/>
          <w:bdr w:val="none" w:sz="0" w:space="0" w:color="auto" w:frame="1"/>
          <w:lang w:val="en-GB"/>
        </w:rPr>
        <w:t>. Several studies in the literature focusing on what the EU promotes in third countries, found the EU to have a technocratic orientation that</w:t>
      </w:r>
      <w:r w:rsidRPr="00F24607">
        <w:rPr>
          <w:color w:val="000000"/>
          <w:spacing w:val="-6"/>
          <w:bdr w:val="none" w:sz="0" w:space="0" w:color="auto" w:frame="1"/>
        </w:rPr>
        <w:t xml:space="preserve"> priorities state capacity, market related reforms and governance over democracy (Carothers 2009; Reynaert 2011; </w:t>
      </w:r>
      <w:proofErr w:type="spellStart"/>
      <w:r w:rsidRPr="00F24607">
        <w:rPr>
          <w:color w:val="000000"/>
          <w:spacing w:val="-6"/>
          <w:bdr w:val="none" w:sz="0" w:space="0" w:color="auto" w:frame="1"/>
        </w:rPr>
        <w:t>Hout</w:t>
      </w:r>
      <w:proofErr w:type="spellEnd"/>
      <w:r w:rsidRPr="00F24607">
        <w:rPr>
          <w:color w:val="000000"/>
          <w:spacing w:val="-6"/>
          <w:bdr w:val="none" w:sz="0" w:space="0" w:color="auto" w:frame="1"/>
        </w:rPr>
        <w:t xml:space="preserve"> 2010; Youngs and </w:t>
      </w:r>
      <w:proofErr w:type="spellStart"/>
      <w:r w:rsidRPr="00F24607">
        <w:rPr>
          <w:color w:val="000000"/>
          <w:spacing w:val="-6"/>
          <w:bdr w:val="none" w:sz="0" w:space="0" w:color="auto" w:frame="1"/>
        </w:rPr>
        <w:t>Pishchikova</w:t>
      </w:r>
      <w:proofErr w:type="spellEnd"/>
      <w:r w:rsidRPr="00F24607">
        <w:rPr>
          <w:color w:val="000000"/>
          <w:spacing w:val="-6"/>
          <w:bdr w:val="none" w:sz="0" w:space="0" w:color="auto" w:frame="1"/>
        </w:rPr>
        <w:t xml:space="preserve"> 2013). </w:t>
      </w:r>
    </w:p>
    <w:p w14:paraId="2B1AD171" w14:textId="7998A00A" w:rsidR="00F24607" w:rsidRPr="00F24607" w:rsidRDefault="00F24607" w:rsidP="009E7BD9">
      <w:pPr>
        <w:pStyle w:val="NormalWeb"/>
        <w:shd w:val="clear" w:color="auto" w:fill="FFFFFF"/>
        <w:jc w:val="both"/>
        <w:textAlignment w:val="baseline"/>
        <w:rPr>
          <w:bCs/>
          <w:color w:val="000000"/>
          <w:spacing w:val="-6"/>
          <w:bdr w:val="none" w:sz="0" w:space="0" w:color="auto" w:frame="1"/>
        </w:rPr>
      </w:pPr>
      <w:r w:rsidRPr="00F24607">
        <w:rPr>
          <w:bCs/>
          <w:color w:val="000000"/>
          <w:spacing w:val="-6"/>
          <w:bdr w:val="none" w:sz="0" w:space="0" w:color="auto" w:frame="1"/>
        </w:rPr>
        <w:t xml:space="preserve">The authors of this paper will follow the framework designed by Wetzel and </w:t>
      </w:r>
      <w:proofErr w:type="spellStart"/>
      <w:r w:rsidRPr="00F24607">
        <w:rPr>
          <w:bCs/>
          <w:color w:val="000000"/>
          <w:spacing w:val="-6"/>
          <w:bdr w:val="none" w:sz="0" w:space="0" w:color="auto" w:frame="1"/>
        </w:rPr>
        <w:t>Orbie</w:t>
      </w:r>
      <w:proofErr w:type="spellEnd"/>
      <w:r w:rsidRPr="00F24607">
        <w:rPr>
          <w:bCs/>
          <w:color w:val="000000"/>
          <w:spacing w:val="-6"/>
          <w:bdr w:val="none" w:sz="0" w:space="0" w:color="auto" w:frame="1"/>
        </w:rPr>
        <w:t xml:space="preserve">, based on the comprehensive conceptualization of liberal democracy </w:t>
      </w:r>
      <w:r w:rsidRPr="00F24607">
        <w:rPr>
          <w:rFonts w:eastAsia="StoneSerif"/>
          <w:color w:val="000000"/>
          <w:spacing w:val="-6"/>
          <w:bdr w:val="none" w:sz="0" w:space="0" w:color="auto" w:frame="1"/>
        </w:rPr>
        <w:t>models developed by Linz and Stepan (1996) and Merkel (2004). In this analysis, the five factors of Merkel’s embedded democracy mode</w:t>
      </w:r>
      <w:r w:rsidRPr="00F24607">
        <w:rPr>
          <w:color w:val="000000"/>
          <w:spacing w:val="-6"/>
          <w:bdr w:val="none" w:sz="0" w:space="0" w:color="auto" w:frame="1"/>
        </w:rPr>
        <w:t>, namely, democratic</w:t>
      </w:r>
      <w:r w:rsidRPr="00F24607">
        <w:rPr>
          <w:rFonts w:eastAsia="StoneSerif"/>
          <w:color w:val="000000"/>
          <w:spacing w:val="-6"/>
          <w:bdr w:val="none" w:sz="0" w:space="0" w:color="auto" w:frame="1"/>
        </w:rPr>
        <w:t xml:space="preserve"> electoral regime, political rights of participation, civil rights, horizontal accountability, and effective power to govern</w:t>
      </w:r>
      <w:r w:rsidR="00813825">
        <w:rPr>
          <w:rFonts w:eastAsia="StoneSerif"/>
          <w:color w:val="000000"/>
          <w:spacing w:val="-6"/>
          <w:bdr w:val="none" w:sz="0" w:space="0" w:color="auto" w:frame="1"/>
        </w:rPr>
        <w:t xml:space="preserve"> by </w:t>
      </w:r>
      <w:r w:rsidR="001C102C">
        <w:rPr>
          <w:rFonts w:eastAsia="StoneSerif"/>
          <w:color w:val="000000"/>
          <w:spacing w:val="-6"/>
          <w:bdr w:val="none" w:sz="0" w:space="0" w:color="auto" w:frame="1"/>
        </w:rPr>
        <w:t>democra</w:t>
      </w:r>
      <w:r w:rsidR="0097398D">
        <w:rPr>
          <w:rFonts w:eastAsia="StoneSerif"/>
          <w:color w:val="000000"/>
          <w:spacing w:val="-6"/>
          <w:bdr w:val="none" w:sz="0" w:space="0" w:color="auto" w:frame="1"/>
        </w:rPr>
        <w:t>tically elected representatives</w:t>
      </w:r>
      <w:r w:rsidRPr="00F24607">
        <w:rPr>
          <w:rFonts w:eastAsia="StoneSerif"/>
          <w:color w:val="000000"/>
          <w:spacing w:val="-6"/>
          <w:bdr w:val="none" w:sz="0" w:space="0" w:color="auto" w:frame="1"/>
        </w:rPr>
        <w:t xml:space="preserve"> (Merkel 2004: 37) are considered as internal factors, and the democratic consolidation conditions of Linz and Stepan (1996: 7-15) such as </w:t>
      </w:r>
      <w:proofErr w:type="spellStart"/>
      <w:r w:rsidRPr="00F24607">
        <w:rPr>
          <w:rFonts w:eastAsia="StoneSerif"/>
          <w:color w:val="000000"/>
          <w:spacing w:val="-6"/>
          <w:bdr w:val="none" w:sz="0" w:space="0" w:color="auto" w:frame="1"/>
        </w:rPr>
        <w:t>stateness</w:t>
      </w:r>
      <w:proofErr w:type="spellEnd"/>
      <w:r w:rsidRPr="00F24607">
        <w:rPr>
          <w:rFonts w:eastAsia="StoneSerif"/>
          <w:color w:val="000000"/>
          <w:spacing w:val="-6"/>
          <w:bdr w:val="none" w:sz="0" w:space="0" w:color="auto" w:frame="1"/>
        </w:rPr>
        <w:t>, state administrative capacity, civil society and socioeconomic development are taken into account as supporting external conditions. The model elaborates on the expectations that the substance may be shaped by the differences in power between the EU and a target country; EU internal institutional factors; differences in the target countries’ domestic contexts; and differences in the interorganizational field.  By assigning values on a scale ranging from ‘no or very minor attention’ (−), through ‘some’ (+) and ‘focused’ (++), to ‘major’ (+++) attention for the EU’s implementation activities regarding each component</w:t>
      </w:r>
      <w:r w:rsidRPr="00F24607">
        <w:rPr>
          <w:color w:val="000000"/>
          <w:spacing w:val="-6"/>
          <w:bdr w:val="none" w:sz="0" w:space="0" w:color="auto" w:frame="1"/>
        </w:rPr>
        <w:t>,</w:t>
      </w:r>
      <w:r w:rsidRPr="00F24607">
        <w:rPr>
          <w:rFonts w:eastAsia="StoneSerif"/>
          <w:color w:val="000000"/>
          <w:spacing w:val="-6"/>
          <w:bdr w:val="none" w:sz="0" w:space="0" w:color="auto" w:frame="1"/>
        </w:rPr>
        <w:t xml:space="preserve"> t</w:t>
      </w:r>
      <w:r w:rsidRPr="00F24607">
        <w:rPr>
          <w:rFonts w:eastAsia="StoneSerif-Semibold"/>
          <w:bCs/>
          <w:color w:val="000000"/>
          <w:spacing w:val="-6"/>
          <w:bdr w:val="none" w:sz="0" w:space="0" w:color="auto" w:frame="1"/>
        </w:rPr>
        <w:t xml:space="preserve">he findings </w:t>
      </w:r>
      <w:r w:rsidR="00F410AB">
        <w:rPr>
          <w:rFonts w:eastAsia="StoneSerif-Semibold"/>
          <w:bCs/>
          <w:color w:val="000000"/>
          <w:spacing w:val="-6"/>
          <w:bdr w:val="none" w:sz="0" w:space="0" w:color="auto" w:frame="1"/>
        </w:rPr>
        <w:t>are</w:t>
      </w:r>
      <w:r w:rsidRPr="00F24607">
        <w:rPr>
          <w:bCs/>
          <w:color w:val="000000"/>
          <w:spacing w:val="-6"/>
          <w:bdr w:val="none" w:sz="0" w:space="0" w:color="auto" w:frame="1"/>
        </w:rPr>
        <w:t xml:space="preserve"> evaluated. Based on the extent of substance that is being promoted, they distinguish five possible types of democracy promotion ranging from broad</w:t>
      </w:r>
      <w:r w:rsidR="00540E54">
        <w:rPr>
          <w:bCs/>
          <w:color w:val="000000"/>
          <w:spacing w:val="-6"/>
          <w:bdr w:val="none" w:sz="0" w:space="0" w:color="auto" w:frame="1"/>
        </w:rPr>
        <w:t>,</w:t>
      </w:r>
      <w:r w:rsidRPr="00F24607">
        <w:rPr>
          <w:bCs/>
          <w:color w:val="000000"/>
          <w:spacing w:val="-6"/>
          <w:bdr w:val="none" w:sz="0" w:space="0" w:color="auto" w:frame="1"/>
        </w:rPr>
        <w:t xml:space="preserve"> full</w:t>
      </w:r>
      <w:r w:rsidR="00540E54">
        <w:rPr>
          <w:bCs/>
          <w:color w:val="000000"/>
          <w:spacing w:val="-6"/>
          <w:bdr w:val="none" w:sz="0" w:space="0" w:color="auto" w:frame="1"/>
        </w:rPr>
        <w:t>,</w:t>
      </w:r>
      <w:r w:rsidRPr="00F24607">
        <w:rPr>
          <w:bCs/>
          <w:color w:val="000000"/>
          <w:spacing w:val="-6"/>
          <w:bdr w:val="none" w:sz="0" w:space="0" w:color="auto" w:frame="1"/>
        </w:rPr>
        <w:t xml:space="preserve"> </w:t>
      </w:r>
      <w:r w:rsidR="001E60E1" w:rsidRPr="00F24607">
        <w:rPr>
          <w:bCs/>
          <w:color w:val="000000"/>
          <w:spacing w:val="-6"/>
          <w:bdr w:val="none" w:sz="0" w:space="0" w:color="auto" w:frame="1"/>
        </w:rPr>
        <w:t>narrow,</w:t>
      </w:r>
      <w:r w:rsidRPr="00F24607">
        <w:rPr>
          <w:bCs/>
          <w:color w:val="000000"/>
          <w:spacing w:val="-6"/>
          <w:bdr w:val="none" w:sz="0" w:space="0" w:color="auto" w:frame="1"/>
        </w:rPr>
        <w:t xml:space="preserve"> and shallow democracy promotion agenda. Under the “Broad agenda” besides the five partial regimes, the EU also significantly supports the advancement of the external conditions, while under the “Full agenda” the EU mainly promotes the five partial regimes of liberal democracy. The third is “Narrow agenda” under which some partial regimes are promoted while others are neglected. The fourth is the “Shallow agenda” where the EU mainly supports the advancement of the external conditions.</w:t>
      </w:r>
    </w:p>
    <w:p w14:paraId="3EE19A8B" w14:textId="4FF31FEF" w:rsidR="00F24607" w:rsidRPr="00F24607" w:rsidRDefault="00F24607" w:rsidP="009E7BD9">
      <w:pPr>
        <w:pStyle w:val="NormalWeb"/>
        <w:shd w:val="clear" w:color="auto" w:fill="FFFFFF"/>
        <w:jc w:val="both"/>
        <w:textAlignment w:val="baseline"/>
        <w:rPr>
          <w:bCs/>
          <w:color w:val="000000"/>
          <w:spacing w:val="-6"/>
          <w:bdr w:val="none" w:sz="0" w:space="0" w:color="auto" w:frame="1"/>
        </w:rPr>
      </w:pPr>
      <w:r w:rsidRPr="00F24607">
        <w:rPr>
          <w:bCs/>
          <w:color w:val="000000"/>
          <w:spacing w:val="-6"/>
          <w:bdr w:val="none" w:sz="0" w:space="0" w:color="auto" w:frame="1"/>
        </w:rPr>
        <w:t>A</w:t>
      </w:r>
      <w:r w:rsidRPr="00F24607">
        <w:rPr>
          <w:rFonts w:eastAsia="StoneSerif-Semibold"/>
          <w:bCs/>
          <w:color w:val="000000"/>
          <w:spacing w:val="-6"/>
          <w:bdr w:val="none" w:sz="0" w:space="0" w:color="auto" w:frame="1"/>
        </w:rPr>
        <w:t xml:space="preserve">mong the five possible types of democracy promotion classified by Wetzel and </w:t>
      </w:r>
      <w:proofErr w:type="spellStart"/>
      <w:r w:rsidRPr="00F24607">
        <w:rPr>
          <w:rFonts w:eastAsia="StoneSerif-Semibold"/>
          <w:bCs/>
          <w:color w:val="000000"/>
          <w:spacing w:val="-6"/>
          <w:bdr w:val="none" w:sz="0" w:space="0" w:color="auto" w:frame="1"/>
        </w:rPr>
        <w:t>Orbie</w:t>
      </w:r>
      <w:proofErr w:type="spellEnd"/>
      <w:r w:rsidRPr="00F24607">
        <w:rPr>
          <w:rFonts w:eastAsia="StoneSerif-Semibold"/>
          <w:bCs/>
          <w:color w:val="000000"/>
          <w:spacing w:val="-6"/>
          <w:bdr w:val="none" w:sz="0" w:space="0" w:color="auto" w:frame="1"/>
        </w:rPr>
        <w:t xml:space="preserve"> (2015:8) the Turkish case can be classified under the “e</w:t>
      </w:r>
      <w:r w:rsidRPr="00F24607">
        <w:rPr>
          <w:rFonts w:eastAsia="StoneSerif"/>
          <w:bCs/>
          <w:color w:val="000000"/>
          <w:spacing w:val="-6"/>
          <w:bdr w:val="none" w:sz="0" w:space="0" w:color="auto" w:frame="1"/>
        </w:rPr>
        <w:t>xternally embedded liberal democracy promotion”. The EU,</w:t>
      </w:r>
      <w:r w:rsidRPr="00F24607">
        <w:rPr>
          <w:rFonts w:eastAsia="StoneSerif"/>
          <w:color w:val="000000"/>
          <w:spacing w:val="-6"/>
          <w:bdr w:val="none" w:sz="0" w:space="0" w:color="auto" w:frame="1"/>
        </w:rPr>
        <w:t xml:space="preserve"> besides the five internal factors, significantly supports the advancement of the external conditions and this can be mapped as a ‘broad agenda’, </w:t>
      </w:r>
      <w:r w:rsidRPr="00F24607">
        <w:rPr>
          <w:rFonts w:eastAsia="Calibri"/>
          <w:color w:val="000000"/>
          <w:spacing w:val="-6"/>
          <w:bdr w:val="none" w:sz="0" w:space="0" w:color="auto" w:frame="1"/>
          <w:lang w:val="tr-TR"/>
        </w:rPr>
        <w:t>best explained by institutionalist and power-based approaches in the first period, while in the second period of the study, referring to the same framework, the “</w:t>
      </w:r>
      <w:r w:rsidRPr="00F24607">
        <w:rPr>
          <w:bCs/>
          <w:color w:val="000000"/>
          <w:spacing w:val="-6"/>
          <w:bdr w:val="none" w:sz="0" w:space="0" w:color="auto" w:frame="1"/>
        </w:rPr>
        <w:t>domestic context” becomes the main identifying factor due to the dramatic internal struggles the country has been going through. The challenge to map the substance of EU democracy promotion in Turkey was based mainly on Progress Reports, Commission Communications, Strategy Papers</w:t>
      </w:r>
      <w:r w:rsidR="00D356CB">
        <w:rPr>
          <w:bCs/>
          <w:color w:val="000000"/>
          <w:spacing w:val="-6"/>
          <w:bdr w:val="none" w:sz="0" w:space="0" w:color="auto" w:frame="1"/>
        </w:rPr>
        <w:t xml:space="preserve"> and </w:t>
      </w:r>
      <w:r w:rsidRPr="00F24607">
        <w:rPr>
          <w:bCs/>
          <w:color w:val="000000"/>
          <w:spacing w:val="-6"/>
          <w:bdr w:val="none" w:sz="0" w:space="0" w:color="auto" w:frame="1"/>
        </w:rPr>
        <w:t>Opinion Papers</w:t>
      </w:r>
      <w:r w:rsidR="00D356CB">
        <w:rPr>
          <w:bCs/>
          <w:color w:val="000000"/>
          <w:spacing w:val="-6"/>
          <w:bdr w:val="none" w:sz="0" w:space="0" w:color="auto" w:frame="1"/>
        </w:rPr>
        <w:t>.</w:t>
      </w:r>
    </w:p>
    <w:p w14:paraId="470CB6CC" w14:textId="66F79735" w:rsidR="00F24607" w:rsidRPr="00F24607" w:rsidRDefault="00F24607" w:rsidP="009E7BD9">
      <w:pPr>
        <w:pStyle w:val="NormalWeb"/>
        <w:shd w:val="clear" w:color="auto" w:fill="FFFFFF"/>
        <w:jc w:val="both"/>
        <w:textAlignment w:val="baseline"/>
        <w:rPr>
          <w:color w:val="000000"/>
          <w:spacing w:val="-6"/>
          <w:bdr w:val="none" w:sz="0" w:space="0" w:color="auto" w:frame="1"/>
          <w:lang w:val="en-GB"/>
        </w:rPr>
      </w:pPr>
      <w:r w:rsidRPr="00F24607">
        <w:rPr>
          <w:color w:val="000000"/>
          <w:spacing w:val="-6"/>
          <w:bdr w:val="none" w:sz="0" w:space="0" w:color="auto" w:frame="1"/>
          <w:lang w:val="en-GB"/>
        </w:rPr>
        <w:t>The accession negotiations with Turkey opened on October 3</w:t>
      </w:r>
      <w:r w:rsidRPr="00F24607">
        <w:rPr>
          <w:color w:val="000000"/>
          <w:spacing w:val="-6"/>
          <w:bdr w:val="none" w:sz="0" w:space="0" w:color="auto" w:frame="1"/>
          <w:vertAlign w:val="superscript"/>
          <w:lang w:val="en-GB"/>
        </w:rPr>
        <w:t>rd</w:t>
      </w:r>
      <w:r w:rsidRPr="00F24607">
        <w:rPr>
          <w:color w:val="000000"/>
          <w:spacing w:val="-6"/>
          <w:bdr w:val="none" w:sz="0" w:space="0" w:color="auto" w:frame="1"/>
          <w:lang w:val="en-GB"/>
        </w:rPr>
        <w:t>, 2005, after a long period of being in the queue for accession. The Agreement of Association, known as the Ankara Agreement, between Turkey and the European Economic Community (EEC) was signed on September 12</w:t>
      </w:r>
      <w:r w:rsidRPr="00F24607">
        <w:rPr>
          <w:color w:val="000000"/>
          <w:spacing w:val="-6"/>
          <w:bdr w:val="none" w:sz="0" w:space="0" w:color="auto" w:frame="1"/>
          <w:vertAlign w:val="superscript"/>
          <w:lang w:val="en-GB"/>
        </w:rPr>
        <w:t>th</w:t>
      </w:r>
      <w:r w:rsidRPr="00F24607">
        <w:rPr>
          <w:color w:val="000000"/>
          <w:spacing w:val="-6"/>
          <w:bdr w:val="none" w:sz="0" w:space="0" w:color="auto" w:frame="1"/>
          <w:lang w:val="en-GB"/>
        </w:rPr>
        <w:t>, 1963, and the ultimate goal of membership was acknowledged in the Association Agreement. Following the 1987 application for full membership which was not accepted by the EU due to Turkey’s political and economic conditions of the time, plus the Kurdish issue and the Cyprus conflict, the only viable option left for Turkey was to conclude the Customs Union with the EU in line with the Additional Protocol, and this took effect on January 1</w:t>
      </w:r>
      <w:r w:rsidRPr="00F24607">
        <w:rPr>
          <w:color w:val="000000"/>
          <w:spacing w:val="-6"/>
          <w:bdr w:val="none" w:sz="0" w:space="0" w:color="auto" w:frame="1"/>
          <w:vertAlign w:val="superscript"/>
          <w:lang w:val="en-GB"/>
        </w:rPr>
        <w:t>st</w:t>
      </w:r>
      <w:r w:rsidRPr="00F24607">
        <w:rPr>
          <w:color w:val="000000"/>
          <w:spacing w:val="-6"/>
          <w:bdr w:val="none" w:sz="0" w:space="0" w:color="auto" w:frame="1"/>
          <w:lang w:val="en-GB"/>
        </w:rPr>
        <w:t xml:space="preserve">, 1996. Through the EU–Turkey Customs Union, Turkey became part of the European internal market and had to adopt large parts of the acquis, regardless of its membership process. At the 1999 Helsinki Summit, Turkey was granted candidacy status, after which democratization reforms were initiated, including two major constitutional packages in 2001 and 2004, and nine legislative packages between 2002 and 2004. Following the decision to open accession negotiations with Turkey, the EU continued to monitor the progress of political reforms mainly by paying major and focused attention, respectively, to the partial regimes and external conditions. </w:t>
      </w:r>
    </w:p>
    <w:p w14:paraId="1034A83C" w14:textId="07F9E467" w:rsidR="000610FD" w:rsidRDefault="00F24607" w:rsidP="009E7BD9">
      <w:pPr>
        <w:pStyle w:val="NormalWeb"/>
        <w:shd w:val="clear" w:color="auto" w:fill="FFFFFF"/>
        <w:jc w:val="both"/>
        <w:textAlignment w:val="baseline"/>
        <w:rPr>
          <w:rFonts w:eastAsia="Calibri"/>
          <w:color w:val="000000"/>
          <w:spacing w:val="-6"/>
          <w:bdr w:val="none" w:sz="0" w:space="0" w:color="auto" w:frame="1"/>
        </w:rPr>
      </w:pPr>
      <w:r w:rsidRPr="00F24607">
        <w:rPr>
          <w:color w:val="000000"/>
          <w:spacing w:val="-6"/>
          <w:bdr w:val="none" w:sz="0" w:space="0" w:color="auto" w:frame="1"/>
          <w:lang w:val="en-GB"/>
        </w:rPr>
        <w:t>The first period under study cover</w:t>
      </w:r>
      <w:r w:rsidR="003315D8">
        <w:rPr>
          <w:color w:val="000000"/>
          <w:spacing w:val="-6"/>
          <w:bdr w:val="none" w:sz="0" w:space="0" w:color="auto" w:frame="1"/>
          <w:lang w:val="en-GB"/>
        </w:rPr>
        <w:t>ed</w:t>
      </w:r>
      <w:r w:rsidRPr="00F24607">
        <w:rPr>
          <w:color w:val="000000"/>
          <w:spacing w:val="-6"/>
          <w:bdr w:val="none" w:sz="0" w:space="0" w:color="auto" w:frame="1"/>
          <w:lang w:val="en-GB"/>
        </w:rPr>
        <w:t xml:space="preserve"> the period starting with granting candidacy status to Tu</w:t>
      </w:r>
      <w:r w:rsidR="00D356CB">
        <w:rPr>
          <w:color w:val="000000"/>
          <w:spacing w:val="-6"/>
          <w:bdr w:val="none" w:sz="0" w:space="0" w:color="auto" w:frame="1"/>
          <w:lang w:val="en-GB"/>
        </w:rPr>
        <w:t>r</w:t>
      </w:r>
      <w:r w:rsidRPr="00F24607">
        <w:rPr>
          <w:color w:val="000000"/>
          <w:spacing w:val="-6"/>
          <w:bdr w:val="none" w:sz="0" w:space="0" w:color="auto" w:frame="1"/>
          <w:lang w:val="en-GB"/>
        </w:rPr>
        <w:t>key at Helsinki Summit in 1999 to 2012</w:t>
      </w:r>
      <w:r w:rsidRPr="00F24607">
        <w:rPr>
          <w:color w:val="000000"/>
          <w:spacing w:val="-6"/>
          <w:bdr w:val="none" w:sz="0" w:space="0" w:color="auto" w:frame="1"/>
          <w:vertAlign w:val="superscript"/>
          <w:lang w:val="en-GB"/>
        </w:rPr>
        <w:footnoteReference w:id="4"/>
      </w:r>
      <w:r w:rsidRPr="00F24607">
        <w:rPr>
          <w:color w:val="000000"/>
          <w:spacing w:val="-6"/>
          <w:bdr w:val="none" w:sz="0" w:space="0" w:color="auto" w:frame="1"/>
          <w:lang w:val="en-GB"/>
        </w:rPr>
        <w:t xml:space="preserve"> and the second period is between 2013- 2020. </w:t>
      </w:r>
      <w:r w:rsidRPr="00F24607">
        <w:rPr>
          <w:rFonts w:eastAsia="StoneSerif"/>
          <w:color w:val="000000"/>
          <w:spacing w:val="-6"/>
          <w:bdr w:val="none" w:sz="0" w:space="0" w:color="auto" w:frame="1"/>
        </w:rPr>
        <w:t xml:space="preserve">In </w:t>
      </w:r>
      <w:r w:rsidRPr="00F24607">
        <w:rPr>
          <w:color w:val="000000"/>
          <w:spacing w:val="-6"/>
          <w:bdr w:val="none" w:sz="0" w:space="0" w:color="auto" w:frame="1"/>
        </w:rPr>
        <w:t>the</w:t>
      </w:r>
      <w:r w:rsidRPr="00F24607">
        <w:rPr>
          <w:rFonts w:eastAsia="StoneSerif"/>
          <w:color w:val="000000"/>
          <w:spacing w:val="-6"/>
          <w:bdr w:val="none" w:sz="0" w:space="0" w:color="auto" w:frame="1"/>
        </w:rPr>
        <w:t xml:space="preserve"> </w:t>
      </w:r>
      <w:r w:rsidR="008C5E6D">
        <w:rPr>
          <w:rFonts w:eastAsia="StoneSerif"/>
          <w:color w:val="000000"/>
          <w:spacing w:val="-6"/>
          <w:bdr w:val="none" w:sz="0" w:space="0" w:color="auto" w:frame="1"/>
        </w:rPr>
        <w:t>findings</w:t>
      </w:r>
      <w:r w:rsidR="00D7753A">
        <w:rPr>
          <w:rFonts w:eastAsia="StoneSerif"/>
          <w:color w:val="000000"/>
          <w:spacing w:val="-6"/>
          <w:bdr w:val="none" w:sz="0" w:space="0" w:color="auto" w:frame="1"/>
        </w:rPr>
        <w:t xml:space="preserve"> of the first </w:t>
      </w:r>
      <w:r w:rsidR="00882F0A">
        <w:rPr>
          <w:rFonts w:eastAsia="StoneSerif"/>
          <w:color w:val="000000"/>
          <w:spacing w:val="-6"/>
          <w:bdr w:val="none" w:sz="0" w:space="0" w:color="auto" w:frame="1"/>
        </w:rPr>
        <w:t xml:space="preserve">period </w:t>
      </w:r>
      <w:r w:rsidR="00882F0A" w:rsidRPr="00F24607">
        <w:rPr>
          <w:color w:val="000000"/>
          <w:spacing w:val="-6"/>
          <w:bdr w:val="none" w:sz="0" w:space="0" w:color="auto" w:frame="1"/>
        </w:rPr>
        <w:t>concerning</w:t>
      </w:r>
      <w:r w:rsidRPr="00F24607">
        <w:rPr>
          <w:color w:val="000000"/>
          <w:spacing w:val="-6"/>
          <w:bdr w:val="none" w:sz="0" w:space="0" w:color="auto" w:frame="1"/>
          <w:lang w:val="en-GB"/>
        </w:rPr>
        <w:t xml:space="preserve"> </w:t>
      </w:r>
      <w:r w:rsidRPr="00F24607">
        <w:rPr>
          <w:b/>
          <w:bCs/>
          <w:i/>
          <w:iCs/>
          <w:color w:val="000000"/>
          <w:spacing w:val="-6"/>
          <w:bdr w:val="none" w:sz="0" w:space="0" w:color="auto" w:frame="1"/>
          <w:lang w:val="en-GB"/>
        </w:rPr>
        <w:t>the electoral regime</w:t>
      </w:r>
      <w:r w:rsidRPr="00F24607">
        <w:rPr>
          <w:color w:val="000000"/>
          <w:spacing w:val="-6"/>
          <w:bdr w:val="none" w:sz="0" w:space="0" w:color="auto" w:frame="1"/>
          <w:lang w:val="en-GB"/>
        </w:rPr>
        <w:t xml:space="preserve">, the EU paid comparatively little attention to the issue of electoral democracy in Turkey, where free and fair elections were held regularly and conducted properly. </w:t>
      </w:r>
      <w:r w:rsidR="00455715" w:rsidRPr="00455715">
        <w:rPr>
          <w:color w:val="000000"/>
          <w:spacing w:val="-6"/>
          <w:bdr w:val="none" w:sz="0" w:space="0" w:color="auto" w:frame="1"/>
        </w:rPr>
        <w:t xml:space="preserve"> </w:t>
      </w:r>
      <w:r w:rsidRPr="00F24607">
        <w:rPr>
          <w:color w:val="000000"/>
          <w:spacing w:val="-6"/>
          <w:bdr w:val="none" w:sz="0" w:space="0" w:color="auto" w:frame="1"/>
          <w:lang w:val="en-GB"/>
        </w:rPr>
        <w:t xml:space="preserve">The Progress Reports mainly concentrated on the issue of inclusive active suffrage because of the 10 percent electoral threshold for parliamentary representation, along with the underrepresentation of women and minorities in parliament.  </w:t>
      </w:r>
      <w:r w:rsidRPr="00F24607">
        <w:rPr>
          <w:color w:val="000000"/>
          <w:spacing w:val="-6"/>
          <w:bdr w:val="none" w:sz="0" w:space="0" w:color="auto" w:frame="1"/>
        </w:rPr>
        <w:t xml:space="preserve">However, in the second period, </w:t>
      </w:r>
      <w:r w:rsidR="00455715">
        <w:rPr>
          <w:color w:val="000000"/>
          <w:spacing w:val="-6"/>
          <w:bdr w:val="none" w:sz="0" w:space="0" w:color="auto" w:frame="1"/>
        </w:rPr>
        <w:t xml:space="preserve">when irregularities were observed in elections, </w:t>
      </w:r>
      <w:r w:rsidRPr="00F24607">
        <w:rPr>
          <w:rFonts w:eastAsia="Calibri"/>
          <w:color w:val="000000"/>
          <w:spacing w:val="-6"/>
          <w:bdr w:val="none" w:sz="0" w:space="0" w:color="auto" w:frame="1"/>
        </w:rPr>
        <w:t xml:space="preserve">the EU paid </w:t>
      </w:r>
      <w:r w:rsidRPr="00433D41">
        <w:rPr>
          <w:rFonts w:eastAsia="Calibri"/>
          <w:i/>
          <w:iCs/>
          <w:color w:val="000000"/>
          <w:spacing w:val="-6"/>
          <w:bdr w:val="none" w:sz="0" w:space="0" w:color="auto" w:frame="1"/>
        </w:rPr>
        <w:t>focused attention</w:t>
      </w:r>
      <w:r w:rsidRPr="00F24607">
        <w:rPr>
          <w:rFonts w:eastAsia="Calibri"/>
          <w:color w:val="000000"/>
          <w:spacing w:val="-6"/>
          <w:bdr w:val="none" w:sz="0" w:space="0" w:color="auto" w:frame="1"/>
        </w:rPr>
        <w:t xml:space="preserve"> to the </w:t>
      </w:r>
      <w:r w:rsidR="00455715" w:rsidRPr="00455715">
        <w:rPr>
          <w:rFonts w:eastAsia="Calibri"/>
          <w:i/>
          <w:color w:val="000000"/>
          <w:spacing w:val="-6"/>
          <w:bdr w:val="none" w:sz="0" w:space="0" w:color="auto" w:frame="1"/>
        </w:rPr>
        <w:t>electoral regime</w:t>
      </w:r>
      <w:r w:rsidR="00455715">
        <w:rPr>
          <w:rFonts w:eastAsia="Calibri"/>
          <w:i/>
          <w:color w:val="000000"/>
          <w:spacing w:val="-6"/>
          <w:bdr w:val="none" w:sz="0" w:space="0" w:color="auto" w:frame="1"/>
        </w:rPr>
        <w:t>.</w:t>
      </w:r>
      <w:r w:rsidRPr="00F24607">
        <w:rPr>
          <w:rFonts w:eastAsia="Calibri"/>
          <w:color w:val="000000"/>
          <w:spacing w:val="-6"/>
          <w:bdr w:val="none" w:sz="0" w:space="0" w:color="auto" w:frame="1"/>
        </w:rPr>
        <w:t xml:space="preserve"> </w:t>
      </w:r>
      <w:r w:rsidR="00455715">
        <w:rPr>
          <w:rFonts w:eastAsia="Calibri"/>
          <w:color w:val="000000"/>
          <w:spacing w:val="-6"/>
          <w:bdr w:val="none" w:sz="0" w:space="0" w:color="auto" w:frame="1"/>
        </w:rPr>
        <w:t>Concerning the P</w:t>
      </w:r>
      <w:r w:rsidRPr="00F24607">
        <w:rPr>
          <w:rFonts w:eastAsia="Calibri"/>
          <w:color w:val="000000"/>
          <w:spacing w:val="-6"/>
          <w:bdr w:val="none" w:sz="0" w:space="0" w:color="auto" w:frame="1"/>
        </w:rPr>
        <w:t xml:space="preserve">arliamentary elections of 2015 and 2018, striking presidential elections of 2014 and 2018, </w:t>
      </w:r>
      <w:r w:rsidR="00455715">
        <w:rPr>
          <w:rFonts w:eastAsia="Calibri"/>
          <w:color w:val="000000"/>
          <w:spacing w:val="-6"/>
          <w:bdr w:val="none" w:sz="0" w:space="0" w:color="auto" w:frame="1"/>
        </w:rPr>
        <w:t>public</w:t>
      </w:r>
      <w:r w:rsidRPr="00F24607">
        <w:rPr>
          <w:rFonts w:eastAsia="Calibri"/>
          <w:color w:val="000000"/>
          <w:spacing w:val="-6"/>
          <w:bdr w:val="none" w:sz="0" w:space="0" w:color="auto" w:frame="1"/>
        </w:rPr>
        <w:t xml:space="preserve"> referendum of April 2017 </w:t>
      </w:r>
      <w:r w:rsidR="000610FD">
        <w:rPr>
          <w:rFonts w:eastAsia="Calibri"/>
          <w:color w:val="000000"/>
          <w:spacing w:val="-6"/>
          <w:bdr w:val="none" w:sz="0" w:space="0" w:color="auto" w:frame="1"/>
        </w:rPr>
        <w:t>regarding</w:t>
      </w:r>
      <w:r w:rsidR="000610FD" w:rsidRPr="00F24607">
        <w:rPr>
          <w:rFonts w:eastAsia="Calibri"/>
          <w:color w:val="000000"/>
          <w:spacing w:val="-6"/>
          <w:bdr w:val="none" w:sz="0" w:space="0" w:color="auto" w:frame="1"/>
        </w:rPr>
        <w:t xml:space="preserve"> </w:t>
      </w:r>
      <w:r w:rsidRPr="00F24607">
        <w:rPr>
          <w:rFonts w:eastAsia="Calibri"/>
          <w:color w:val="000000"/>
          <w:spacing w:val="-6"/>
          <w:bdr w:val="none" w:sz="0" w:space="0" w:color="auto" w:frame="1"/>
        </w:rPr>
        <w:t>the transition from parliamentary system to the presidential system and eventful local elections of March 2019</w:t>
      </w:r>
      <w:r w:rsidR="000610FD">
        <w:rPr>
          <w:rFonts w:eastAsia="Calibri"/>
          <w:color w:val="000000"/>
          <w:spacing w:val="-6"/>
          <w:bdr w:val="none" w:sz="0" w:space="0" w:color="auto" w:frame="1"/>
        </w:rPr>
        <w:t xml:space="preserve">, the </w:t>
      </w:r>
      <w:r w:rsidRPr="00F24607">
        <w:rPr>
          <w:rFonts w:eastAsia="Calibri"/>
          <w:color w:val="000000"/>
          <w:spacing w:val="-6"/>
          <w:bdr w:val="none" w:sz="0" w:space="0" w:color="auto" w:frame="1"/>
        </w:rPr>
        <w:t xml:space="preserve">EU </w:t>
      </w:r>
      <w:r w:rsidR="000610FD">
        <w:rPr>
          <w:rFonts w:eastAsia="Calibri"/>
          <w:color w:val="000000"/>
          <w:spacing w:val="-6"/>
          <w:bdr w:val="none" w:sz="0" w:space="0" w:color="auto" w:frame="1"/>
        </w:rPr>
        <w:t xml:space="preserve">Turkey </w:t>
      </w:r>
      <w:r w:rsidRPr="00F24607">
        <w:rPr>
          <w:rFonts w:eastAsia="Calibri"/>
          <w:color w:val="000000"/>
          <w:spacing w:val="-6"/>
          <w:bdr w:val="none" w:sz="0" w:space="0" w:color="auto" w:frame="1"/>
        </w:rPr>
        <w:t>Reports repeatedly mentioned the uneven playing ground between the incumbent and the opposition including the misuse of state resources in favor of the government and the prime minister during the 2014 Presidential Election;</w:t>
      </w:r>
      <w:r w:rsidRPr="00F24607">
        <w:rPr>
          <w:rFonts w:eastAsia="Calibri"/>
          <w:color w:val="000000"/>
          <w:spacing w:val="-6"/>
          <w:bdr w:val="none" w:sz="0" w:space="0" w:color="auto" w:frame="1"/>
          <w:vertAlign w:val="superscript"/>
        </w:rPr>
        <w:footnoteReference w:id="5"/>
      </w:r>
      <w:r w:rsidRPr="00F24607">
        <w:rPr>
          <w:rFonts w:eastAsia="Calibri"/>
          <w:color w:val="000000"/>
          <w:spacing w:val="-6"/>
          <w:bdr w:val="none" w:sz="0" w:space="0" w:color="auto" w:frame="1"/>
        </w:rPr>
        <w:t xml:space="preserve"> </w:t>
      </w:r>
      <w:r w:rsidR="000610FD">
        <w:rPr>
          <w:rFonts w:eastAsia="Calibri"/>
          <w:color w:val="000000"/>
          <w:spacing w:val="-6"/>
          <w:bdr w:val="none" w:sz="0" w:space="0" w:color="auto" w:frame="1"/>
        </w:rPr>
        <w:t xml:space="preserve">and </w:t>
      </w:r>
      <w:r w:rsidRPr="00F24607">
        <w:rPr>
          <w:rFonts w:eastAsia="Calibri"/>
          <w:color w:val="000000"/>
          <w:spacing w:val="-6"/>
          <w:bdr w:val="none" w:sz="0" w:space="0" w:color="auto" w:frame="1"/>
        </w:rPr>
        <w:t>biased media coverage giving advantage to the incumbent government and the leader</w:t>
      </w:r>
      <w:r w:rsidR="000610FD">
        <w:rPr>
          <w:rFonts w:eastAsia="Calibri"/>
          <w:color w:val="000000"/>
          <w:spacing w:val="-6"/>
          <w:bdr w:val="none" w:sz="0" w:space="0" w:color="auto" w:frame="1"/>
        </w:rPr>
        <w:t xml:space="preserve"> in all succeeding elections.</w:t>
      </w:r>
    </w:p>
    <w:p w14:paraId="4DCD8F0B" w14:textId="6873D0D5" w:rsidR="00F24607" w:rsidRPr="00F24607" w:rsidRDefault="000610FD" w:rsidP="009E7BD9">
      <w:pPr>
        <w:pStyle w:val="NormalWeb"/>
        <w:shd w:val="clear" w:color="auto" w:fill="FFFFFF"/>
        <w:jc w:val="both"/>
        <w:textAlignment w:val="baseline"/>
        <w:rPr>
          <w:rFonts w:eastAsia="Calibri"/>
          <w:color w:val="000000"/>
          <w:spacing w:val="-6"/>
          <w:bdr w:val="none" w:sz="0" w:space="0" w:color="auto" w:frame="1"/>
        </w:rPr>
      </w:pPr>
      <w:r>
        <w:rPr>
          <w:rFonts w:eastAsia="Calibri"/>
          <w:color w:val="000000"/>
          <w:spacing w:val="-6"/>
          <w:bdr w:val="none" w:sz="0" w:space="0" w:color="auto" w:frame="1"/>
        </w:rPr>
        <w:t xml:space="preserve"> </w:t>
      </w:r>
      <w:r w:rsidRPr="007D7B32">
        <w:rPr>
          <w:rFonts w:eastAsia="Calibri"/>
          <w:color w:val="000000"/>
          <w:spacing w:val="-6"/>
          <w:bdr w:val="none" w:sz="0" w:space="0" w:color="auto" w:frame="1"/>
        </w:rPr>
        <w:t>A series of actions taken after the 2019 local elections damaged local democracy. Several elected mayors, mostly from the Peoples’ Democratic Party (</w:t>
      </w:r>
      <w:proofErr w:type="spellStart"/>
      <w:r w:rsidRPr="007D7B32">
        <w:rPr>
          <w:rFonts w:eastAsia="Calibri"/>
          <w:color w:val="000000"/>
          <w:spacing w:val="-6"/>
          <w:bdr w:val="none" w:sz="0" w:space="0" w:color="auto" w:frame="1"/>
        </w:rPr>
        <w:t>Halkların</w:t>
      </w:r>
      <w:proofErr w:type="spellEnd"/>
      <w:r w:rsidRPr="007D7B32">
        <w:rPr>
          <w:rFonts w:eastAsia="Calibri"/>
          <w:color w:val="000000"/>
          <w:spacing w:val="-6"/>
          <w:bdr w:val="none" w:sz="0" w:space="0" w:color="auto" w:frame="1"/>
        </w:rPr>
        <w:t xml:space="preserve"> </w:t>
      </w:r>
      <w:proofErr w:type="spellStart"/>
      <w:r w:rsidRPr="007D7B32">
        <w:rPr>
          <w:rFonts w:eastAsia="Calibri"/>
          <w:color w:val="000000"/>
          <w:spacing w:val="-6"/>
          <w:bdr w:val="none" w:sz="0" w:space="0" w:color="auto" w:frame="1"/>
        </w:rPr>
        <w:t>Demokratik</w:t>
      </w:r>
      <w:proofErr w:type="spellEnd"/>
      <w:r w:rsidRPr="007D7B32">
        <w:rPr>
          <w:rFonts w:eastAsia="Calibri"/>
          <w:color w:val="000000"/>
          <w:spacing w:val="-6"/>
          <w:bdr w:val="none" w:sz="0" w:space="0" w:color="auto" w:frame="1"/>
        </w:rPr>
        <w:t xml:space="preserve"> </w:t>
      </w:r>
      <w:proofErr w:type="spellStart"/>
      <w:r w:rsidRPr="007D7B32">
        <w:rPr>
          <w:rFonts w:eastAsia="Calibri"/>
          <w:color w:val="000000"/>
          <w:spacing w:val="-6"/>
          <w:bdr w:val="none" w:sz="0" w:space="0" w:color="auto" w:frame="1"/>
        </w:rPr>
        <w:t>Partisi</w:t>
      </w:r>
      <w:proofErr w:type="spellEnd"/>
      <w:r w:rsidRPr="007D7B32">
        <w:rPr>
          <w:rFonts w:eastAsia="Calibri"/>
          <w:color w:val="000000"/>
          <w:spacing w:val="-6"/>
          <w:bdr w:val="none" w:sz="0" w:space="0" w:color="auto" w:frame="1"/>
        </w:rPr>
        <w:t>, HDP)</w:t>
      </w:r>
      <w:r w:rsidR="007D7B32" w:rsidRPr="007D7B32">
        <w:rPr>
          <w:rFonts w:eastAsia="Calibri"/>
          <w:color w:val="000000"/>
          <w:spacing w:val="-6"/>
          <w:bdr w:val="none" w:sz="0" w:space="0" w:color="auto" w:frame="1"/>
        </w:rPr>
        <w:t xml:space="preserve"> but also from People’s Republican Party (Cumhuriyet </w:t>
      </w:r>
      <w:proofErr w:type="spellStart"/>
      <w:r w:rsidR="007D7B32" w:rsidRPr="007D7B32">
        <w:rPr>
          <w:rFonts w:eastAsia="Calibri"/>
          <w:color w:val="000000"/>
          <w:spacing w:val="-6"/>
          <w:bdr w:val="none" w:sz="0" w:space="0" w:color="auto" w:frame="1"/>
        </w:rPr>
        <w:t>Halk</w:t>
      </w:r>
      <w:proofErr w:type="spellEnd"/>
      <w:r w:rsidR="007D7B32" w:rsidRPr="007D7B32">
        <w:rPr>
          <w:rFonts w:eastAsia="Calibri"/>
          <w:color w:val="000000"/>
          <w:spacing w:val="-6"/>
          <w:bdr w:val="none" w:sz="0" w:space="0" w:color="auto" w:frame="1"/>
        </w:rPr>
        <w:t xml:space="preserve"> </w:t>
      </w:r>
      <w:proofErr w:type="spellStart"/>
      <w:r w:rsidR="007D7B32" w:rsidRPr="007D7B32">
        <w:rPr>
          <w:rFonts w:eastAsia="Calibri"/>
          <w:color w:val="000000"/>
          <w:spacing w:val="-6"/>
          <w:bdr w:val="none" w:sz="0" w:space="0" w:color="auto" w:frame="1"/>
        </w:rPr>
        <w:t>Partisi</w:t>
      </w:r>
      <w:proofErr w:type="spellEnd"/>
      <w:r w:rsidR="007D7B32" w:rsidRPr="007D7B32">
        <w:rPr>
          <w:rFonts w:eastAsia="Calibri"/>
          <w:color w:val="000000"/>
          <w:spacing w:val="-6"/>
          <w:bdr w:val="none" w:sz="0" w:space="0" w:color="auto" w:frame="1"/>
        </w:rPr>
        <w:t>, CHP) were</w:t>
      </w:r>
      <w:r w:rsidRPr="007D7B32">
        <w:rPr>
          <w:rFonts w:eastAsia="Calibri"/>
          <w:color w:val="000000"/>
          <w:spacing w:val="-6"/>
          <w:bdr w:val="none" w:sz="0" w:space="0" w:color="auto" w:frame="1"/>
        </w:rPr>
        <w:t xml:space="preserve"> placed in pre-trial detention on charges of </w:t>
      </w:r>
      <w:r w:rsidR="001E60E1" w:rsidRPr="007D7B32">
        <w:rPr>
          <w:rFonts w:eastAsia="Calibri"/>
          <w:color w:val="000000"/>
          <w:spacing w:val="-6"/>
          <w:bdr w:val="none" w:sz="0" w:space="0" w:color="auto" w:frame="1"/>
        </w:rPr>
        <w:t>terrorism</w:t>
      </w:r>
      <w:r w:rsidR="001E60E1">
        <w:rPr>
          <w:rFonts w:eastAsia="Calibri"/>
          <w:color w:val="000000"/>
          <w:spacing w:val="-6"/>
          <w:bdr w:val="none" w:sz="0" w:space="0" w:color="auto" w:frame="1"/>
        </w:rPr>
        <w:t xml:space="preserve"> </w:t>
      </w:r>
      <w:r w:rsidR="001E60E1" w:rsidRPr="007D7B32">
        <w:rPr>
          <w:rFonts w:eastAsia="Calibri"/>
          <w:color w:val="000000"/>
          <w:spacing w:val="-6"/>
          <w:bdr w:val="none" w:sz="0" w:space="0" w:color="auto" w:frame="1"/>
        </w:rPr>
        <w:t>and non</w:t>
      </w:r>
      <w:r w:rsidRPr="007D7B32">
        <w:rPr>
          <w:rFonts w:eastAsia="Calibri"/>
          <w:color w:val="000000"/>
          <w:spacing w:val="-6"/>
          <w:bdr w:val="none" w:sz="0" w:space="0" w:color="auto" w:frame="1"/>
        </w:rPr>
        <w:t>-elected trustees were appointed in their place.</w:t>
      </w:r>
    </w:p>
    <w:p w14:paraId="1D1E670A" w14:textId="123FBA89" w:rsidR="00FF5D01" w:rsidRDefault="005851A8" w:rsidP="009E7BD9">
      <w:pPr>
        <w:pStyle w:val="NormalWeb"/>
        <w:shd w:val="clear" w:color="auto" w:fill="FFFFFF"/>
        <w:jc w:val="both"/>
        <w:textAlignment w:val="baseline"/>
        <w:rPr>
          <w:color w:val="000000"/>
          <w:spacing w:val="-6"/>
          <w:bdr w:val="none" w:sz="0" w:space="0" w:color="auto" w:frame="1"/>
          <w:lang w:val="en-GB"/>
        </w:rPr>
      </w:pPr>
      <w:r>
        <w:rPr>
          <w:color w:val="000000"/>
          <w:spacing w:val="-6"/>
          <w:bdr w:val="none" w:sz="0" w:space="0" w:color="auto" w:frame="1"/>
        </w:rPr>
        <w:t xml:space="preserve">Concerning </w:t>
      </w:r>
      <w:r w:rsidR="00A6683B" w:rsidRPr="00A6683B">
        <w:rPr>
          <w:b/>
          <w:bCs/>
          <w:i/>
          <w:iCs/>
          <w:color w:val="000000"/>
          <w:spacing w:val="-6"/>
          <w:bdr w:val="none" w:sz="0" w:space="0" w:color="auto" w:frame="1"/>
        </w:rPr>
        <w:t xml:space="preserve">civil </w:t>
      </w:r>
      <w:r w:rsidR="004C0D2B" w:rsidRPr="00A6683B">
        <w:rPr>
          <w:b/>
          <w:bCs/>
          <w:i/>
          <w:iCs/>
          <w:color w:val="000000"/>
          <w:spacing w:val="-6"/>
          <w:bdr w:val="none" w:sz="0" w:space="0" w:color="auto" w:frame="1"/>
        </w:rPr>
        <w:t>rights</w:t>
      </w:r>
      <w:r w:rsidR="004C0D2B">
        <w:rPr>
          <w:b/>
          <w:bCs/>
          <w:i/>
          <w:iCs/>
          <w:color w:val="000000"/>
          <w:spacing w:val="-6"/>
          <w:bdr w:val="none" w:sz="0" w:space="0" w:color="auto" w:frame="1"/>
        </w:rPr>
        <w:t xml:space="preserve">, </w:t>
      </w:r>
      <w:r w:rsidR="004C0D2B">
        <w:rPr>
          <w:color w:val="000000"/>
          <w:spacing w:val="-6"/>
          <w:bdr w:val="none" w:sz="0" w:space="0" w:color="auto" w:frame="1"/>
        </w:rPr>
        <w:t>the</w:t>
      </w:r>
      <w:r w:rsidR="00F24607" w:rsidRPr="00F24607">
        <w:rPr>
          <w:color w:val="000000"/>
          <w:spacing w:val="-6"/>
          <w:bdr w:val="none" w:sz="0" w:space="0" w:color="auto" w:frame="1"/>
        </w:rPr>
        <w:t xml:space="preserve"> </w:t>
      </w:r>
      <w:r w:rsidR="00F24607" w:rsidRPr="00F24607">
        <w:rPr>
          <w:rFonts w:eastAsia="Calibri"/>
          <w:color w:val="000000"/>
          <w:spacing w:val="-6"/>
          <w:bdr w:val="none" w:sz="0" w:space="0" w:color="auto" w:frame="1"/>
        </w:rPr>
        <w:t xml:space="preserve">EU paid a major attention </w:t>
      </w:r>
      <w:r w:rsidR="00091123">
        <w:rPr>
          <w:rFonts w:eastAsia="Calibri"/>
          <w:color w:val="000000"/>
          <w:spacing w:val="-6"/>
          <w:bdr w:val="none" w:sz="0" w:space="0" w:color="auto" w:frame="1"/>
        </w:rPr>
        <w:t xml:space="preserve">in both periods, </w:t>
      </w:r>
      <w:r w:rsidR="00F24607" w:rsidRPr="00F24607">
        <w:rPr>
          <w:rFonts w:eastAsia="Calibri"/>
          <w:color w:val="000000"/>
          <w:spacing w:val="-6"/>
          <w:bdr w:val="none" w:sz="0" w:space="0" w:color="auto" w:frame="1"/>
        </w:rPr>
        <w:t xml:space="preserve">concentrating on individual rights of protection of life, freedom, and property. </w:t>
      </w:r>
      <w:r w:rsidR="007D7B32">
        <w:rPr>
          <w:rFonts w:eastAsia="Calibri"/>
          <w:color w:val="000000"/>
          <w:spacing w:val="-6"/>
          <w:bdr w:val="none" w:sz="0" w:space="0" w:color="auto" w:frame="1"/>
        </w:rPr>
        <w:t xml:space="preserve">During </w:t>
      </w:r>
      <w:r w:rsidR="00F24607" w:rsidRPr="00F24607">
        <w:rPr>
          <w:color w:val="000000"/>
          <w:spacing w:val="-6"/>
          <w:bdr w:val="none" w:sz="0" w:space="0" w:color="auto" w:frame="1"/>
          <w:lang w:val="en-GB"/>
        </w:rPr>
        <w:t xml:space="preserve"> the first period, the EU paid major attention to human rights violations that are mainly related to the conflict with the Kurdistan Workers’ Party (PKK) and the prevention of torture and ill-treatment</w:t>
      </w:r>
      <w:r w:rsidR="007A516B">
        <w:rPr>
          <w:rStyle w:val="FootnoteReference"/>
          <w:color w:val="000000"/>
          <w:spacing w:val="-6"/>
          <w:bdr w:val="none" w:sz="0" w:space="0" w:color="auto" w:frame="1"/>
          <w:lang w:val="en-GB"/>
        </w:rPr>
        <w:footnoteReference w:id="6"/>
      </w:r>
      <w:r w:rsidR="00F24607" w:rsidRPr="00F24607">
        <w:rPr>
          <w:color w:val="000000"/>
          <w:spacing w:val="-6"/>
          <w:bdr w:val="none" w:sz="0" w:space="0" w:color="auto" w:frame="1"/>
          <w:lang w:val="en-GB"/>
        </w:rPr>
        <w:t xml:space="preserve"> Major attention has been given to cultural diversity, promotion of respect for and protection of minorities in accordance with ECHR decisions, legal protection of minorities, minority education, languages, broadcasting, participation in public life, reducing attacks on minority religions by extremists and enhancing tolerance </w:t>
      </w:r>
      <w:r w:rsidR="0070759E">
        <w:rPr>
          <w:rStyle w:val="FootnoteReference"/>
          <w:color w:val="000000"/>
          <w:spacing w:val="-6"/>
          <w:bdr w:val="none" w:sz="0" w:space="0" w:color="auto" w:frame="1"/>
          <w:lang w:val="en-GB"/>
        </w:rPr>
        <w:footnoteReference w:id="7"/>
      </w:r>
      <w:r w:rsidR="009E782D">
        <w:rPr>
          <w:color w:val="000000"/>
          <w:spacing w:val="-6"/>
          <w:bdr w:val="none" w:sz="0" w:space="0" w:color="auto" w:frame="1"/>
          <w:lang w:val="en-GB"/>
        </w:rPr>
        <w:t>.</w:t>
      </w:r>
    </w:p>
    <w:p w14:paraId="161744AE" w14:textId="52F7DCE6" w:rsidR="00F83E90" w:rsidRPr="00F83E90" w:rsidRDefault="00FF5D01" w:rsidP="00A5607C">
      <w:pPr>
        <w:pStyle w:val="NormalWeb"/>
        <w:shd w:val="clear" w:color="auto" w:fill="FFFFFF"/>
        <w:jc w:val="both"/>
        <w:textAlignment w:val="baseline"/>
        <w:rPr>
          <w:rFonts w:eastAsia="Calibri"/>
          <w:color w:val="000000"/>
          <w:spacing w:val="-6"/>
          <w:bdr w:val="none" w:sz="0" w:space="0" w:color="auto" w:frame="1"/>
        </w:rPr>
      </w:pPr>
      <w:r>
        <w:rPr>
          <w:color w:val="000000"/>
          <w:spacing w:val="-6"/>
          <w:bdr w:val="none" w:sz="0" w:space="0" w:color="auto" w:frame="1"/>
          <w:lang w:val="en-GB"/>
        </w:rPr>
        <w:t>During the second period, g</w:t>
      </w:r>
      <w:r w:rsidR="00F24607" w:rsidRPr="00F24607">
        <w:rPr>
          <w:rFonts w:eastAsia="Calibri"/>
          <w:color w:val="000000"/>
          <w:spacing w:val="-6"/>
          <w:bdr w:val="none" w:sz="0" w:space="0" w:color="auto" w:frame="1"/>
        </w:rPr>
        <w:t xml:space="preserve">ender-based violence, discrimination and hate speech against minorities, and respect for the rights of lesbian, gay, bisexual, </w:t>
      </w:r>
      <w:r w:rsidR="001E60E1" w:rsidRPr="00F24607">
        <w:rPr>
          <w:rFonts w:eastAsia="Calibri"/>
          <w:color w:val="000000"/>
          <w:spacing w:val="-6"/>
          <w:bdr w:val="none" w:sz="0" w:space="0" w:color="auto" w:frame="1"/>
        </w:rPr>
        <w:t>transgender,</w:t>
      </w:r>
      <w:r w:rsidR="00F24607" w:rsidRPr="00F24607">
        <w:rPr>
          <w:rFonts w:eastAsia="Calibri"/>
          <w:color w:val="000000"/>
          <w:spacing w:val="-6"/>
          <w:bdr w:val="none" w:sz="0" w:space="0" w:color="auto" w:frame="1"/>
        </w:rPr>
        <w:t xml:space="preserve"> and intersex (</w:t>
      </w:r>
      <w:r w:rsidR="00EA3193" w:rsidRPr="00EA3193">
        <w:rPr>
          <w:rFonts w:eastAsia="Calibri"/>
          <w:color w:val="000000"/>
          <w:spacing w:val="-6"/>
          <w:bdr w:val="none" w:sz="0" w:space="0" w:color="auto" w:frame="1"/>
        </w:rPr>
        <w:t>LGBTQ+</w:t>
      </w:r>
      <w:r w:rsidR="00F24607" w:rsidRPr="00F24607">
        <w:rPr>
          <w:rFonts w:eastAsia="Calibri"/>
          <w:color w:val="000000"/>
          <w:spacing w:val="-6"/>
          <w:bdr w:val="none" w:sz="0" w:space="0" w:color="auto" w:frame="1"/>
        </w:rPr>
        <w:t xml:space="preserve">) persons </w:t>
      </w:r>
      <w:r w:rsidR="00F24607" w:rsidRPr="00F24607">
        <w:rPr>
          <w:color w:val="000000"/>
          <w:spacing w:val="-6"/>
          <w:bdr w:val="none" w:sz="0" w:space="0" w:color="auto" w:frame="1"/>
        </w:rPr>
        <w:t xml:space="preserve">were </w:t>
      </w:r>
      <w:r w:rsidR="00D74791" w:rsidRPr="00F24607">
        <w:rPr>
          <w:color w:val="000000"/>
          <w:spacing w:val="-6"/>
          <w:bdr w:val="none" w:sz="0" w:space="0" w:color="auto" w:frame="1"/>
        </w:rPr>
        <w:t xml:space="preserve">the </w:t>
      </w:r>
      <w:r w:rsidR="00D74791" w:rsidRPr="00F24607">
        <w:rPr>
          <w:rFonts w:eastAsia="Calibri"/>
          <w:color w:val="000000"/>
          <w:spacing w:val="-6"/>
          <w:bdr w:val="none" w:sz="0" w:space="0" w:color="auto" w:frame="1"/>
        </w:rPr>
        <w:t>major</w:t>
      </w:r>
      <w:r w:rsidR="00F24607" w:rsidRPr="00F24607">
        <w:rPr>
          <w:rFonts w:eastAsia="Calibri"/>
          <w:color w:val="000000"/>
          <w:spacing w:val="-6"/>
          <w:bdr w:val="none" w:sz="0" w:space="0" w:color="auto" w:frame="1"/>
        </w:rPr>
        <w:t xml:space="preserve"> areas of concern</w:t>
      </w:r>
      <w:r w:rsidR="00F24607" w:rsidRPr="00F24607">
        <w:rPr>
          <w:rFonts w:eastAsia="Calibri"/>
          <w:color w:val="000000"/>
          <w:spacing w:val="-6"/>
          <w:bdr w:val="none" w:sz="0" w:space="0" w:color="auto" w:frame="1"/>
          <w:vertAlign w:val="superscript"/>
        </w:rPr>
        <w:footnoteReference w:id="8"/>
      </w:r>
      <w:r w:rsidR="008E68F5">
        <w:rPr>
          <w:rFonts w:eastAsia="Calibri"/>
          <w:color w:val="000000"/>
          <w:spacing w:val="-6"/>
          <w:bdr w:val="none" w:sz="0" w:space="0" w:color="auto" w:frame="1"/>
        </w:rPr>
        <w:t xml:space="preserve">. </w:t>
      </w:r>
      <w:r w:rsidR="00A5607C" w:rsidRPr="00A5607C">
        <w:rPr>
          <w:rFonts w:eastAsia="Calibri"/>
          <w:color w:val="000000"/>
          <w:spacing w:val="-6"/>
          <w:bdr w:val="none" w:sz="0" w:space="0" w:color="auto" w:frame="1"/>
        </w:rPr>
        <w:t xml:space="preserve">According to the 2021 Rainbow Europe Map published by the International Lesbian, Gay, Bisexual, Trans and Intersex Association (ILGA)-Europe, Turkey was ranked 48th among 49 countries as regards the human rights of </w:t>
      </w:r>
      <w:r w:rsidR="00EA3193" w:rsidRPr="00EA3193">
        <w:rPr>
          <w:rFonts w:eastAsia="Calibri"/>
          <w:color w:val="000000"/>
          <w:spacing w:val="-6"/>
          <w:bdr w:val="none" w:sz="0" w:space="0" w:color="auto" w:frame="1"/>
        </w:rPr>
        <w:t xml:space="preserve">LGBTQ+ </w:t>
      </w:r>
      <w:r w:rsidR="00EA3193" w:rsidRPr="00A5607C">
        <w:rPr>
          <w:rFonts w:eastAsia="Calibri"/>
          <w:color w:val="000000"/>
          <w:spacing w:val="-6"/>
          <w:bdr w:val="none" w:sz="0" w:space="0" w:color="auto" w:frame="1"/>
        </w:rPr>
        <w:t>people</w:t>
      </w:r>
      <w:r w:rsidR="006851BF">
        <w:rPr>
          <w:rFonts w:eastAsia="Calibri"/>
          <w:color w:val="000000"/>
          <w:spacing w:val="-6"/>
          <w:bdr w:val="none" w:sz="0" w:space="0" w:color="auto" w:frame="1"/>
        </w:rPr>
        <w:t xml:space="preserve">. </w:t>
      </w:r>
      <w:r w:rsidR="00A5607C" w:rsidRPr="00A5607C">
        <w:rPr>
          <w:rFonts w:eastAsia="Calibri"/>
          <w:color w:val="000000"/>
          <w:spacing w:val="-6"/>
          <w:bdr w:val="none" w:sz="0" w:space="0" w:color="auto" w:frame="1"/>
        </w:rPr>
        <w:t xml:space="preserve">Turkey's </w:t>
      </w:r>
      <w:r w:rsidR="00EA3193" w:rsidRPr="00EA3193">
        <w:rPr>
          <w:rFonts w:eastAsia="Calibri"/>
          <w:color w:val="000000"/>
          <w:spacing w:val="-6"/>
          <w:bdr w:val="none" w:sz="0" w:space="0" w:color="auto" w:frame="1"/>
        </w:rPr>
        <w:t>LGBTQ+</w:t>
      </w:r>
      <w:r w:rsidR="00A5607C" w:rsidRPr="00A5607C">
        <w:rPr>
          <w:rFonts w:eastAsia="Calibri"/>
          <w:color w:val="000000"/>
          <w:spacing w:val="-6"/>
          <w:bdr w:val="none" w:sz="0" w:space="0" w:color="auto" w:frame="1"/>
        </w:rPr>
        <w:t xml:space="preserve"> community has long been subjected to state harassment and discrimination. </w:t>
      </w:r>
      <w:r w:rsidR="00393262">
        <w:rPr>
          <w:rFonts w:eastAsia="Calibri"/>
          <w:color w:val="000000"/>
          <w:spacing w:val="-6"/>
          <w:bdr w:val="none" w:sz="0" w:space="0" w:color="auto" w:frame="1"/>
        </w:rPr>
        <w:t>C</w:t>
      </w:r>
      <w:r w:rsidR="00F24607" w:rsidRPr="00F24607">
        <w:rPr>
          <w:rFonts w:eastAsia="Calibri"/>
          <w:color w:val="000000"/>
          <w:spacing w:val="-6"/>
          <w:bdr w:val="none" w:sz="0" w:space="0" w:color="auto" w:frame="1"/>
        </w:rPr>
        <w:t xml:space="preserve">hanges </w:t>
      </w:r>
      <w:r w:rsidR="00393262">
        <w:rPr>
          <w:rFonts w:eastAsia="Calibri"/>
          <w:color w:val="000000"/>
          <w:spacing w:val="-6"/>
          <w:bdr w:val="none" w:sz="0" w:space="0" w:color="auto" w:frame="1"/>
        </w:rPr>
        <w:t xml:space="preserve">were not </w:t>
      </w:r>
      <w:r w:rsidR="00F24607" w:rsidRPr="00F24607">
        <w:rPr>
          <w:rFonts w:eastAsia="Calibri"/>
          <w:color w:val="000000"/>
          <w:spacing w:val="-6"/>
          <w:bdr w:val="none" w:sz="0" w:space="0" w:color="auto" w:frame="1"/>
        </w:rPr>
        <w:t>introduced to the military disciplinary system and medical regulations which define homosexuality as a ‘psychosexual disorder/illness’”</w:t>
      </w:r>
      <w:r w:rsidR="00F24607" w:rsidRPr="00F24607">
        <w:rPr>
          <w:rFonts w:eastAsia="Calibri"/>
          <w:color w:val="000000"/>
          <w:spacing w:val="-6"/>
          <w:bdr w:val="none" w:sz="0" w:space="0" w:color="auto" w:frame="1"/>
          <w:vertAlign w:val="superscript"/>
        </w:rPr>
        <w:footnoteReference w:id="9"/>
      </w:r>
      <w:r w:rsidR="004F2C71">
        <w:rPr>
          <w:rFonts w:eastAsia="Calibri"/>
          <w:color w:val="000000"/>
          <w:spacing w:val="-6"/>
          <w:bdr w:val="none" w:sz="0" w:space="0" w:color="auto" w:frame="1"/>
        </w:rPr>
        <w:t>.</w:t>
      </w:r>
      <w:r w:rsidR="007D7B32">
        <w:rPr>
          <w:rFonts w:eastAsia="Calibri"/>
          <w:color w:val="000000"/>
          <w:spacing w:val="-6"/>
          <w:bdr w:val="none" w:sz="0" w:space="0" w:color="auto" w:frame="1"/>
        </w:rPr>
        <w:t xml:space="preserve"> </w:t>
      </w:r>
      <w:r w:rsidR="004F2C71">
        <w:rPr>
          <w:rFonts w:eastAsia="Calibri"/>
          <w:color w:val="000000"/>
          <w:spacing w:val="-6"/>
          <w:bdr w:val="none" w:sz="0" w:space="0" w:color="auto" w:frame="1"/>
        </w:rPr>
        <w:t xml:space="preserve"> </w:t>
      </w:r>
      <w:r w:rsidR="00412A36" w:rsidRPr="00412A36">
        <w:rPr>
          <w:rFonts w:eastAsia="Calibri"/>
          <w:color w:val="000000"/>
          <w:spacing w:val="-6"/>
          <w:bdr w:val="none" w:sz="0" w:space="0" w:color="auto" w:frame="1"/>
        </w:rPr>
        <w:t xml:space="preserve">Issues concerning </w:t>
      </w:r>
      <w:r w:rsidR="00412A36" w:rsidRPr="00412A36">
        <w:rPr>
          <w:rFonts w:eastAsia="Calibri"/>
          <w:color w:val="000000"/>
          <w:spacing w:val="-6"/>
          <w:bdr w:val="none" w:sz="0" w:space="0" w:color="auto" w:frame="1"/>
          <w:lang w:val="en-GB"/>
        </w:rPr>
        <w:t xml:space="preserve">illegitimate arrest, exile, terror, torture, or unjustifiable intervention into personal life came to the agenda </w:t>
      </w:r>
      <w:r w:rsidR="00412A36">
        <w:rPr>
          <w:rFonts w:eastAsia="Calibri"/>
          <w:color w:val="000000"/>
          <w:spacing w:val="-6"/>
          <w:bdr w:val="none" w:sz="0" w:space="0" w:color="auto" w:frame="1"/>
          <w:lang w:val="en-GB"/>
        </w:rPr>
        <w:t xml:space="preserve">mainly </w:t>
      </w:r>
      <w:r w:rsidR="00412A36" w:rsidRPr="00412A36">
        <w:rPr>
          <w:rFonts w:eastAsia="Calibri"/>
          <w:color w:val="000000"/>
          <w:spacing w:val="-6"/>
          <w:bdr w:val="none" w:sz="0" w:space="0" w:color="auto" w:frame="1"/>
          <w:lang w:val="en-GB"/>
        </w:rPr>
        <w:t>in the aftermath of Gezi protests</w:t>
      </w:r>
      <w:r w:rsidR="00412A36" w:rsidRPr="00412A36">
        <w:rPr>
          <w:rFonts w:eastAsia="Calibri"/>
          <w:color w:val="000000"/>
          <w:spacing w:val="-6"/>
          <w:bdr w:val="none" w:sz="0" w:space="0" w:color="auto" w:frame="1"/>
          <w:vertAlign w:val="superscript"/>
        </w:rPr>
        <w:footnoteReference w:id="10"/>
      </w:r>
      <w:r w:rsidR="00412A36" w:rsidRPr="00412A36">
        <w:rPr>
          <w:rFonts w:eastAsia="Calibri"/>
          <w:color w:val="000000"/>
          <w:spacing w:val="-6"/>
          <w:bdr w:val="none" w:sz="0" w:space="0" w:color="auto" w:frame="1"/>
        </w:rPr>
        <w:t xml:space="preserve"> </w:t>
      </w:r>
      <w:r w:rsidR="00412A36" w:rsidRPr="00412A36">
        <w:rPr>
          <w:rFonts w:eastAsia="Calibri"/>
          <w:color w:val="000000"/>
          <w:spacing w:val="-6"/>
          <w:bdr w:val="none" w:sz="0" w:space="0" w:color="auto" w:frame="1"/>
          <w:lang w:val="en-GB"/>
        </w:rPr>
        <w:t xml:space="preserve">and particularly, July 15 coup attempt.  </w:t>
      </w:r>
      <w:r w:rsidR="00F83E90" w:rsidRPr="00F83E90">
        <w:rPr>
          <w:rFonts w:eastAsia="Calibri"/>
          <w:color w:val="000000"/>
          <w:spacing w:val="-6"/>
          <w:bdr w:val="none" w:sz="0" w:space="0" w:color="auto" w:frame="1"/>
          <w:lang w:val="tr-TR"/>
        </w:rPr>
        <w:t xml:space="preserve">Most significant critics on human rights violation in the EU Progress reports were written in the 2016 Report following the attempted coup, after which </w:t>
      </w:r>
      <w:bookmarkStart w:id="0" w:name="_Hlk102210427"/>
      <w:r w:rsidR="00F83E90" w:rsidRPr="00F83E90">
        <w:rPr>
          <w:rFonts w:eastAsia="Calibri"/>
          <w:color w:val="000000"/>
          <w:spacing w:val="-6"/>
          <w:bdr w:val="none" w:sz="0" w:space="0" w:color="auto" w:frame="1"/>
          <w:lang w:val="tr-TR"/>
        </w:rPr>
        <w:t>around 40 000 people had been detained and more than 31 000 remain under arrest, including 81 journalists. 129 000 public employees remain either suspended (66 000) or have been dismissed (63 000). Over 4 000 institutions and private companies were shut down, their assets seized or transferred to public institutions. Additional 10 000 civil servants were dismissed by decrees under the state of emergency at the end of October and further media outlets closed and journalists detained.”</w:t>
      </w:r>
      <w:r w:rsidR="00F83E90" w:rsidRPr="00F83E90">
        <w:rPr>
          <w:rFonts w:eastAsia="Calibri"/>
          <w:color w:val="000000"/>
          <w:spacing w:val="-6"/>
          <w:bdr w:val="none" w:sz="0" w:space="0" w:color="auto" w:frame="1"/>
          <w:vertAlign w:val="superscript"/>
          <w:lang w:val="tr-TR"/>
        </w:rPr>
        <w:footnoteReference w:id="11"/>
      </w:r>
      <w:bookmarkEnd w:id="0"/>
      <w:r w:rsidR="00F83E90" w:rsidRPr="00F83E90">
        <w:rPr>
          <w:rFonts w:eastAsia="Calibri"/>
          <w:color w:val="000000"/>
          <w:spacing w:val="-6"/>
          <w:bdr w:val="none" w:sz="0" w:space="0" w:color="auto" w:frame="1"/>
          <w:lang w:val="tr-TR"/>
        </w:rPr>
        <w:t xml:space="preserve"> Under the state of emergency Turkey notified the Council of Europe of its temporary suspension of the ECHR, in line with its Article 15 derogation provision.</w:t>
      </w:r>
      <w:r w:rsidR="00F83E90" w:rsidRPr="00F83E90">
        <w:rPr>
          <w:rFonts w:eastAsia="Calibri"/>
          <w:b/>
          <w:bCs/>
          <w:color w:val="000000"/>
          <w:spacing w:val="-6"/>
          <w:bdr w:val="none" w:sz="0" w:space="0" w:color="auto" w:frame="1"/>
          <w:lang w:val="tr-TR"/>
        </w:rPr>
        <w:t xml:space="preserve"> </w:t>
      </w:r>
      <w:r w:rsidR="00F83E90" w:rsidRPr="00F83E90">
        <w:rPr>
          <w:rFonts w:eastAsia="Calibri"/>
          <w:color w:val="000000"/>
          <w:spacing w:val="-6"/>
          <w:bdr w:val="none" w:sz="0" w:space="0" w:color="auto" w:frame="1"/>
        </w:rPr>
        <w:t xml:space="preserve"> </w:t>
      </w:r>
    </w:p>
    <w:p w14:paraId="1A3BE82E" w14:textId="085FD96F" w:rsidR="00F24607" w:rsidRPr="00F24607" w:rsidRDefault="00F24607" w:rsidP="009E7BD9">
      <w:pPr>
        <w:pStyle w:val="NormalWeb"/>
        <w:shd w:val="clear" w:color="auto" w:fill="FFFFFF"/>
        <w:jc w:val="both"/>
        <w:textAlignment w:val="baseline"/>
        <w:rPr>
          <w:rFonts w:eastAsia="Calibri"/>
          <w:color w:val="000000"/>
          <w:spacing w:val="-6"/>
          <w:bdr w:val="none" w:sz="0" w:space="0" w:color="auto" w:frame="1"/>
        </w:rPr>
      </w:pPr>
      <w:r w:rsidRPr="00F24607">
        <w:rPr>
          <w:rFonts w:eastAsia="Calibri"/>
          <w:color w:val="000000"/>
          <w:spacing w:val="-6"/>
          <w:bdr w:val="none" w:sz="0" w:space="0" w:color="auto" w:frame="1"/>
        </w:rPr>
        <w:t>Concerning property rights EU reports emphasized that Turkey should ensure full respect to property rights of the non-Muslim religions</w:t>
      </w:r>
      <w:r w:rsidRPr="00F24607">
        <w:rPr>
          <w:rFonts w:eastAsia="Calibri"/>
          <w:color w:val="000000"/>
          <w:spacing w:val="-6"/>
          <w:bdr w:val="none" w:sz="0" w:space="0" w:color="auto" w:frame="1"/>
          <w:vertAlign w:val="superscript"/>
        </w:rPr>
        <w:footnoteReference w:id="12"/>
      </w:r>
      <w:r w:rsidR="00CC6A5B">
        <w:rPr>
          <w:rFonts w:eastAsia="Calibri"/>
          <w:color w:val="000000"/>
          <w:spacing w:val="-6"/>
          <w:bdr w:val="none" w:sz="0" w:space="0" w:color="auto" w:frame="1"/>
        </w:rPr>
        <w:t xml:space="preserve"> and</w:t>
      </w:r>
      <w:r w:rsidRPr="00F24607">
        <w:rPr>
          <w:rFonts w:eastAsia="Calibri"/>
          <w:color w:val="000000"/>
          <w:spacing w:val="-6"/>
          <w:bdr w:val="none" w:sz="0" w:space="0" w:color="auto" w:frame="1"/>
        </w:rPr>
        <w:t xml:space="preserve"> </w:t>
      </w:r>
      <w:r w:rsidR="00CC6A5B" w:rsidRPr="00CC6A5B">
        <w:rPr>
          <w:rFonts w:eastAsia="Calibri"/>
          <w:color w:val="000000"/>
          <w:spacing w:val="-6"/>
          <w:bdr w:val="none" w:sz="0" w:space="0" w:color="auto" w:frame="1"/>
        </w:rPr>
        <w:t>the political commitment to resolve ongoing cases needs to be translated in practice</w:t>
      </w:r>
      <w:r w:rsidR="00CC6A5B">
        <w:rPr>
          <w:rFonts w:eastAsia="Calibri"/>
          <w:color w:val="000000"/>
          <w:spacing w:val="-6"/>
          <w:bdr w:val="none" w:sz="0" w:space="0" w:color="auto" w:frame="1"/>
        </w:rPr>
        <w:t>.</w:t>
      </w:r>
      <w:r w:rsidRPr="00F24607">
        <w:rPr>
          <w:rFonts w:eastAsia="Calibri"/>
          <w:color w:val="000000"/>
          <w:spacing w:val="-6"/>
          <w:bdr w:val="none" w:sz="0" w:space="0" w:color="auto" w:frame="1"/>
        </w:rPr>
        <w:t xml:space="preserve"> Concerning freedom of cultural rights, the 2013 legislation that allowed campaigning in languages other than Turkish by political parties and candidates was implemented. The number of universities offering Kurdish language and literature programs increased to four. University programs in Kurdish, Arabic, </w:t>
      </w:r>
      <w:r w:rsidR="0090125A" w:rsidRPr="00F24607">
        <w:rPr>
          <w:rFonts w:eastAsia="Calibri"/>
          <w:color w:val="000000"/>
          <w:spacing w:val="-6"/>
          <w:bdr w:val="none" w:sz="0" w:space="0" w:color="auto" w:frame="1"/>
        </w:rPr>
        <w:t>Syriac,</w:t>
      </w:r>
      <w:r w:rsidRPr="00F24607">
        <w:rPr>
          <w:rFonts w:eastAsia="Calibri"/>
          <w:color w:val="000000"/>
          <w:spacing w:val="-6"/>
          <w:bdr w:val="none" w:sz="0" w:space="0" w:color="auto" w:frame="1"/>
        </w:rPr>
        <w:t xml:space="preserve"> and Zaza continued. Education in mother tongues other than Turkish is not allowed apart from minority schools recognized under the Lausanne Treaty.</w:t>
      </w:r>
      <w:r w:rsidRPr="00F24607">
        <w:rPr>
          <w:rFonts w:eastAsia="Calibri"/>
          <w:color w:val="000000"/>
          <w:spacing w:val="-6"/>
          <w:bdr w:val="none" w:sz="0" w:space="0" w:color="auto" w:frame="1"/>
          <w:vertAlign w:val="superscript"/>
        </w:rPr>
        <w:footnoteReference w:id="13"/>
      </w:r>
    </w:p>
    <w:p w14:paraId="7E086A1B" w14:textId="000525A4" w:rsidR="00F24607" w:rsidRDefault="00F24607" w:rsidP="009E7BD9">
      <w:pPr>
        <w:pStyle w:val="NormalWeb"/>
        <w:shd w:val="clear" w:color="auto" w:fill="FFFFFF"/>
        <w:jc w:val="both"/>
        <w:textAlignment w:val="baseline"/>
        <w:rPr>
          <w:rFonts w:eastAsia="Calibri"/>
          <w:bCs/>
          <w:color w:val="000000"/>
          <w:spacing w:val="-6"/>
          <w:bdr w:val="none" w:sz="0" w:space="0" w:color="auto" w:frame="1"/>
        </w:rPr>
      </w:pPr>
      <w:r w:rsidRPr="00F24607">
        <w:rPr>
          <w:bCs/>
          <w:color w:val="000000"/>
          <w:spacing w:val="-6"/>
          <w:bdr w:val="none" w:sz="0" w:space="0" w:color="auto" w:frame="1"/>
          <w:lang w:val="en-GB"/>
        </w:rPr>
        <w:t xml:space="preserve">Concerning </w:t>
      </w:r>
      <w:r w:rsidRPr="00F24607">
        <w:rPr>
          <w:b/>
          <w:i/>
          <w:iCs/>
          <w:color w:val="000000"/>
          <w:spacing w:val="-6"/>
          <w:bdr w:val="none" w:sz="0" w:space="0" w:color="auto" w:frame="1"/>
          <w:lang w:val="en-GB"/>
        </w:rPr>
        <w:t>political rights</w:t>
      </w:r>
      <w:r w:rsidRPr="00F24607">
        <w:rPr>
          <w:bCs/>
          <w:color w:val="000000"/>
          <w:spacing w:val="-6"/>
          <w:bdr w:val="none" w:sz="0" w:space="0" w:color="auto" w:frame="1"/>
          <w:lang w:val="en-GB"/>
        </w:rPr>
        <w:t xml:space="preserve">, the third partial regime, The EU paid </w:t>
      </w:r>
      <w:r w:rsidRPr="00534BA0">
        <w:rPr>
          <w:bCs/>
          <w:i/>
          <w:iCs/>
          <w:color w:val="000000"/>
          <w:spacing w:val="-6"/>
          <w:bdr w:val="none" w:sz="0" w:space="0" w:color="auto" w:frame="1"/>
          <w:lang w:val="en-GB"/>
        </w:rPr>
        <w:t>major attention</w:t>
      </w:r>
      <w:r w:rsidRPr="00F24607">
        <w:rPr>
          <w:bCs/>
          <w:color w:val="000000"/>
          <w:spacing w:val="-6"/>
          <w:bdr w:val="none" w:sz="0" w:space="0" w:color="auto" w:frame="1"/>
          <w:lang w:val="en-GB"/>
        </w:rPr>
        <w:t xml:space="preserve"> to this issue in both periods, mainly focusing on the area of the freedom of speech, thought, press, association, and assembly. During the first period, generally, there were no outright prohibitions on independent political or civic groups or press. </w:t>
      </w:r>
      <w:r w:rsidR="0090125A">
        <w:rPr>
          <w:bCs/>
          <w:color w:val="000000"/>
          <w:spacing w:val="-6"/>
          <w:bdr w:val="none" w:sz="0" w:space="0" w:color="auto" w:frame="1"/>
          <w:lang w:val="en-GB"/>
        </w:rPr>
        <w:t>Alt</w:t>
      </w:r>
      <w:proofErr w:type="spellStart"/>
      <w:r w:rsidR="00770645" w:rsidRPr="00F24607">
        <w:rPr>
          <w:bCs/>
          <w:color w:val="000000"/>
          <w:spacing w:val="-6"/>
          <w:bdr w:val="none" w:sz="0" w:space="0" w:color="auto" w:frame="1"/>
        </w:rPr>
        <w:t>hough</w:t>
      </w:r>
      <w:proofErr w:type="spellEnd"/>
      <w:r w:rsidRPr="00F24607">
        <w:rPr>
          <w:rFonts w:eastAsia="Calibri"/>
          <w:bCs/>
          <w:color w:val="000000"/>
          <w:spacing w:val="-6"/>
          <w:bdr w:val="none" w:sz="0" w:space="0" w:color="auto" w:frame="1"/>
        </w:rPr>
        <w:t xml:space="preserve"> a new Penal Code, Code of Criminal Procedure Law and Press Law that adopted European standards entered into force due to constitutional amendments and harmonization packages of 2000s, escalating </w:t>
      </w:r>
      <w:r w:rsidRPr="00F24607">
        <w:rPr>
          <w:bCs/>
          <w:color w:val="000000"/>
          <w:spacing w:val="-6"/>
          <w:bdr w:val="none" w:sz="0" w:space="0" w:color="auto" w:frame="1"/>
        </w:rPr>
        <w:t xml:space="preserve">terror </w:t>
      </w:r>
      <w:r w:rsidRPr="00F24607">
        <w:rPr>
          <w:rFonts w:eastAsia="Calibri"/>
          <w:bCs/>
          <w:color w:val="000000"/>
          <w:spacing w:val="-6"/>
          <w:bdr w:val="none" w:sz="0" w:space="0" w:color="auto" w:frame="1"/>
        </w:rPr>
        <w:t xml:space="preserve">starting from 2006 led Turkish government to extend its list of actions that are considered as terrorist offense. </w:t>
      </w:r>
      <w:r w:rsidRPr="00F24607">
        <w:rPr>
          <w:bCs/>
          <w:color w:val="000000"/>
          <w:spacing w:val="-6"/>
          <w:bdr w:val="none" w:sz="0" w:space="0" w:color="auto" w:frame="1"/>
        </w:rPr>
        <w:t>A</w:t>
      </w:r>
      <w:r w:rsidRPr="00F24607">
        <w:rPr>
          <w:rFonts w:eastAsia="Calibri"/>
          <w:bCs/>
          <w:color w:val="000000"/>
          <w:spacing w:val="-6"/>
          <w:bdr w:val="none" w:sz="0" w:space="0" w:color="auto" w:frame="1"/>
        </w:rPr>
        <w:t xml:space="preserve"> massive backsliding in the areas of freedom of expression and speech has started </w:t>
      </w:r>
      <w:r w:rsidR="00A26E85">
        <w:rPr>
          <w:rFonts w:eastAsia="Calibri"/>
          <w:bCs/>
          <w:color w:val="000000"/>
          <w:spacing w:val="-6"/>
          <w:bdr w:val="none" w:sz="0" w:space="0" w:color="auto" w:frame="1"/>
        </w:rPr>
        <w:t xml:space="preserve">in the second </w:t>
      </w:r>
      <w:r w:rsidR="00EF2167">
        <w:rPr>
          <w:rFonts w:eastAsia="Calibri"/>
          <w:bCs/>
          <w:color w:val="000000"/>
          <w:spacing w:val="-6"/>
          <w:bdr w:val="none" w:sz="0" w:space="0" w:color="auto" w:frame="1"/>
        </w:rPr>
        <w:t xml:space="preserve">period </w:t>
      </w:r>
      <w:r w:rsidR="00EF2167" w:rsidRPr="00F24607">
        <w:rPr>
          <w:rFonts w:eastAsia="Calibri"/>
          <w:bCs/>
          <w:color w:val="000000"/>
          <w:spacing w:val="-6"/>
          <w:bdr w:val="none" w:sz="0" w:space="0" w:color="auto" w:frame="1"/>
        </w:rPr>
        <w:t>due</w:t>
      </w:r>
      <w:r w:rsidRPr="00F24607">
        <w:rPr>
          <w:rFonts w:eastAsia="Calibri"/>
          <w:bCs/>
          <w:color w:val="000000"/>
          <w:spacing w:val="-6"/>
          <w:bdr w:val="none" w:sz="0" w:space="0" w:color="auto" w:frame="1"/>
        </w:rPr>
        <w:t xml:space="preserve"> to Gezi Protests but mainly </w:t>
      </w:r>
      <w:r w:rsidR="009B408A" w:rsidRPr="00F24607">
        <w:rPr>
          <w:rFonts w:eastAsia="Calibri"/>
          <w:bCs/>
          <w:color w:val="000000"/>
          <w:spacing w:val="-6"/>
          <w:bdr w:val="none" w:sz="0" w:space="0" w:color="auto" w:frame="1"/>
        </w:rPr>
        <w:t>because of</w:t>
      </w:r>
      <w:r w:rsidRPr="00F24607">
        <w:rPr>
          <w:rFonts w:eastAsia="Calibri"/>
          <w:bCs/>
          <w:color w:val="000000"/>
          <w:spacing w:val="-6"/>
          <w:bdr w:val="none" w:sz="0" w:space="0" w:color="auto" w:frame="1"/>
        </w:rPr>
        <w:t xml:space="preserve"> the coup attempt on the 15</w:t>
      </w:r>
      <w:r w:rsidRPr="00F24607">
        <w:rPr>
          <w:rFonts w:eastAsia="Calibri"/>
          <w:bCs/>
          <w:color w:val="000000"/>
          <w:spacing w:val="-6"/>
          <w:bdr w:val="none" w:sz="0" w:space="0" w:color="auto" w:frame="1"/>
          <w:vertAlign w:val="superscript"/>
        </w:rPr>
        <w:t>th</w:t>
      </w:r>
      <w:r w:rsidRPr="00F24607">
        <w:rPr>
          <w:rFonts w:eastAsia="Calibri"/>
          <w:bCs/>
          <w:color w:val="000000"/>
          <w:spacing w:val="-6"/>
          <w:bdr w:val="none" w:sz="0" w:space="0" w:color="auto" w:frame="1"/>
        </w:rPr>
        <w:t xml:space="preserve"> of July 2016</w:t>
      </w:r>
      <w:r w:rsidRPr="00F24607">
        <w:rPr>
          <w:bCs/>
          <w:color w:val="000000"/>
          <w:spacing w:val="-6"/>
          <w:bdr w:val="none" w:sz="0" w:space="0" w:color="auto" w:frame="1"/>
        </w:rPr>
        <w:t>.</w:t>
      </w:r>
      <w:r w:rsidRPr="00F24607">
        <w:rPr>
          <w:rFonts w:eastAsia="Calibri"/>
          <w:bCs/>
          <w:color w:val="000000"/>
          <w:spacing w:val="-6"/>
          <w:bdr w:val="none" w:sz="0" w:space="0" w:color="auto" w:frame="1"/>
        </w:rPr>
        <w:t xml:space="preserve">  Imprisonments, arrests, expulsions, disciplinary and criminal proceedings continued</w:t>
      </w:r>
      <w:r w:rsidR="00F05F24">
        <w:rPr>
          <w:rFonts w:eastAsia="Calibri"/>
          <w:bCs/>
          <w:color w:val="000000"/>
          <w:spacing w:val="-6"/>
          <w:bdr w:val="none" w:sz="0" w:space="0" w:color="auto" w:frame="1"/>
        </w:rPr>
        <w:t>, including a case named “Academics for Peace”.</w:t>
      </w:r>
      <w:r w:rsidRPr="00F24607">
        <w:rPr>
          <w:rFonts w:eastAsia="Calibri"/>
          <w:bCs/>
          <w:color w:val="000000"/>
          <w:spacing w:val="-6"/>
          <w:bdr w:val="none" w:sz="0" w:space="0" w:color="auto" w:frame="1"/>
        </w:rPr>
        <w:t xml:space="preserve"> </w:t>
      </w:r>
      <w:r w:rsidRPr="00F24607">
        <w:rPr>
          <w:rFonts w:eastAsia="Calibri"/>
          <w:bCs/>
          <w:color w:val="000000"/>
          <w:spacing w:val="-6"/>
          <w:bdr w:val="none" w:sz="0" w:space="0" w:color="auto" w:frame="1"/>
          <w:vertAlign w:val="superscript"/>
        </w:rPr>
        <w:footnoteReference w:id="14"/>
      </w:r>
    </w:p>
    <w:p w14:paraId="55FE30B4" w14:textId="26B01620" w:rsidR="00D40604" w:rsidRDefault="00F24607" w:rsidP="009E7BD9">
      <w:pPr>
        <w:pStyle w:val="NormalWeb"/>
        <w:shd w:val="clear" w:color="auto" w:fill="FFFFFF"/>
        <w:jc w:val="both"/>
        <w:textAlignment w:val="baseline"/>
        <w:rPr>
          <w:rFonts w:eastAsia="Calibri"/>
          <w:bCs/>
          <w:color w:val="000000"/>
          <w:spacing w:val="-6"/>
          <w:bdr w:val="none" w:sz="0" w:space="0" w:color="auto" w:frame="1"/>
        </w:rPr>
      </w:pPr>
      <w:r w:rsidRPr="00F24607">
        <w:rPr>
          <w:rFonts w:eastAsia="Calibri"/>
          <w:bCs/>
          <w:color w:val="000000"/>
          <w:spacing w:val="-6"/>
          <w:bdr w:val="none" w:sz="0" w:space="0" w:color="auto" w:frame="1"/>
        </w:rPr>
        <w:t xml:space="preserve">Concerning </w:t>
      </w:r>
      <w:r w:rsidR="00D74791">
        <w:rPr>
          <w:rFonts w:eastAsia="Calibri"/>
          <w:bCs/>
          <w:color w:val="000000"/>
          <w:spacing w:val="-6"/>
          <w:bdr w:val="none" w:sz="0" w:space="0" w:color="auto" w:frame="1"/>
        </w:rPr>
        <w:t xml:space="preserve">the </w:t>
      </w:r>
      <w:r w:rsidRPr="00F24607">
        <w:rPr>
          <w:rFonts w:eastAsia="Calibri"/>
          <w:bCs/>
          <w:color w:val="000000"/>
          <w:spacing w:val="-6"/>
          <w:bdr w:val="none" w:sz="0" w:space="0" w:color="auto" w:frame="1"/>
        </w:rPr>
        <w:t>right to political communication that included freedom of press, throughout the 2010s EU Reports on Turkey paid a significant attention pointing out the “pressure on the media by state officials, widespread self-censorship, the firing of critical journalists and frequent website bans.”</w:t>
      </w:r>
      <w:r w:rsidRPr="00F24607">
        <w:rPr>
          <w:rFonts w:eastAsia="Calibri"/>
          <w:bCs/>
          <w:color w:val="000000"/>
          <w:spacing w:val="-6"/>
          <w:bdr w:val="none" w:sz="0" w:space="0" w:color="auto" w:frame="1"/>
          <w:vertAlign w:val="superscript"/>
        </w:rPr>
        <w:footnoteReference w:id="15"/>
      </w:r>
      <w:r w:rsidRPr="00F24607">
        <w:rPr>
          <w:rFonts w:eastAsia="Calibri"/>
          <w:bCs/>
          <w:color w:val="000000"/>
          <w:spacing w:val="-6"/>
          <w:bdr w:val="none" w:sz="0" w:space="0" w:color="auto" w:frame="1"/>
        </w:rPr>
        <w:t xml:space="preserve"> Many mainstream TV channels were concentrated in the hands of pro-government of industrial conglomerates that are close to the government.</w:t>
      </w:r>
      <w:r w:rsidRPr="00F24607">
        <w:rPr>
          <w:rFonts w:eastAsia="Calibri"/>
          <w:bCs/>
          <w:color w:val="000000"/>
          <w:spacing w:val="-6"/>
          <w:bdr w:val="none" w:sz="0" w:space="0" w:color="auto" w:frame="1"/>
          <w:vertAlign w:val="superscript"/>
        </w:rPr>
        <w:footnoteReference w:id="16"/>
      </w:r>
      <w:r w:rsidRPr="00F24607">
        <w:rPr>
          <w:rFonts w:eastAsia="Calibri"/>
          <w:bCs/>
          <w:color w:val="000000"/>
          <w:spacing w:val="-6"/>
          <w:bdr w:val="none" w:sz="0" w:space="0" w:color="auto" w:frame="1"/>
        </w:rPr>
        <w:t xml:space="preserve"> </w:t>
      </w:r>
      <w:r w:rsidR="00D40604" w:rsidRPr="00D40604">
        <w:rPr>
          <w:rFonts w:eastAsia="Calibri"/>
          <w:bCs/>
          <w:color w:val="000000"/>
          <w:spacing w:val="-6"/>
          <w:bdr w:val="none" w:sz="0" w:space="0" w:color="auto" w:frame="1"/>
        </w:rPr>
        <w:t xml:space="preserve">Turkey’s refusal to implement ECtHR rulings, notably in the cases of </w:t>
      </w:r>
      <w:r w:rsidR="00F05F24">
        <w:rPr>
          <w:rFonts w:eastAsia="Calibri"/>
          <w:bCs/>
          <w:color w:val="000000"/>
          <w:spacing w:val="-6"/>
          <w:bdr w:val="none" w:sz="0" w:space="0" w:color="auto" w:frame="1"/>
        </w:rPr>
        <w:t xml:space="preserve">HDP co-leader </w:t>
      </w:r>
      <w:proofErr w:type="spellStart"/>
      <w:r w:rsidR="00D40604" w:rsidRPr="00D40604">
        <w:rPr>
          <w:rFonts w:eastAsia="Calibri"/>
          <w:bCs/>
          <w:color w:val="000000"/>
          <w:spacing w:val="-6"/>
          <w:bdr w:val="none" w:sz="0" w:space="0" w:color="auto" w:frame="1"/>
        </w:rPr>
        <w:t>Selahattin</w:t>
      </w:r>
      <w:proofErr w:type="spellEnd"/>
      <w:r w:rsidR="00D40604" w:rsidRPr="00D40604">
        <w:rPr>
          <w:rFonts w:eastAsia="Calibri"/>
          <w:bCs/>
          <w:color w:val="000000"/>
          <w:spacing w:val="-6"/>
          <w:bdr w:val="none" w:sz="0" w:space="0" w:color="auto" w:frame="1"/>
        </w:rPr>
        <w:t xml:space="preserve"> </w:t>
      </w:r>
      <w:proofErr w:type="spellStart"/>
      <w:r w:rsidR="00D40604" w:rsidRPr="00D40604">
        <w:rPr>
          <w:rFonts w:eastAsia="Calibri"/>
          <w:bCs/>
          <w:color w:val="000000"/>
          <w:spacing w:val="-6"/>
          <w:bdr w:val="none" w:sz="0" w:space="0" w:color="auto" w:frame="1"/>
        </w:rPr>
        <w:t>Demirtaş</w:t>
      </w:r>
      <w:proofErr w:type="spellEnd"/>
      <w:r w:rsidR="00D40604" w:rsidRPr="00D40604">
        <w:rPr>
          <w:rFonts w:eastAsia="Calibri"/>
          <w:bCs/>
          <w:color w:val="000000"/>
          <w:spacing w:val="-6"/>
          <w:bdr w:val="none" w:sz="0" w:space="0" w:color="auto" w:frame="1"/>
        </w:rPr>
        <w:t xml:space="preserve"> and Osman Kavala</w:t>
      </w:r>
      <w:r w:rsidR="00EA3193">
        <w:rPr>
          <w:rStyle w:val="FootnoteReference"/>
          <w:rFonts w:eastAsia="Calibri"/>
          <w:bCs/>
          <w:color w:val="000000"/>
          <w:spacing w:val="-6"/>
          <w:bdr w:val="none" w:sz="0" w:space="0" w:color="auto" w:frame="1"/>
        </w:rPr>
        <w:footnoteReference w:id="17"/>
      </w:r>
      <w:r w:rsidR="00D40604" w:rsidRPr="00D40604">
        <w:rPr>
          <w:rFonts w:eastAsia="Calibri"/>
          <w:bCs/>
          <w:color w:val="000000"/>
          <w:spacing w:val="-6"/>
          <w:bdr w:val="none" w:sz="0" w:space="0" w:color="auto" w:frame="1"/>
        </w:rPr>
        <w:t xml:space="preserve">, further increased concerns regarding the judiciary’s adherence to international and European standards. Turkey’s withdrawal from the Istanbul Convention also put into question its commitment </w:t>
      </w:r>
      <w:r w:rsidR="00F05F24" w:rsidRPr="00D40604">
        <w:rPr>
          <w:rFonts w:eastAsia="Calibri"/>
          <w:bCs/>
          <w:color w:val="000000"/>
          <w:spacing w:val="-6"/>
          <w:bdr w:val="none" w:sz="0" w:space="0" w:color="auto" w:frame="1"/>
        </w:rPr>
        <w:t>to standards</w:t>
      </w:r>
      <w:r w:rsidR="00F05F24">
        <w:rPr>
          <w:rFonts w:eastAsia="Calibri"/>
          <w:bCs/>
          <w:color w:val="000000"/>
          <w:spacing w:val="-6"/>
          <w:bdr w:val="none" w:sz="0" w:space="0" w:color="auto" w:frame="1"/>
        </w:rPr>
        <w:t xml:space="preserve"> concerning gender equality. </w:t>
      </w:r>
    </w:p>
    <w:p w14:paraId="23DB9881" w14:textId="2B91DA94" w:rsidR="00F24607" w:rsidRPr="00F24607" w:rsidRDefault="00F24607" w:rsidP="009E7BD9">
      <w:pPr>
        <w:pStyle w:val="NormalWeb"/>
        <w:shd w:val="clear" w:color="auto" w:fill="FFFFFF"/>
        <w:jc w:val="both"/>
        <w:textAlignment w:val="baseline"/>
        <w:rPr>
          <w:rFonts w:eastAsia="Calibri"/>
          <w:bCs/>
          <w:color w:val="000000"/>
          <w:spacing w:val="-6"/>
          <w:bdr w:val="none" w:sz="0" w:space="0" w:color="auto" w:frame="1"/>
        </w:rPr>
      </w:pPr>
      <w:r w:rsidRPr="00F24607">
        <w:rPr>
          <w:bCs/>
          <w:color w:val="000000"/>
          <w:spacing w:val="-6"/>
          <w:bdr w:val="none" w:sz="0" w:space="0" w:color="auto" w:frame="1"/>
        </w:rPr>
        <w:t>C</w:t>
      </w:r>
      <w:r w:rsidRPr="00F24607">
        <w:rPr>
          <w:rFonts w:eastAsia="Calibri"/>
          <w:bCs/>
          <w:color w:val="000000"/>
          <w:spacing w:val="-6"/>
          <w:bdr w:val="none" w:sz="0" w:space="0" w:color="auto" w:frame="1"/>
        </w:rPr>
        <w:t xml:space="preserve">oncepts such as ‘general morality’, ‘Turkish family structure’, ‘national security’, and ‘public order’ were used widely and allowed too large a </w:t>
      </w:r>
      <w:r w:rsidRPr="00D03E92">
        <w:rPr>
          <w:rFonts w:eastAsia="Calibri"/>
          <w:bCs/>
          <w:color w:val="000000"/>
          <w:spacing w:val="-6"/>
          <w:bdr w:val="none" w:sz="0" w:space="0" w:color="auto" w:frame="1"/>
        </w:rPr>
        <w:t xml:space="preserve">margin of discretion to authorities, hindering the respect in practice of freedom of association.” As a </w:t>
      </w:r>
      <w:r w:rsidRPr="00D03E92">
        <w:rPr>
          <w:bCs/>
          <w:color w:val="000000"/>
          <w:spacing w:val="-6"/>
          <w:bdr w:val="none" w:sz="0" w:space="0" w:color="auto" w:frame="1"/>
        </w:rPr>
        <w:t>result,</w:t>
      </w:r>
      <w:r w:rsidRPr="00D03E92">
        <w:rPr>
          <w:rFonts w:eastAsia="Calibri"/>
          <w:bCs/>
          <w:color w:val="000000"/>
          <w:spacing w:val="-6"/>
          <w:bdr w:val="none" w:sz="0" w:space="0" w:color="auto" w:frame="1"/>
        </w:rPr>
        <w:t xml:space="preserve"> </w:t>
      </w:r>
      <w:r w:rsidR="00EA3193" w:rsidRPr="00EA3193">
        <w:rPr>
          <w:rFonts w:eastAsia="Calibri"/>
          <w:bCs/>
          <w:color w:val="000000"/>
          <w:spacing w:val="-6"/>
          <w:bdr w:val="none" w:sz="0" w:space="0" w:color="auto" w:frame="1"/>
        </w:rPr>
        <w:t>LGBTQ</w:t>
      </w:r>
      <w:r w:rsidR="009B408A" w:rsidRPr="00EA3193">
        <w:rPr>
          <w:rFonts w:eastAsia="Calibri"/>
          <w:bCs/>
          <w:color w:val="000000"/>
          <w:spacing w:val="-6"/>
          <w:bdr w:val="none" w:sz="0" w:space="0" w:color="auto" w:frame="1"/>
        </w:rPr>
        <w:t xml:space="preserve">+ </w:t>
      </w:r>
      <w:r w:rsidR="009B408A" w:rsidRPr="00D03E92">
        <w:rPr>
          <w:rFonts w:eastAsia="Calibri"/>
          <w:bCs/>
          <w:color w:val="000000"/>
          <w:spacing w:val="-6"/>
          <w:bdr w:val="none" w:sz="0" w:space="0" w:color="auto" w:frame="1"/>
        </w:rPr>
        <w:t>associations</w:t>
      </w:r>
      <w:r w:rsidRPr="00D03E92">
        <w:rPr>
          <w:rFonts w:eastAsia="Calibri"/>
          <w:bCs/>
          <w:color w:val="000000"/>
          <w:spacing w:val="-6"/>
          <w:bdr w:val="none" w:sz="0" w:space="0" w:color="auto" w:frame="1"/>
        </w:rPr>
        <w:t xml:space="preserve"> and associations dealing with human rights, and Kurdish issues in particular faced closure</w:t>
      </w:r>
      <w:r w:rsidR="00490A51" w:rsidRPr="00D03E92">
        <w:rPr>
          <w:rFonts w:eastAsia="Calibri"/>
          <w:bCs/>
          <w:color w:val="000000"/>
          <w:spacing w:val="-6"/>
          <w:bdr w:val="none" w:sz="0" w:space="0" w:color="auto" w:frame="1"/>
        </w:rPr>
        <w:t>s</w:t>
      </w:r>
      <w:r w:rsidRPr="00F24607">
        <w:rPr>
          <w:rFonts w:eastAsia="Calibri"/>
          <w:bCs/>
          <w:color w:val="000000"/>
          <w:spacing w:val="-6"/>
          <w:bdr w:val="none" w:sz="0" w:space="0" w:color="auto" w:frame="1"/>
        </w:rPr>
        <w:t>.</w:t>
      </w:r>
      <w:r w:rsidRPr="00F24607">
        <w:rPr>
          <w:rFonts w:eastAsia="Calibri"/>
          <w:bCs/>
          <w:color w:val="000000"/>
          <w:spacing w:val="-6"/>
          <w:bdr w:val="none" w:sz="0" w:space="0" w:color="auto" w:frame="1"/>
          <w:vertAlign w:val="superscript"/>
        </w:rPr>
        <w:footnoteReference w:id="18"/>
      </w:r>
      <w:r w:rsidRPr="00F24607">
        <w:rPr>
          <w:rFonts w:eastAsia="Calibri"/>
          <w:bCs/>
          <w:color w:val="000000"/>
          <w:spacing w:val="-6"/>
          <w:bdr w:val="none" w:sz="0" w:space="0" w:color="auto" w:frame="1"/>
        </w:rPr>
        <w:t xml:space="preserve"> Particularly, following Gezi protests and more importantly in the aftermath of the July 15, </w:t>
      </w:r>
      <w:r w:rsidR="00EA2A6E" w:rsidRPr="00F24607">
        <w:rPr>
          <w:rFonts w:eastAsia="Calibri"/>
          <w:bCs/>
          <w:color w:val="000000"/>
          <w:spacing w:val="-6"/>
          <w:bdr w:val="none" w:sz="0" w:space="0" w:color="auto" w:frame="1"/>
        </w:rPr>
        <w:t>2016,</w:t>
      </w:r>
      <w:r w:rsidR="00F05F24">
        <w:rPr>
          <w:rFonts w:eastAsia="Calibri"/>
          <w:bCs/>
          <w:color w:val="000000"/>
          <w:spacing w:val="-6"/>
          <w:bdr w:val="none" w:sz="0" w:space="0" w:color="auto" w:frame="1"/>
        </w:rPr>
        <w:t xml:space="preserve"> </w:t>
      </w:r>
      <w:r w:rsidRPr="00F24607">
        <w:rPr>
          <w:rFonts w:eastAsia="Calibri"/>
          <w:bCs/>
          <w:color w:val="000000"/>
          <w:spacing w:val="-6"/>
          <w:bdr w:val="none" w:sz="0" w:space="0" w:color="auto" w:frame="1"/>
        </w:rPr>
        <w:t xml:space="preserve">Coup attempt, </w:t>
      </w:r>
      <w:r w:rsidR="00F05F24">
        <w:rPr>
          <w:rFonts w:eastAsia="Calibri"/>
          <w:bCs/>
          <w:color w:val="000000"/>
          <w:spacing w:val="-6"/>
          <w:bdr w:val="none" w:sz="0" w:space="0" w:color="auto" w:frame="1"/>
        </w:rPr>
        <w:t xml:space="preserve">there has been </w:t>
      </w:r>
      <w:r w:rsidRPr="00F24607">
        <w:rPr>
          <w:rFonts w:eastAsia="Calibri"/>
          <w:bCs/>
          <w:color w:val="000000"/>
          <w:spacing w:val="-6"/>
          <w:bdr w:val="none" w:sz="0" w:space="0" w:color="auto" w:frame="1"/>
        </w:rPr>
        <w:t>a considerable backsliding in the areas of freedom of assembly and association</w:t>
      </w:r>
      <w:r w:rsidR="00F05F24">
        <w:rPr>
          <w:rFonts w:eastAsia="Calibri"/>
          <w:bCs/>
          <w:color w:val="000000"/>
          <w:spacing w:val="-6"/>
          <w:bdr w:val="none" w:sz="0" w:space="0" w:color="auto" w:frame="1"/>
        </w:rPr>
        <w:t>. T</w:t>
      </w:r>
      <w:r w:rsidRPr="00F24607">
        <w:rPr>
          <w:rFonts w:eastAsia="Calibri"/>
          <w:bCs/>
          <w:color w:val="000000"/>
          <w:spacing w:val="-6"/>
          <w:bdr w:val="none" w:sz="0" w:space="0" w:color="auto" w:frame="1"/>
        </w:rPr>
        <w:t xml:space="preserve">he state of </w:t>
      </w:r>
      <w:r w:rsidR="00770645" w:rsidRPr="00F24607">
        <w:rPr>
          <w:rFonts w:eastAsia="Calibri"/>
          <w:bCs/>
          <w:color w:val="000000"/>
          <w:spacing w:val="-6"/>
          <w:bdr w:val="none" w:sz="0" w:space="0" w:color="auto" w:frame="1"/>
        </w:rPr>
        <w:t>emergency expanded</w:t>
      </w:r>
      <w:r w:rsidRPr="00F24607">
        <w:rPr>
          <w:rFonts w:eastAsia="Calibri"/>
          <w:bCs/>
          <w:color w:val="000000"/>
          <w:spacing w:val="-6"/>
          <w:bdr w:val="none" w:sz="0" w:space="0" w:color="auto" w:frame="1"/>
        </w:rPr>
        <w:t xml:space="preserve"> the government’s powers to restrict the right to peaceful assembly</w:t>
      </w:r>
      <w:r w:rsidR="00F05F24">
        <w:rPr>
          <w:rFonts w:eastAsia="Calibri"/>
          <w:bCs/>
          <w:color w:val="000000"/>
          <w:spacing w:val="-6"/>
          <w:bdr w:val="none" w:sz="0" w:space="0" w:color="auto" w:frame="1"/>
        </w:rPr>
        <w:t xml:space="preserve"> and </w:t>
      </w:r>
      <w:r w:rsidR="007D7B32">
        <w:rPr>
          <w:rFonts w:eastAsia="Calibri"/>
          <w:bCs/>
          <w:color w:val="000000"/>
          <w:spacing w:val="-6"/>
          <w:bdr w:val="none" w:sz="0" w:space="0" w:color="auto" w:frame="1"/>
        </w:rPr>
        <w:t>COVID</w:t>
      </w:r>
      <w:r w:rsidR="00F05F24">
        <w:rPr>
          <w:rFonts w:eastAsia="Calibri"/>
          <w:bCs/>
          <w:color w:val="000000"/>
          <w:spacing w:val="-6"/>
          <w:bdr w:val="none" w:sz="0" w:space="0" w:color="auto" w:frame="1"/>
        </w:rPr>
        <w:t xml:space="preserve">-19 </w:t>
      </w:r>
      <w:r w:rsidR="007D7B32" w:rsidRPr="007D7B32">
        <w:rPr>
          <w:rFonts w:eastAsia="Calibri"/>
          <w:bCs/>
          <w:color w:val="000000"/>
          <w:spacing w:val="-6"/>
          <w:bdr w:val="none" w:sz="0" w:space="0" w:color="auto" w:frame="1"/>
        </w:rPr>
        <w:t>pandemic</w:t>
      </w:r>
      <w:r w:rsidR="00F05F24">
        <w:rPr>
          <w:rFonts w:eastAsia="Calibri"/>
          <w:bCs/>
          <w:color w:val="000000"/>
          <w:spacing w:val="-6"/>
          <w:bdr w:val="none" w:sz="0" w:space="0" w:color="auto" w:frame="1"/>
        </w:rPr>
        <w:t xml:space="preserve"> </w:t>
      </w:r>
      <w:r w:rsidR="001074C8">
        <w:rPr>
          <w:rFonts w:eastAsia="Calibri"/>
          <w:bCs/>
          <w:color w:val="000000"/>
          <w:spacing w:val="-6"/>
          <w:bdr w:val="none" w:sz="0" w:space="0" w:color="auto" w:frame="1"/>
        </w:rPr>
        <w:t xml:space="preserve">further </w:t>
      </w:r>
      <w:r w:rsidR="001074C8" w:rsidRPr="007D7B32">
        <w:rPr>
          <w:rFonts w:eastAsia="Calibri"/>
          <w:bCs/>
          <w:color w:val="000000"/>
          <w:spacing w:val="-6"/>
          <w:bdr w:val="none" w:sz="0" w:space="0" w:color="auto" w:frame="1"/>
        </w:rPr>
        <w:t>enabled</w:t>
      </w:r>
      <w:r w:rsidR="007D7B32" w:rsidRPr="007D7B32">
        <w:rPr>
          <w:rFonts w:eastAsia="Calibri"/>
          <w:bCs/>
          <w:color w:val="000000"/>
          <w:spacing w:val="-6"/>
          <w:bdr w:val="none" w:sz="0" w:space="0" w:color="auto" w:frame="1"/>
        </w:rPr>
        <w:t xml:space="preserve"> the government to introduce new restrictive measures to limit </w:t>
      </w:r>
      <w:r w:rsidR="007D7B32">
        <w:rPr>
          <w:rFonts w:eastAsia="Calibri"/>
          <w:bCs/>
          <w:color w:val="000000"/>
          <w:spacing w:val="-6"/>
          <w:bdr w:val="none" w:sz="0" w:space="0" w:color="auto" w:frame="1"/>
        </w:rPr>
        <w:t>opposition</w:t>
      </w:r>
      <w:r w:rsidR="007D7B32" w:rsidRPr="007D7B32">
        <w:rPr>
          <w:rFonts w:eastAsia="Calibri"/>
          <w:bCs/>
          <w:color w:val="000000"/>
          <w:spacing w:val="-6"/>
          <w:bdr w:val="none" w:sz="0" w:space="0" w:color="auto" w:frame="1"/>
        </w:rPr>
        <w:t>. As part of the extraordinary measures to prevent the spread of the coronavirus, the government prohibited all meetings and civil society activities</w:t>
      </w:r>
      <w:r w:rsidR="007D7B32">
        <w:rPr>
          <w:rFonts w:eastAsia="Calibri"/>
          <w:bCs/>
          <w:color w:val="000000"/>
          <w:spacing w:val="-6"/>
          <w:bdr w:val="none" w:sz="0" w:space="0" w:color="auto" w:frame="1"/>
        </w:rPr>
        <w:t xml:space="preserve">. </w:t>
      </w:r>
      <w:r w:rsidR="007D7B32" w:rsidRPr="007D7B32">
        <w:rPr>
          <w:rFonts w:eastAsia="Calibri"/>
          <w:bCs/>
          <w:color w:val="000000"/>
          <w:spacing w:val="-6"/>
          <w:bdr w:val="none" w:sz="0" w:space="0" w:color="auto" w:frame="1"/>
        </w:rPr>
        <w:t xml:space="preserve">The negative trend </w:t>
      </w:r>
      <w:r w:rsidR="00770645" w:rsidRPr="007D7B32">
        <w:rPr>
          <w:rFonts w:eastAsia="Calibri"/>
          <w:bCs/>
          <w:color w:val="000000"/>
          <w:spacing w:val="-6"/>
          <w:bdr w:val="none" w:sz="0" w:space="0" w:color="auto" w:frame="1"/>
        </w:rPr>
        <w:t>regarding</w:t>
      </w:r>
      <w:r w:rsidR="007D7B32" w:rsidRPr="007D7B32">
        <w:rPr>
          <w:rFonts w:eastAsia="Calibri"/>
          <w:bCs/>
          <w:color w:val="000000"/>
          <w:spacing w:val="-6"/>
          <w:bdr w:val="none" w:sz="0" w:space="0" w:color="auto" w:frame="1"/>
        </w:rPr>
        <w:t xml:space="preserve"> freedom of expression continued. Particularly concerning trends include</w:t>
      </w:r>
      <w:r w:rsidR="007D7B32">
        <w:rPr>
          <w:rFonts w:eastAsia="Calibri"/>
          <w:bCs/>
          <w:color w:val="000000"/>
          <w:spacing w:val="-6"/>
          <w:bdr w:val="none" w:sz="0" w:space="0" w:color="auto" w:frame="1"/>
        </w:rPr>
        <w:t>d</w:t>
      </w:r>
      <w:r w:rsidR="007D7B32" w:rsidRPr="007D7B32">
        <w:rPr>
          <w:rFonts w:eastAsia="Calibri"/>
          <w:bCs/>
          <w:color w:val="000000"/>
          <w:spacing w:val="-6"/>
          <w:bdr w:val="none" w:sz="0" w:space="0" w:color="auto" w:frame="1"/>
        </w:rPr>
        <w:t xml:space="preserve"> the systematic intimidation of opposition media through detaining, arresting and prosecuting journalists, which has </w:t>
      </w:r>
      <w:r w:rsidR="007D7B32">
        <w:rPr>
          <w:rFonts w:eastAsia="Calibri"/>
          <w:bCs/>
          <w:color w:val="000000"/>
          <w:spacing w:val="-6"/>
          <w:bdr w:val="none" w:sz="0" w:space="0" w:color="auto" w:frame="1"/>
        </w:rPr>
        <w:t xml:space="preserve">eventually </w:t>
      </w:r>
      <w:r w:rsidR="007D7B32" w:rsidRPr="007D7B32">
        <w:rPr>
          <w:rFonts w:eastAsia="Calibri"/>
          <w:bCs/>
          <w:color w:val="000000"/>
          <w:spacing w:val="-6"/>
          <w:bdr w:val="none" w:sz="0" w:space="0" w:color="auto" w:frame="1"/>
        </w:rPr>
        <w:t>led to self-censorship</w:t>
      </w:r>
      <w:r w:rsidR="007D7B32">
        <w:rPr>
          <w:rFonts w:eastAsia="Calibri"/>
          <w:bCs/>
          <w:color w:val="000000"/>
          <w:spacing w:val="-6"/>
          <w:bdr w:val="none" w:sz="0" w:space="0" w:color="auto" w:frame="1"/>
        </w:rPr>
        <w:t xml:space="preserve">. </w:t>
      </w:r>
      <w:r w:rsidR="00770645" w:rsidRPr="00770645">
        <w:rPr>
          <w:rFonts w:eastAsia="Calibri"/>
          <w:bCs/>
          <w:color w:val="000000"/>
          <w:spacing w:val="-6"/>
          <w:bdr w:val="none" w:sz="0" w:space="0" w:color="auto" w:frame="1"/>
        </w:rPr>
        <w:t xml:space="preserve">Turkey’s position in the World Press Freedom Index </w:t>
      </w:r>
      <w:r w:rsidR="00770645">
        <w:rPr>
          <w:rFonts w:eastAsia="Calibri"/>
          <w:bCs/>
          <w:color w:val="000000"/>
          <w:spacing w:val="-6"/>
          <w:bdr w:val="none" w:sz="0" w:space="0" w:color="auto" w:frame="1"/>
        </w:rPr>
        <w:t>was</w:t>
      </w:r>
      <w:r w:rsidR="00770645" w:rsidRPr="00770645">
        <w:rPr>
          <w:rFonts w:eastAsia="Calibri"/>
          <w:bCs/>
          <w:color w:val="000000"/>
          <w:spacing w:val="-6"/>
          <w:bdr w:val="none" w:sz="0" w:space="0" w:color="auto" w:frame="1"/>
        </w:rPr>
        <w:t xml:space="preserve"> 154 in 2020 (out of 180 countries).</w:t>
      </w:r>
    </w:p>
    <w:p w14:paraId="12C9C810" w14:textId="75C0EB0D" w:rsidR="00770645" w:rsidRDefault="00F24607" w:rsidP="009E7BD9">
      <w:pPr>
        <w:pStyle w:val="NormalWeb"/>
        <w:shd w:val="clear" w:color="auto" w:fill="FFFFFF"/>
        <w:jc w:val="both"/>
        <w:textAlignment w:val="baseline"/>
        <w:rPr>
          <w:rFonts w:eastAsia="Calibri"/>
          <w:bCs/>
          <w:color w:val="000000"/>
          <w:spacing w:val="-6"/>
          <w:bdr w:val="none" w:sz="0" w:space="0" w:color="auto" w:frame="1"/>
        </w:rPr>
      </w:pPr>
      <w:r w:rsidRPr="00F24607">
        <w:rPr>
          <w:bCs/>
          <w:color w:val="000000"/>
          <w:spacing w:val="-6"/>
          <w:bdr w:val="none" w:sz="0" w:space="0" w:color="auto" w:frame="1"/>
          <w:lang w:val="en-GB"/>
        </w:rPr>
        <w:t xml:space="preserve">Regarding the fourth partial regime, </w:t>
      </w:r>
      <w:r w:rsidRPr="00F24607">
        <w:rPr>
          <w:b/>
          <w:i/>
          <w:iCs/>
          <w:color w:val="000000"/>
          <w:spacing w:val="-6"/>
          <w:bdr w:val="none" w:sz="0" w:space="0" w:color="auto" w:frame="1"/>
          <w:lang w:val="en-GB"/>
        </w:rPr>
        <w:t>horizontal accountability</w:t>
      </w:r>
      <w:r w:rsidRPr="00F24607">
        <w:rPr>
          <w:bCs/>
          <w:color w:val="000000"/>
          <w:spacing w:val="-6"/>
          <w:bdr w:val="none" w:sz="0" w:space="0" w:color="auto" w:frame="1"/>
          <w:lang w:val="en-GB"/>
        </w:rPr>
        <w:t>, t</w:t>
      </w:r>
      <w:r w:rsidRPr="00F24607">
        <w:rPr>
          <w:rFonts w:eastAsia="Calibri"/>
          <w:bCs/>
          <w:color w:val="000000"/>
          <w:spacing w:val="-6"/>
          <w:bdr w:val="none" w:sz="0" w:space="0" w:color="auto" w:frame="1"/>
        </w:rPr>
        <w:t xml:space="preserve">he EU continued to pay major </w:t>
      </w:r>
      <w:r w:rsidR="0065467D" w:rsidRPr="00F24607">
        <w:rPr>
          <w:rFonts w:eastAsia="Calibri"/>
          <w:bCs/>
          <w:color w:val="000000"/>
          <w:spacing w:val="-6"/>
          <w:bdr w:val="none" w:sz="0" w:space="0" w:color="auto" w:frame="1"/>
        </w:rPr>
        <w:t xml:space="preserve">attention </w:t>
      </w:r>
      <w:r w:rsidR="00433BC8">
        <w:rPr>
          <w:bCs/>
          <w:color w:val="000000"/>
          <w:spacing w:val="-6"/>
          <w:bdr w:val="none" w:sz="0" w:space="0" w:color="auto" w:frame="1"/>
        </w:rPr>
        <w:t>during</w:t>
      </w:r>
      <w:r w:rsidR="00433BC8" w:rsidRPr="00F24607">
        <w:rPr>
          <w:bCs/>
          <w:color w:val="000000"/>
          <w:spacing w:val="-6"/>
          <w:bdr w:val="none" w:sz="0" w:space="0" w:color="auto" w:frame="1"/>
        </w:rPr>
        <w:t xml:space="preserve"> </w:t>
      </w:r>
      <w:r w:rsidRPr="00F24607">
        <w:rPr>
          <w:bCs/>
          <w:color w:val="000000"/>
          <w:spacing w:val="-6"/>
          <w:bdr w:val="none" w:sz="0" w:space="0" w:color="auto" w:frame="1"/>
        </w:rPr>
        <w:t xml:space="preserve">both periods. </w:t>
      </w:r>
      <w:r w:rsidRPr="00F24607">
        <w:rPr>
          <w:rFonts w:eastAsia="Calibri"/>
          <w:bCs/>
          <w:color w:val="000000"/>
          <w:spacing w:val="-6"/>
          <w:bdr w:val="none" w:sz="0" w:space="0" w:color="auto" w:frame="1"/>
        </w:rPr>
        <w:t xml:space="preserve">Occasional political influence on the judiciary in courts that existed during the 2000s became a common practice during the 2010s. </w:t>
      </w:r>
      <w:r w:rsidR="00770645" w:rsidRPr="00770645">
        <w:rPr>
          <w:rFonts w:eastAsia="Calibri"/>
          <w:bCs/>
          <w:color w:val="000000"/>
          <w:spacing w:val="-6"/>
          <w:bdr w:val="none" w:sz="0" w:space="0" w:color="auto" w:frame="1"/>
        </w:rPr>
        <w:t>The absence of effective checks and balances, and the excessive concentration of power in the president</w:t>
      </w:r>
      <w:r w:rsidR="00770645">
        <w:rPr>
          <w:rFonts w:eastAsia="Calibri"/>
          <w:bCs/>
          <w:color w:val="000000"/>
          <w:spacing w:val="-6"/>
          <w:bdr w:val="none" w:sz="0" w:space="0" w:color="auto" w:frame="1"/>
        </w:rPr>
        <w:t xml:space="preserve"> being head of the executive</w:t>
      </w:r>
      <w:r w:rsidR="00770645" w:rsidRPr="00770645">
        <w:rPr>
          <w:rFonts w:eastAsia="Calibri"/>
          <w:bCs/>
          <w:color w:val="000000"/>
          <w:spacing w:val="-6"/>
          <w:bdr w:val="none" w:sz="0" w:space="0" w:color="auto" w:frame="1"/>
        </w:rPr>
        <w:t xml:space="preserve"> at the expense of the legislative and judiciary has become </w:t>
      </w:r>
      <w:r w:rsidR="001074C8" w:rsidRPr="00770645">
        <w:rPr>
          <w:rFonts w:eastAsia="Calibri"/>
          <w:bCs/>
          <w:color w:val="000000"/>
          <w:spacing w:val="-6"/>
          <w:bdr w:val="none" w:sz="0" w:space="0" w:color="auto" w:frame="1"/>
        </w:rPr>
        <w:t>a</w:t>
      </w:r>
      <w:r w:rsidR="00770645" w:rsidRPr="00770645">
        <w:rPr>
          <w:rFonts w:eastAsia="Calibri"/>
          <w:bCs/>
          <w:color w:val="000000"/>
          <w:spacing w:val="-6"/>
          <w:bdr w:val="none" w:sz="0" w:space="0" w:color="auto" w:frame="1"/>
        </w:rPr>
        <w:t xml:space="preserve"> </w:t>
      </w:r>
      <w:r w:rsidR="00770645">
        <w:rPr>
          <w:rFonts w:eastAsia="Calibri"/>
          <w:bCs/>
          <w:color w:val="000000"/>
          <w:spacing w:val="-6"/>
          <w:bdr w:val="none" w:sz="0" w:space="0" w:color="auto" w:frame="1"/>
        </w:rPr>
        <w:t>basic</w:t>
      </w:r>
      <w:r w:rsidR="00770645" w:rsidRPr="00770645">
        <w:rPr>
          <w:rFonts w:eastAsia="Calibri"/>
          <w:bCs/>
          <w:color w:val="000000"/>
          <w:spacing w:val="-6"/>
          <w:bdr w:val="none" w:sz="0" w:space="0" w:color="auto" w:frame="1"/>
        </w:rPr>
        <w:t xml:space="preserve"> characteristic of the political system following the 2017 constitutional amendments and transition to a presidential system</w:t>
      </w:r>
      <w:r w:rsidR="00770645">
        <w:rPr>
          <w:rFonts w:eastAsia="Calibri"/>
          <w:bCs/>
          <w:color w:val="000000"/>
          <w:spacing w:val="-6"/>
          <w:bdr w:val="none" w:sz="0" w:space="0" w:color="auto" w:frame="1"/>
        </w:rPr>
        <w:t>.</w:t>
      </w:r>
    </w:p>
    <w:p w14:paraId="3A7648BB" w14:textId="6A8BE879" w:rsidR="00F24607" w:rsidRPr="00F24607" w:rsidRDefault="00F24607" w:rsidP="009E7BD9">
      <w:pPr>
        <w:pStyle w:val="NormalWeb"/>
        <w:shd w:val="clear" w:color="auto" w:fill="FFFFFF"/>
        <w:jc w:val="both"/>
        <w:textAlignment w:val="baseline"/>
        <w:rPr>
          <w:rFonts w:eastAsia="Calibri"/>
          <w:bCs/>
          <w:color w:val="000000"/>
          <w:spacing w:val="-6"/>
          <w:bdr w:val="none" w:sz="0" w:space="0" w:color="auto" w:frame="1"/>
        </w:rPr>
      </w:pPr>
      <w:r w:rsidRPr="00F24607">
        <w:rPr>
          <w:rFonts w:eastAsia="Calibri"/>
          <w:bCs/>
          <w:color w:val="000000"/>
          <w:spacing w:val="-6"/>
          <w:bdr w:val="none" w:sz="0" w:space="0" w:color="auto" w:frame="1"/>
        </w:rPr>
        <w:t xml:space="preserve">While the EU Progress Reports of 2000s concentrated on </w:t>
      </w:r>
      <w:r w:rsidR="00463259">
        <w:rPr>
          <w:rFonts w:eastAsia="Calibri"/>
          <w:bCs/>
          <w:color w:val="000000"/>
          <w:spacing w:val="-6"/>
          <w:bdr w:val="none" w:sz="0" w:space="0" w:color="auto" w:frame="1"/>
        </w:rPr>
        <w:t xml:space="preserve">questioning the </w:t>
      </w:r>
      <w:r w:rsidRPr="00F24607">
        <w:rPr>
          <w:rFonts w:eastAsia="Calibri"/>
          <w:bCs/>
          <w:color w:val="000000"/>
          <w:spacing w:val="-6"/>
          <w:bdr w:val="none" w:sz="0" w:space="0" w:color="auto" w:frame="1"/>
        </w:rPr>
        <w:t>independence</w:t>
      </w:r>
      <w:r w:rsidR="007D52A6">
        <w:rPr>
          <w:rFonts w:eastAsia="Calibri"/>
          <w:bCs/>
          <w:color w:val="000000"/>
          <w:spacing w:val="-6"/>
          <w:bdr w:val="none" w:sz="0" w:space="0" w:color="auto" w:frame="1"/>
        </w:rPr>
        <w:t xml:space="preserve"> and</w:t>
      </w:r>
      <w:r w:rsidRPr="00F24607">
        <w:rPr>
          <w:rFonts w:eastAsia="Calibri"/>
          <w:bCs/>
          <w:color w:val="000000"/>
          <w:spacing w:val="-6"/>
          <w:bdr w:val="none" w:sz="0" w:space="0" w:color="auto" w:frame="1"/>
        </w:rPr>
        <w:t xml:space="preserve"> impartiality </w:t>
      </w:r>
      <w:r w:rsidRPr="00F24607">
        <w:rPr>
          <w:bCs/>
          <w:color w:val="000000"/>
          <w:spacing w:val="-6"/>
          <w:bdr w:val="none" w:sz="0" w:space="0" w:color="auto" w:frame="1"/>
        </w:rPr>
        <w:t xml:space="preserve">of </w:t>
      </w:r>
      <w:r w:rsidRPr="00F24607">
        <w:rPr>
          <w:rFonts w:eastAsia="Calibri"/>
          <w:bCs/>
          <w:color w:val="000000"/>
          <w:spacing w:val="-6"/>
          <w:bdr w:val="none" w:sz="0" w:space="0" w:color="auto" w:frame="1"/>
        </w:rPr>
        <w:t>Turkish judiciary in cases related to Kurdish problem</w:t>
      </w:r>
      <w:r w:rsidR="00EA3193">
        <w:rPr>
          <w:rFonts w:eastAsia="Calibri"/>
          <w:bCs/>
          <w:color w:val="000000"/>
          <w:spacing w:val="-6"/>
          <w:bdr w:val="none" w:sz="0" w:space="0" w:color="auto" w:frame="1"/>
        </w:rPr>
        <w:t xml:space="preserve">, </w:t>
      </w:r>
      <w:r w:rsidRPr="00F24607">
        <w:rPr>
          <w:rFonts w:eastAsia="Calibri"/>
          <w:bCs/>
          <w:color w:val="000000"/>
          <w:spacing w:val="-6"/>
          <w:bdr w:val="none" w:sz="0" w:space="0" w:color="auto" w:frame="1"/>
        </w:rPr>
        <w:t xml:space="preserve"> Reports of 2010s paid major attention to the complications created to the separation of powers with the amendments to the law on the High Council of Judges and Prosecutors (</w:t>
      </w:r>
      <w:r w:rsidRPr="00F24607">
        <w:rPr>
          <w:rFonts w:eastAsia="Calibri"/>
          <w:bCs/>
          <w:i/>
          <w:color w:val="000000"/>
          <w:spacing w:val="-6"/>
          <w:bdr w:val="none" w:sz="0" w:space="0" w:color="auto" w:frame="1"/>
          <w:lang w:val="tr-TR"/>
        </w:rPr>
        <w:t>Hakimler ve Savcılar Yüksek Kurulu</w:t>
      </w:r>
      <w:r w:rsidRPr="00F24607">
        <w:rPr>
          <w:rFonts w:eastAsia="Calibri"/>
          <w:bCs/>
          <w:color w:val="000000"/>
          <w:spacing w:val="-6"/>
          <w:bdr w:val="none" w:sz="0" w:space="0" w:color="auto" w:frame="1"/>
          <w:lang w:val="tr-TR"/>
        </w:rPr>
        <w:t xml:space="preserve"> –HSYK)</w:t>
      </w:r>
      <w:r w:rsidRPr="00F24607">
        <w:rPr>
          <w:rFonts w:eastAsia="Calibri"/>
          <w:bCs/>
          <w:color w:val="000000"/>
          <w:spacing w:val="-6"/>
          <w:bdr w:val="none" w:sz="0" w:space="0" w:color="auto" w:frame="1"/>
        </w:rPr>
        <w:t xml:space="preserve"> and the independence, impartiality and the efficiency of judiciary particularly to the cases related to Gülen organization in the aftermath of the July 15 coup attempt. Under the state of emergency, the Parliament's key function as legislative power was curtailed, as the government resorted to emergency decrees with 'the force of law’, also regulating issues which should have been processed under the ordinary legislative procedure.”</w:t>
      </w:r>
      <w:r w:rsidRPr="00F24607">
        <w:rPr>
          <w:rFonts w:eastAsia="Calibri"/>
          <w:bCs/>
          <w:color w:val="000000"/>
          <w:spacing w:val="-6"/>
          <w:bdr w:val="none" w:sz="0" w:space="0" w:color="auto" w:frame="1"/>
          <w:vertAlign w:val="superscript"/>
        </w:rPr>
        <w:footnoteReference w:id="19"/>
      </w:r>
      <w:r w:rsidRPr="00F24607">
        <w:rPr>
          <w:rFonts w:eastAsia="Calibri"/>
          <w:bCs/>
          <w:color w:val="000000"/>
          <w:spacing w:val="-6"/>
          <w:bdr w:val="none" w:sz="0" w:space="0" w:color="auto" w:frame="1"/>
        </w:rPr>
        <w:t xml:space="preserve"> </w:t>
      </w:r>
      <w:r w:rsidRPr="00F24607">
        <w:rPr>
          <w:rFonts w:eastAsia="Calibri"/>
          <w:bCs/>
          <w:color w:val="000000"/>
          <w:spacing w:val="-6"/>
          <w:bdr w:val="none" w:sz="0" w:space="0" w:color="auto" w:frame="1"/>
          <w:lang w:val="en-GB"/>
        </w:rPr>
        <w:t xml:space="preserve">The President’s role was further reinforced </w:t>
      </w:r>
      <w:r w:rsidR="00827F1D">
        <w:rPr>
          <w:rFonts w:eastAsia="Calibri"/>
          <w:bCs/>
          <w:color w:val="000000"/>
          <w:spacing w:val="-6"/>
          <w:bdr w:val="none" w:sz="0" w:space="0" w:color="auto" w:frame="1"/>
          <w:lang w:val="en-GB"/>
        </w:rPr>
        <w:t>when</w:t>
      </w:r>
      <w:r w:rsidRPr="00F24607">
        <w:rPr>
          <w:rFonts w:eastAsia="Calibri"/>
          <w:bCs/>
          <w:color w:val="000000"/>
          <w:spacing w:val="-6"/>
          <w:bdr w:val="none" w:sz="0" w:space="0" w:color="auto" w:frame="1"/>
          <w:lang w:val="en-GB"/>
        </w:rPr>
        <w:t xml:space="preserve"> the power to govern by decree was given under the state of emergency to the Council of Ministers under the chairmanship of the President.</w:t>
      </w:r>
      <w:r w:rsidRPr="00F24607">
        <w:rPr>
          <w:rFonts w:eastAsia="Calibri"/>
          <w:bCs/>
          <w:color w:val="000000"/>
          <w:spacing w:val="-6"/>
          <w:bdr w:val="none" w:sz="0" w:space="0" w:color="auto" w:frame="1"/>
          <w:vertAlign w:val="superscript"/>
        </w:rPr>
        <w:footnoteReference w:id="20"/>
      </w:r>
    </w:p>
    <w:p w14:paraId="35DD4D7C" w14:textId="50EFA3F7" w:rsidR="008A1205" w:rsidRDefault="00EB1DC4" w:rsidP="009E7BD9">
      <w:pPr>
        <w:pStyle w:val="NormalWeb"/>
        <w:shd w:val="clear" w:color="auto" w:fill="FFFFFF"/>
        <w:jc w:val="both"/>
        <w:textAlignment w:val="baseline"/>
        <w:rPr>
          <w:rFonts w:asciiTheme="minorHAnsi" w:eastAsia="Calibri" w:hAnsiTheme="minorHAnsi" w:cstheme="minorBidi"/>
          <w:bCs/>
          <w:color w:val="000000"/>
          <w:spacing w:val="-6"/>
          <w:bdr w:val="none" w:sz="0" w:space="0" w:color="auto" w:frame="1"/>
        </w:rPr>
      </w:pPr>
      <w:r>
        <w:rPr>
          <w:bCs/>
          <w:color w:val="000000"/>
          <w:spacing w:val="-6"/>
          <w:bdr w:val="none" w:sz="0" w:space="0" w:color="auto" w:frame="1"/>
          <w:lang w:val="en-GB"/>
        </w:rPr>
        <w:t xml:space="preserve">Coming to the </w:t>
      </w:r>
      <w:r w:rsidR="006A7F6E">
        <w:rPr>
          <w:bCs/>
          <w:color w:val="000000"/>
          <w:spacing w:val="-6"/>
          <w:bdr w:val="none" w:sz="0" w:space="0" w:color="auto" w:frame="1"/>
          <w:lang w:val="en-GB"/>
        </w:rPr>
        <w:t xml:space="preserve">fifth partial regime, </w:t>
      </w:r>
      <w:r w:rsidR="00D847AF" w:rsidRPr="00D847AF">
        <w:rPr>
          <w:b/>
          <w:bCs/>
          <w:i/>
          <w:color w:val="000000"/>
          <w:spacing w:val="-6"/>
          <w:bdr w:val="none" w:sz="0" w:space="0" w:color="auto" w:frame="1"/>
        </w:rPr>
        <w:t>effective power to govern</w:t>
      </w:r>
      <w:r w:rsidR="00735444">
        <w:rPr>
          <w:bCs/>
          <w:color w:val="000000"/>
          <w:spacing w:val="-6"/>
          <w:bdr w:val="none" w:sz="0" w:space="0" w:color="auto" w:frame="1"/>
        </w:rPr>
        <w:t xml:space="preserve">, </w:t>
      </w:r>
      <w:r w:rsidR="00F24607" w:rsidRPr="00F24607">
        <w:rPr>
          <w:bCs/>
          <w:color w:val="000000"/>
          <w:spacing w:val="-6"/>
          <w:bdr w:val="none" w:sz="0" w:space="0" w:color="auto" w:frame="1"/>
          <w:lang w:val="en-GB"/>
        </w:rPr>
        <w:t xml:space="preserve">Turkey is one of the few instances in which the EU promoted the effective power to govern, due to the strong role of the military in domestic politics. </w:t>
      </w:r>
      <w:r w:rsidR="00F24607" w:rsidRPr="00F24607">
        <w:rPr>
          <w:bCs/>
          <w:color w:val="000000"/>
          <w:spacing w:val="-6"/>
          <w:bdr w:val="none" w:sz="0" w:space="0" w:color="auto" w:frame="1"/>
        </w:rPr>
        <w:t>The</w:t>
      </w:r>
      <w:r w:rsidR="00F24607" w:rsidRPr="00F24607">
        <w:rPr>
          <w:rFonts w:eastAsia="Calibri"/>
          <w:bCs/>
          <w:color w:val="000000"/>
          <w:spacing w:val="-6"/>
          <w:bdr w:val="none" w:sz="0" w:space="0" w:color="auto" w:frame="1"/>
        </w:rPr>
        <w:t xml:space="preserve"> focused attention to </w:t>
      </w:r>
      <w:r w:rsidR="00F24607" w:rsidRPr="003C560D">
        <w:rPr>
          <w:rFonts w:eastAsia="Calibri"/>
          <w:bCs/>
          <w:iCs/>
          <w:color w:val="000000"/>
          <w:spacing w:val="-6"/>
          <w:bdr w:val="none" w:sz="0" w:space="0" w:color="auto" w:frame="1"/>
        </w:rPr>
        <w:t>effective power to govern</w:t>
      </w:r>
      <w:r w:rsidR="00F24607" w:rsidRPr="00F24607">
        <w:rPr>
          <w:rFonts w:eastAsia="Calibri"/>
          <w:bCs/>
          <w:color w:val="000000"/>
          <w:spacing w:val="-6"/>
          <w:bdr w:val="none" w:sz="0" w:space="0" w:color="auto" w:frame="1"/>
        </w:rPr>
        <w:t xml:space="preserve"> during the 2000s, </w:t>
      </w:r>
      <w:r w:rsidR="00F24607" w:rsidRPr="00F24607">
        <w:rPr>
          <w:bCs/>
          <w:color w:val="000000"/>
          <w:spacing w:val="-6"/>
          <w:bdr w:val="none" w:sz="0" w:space="0" w:color="auto" w:frame="1"/>
        </w:rPr>
        <w:t xml:space="preserve">later changed into a </w:t>
      </w:r>
      <w:r w:rsidR="00F24607" w:rsidRPr="00F24607">
        <w:rPr>
          <w:rFonts w:eastAsia="Calibri"/>
          <w:bCs/>
          <w:color w:val="000000"/>
          <w:spacing w:val="-6"/>
          <w:bdr w:val="none" w:sz="0" w:space="0" w:color="auto" w:frame="1"/>
        </w:rPr>
        <w:t xml:space="preserve">major attention. </w:t>
      </w:r>
      <w:r w:rsidR="00F24607" w:rsidRPr="00F24607">
        <w:rPr>
          <w:rFonts w:eastAsia="Calibri"/>
          <w:b/>
          <w:bCs/>
          <w:color w:val="000000"/>
          <w:spacing w:val="-6"/>
          <w:bdr w:val="none" w:sz="0" w:space="0" w:color="auto" w:frame="1"/>
        </w:rPr>
        <w:t xml:space="preserve"> </w:t>
      </w:r>
      <w:r w:rsidR="00F24607" w:rsidRPr="003C560D">
        <w:rPr>
          <w:color w:val="000000"/>
          <w:spacing w:val="-6"/>
          <w:bdr w:val="none" w:sz="0" w:space="0" w:color="auto" w:frame="1"/>
        </w:rPr>
        <w:t>T</w:t>
      </w:r>
      <w:r w:rsidR="00F24607" w:rsidRPr="00F24607">
        <w:rPr>
          <w:rFonts w:eastAsia="Calibri"/>
          <w:bCs/>
          <w:color w:val="000000"/>
          <w:spacing w:val="-6"/>
          <w:bdr w:val="none" w:sz="0" w:space="0" w:color="auto" w:frame="1"/>
          <w:lang w:val="tr-TR"/>
        </w:rPr>
        <w:t>he power that the Turkish military exerted in politics through both institutional and non-institutional mechanisms and the dominant role it played in the National Security Council</w:t>
      </w:r>
      <w:r w:rsidR="00F24607" w:rsidRPr="00F24607">
        <w:rPr>
          <w:bCs/>
          <w:color w:val="000000"/>
          <w:spacing w:val="-6"/>
          <w:bdr w:val="none" w:sz="0" w:space="0" w:color="auto" w:frame="1"/>
          <w:lang w:val="tr-TR"/>
        </w:rPr>
        <w:t xml:space="preserve"> has always been criticized</w:t>
      </w:r>
      <w:r w:rsidR="00F24607" w:rsidRPr="00F24607">
        <w:rPr>
          <w:rFonts w:eastAsia="Calibri"/>
          <w:bCs/>
          <w:color w:val="000000"/>
          <w:spacing w:val="-6"/>
          <w:bdr w:val="none" w:sz="0" w:space="0" w:color="auto" w:frame="1"/>
          <w:lang w:val="tr-TR"/>
        </w:rPr>
        <w:t>.</w:t>
      </w:r>
      <w:r w:rsidR="00F24607" w:rsidRPr="00F24607">
        <w:rPr>
          <w:rFonts w:eastAsia="Calibri"/>
          <w:bCs/>
          <w:color w:val="000000"/>
          <w:spacing w:val="-6"/>
          <w:bdr w:val="none" w:sz="0" w:space="0" w:color="auto" w:frame="1"/>
          <w:vertAlign w:val="superscript"/>
          <w:lang w:val="tr-TR"/>
        </w:rPr>
        <w:footnoteReference w:id="21"/>
      </w:r>
      <w:r w:rsidR="00F24607" w:rsidRPr="00F24607">
        <w:rPr>
          <w:rFonts w:eastAsia="Calibri"/>
          <w:bCs/>
          <w:color w:val="000000"/>
          <w:spacing w:val="-6"/>
          <w:bdr w:val="none" w:sz="0" w:space="0" w:color="auto" w:frame="1"/>
          <w:lang w:val="tr-TR"/>
        </w:rPr>
        <w:t xml:space="preserve"> While Turkey Reports of early 2010s was still busy stating the positive developments in civil-military relations, starting from the mid 2010s the main “effective power to govern” issue had become the Gülen Organization which managed to </w:t>
      </w:r>
      <w:r w:rsidR="00F24607" w:rsidRPr="00F24607">
        <w:rPr>
          <w:rFonts w:eastAsia="Calibri"/>
          <w:bCs/>
          <w:color w:val="000000"/>
          <w:spacing w:val="-6"/>
          <w:bdr w:val="none" w:sz="0" w:space="0" w:color="auto" w:frame="1"/>
          <w:lang w:val="en-GB"/>
        </w:rPr>
        <w:t xml:space="preserve">penetrate at every level of the government including parliament, judiciary, bureaucracy, security forces as well as the education and health sectors among many others. This organization had been working as a parallel structure to the government. </w:t>
      </w:r>
      <w:r w:rsidR="00F24607" w:rsidRPr="00F24607">
        <w:rPr>
          <w:rFonts w:eastAsia="Calibri"/>
          <w:bCs/>
          <w:color w:val="000000"/>
          <w:spacing w:val="-6"/>
          <w:bdr w:val="none" w:sz="0" w:space="0" w:color="auto" w:frame="1"/>
        </w:rPr>
        <w:t>Th</w:t>
      </w:r>
      <w:r w:rsidR="00F24607" w:rsidRPr="00F24607">
        <w:rPr>
          <w:bCs/>
          <w:color w:val="000000"/>
          <w:spacing w:val="-6"/>
          <w:bdr w:val="none" w:sz="0" w:space="0" w:color="auto" w:frame="1"/>
        </w:rPr>
        <w:t>e</w:t>
      </w:r>
      <w:r w:rsidR="00F24607" w:rsidRPr="00F24607">
        <w:rPr>
          <w:rFonts w:eastAsia="Calibri"/>
          <w:bCs/>
          <w:color w:val="000000"/>
          <w:spacing w:val="-6"/>
          <w:bdr w:val="none" w:sz="0" w:space="0" w:color="auto" w:frame="1"/>
        </w:rPr>
        <w:t xml:space="preserve"> coup attempt led to the increase in civilian control over the military by expanding the powers of civilian institutions over the military.</w:t>
      </w:r>
      <w:r w:rsidR="00F24607" w:rsidRPr="00F24607">
        <w:rPr>
          <w:rFonts w:eastAsia="Calibri"/>
          <w:bCs/>
          <w:color w:val="000000"/>
          <w:spacing w:val="-6"/>
          <w:bdr w:val="none" w:sz="0" w:space="0" w:color="auto" w:frame="1"/>
          <w:vertAlign w:val="superscript"/>
        </w:rPr>
        <w:footnoteReference w:id="22"/>
      </w:r>
      <w:r w:rsidR="00F24607" w:rsidRPr="00F24607">
        <w:rPr>
          <w:rFonts w:eastAsia="Calibri"/>
          <w:bCs/>
          <w:color w:val="000000"/>
          <w:spacing w:val="-6"/>
          <w:bdr w:val="none" w:sz="0" w:space="0" w:color="auto" w:frame="1"/>
        </w:rPr>
        <w:t xml:space="preserve">  As a reaction to the coup attempt, “a large number of high-ranking officers were dismissed and arrested on the grounds of their alleged involvement in the attempted coup.”</w:t>
      </w:r>
      <w:r w:rsidR="00F24607" w:rsidRPr="00F24607">
        <w:rPr>
          <w:rFonts w:eastAsia="Calibri"/>
          <w:bCs/>
          <w:color w:val="000000"/>
          <w:spacing w:val="-6"/>
          <w:bdr w:val="none" w:sz="0" w:space="0" w:color="auto" w:frame="1"/>
          <w:vertAlign w:val="superscript"/>
        </w:rPr>
        <w:t xml:space="preserve"> </w:t>
      </w:r>
      <w:r w:rsidR="00F24607" w:rsidRPr="00F24607">
        <w:rPr>
          <w:rFonts w:eastAsia="Calibri"/>
          <w:bCs/>
          <w:color w:val="000000"/>
          <w:spacing w:val="-6"/>
          <w:bdr w:val="none" w:sz="0" w:space="0" w:color="auto" w:frame="1"/>
          <w:vertAlign w:val="superscript"/>
        </w:rPr>
        <w:footnoteReference w:id="23"/>
      </w:r>
      <w:r w:rsidR="00F24607" w:rsidRPr="00F24607">
        <w:rPr>
          <w:rFonts w:eastAsia="Calibri"/>
          <w:bCs/>
          <w:color w:val="000000"/>
          <w:spacing w:val="-6"/>
          <w:bdr w:val="none" w:sz="0" w:space="0" w:color="auto" w:frame="1"/>
        </w:rPr>
        <w:t xml:space="preserve"> </w:t>
      </w:r>
      <w:r w:rsidR="00160003">
        <w:rPr>
          <w:rFonts w:eastAsia="Calibri"/>
          <w:bCs/>
          <w:color w:val="000000"/>
          <w:spacing w:val="-6"/>
          <w:bdr w:val="none" w:sz="0" w:space="0" w:color="auto" w:frame="1"/>
        </w:rPr>
        <w:t xml:space="preserve"> </w:t>
      </w:r>
      <w:r w:rsidR="00F24607" w:rsidRPr="00F24607">
        <w:rPr>
          <w:rFonts w:eastAsia="Calibri"/>
          <w:bCs/>
          <w:color w:val="000000"/>
          <w:spacing w:val="-6"/>
          <w:bdr w:val="none" w:sz="0" w:space="0" w:color="auto" w:frame="1"/>
        </w:rPr>
        <w:t>Furthermore, National Intelligence Agency (MIT) was brought under the authority of the President</w:t>
      </w:r>
      <w:r w:rsidR="005C2D00">
        <w:rPr>
          <w:rFonts w:eastAsia="Calibri"/>
          <w:bCs/>
          <w:color w:val="000000"/>
          <w:spacing w:val="-6"/>
          <w:bdr w:val="none" w:sz="0" w:space="0" w:color="auto" w:frame="1"/>
        </w:rPr>
        <w:t xml:space="preserve"> and </w:t>
      </w:r>
      <w:r w:rsidR="00E17973">
        <w:rPr>
          <w:rFonts w:eastAsia="Calibri"/>
          <w:bCs/>
          <w:color w:val="000000"/>
          <w:spacing w:val="-6"/>
          <w:bdr w:val="none" w:sz="0" w:space="0" w:color="auto" w:frame="1"/>
        </w:rPr>
        <w:t xml:space="preserve">its </w:t>
      </w:r>
      <w:r w:rsidR="00E17973" w:rsidRPr="00F24607">
        <w:rPr>
          <w:rFonts w:eastAsia="Calibri"/>
          <w:bCs/>
          <w:color w:val="000000"/>
          <w:spacing w:val="-6"/>
          <w:bdr w:val="none" w:sz="0" w:space="0" w:color="auto" w:frame="1"/>
        </w:rPr>
        <w:t>powers</w:t>
      </w:r>
      <w:r w:rsidR="00F24607" w:rsidRPr="00F24607">
        <w:rPr>
          <w:rFonts w:eastAsia="Calibri"/>
          <w:bCs/>
          <w:color w:val="000000"/>
          <w:spacing w:val="-6"/>
          <w:bdr w:val="none" w:sz="0" w:space="0" w:color="auto" w:frame="1"/>
        </w:rPr>
        <w:t xml:space="preserve"> to gather intelligence about the Turkish armed forces and its personnel was reintroduced.</w:t>
      </w:r>
      <w:r w:rsidR="00236B56">
        <w:rPr>
          <w:rStyle w:val="FootnoteReference"/>
          <w:rFonts w:eastAsia="Calibri"/>
          <w:bCs/>
          <w:color w:val="000000"/>
          <w:spacing w:val="-6"/>
          <w:bdr w:val="none" w:sz="0" w:space="0" w:color="auto" w:frame="1"/>
        </w:rPr>
        <w:footnoteReference w:id="24"/>
      </w:r>
      <w:r w:rsidR="003C3B27" w:rsidRPr="003C3B27">
        <w:rPr>
          <w:rFonts w:asciiTheme="minorHAnsi" w:eastAsia="Calibri" w:hAnsiTheme="minorHAnsi" w:cstheme="minorBidi"/>
          <w:bCs/>
          <w:color w:val="000000"/>
          <w:spacing w:val="-6"/>
          <w:bdr w:val="none" w:sz="0" w:space="0" w:color="auto" w:frame="1"/>
          <w:lang w:val="tr-TR"/>
        </w:rPr>
        <w:t xml:space="preserve"> </w:t>
      </w:r>
      <w:r w:rsidR="005C2D00">
        <w:rPr>
          <w:rFonts w:asciiTheme="minorHAnsi" w:eastAsia="Calibri" w:hAnsiTheme="minorHAnsi" w:cstheme="minorBidi"/>
          <w:bCs/>
          <w:color w:val="000000"/>
          <w:spacing w:val="-6"/>
          <w:bdr w:val="none" w:sz="0" w:space="0" w:color="auto" w:frame="1"/>
          <w:lang w:val="tr-TR"/>
        </w:rPr>
        <w:t xml:space="preserve"> </w:t>
      </w:r>
      <w:r w:rsidR="001F76B6" w:rsidRPr="00665C63">
        <w:rPr>
          <w:rFonts w:eastAsia="Calibri"/>
          <w:bCs/>
          <w:color w:val="000000"/>
          <w:spacing w:val="-6"/>
          <w:bdr w:val="none" w:sz="0" w:space="0" w:color="auto" w:frame="1"/>
          <w:lang w:val="tr-TR"/>
        </w:rPr>
        <w:t xml:space="preserve">Although the civilian control of the military was achieved, democratic control </w:t>
      </w:r>
      <w:r w:rsidR="009F1F45" w:rsidRPr="00665C63">
        <w:rPr>
          <w:rFonts w:eastAsia="Calibri"/>
          <w:bCs/>
          <w:color w:val="000000"/>
          <w:spacing w:val="-6"/>
          <w:bdr w:val="none" w:sz="0" w:space="0" w:color="auto" w:frame="1"/>
          <w:lang w:val="tr-TR"/>
        </w:rPr>
        <w:t>of the military</w:t>
      </w:r>
      <w:r w:rsidR="00604381" w:rsidRPr="00665C63">
        <w:rPr>
          <w:rFonts w:eastAsia="Calibri"/>
          <w:bCs/>
          <w:color w:val="000000"/>
          <w:spacing w:val="-6"/>
          <w:bdr w:val="none" w:sz="0" w:space="0" w:color="auto" w:frame="1"/>
          <w:lang w:val="tr-TR"/>
        </w:rPr>
        <w:t xml:space="preserve"> was still far from being realized, as could be seen by the dispropo</w:t>
      </w:r>
      <w:r w:rsidR="00BA7ED1" w:rsidRPr="00665C63">
        <w:rPr>
          <w:rFonts w:eastAsia="Calibri"/>
          <w:bCs/>
          <w:color w:val="000000"/>
          <w:spacing w:val="-6"/>
          <w:bdr w:val="none" w:sz="0" w:space="0" w:color="auto" w:frame="1"/>
          <w:lang w:val="tr-TR"/>
        </w:rPr>
        <w:t>rtionate use of force by security forces in the south-east</w:t>
      </w:r>
      <w:r w:rsidR="003C3B27" w:rsidRPr="003C3B27">
        <w:rPr>
          <w:rFonts w:eastAsia="Calibri"/>
          <w:bCs/>
          <w:color w:val="000000"/>
          <w:spacing w:val="-6"/>
          <w:bdr w:val="none" w:sz="0" w:space="0" w:color="auto" w:frame="1"/>
          <w:vertAlign w:val="superscript"/>
        </w:rPr>
        <w:footnoteReference w:id="25"/>
      </w:r>
      <w:r w:rsidR="00A72835">
        <w:rPr>
          <w:rFonts w:asciiTheme="minorHAnsi" w:eastAsia="Calibri" w:hAnsiTheme="minorHAnsi" w:cstheme="minorBidi"/>
          <w:bCs/>
          <w:color w:val="000000"/>
          <w:spacing w:val="-6"/>
          <w:bdr w:val="none" w:sz="0" w:space="0" w:color="auto" w:frame="1"/>
          <w:lang w:val="tr-TR"/>
        </w:rPr>
        <w:t>.</w:t>
      </w:r>
      <w:r w:rsidR="004B7E4E" w:rsidRPr="004B7E4E">
        <w:rPr>
          <w:rFonts w:asciiTheme="minorHAnsi" w:eastAsiaTheme="minorHAnsi" w:hAnsiTheme="minorHAnsi" w:cstheme="minorBidi"/>
          <w:sz w:val="22"/>
          <w:szCs w:val="22"/>
        </w:rPr>
        <w:t xml:space="preserve"> </w:t>
      </w:r>
    </w:p>
    <w:p w14:paraId="0A90965E" w14:textId="4E6ED85C" w:rsidR="00292E82" w:rsidRPr="00292E82" w:rsidRDefault="00585F60" w:rsidP="00292E82">
      <w:pPr>
        <w:pStyle w:val="NormalWeb"/>
        <w:shd w:val="clear" w:color="auto" w:fill="FFFFFF"/>
        <w:jc w:val="both"/>
        <w:textAlignment w:val="baseline"/>
        <w:rPr>
          <w:rFonts w:eastAsia="Calibri"/>
          <w:bCs/>
          <w:color w:val="000000"/>
          <w:spacing w:val="-6"/>
          <w:bdr w:val="none" w:sz="0" w:space="0" w:color="auto" w:frame="1"/>
        </w:rPr>
      </w:pPr>
      <w:r w:rsidRPr="008A1205">
        <w:rPr>
          <w:rFonts w:eastAsia="Calibri"/>
          <w:bCs/>
          <w:color w:val="000000"/>
          <w:spacing w:val="-6"/>
          <w:bdr w:val="none" w:sz="0" w:space="0" w:color="auto" w:frame="1"/>
        </w:rPr>
        <w:t>Regarding</w:t>
      </w:r>
      <w:r w:rsidR="008A1205" w:rsidRPr="008A1205">
        <w:rPr>
          <w:rFonts w:eastAsia="Calibri"/>
          <w:bCs/>
          <w:color w:val="000000"/>
          <w:spacing w:val="-6"/>
          <w:bdr w:val="none" w:sz="0" w:space="0" w:color="auto" w:frame="1"/>
        </w:rPr>
        <w:t xml:space="preserve"> </w:t>
      </w:r>
      <w:r>
        <w:rPr>
          <w:rFonts w:eastAsia="Calibri"/>
          <w:bCs/>
          <w:color w:val="000000"/>
          <w:spacing w:val="-6"/>
          <w:bdr w:val="none" w:sz="0" w:space="0" w:color="auto" w:frame="1"/>
        </w:rPr>
        <w:t xml:space="preserve">the </w:t>
      </w:r>
      <w:r w:rsidR="008A1205" w:rsidRPr="008A1205">
        <w:rPr>
          <w:rFonts w:eastAsia="Calibri"/>
          <w:bCs/>
          <w:color w:val="000000"/>
          <w:spacing w:val="-6"/>
          <w:bdr w:val="none" w:sz="0" w:space="0" w:color="auto" w:frame="1"/>
        </w:rPr>
        <w:t xml:space="preserve">first external supporting condition, </w:t>
      </w:r>
      <w:proofErr w:type="spellStart"/>
      <w:r w:rsidR="008A1205" w:rsidRPr="008A1205">
        <w:rPr>
          <w:rFonts w:eastAsia="Calibri"/>
          <w:bCs/>
          <w:color w:val="000000"/>
          <w:spacing w:val="-6"/>
          <w:bdr w:val="none" w:sz="0" w:space="0" w:color="auto" w:frame="1"/>
        </w:rPr>
        <w:t>stateness</w:t>
      </w:r>
      <w:proofErr w:type="spellEnd"/>
      <w:r w:rsidR="008A1205" w:rsidRPr="008A1205">
        <w:rPr>
          <w:rFonts w:eastAsia="Calibri"/>
          <w:bCs/>
          <w:color w:val="000000"/>
          <w:spacing w:val="-6"/>
          <w:bdr w:val="none" w:sz="0" w:space="0" w:color="auto" w:frame="1"/>
        </w:rPr>
        <w:t xml:space="preserve">, the Kurdistan Workers’ Party (PKK) and the Gülen movement </w:t>
      </w:r>
      <w:proofErr w:type="gramStart"/>
      <w:r w:rsidR="008A1205" w:rsidRPr="008A1205">
        <w:rPr>
          <w:rFonts w:eastAsia="Calibri"/>
          <w:bCs/>
          <w:color w:val="000000"/>
          <w:spacing w:val="-6"/>
          <w:bdr w:val="none" w:sz="0" w:space="0" w:color="auto" w:frame="1"/>
        </w:rPr>
        <w:t>are considered to be</w:t>
      </w:r>
      <w:proofErr w:type="gramEnd"/>
      <w:r w:rsidR="008A1205" w:rsidRPr="008A1205">
        <w:rPr>
          <w:rFonts w:eastAsia="Calibri"/>
          <w:bCs/>
          <w:color w:val="000000"/>
          <w:spacing w:val="-6"/>
          <w:bdr w:val="none" w:sz="0" w:space="0" w:color="auto" w:frame="1"/>
        </w:rPr>
        <w:t xml:space="preserve"> the greatest security threats.</w:t>
      </w:r>
      <w:r w:rsidR="008A1205">
        <w:rPr>
          <w:rFonts w:eastAsia="Calibri"/>
          <w:bCs/>
          <w:color w:val="000000"/>
          <w:spacing w:val="-6"/>
          <w:bdr w:val="none" w:sz="0" w:space="0" w:color="auto" w:frame="1"/>
        </w:rPr>
        <w:t xml:space="preserve"> During both terms, m</w:t>
      </w:r>
      <w:r w:rsidR="008A1205" w:rsidRPr="008A1205">
        <w:rPr>
          <w:rFonts w:eastAsia="Calibri"/>
          <w:bCs/>
          <w:color w:val="000000"/>
          <w:spacing w:val="-6"/>
          <w:bdr w:val="none" w:sz="0" w:space="0" w:color="auto" w:frame="1"/>
        </w:rPr>
        <w:t>ilitary clashes continued to take place between Turkish armed forces and the PKK in the southeast of the country</w:t>
      </w:r>
      <w:r w:rsidR="008A1205">
        <w:rPr>
          <w:rFonts w:eastAsia="Calibri"/>
          <w:bCs/>
          <w:color w:val="000000"/>
          <w:spacing w:val="-6"/>
          <w:bdr w:val="none" w:sz="0" w:space="0" w:color="auto" w:frame="1"/>
        </w:rPr>
        <w:t>. T</w:t>
      </w:r>
      <w:r w:rsidR="00F24607" w:rsidRPr="00F24607">
        <w:rPr>
          <w:rFonts w:eastAsia="Calibri"/>
          <w:bCs/>
          <w:color w:val="000000"/>
          <w:spacing w:val="-6"/>
          <w:bdr w:val="none" w:sz="0" w:space="0" w:color="auto" w:frame="1"/>
        </w:rPr>
        <w:t>he EU paid focused attention when Turkish state faced challenges to its monopoly over the use of force and state identity due to the PKK terrorist attacks throughout the 2000s.</w:t>
      </w:r>
      <w:r w:rsidR="00F24607" w:rsidRPr="00F24607">
        <w:rPr>
          <w:bCs/>
          <w:color w:val="000000"/>
          <w:spacing w:val="-6"/>
          <w:bdr w:val="none" w:sz="0" w:space="0" w:color="auto" w:frame="1"/>
        </w:rPr>
        <w:t xml:space="preserve"> W</w:t>
      </w:r>
      <w:r w:rsidR="00F24607" w:rsidRPr="00F24607">
        <w:rPr>
          <w:rFonts w:eastAsia="Calibri"/>
          <w:bCs/>
          <w:color w:val="000000"/>
          <w:spacing w:val="-6"/>
          <w:bdr w:val="none" w:sz="0" w:space="0" w:color="auto" w:frame="1"/>
        </w:rPr>
        <w:t>hile the EU noted the intensification in PKK terrorist attacks and listed it as a terrorist organization,</w:t>
      </w:r>
      <w:r w:rsidR="00F24607" w:rsidRPr="00F24607">
        <w:rPr>
          <w:rFonts w:eastAsia="Calibri"/>
          <w:bCs/>
          <w:color w:val="000000"/>
          <w:spacing w:val="-6"/>
          <w:bdr w:val="none" w:sz="0" w:space="0" w:color="auto" w:frame="1"/>
          <w:vertAlign w:val="superscript"/>
        </w:rPr>
        <w:footnoteReference w:id="26"/>
      </w:r>
      <w:r w:rsidR="00F24607" w:rsidRPr="00F24607">
        <w:rPr>
          <w:rFonts w:eastAsia="Calibri"/>
          <w:bCs/>
          <w:color w:val="000000"/>
          <w:spacing w:val="-6"/>
          <w:bdr w:val="none" w:sz="0" w:space="0" w:color="auto" w:frame="1"/>
        </w:rPr>
        <w:t xml:space="preserve"> its </w:t>
      </w:r>
      <w:r w:rsidR="003B5BB1" w:rsidRPr="00F24607">
        <w:rPr>
          <w:rFonts w:eastAsia="Calibri"/>
          <w:bCs/>
          <w:color w:val="000000"/>
          <w:spacing w:val="-6"/>
          <w:bdr w:val="none" w:sz="0" w:space="0" w:color="auto" w:frame="1"/>
        </w:rPr>
        <w:t>focus</w:t>
      </w:r>
      <w:r w:rsidR="00F24607" w:rsidRPr="00F24607">
        <w:rPr>
          <w:rFonts w:eastAsia="Calibri"/>
          <w:bCs/>
          <w:color w:val="000000"/>
          <w:spacing w:val="-6"/>
          <w:bdr w:val="none" w:sz="0" w:space="0" w:color="auto" w:frame="1"/>
        </w:rPr>
        <w:t xml:space="preserve"> was on civil rights (rather than on </w:t>
      </w:r>
      <w:proofErr w:type="spellStart"/>
      <w:r w:rsidR="00F24607" w:rsidRPr="00F24607">
        <w:rPr>
          <w:rFonts w:eastAsia="Calibri"/>
          <w:bCs/>
          <w:color w:val="000000"/>
          <w:spacing w:val="-6"/>
          <w:bdr w:val="none" w:sz="0" w:space="0" w:color="auto" w:frame="1"/>
        </w:rPr>
        <w:t>stateness</w:t>
      </w:r>
      <w:proofErr w:type="spellEnd"/>
      <w:r w:rsidR="00F24607" w:rsidRPr="00F24607">
        <w:rPr>
          <w:rFonts w:eastAsia="Calibri"/>
          <w:bCs/>
          <w:color w:val="000000"/>
          <w:spacing w:val="-6"/>
          <w:bdr w:val="none" w:sz="0" w:space="0" w:color="auto" w:frame="1"/>
        </w:rPr>
        <w:t xml:space="preserve"> and Turkey’s territorial integrity), repeatedly indicating that the Turkish government’s fight against terrorism should be conducted with due respect for human rights and rule of law.</w:t>
      </w:r>
      <w:r w:rsidR="00F24607" w:rsidRPr="00F24607">
        <w:rPr>
          <w:rFonts w:eastAsia="Calibri"/>
          <w:bCs/>
          <w:color w:val="000000"/>
          <w:spacing w:val="-6"/>
          <w:bdr w:val="none" w:sz="0" w:space="0" w:color="auto" w:frame="1"/>
          <w:vertAlign w:val="superscript"/>
        </w:rPr>
        <w:footnoteReference w:id="27"/>
      </w:r>
      <w:r w:rsidR="00F24607" w:rsidRPr="00F24607">
        <w:rPr>
          <w:rFonts w:eastAsia="Calibri"/>
          <w:bCs/>
          <w:color w:val="000000"/>
          <w:spacing w:val="-6"/>
          <w:bdr w:val="none" w:sz="0" w:space="0" w:color="auto" w:frame="1"/>
        </w:rPr>
        <w:t xml:space="preserve"> </w:t>
      </w:r>
      <w:r w:rsidR="00292E82" w:rsidRPr="00292E82">
        <w:rPr>
          <w:rFonts w:eastAsia="Calibri"/>
          <w:bCs/>
          <w:color w:val="000000"/>
          <w:spacing w:val="-6"/>
          <w:bdr w:val="none" w:sz="0" w:space="0" w:color="auto" w:frame="1"/>
        </w:rPr>
        <w:t xml:space="preserve">While the government has a legitimate right to fight terrorism, </w:t>
      </w:r>
      <w:r w:rsidR="00986CE6">
        <w:rPr>
          <w:rFonts w:eastAsia="Calibri"/>
          <w:bCs/>
          <w:color w:val="000000"/>
          <w:spacing w:val="-6"/>
          <w:bdr w:val="none" w:sz="0" w:space="0" w:color="auto" w:frame="1"/>
        </w:rPr>
        <w:t>a</w:t>
      </w:r>
      <w:r w:rsidR="00292E82" w:rsidRPr="00292E82">
        <w:rPr>
          <w:rFonts w:eastAsia="Calibri"/>
          <w:bCs/>
          <w:color w:val="000000"/>
          <w:spacing w:val="-6"/>
          <w:bdr w:val="none" w:sz="0" w:space="0" w:color="auto" w:frame="1"/>
        </w:rPr>
        <w:t xml:space="preserve">nti-terror measures need to be proportionate. </w:t>
      </w:r>
    </w:p>
    <w:p w14:paraId="7CE49FEF" w14:textId="787D1F51" w:rsidR="00F24607" w:rsidRPr="00F24607" w:rsidRDefault="00F24607" w:rsidP="009E7BD9">
      <w:pPr>
        <w:pStyle w:val="NormalWeb"/>
        <w:shd w:val="clear" w:color="auto" w:fill="FFFFFF"/>
        <w:jc w:val="both"/>
        <w:textAlignment w:val="baseline"/>
        <w:rPr>
          <w:rFonts w:eastAsia="Calibri"/>
          <w:bCs/>
          <w:color w:val="000000"/>
          <w:spacing w:val="-6"/>
          <w:bdr w:val="none" w:sz="0" w:space="0" w:color="auto" w:frame="1"/>
          <w:lang w:val="en-GB"/>
        </w:rPr>
      </w:pPr>
      <w:r w:rsidRPr="008A1205">
        <w:rPr>
          <w:rFonts w:eastAsia="Calibri"/>
          <w:bCs/>
          <w:color w:val="000000"/>
          <w:spacing w:val="-6"/>
          <w:bdr w:val="none" w:sz="0" w:space="0" w:color="auto" w:frame="1"/>
        </w:rPr>
        <w:t xml:space="preserve">The challenge to </w:t>
      </w:r>
      <w:proofErr w:type="spellStart"/>
      <w:r w:rsidRPr="008A1205">
        <w:rPr>
          <w:rFonts w:eastAsia="Calibri"/>
          <w:bCs/>
          <w:color w:val="000000"/>
          <w:spacing w:val="-6"/>
          <w:bdr w:val="none" w:sz="0" w:space="0" w:color="auto" w:frame="1"/>
        </w:rPr>
        <w:t>stateness</w:t>
      </w:r>
      <w:proofErr w:type="spellEnd"/>
      <w:r w:rsidRPr="008A1205">
        <w:rPr>
          <w:rFonts w:eastAsia="Calibri"/>
          <w:bCs/>
          <w:color w:val="000000"/>
          <w:spacing w:val="-6"/>
          <w:bdr w:val="none" w:sz="0" w:space="0" w:color="auto" w:frame="1"/>
        </w:rPr>
        <w:t>, the challenge to government’s monopoly on the legitimate physical force during the 2010s continued not only with PKK attacks but also with the activities of Fethullah G</w:t>
      </w:r>
      <w:r w:rsidRPr="008A1205">
        <w:rPr>
          <w:rFonts w:eastAsia="Calibri"/>
          <w:bCs/>
          <w:color w:val="000000"/>
          <w:spacing w:val="-6"/>
          <w:bdr w:val="none" w:sz="0" w:space="0" w:color="auto" w:frame="1"/>
          <w:lang w:val="tr-TR"/>
        </w:rPr>
        <w:t xml:space="preserve">ülen </w:t>
      </w:r>
      <w:r w:rsidRPr="008A1205">
        <w:rPr>
          <w:rFonts w:eastAsia="Calibri"/>
          <w:bCs/>
          <w:color w:val="000000"/>
          <w:spacing w:val="-6"/>
          <w:bdr w:val="none" w:sz="0" w:space="0" w:color="auto" w:frame="1"/>
          <w:lang w:val="en-GB"/>
        </w:rPr>
        <w:t xml:space="preserve">organization that involved controlling part of the security forces and the military. </w:t>
      </w:r>
      <w:r w:rsidR="008A1205" w:rsidRPr="008A1205">
        <w:rPr>
          <w:rFonts w:eastAsia="Calibri"/>
          <w:bCs/>
          <w:color w:val="000000"/>
          <w:spacing w:val="-6"/>
          <w:bdr w:val="none" w:sz="0" w:space="0" w:color="auto" w:frame="1"/>
          <w:lang w:val="en-GB"/>
        </w:rPr>
        <w:t xml:space="preserve"> After </w:t>
      </w:r>
      <w:r w:rsidR="008A1205" w:rsidRPr="008A1205">
        <w:rPr>
          <w:rFonts w:eastAsia="Calibri"/>
          <w:bCs/>
          <w:color w:val="000000"/>
          <w:spacing w:val="-6"/>
          <w:bdr w:val="none" w:sz="0" w:space="0" w:color="auto" w:frame="1"/>
        </w:rPr>
        <w:t>coup in July 2016, government’s primary security objective became purging the Gülen movement from state structures, especially army and intelligence services.</w:t>
      </w:r>
      <w:r w:rsidR="008A1205" w:rsidRPr="008A1205">
        <w:rPr>
          <w:rFonts w:eastAsia="Calibri"/>
          <w:bCs/>
          <w:color w:val="000000"/>
          <w:spacing w:val="-6"/>
          <w:bdr w:val="none" w:sz="0" w:space="0" w:color="auto" w:frame="1"/>
          <w:lang w:val="en-GB"/>
        </w:rPr>
        <w:t xml:space="preserve"> </w:t>
      </w:r>
      <w:r w:rsidR="00455715">
        <w:rPr>
          <w:rFonts w:eastAsia="Calibri"/>
          <w:bCs/>
          <w:color w:val="000000"/>
          <w:spacing w:val="-6"/>
          <w:bdr w:val="none" w:sz="0" w:space="0" w:color="auto" w:frame="1"/>
          <w:lang w:val="en-GB"/>
        </w:rPr>
        <w:t>Although t</w:t>
      </w:r>
      <w:r w:rsidRPr="008A1205">
        <w:rPr>
          <w:rFonts w:eastAsia="Calibri"/>
          <w:bCs/>
          <w:color w:val="000000"/>
          <w:spacing w:val="-6"/>
          <w:bdr w:val="none" w:sz="0" w:space="0" w:color="auto" w:frame="1"/>
          <w:lang w:val="en-GB"/>
        </w:rPr>
        <w:t xml:space="preserve">hroughout the 2010s, Turkish state </w:t>
      </w:r>
      <w:r w:rsidRPr="008A1205">
        <w:rPr>
          <w:rFonts w:eastAsia="Calibri"/>
          <w:bCs/>
          <w:color w:val="000000"/>
          <w:spacing w:val="-6"/>
          <w:bdr w:val="none" w:sz="0" w:space="0" w:color="auto" w:frame="1"/>
        </w:rPr>
        <w:t>faced challenges to its monopoly over the use of force by a</w:t>
      </w:r>
      <w:r w:rsidRPr="00F24607">
        <w:rPr>
          <w:rFonts w:eastAsia="Calibri"/>
          <w:bCs/>
          <w:color w:val="000000"/>
          <w:spacing w:val="-6"/>
          <w:bdr w:val="none" w:sz="0" w:space="0" w:color="auto" w:frame="1"/>
        </w:rPr>
        <w:t xml:space="preserve"> parallel state created by Fethullah G</w:t>
      </w:r>
      <w:r w:rsidRPr="00F24607">
        <w:rPr>
          <w:rFonts w:eastAsia="Calibri"/>
          <w:bCs/>
          <w:color w:val="000000"/>
          <w:spacing w:val="-6"/>
          <w:bdr w:val="none" w:sz="0" w:space="0" w:color="auto" w:frame="1"/>
          <w:lang w:val="tr-TR"/>
        </w:rPr>
        <w:t xml:space="preserve">ülen </w:t>
      </w:r>
      <w:r w:rsidRPr="00F24607">
        <w:rPr>
          <w:rFonts w:eastAsia="Calibri"/>
          <w:bCs/>
          <w:color w:val="000000"/>
          <w:spacing w:val="-6"/>
          <w:bdr w:val="none" w:sz="0" w:space="0" w:color="auto" w:frame="1"/>
          <w:lang w:val="en-GB"/>
        </w:rPr>
        <w:t>organization</w:t>
      </w:r>
      <w:r w:rsidR="00E4534F">
        <w:rPr>
          <w:rFonts w:eastAsia="Calibri"/>
          <w:bCs/>
          <w:color w:val="000000"/>
          <w:spacing w:val="-6"/>
          <w:bdr w:val="none" w:sz="0" w:space="0" w:color="auto" w:frame="1"/>
          <w:lang w:val="en-GB"/>
        </w:rPr>
        <w:t>, i</w:t>
      </w:r>
      <w:r w:rsidRPr="00F24607">
        <w:rPr>
          <w:rFonts w:eastAsia="Calibri"/>
          <w:bCs/>
          <w:color w:val="000000"/>
          <w:spacing w:val="-6"/>
          <w:bdr w:val="none" w:sz="0" w:space="0" w:color="auto" w:frame="1"/>
          <w:lang w:val="en-GB"/>
        </w:rPr>
        <w:t xml:space="preserve">nterestingly enough the EU again acted the same way and rather than </w:t>
      </w:r>
      <w:r w:rsidR="00455715">
        <w:rPr>
          <w:rFonts w:eastAsia="Calibri"/>
          <w:bCs/>
          <w:color w:val="000000"/>
          <w:spacing w:val="-6"/>
          <w:bdr w:val="none" w:sz="0" w:space="0" w:color="auto" w:frame="1"/>
        </w:rPr>
        <w:t xml:space="preserve">exposing </w:t>
      </w:r>
      <w:r w:rsidRPr="00F24607">
        <w:rPr>
          <w:rFonts w:eastAsia="Calibri"/>
          <w:bCs/>
          <w:color w:val="000000"/>
          <w:spacing w:val="-6"/>
          <w:bdr w:val="none" w:sz="0" w:space="0" w:color="auto" w:frame="1"/>
        </w:rPr>
        <w:t>Gülen</w:t>
      </w:r>
      <w:r w:rsidRPr="00F24607">
        <w:rPr>
          <w:rFonts w:eastAsia="Calibri"/>
          <w:bCs/>
          <w:color w:val="000000"/>
          <w:spacing w:val="-6"/>
          <w:bdr w:val="none" w:sz="0" w:space="0" w:color="auto" w:frame="1"/>
          <w:lang w:val="en-GB"/>
        </w:rPr>
        <w:t xml:space="preserve"> movement’s attempt to initiate a coup to dismantle the popularly elected government, it concentrated on how the state of emergency –that was declared in the aftermath of the coup attempt by the government to fight Gulen organization— violated human rights in the country.</w:t>
      </w:r>
      <w:r w:rsidR="008A1205" w:rsidRPr="008A1205">
        <w:rPr>
          <w:rFonts w:asciiTheme="minorHAnsi" w:eastAsiaTheme="minorHAnsi" w:hAnsiTheme="minorHAnsi" w:cstheme="minorBidi"/>
        </w:rPr>
        <w:t xml:space="preserve"> </w:t>
      </w:r>
    </w:p>
    <w:p w14:paraId="34B5AD44" w14:textId="164F51E9" w:rsidR="00950FE8" w:rsidRDefault="00F24607" w:rsidP="00217680">
      <w:pPr>
        <w:pStyle w:val="NormalWeb"/>
        <w:shd w:val="clear" w:color="auto" w:fill="FFFFFF"/>
        <w:spacing w:before="0" w:beforeAutospacing="0" w:after="0" w:afterAutospacing="0"/>
        <w:textAlignment w:val="baseline"/>
        <w:rPr>
          <w:bCs/>
          <w:color w:val="000000"/>
          <w:spacing w:val="-6"/>
          <w:bdr w:val="none" w:sz="0" w:space="0" w:color="auto" w:frame="1"/>
          <w:lang w:val="en-GB"/>
        </w:rPr>
      </w:pPr>
      <w:r w:rsidRPr="00971BAC">
        <w:rPr>
          <w:b/>
          <w:i/>
          <w:iCs/>
          <w:color w:val="000000"/>
          <w:spacing w:val="-6"/>
          <w:bdr w:val="none" w:sz="0" w:space="0" w:color="auto" w:frame="1"/>
          <w:lang w:val="en-GB"/>
        </w:rPr>
        <w:t xml:space="preserve">“State administrative capacity” </w:t>
      </w:r>
      <w:r w:rsidRPr="00F24607">
        <w:rPr>
          <w:bCs/>
          <w:color w:val="000000"/>
          <w:spacing w:val="-6"/>
          <w:bdr w:val="none" w:sz="0" w:space="0" w:color="auto" w:frame="1"/>
          <w:lang w:val="en-GB"/>
        </w:rPr>
        <w:t xml:space="preserve">was the second external condition, and </w:t>
      </w:r>
      <w:r w:rsidR="00CB2D5A">
        <w:rPr>
          <w:bCs/>
          <w:color w:val="000000"/>
          <w:spacing w:val="-6"/>
          <w:bdr w:val="none" w:sz="0" w:space="0" w:color="auto" w:frame="1"/>
          <w:lang w:val="en-GB"/>
        </w:rPr>
        <w:t>in the first period</w:t>
      </w:r>
      <w:r w:rsidR="004E570A">
        <w:rPr>
          <w:bCs/>
          <w:color w:val="000000"/>
          <w:spacing w:val="-6"/>
          <w:bdr w:val="none" w:sz="0" w:space="0" w:color="auto" w:frame="1"/>
          <w:lang w:val="en-GB"/>
        </w:rPr>
        <w:t xml:space="preserve">, </w:t>
      </w:r>
      <w:r w:rsidR="0094563A">
        <w:rPr>
          <w:bCs/>
          <w:color w:val="000000"/>
          <w:spacing w:val="-6"/>
          <w:bdr w:val="none" w:sz="0" w:space="0" w:color="auto" w:frame="1"/>
          <w:lang w:val="en-GB"/>
        </w:rPr>
        <w:t xml:space="preserve">the EU </w:t>
      </w:r>
      <w:r w:rsidRPr="00F24607">
        <w:rPr>
          <w:bCs/>
          <w:color w:val="000000"/>
          <w:spacing w:val="-6"/>
          <w:bdr w:val="none" w:sz="0" w:space="0" w:color="auto" w:frame="1"/>
          <w:lang w:val="en-GB"/>
        </w:rPr>
        <w:t xml:space="preserve">denoted a functioning administration over the years along with anti-corruption policy indicating the government’s will to combat corruption, even with limited effectiveness. </w:t>
      </w:r>
      <w:r w:rsidR="00157CAF">
        <w:rPr>
          <w:bCs/>
          <w:color w:val="000000"/>
          <w:spacing w:val="-6"/>
          <w:bdr w:val="none" w:sz="0" w:space="0" w:color="auto" w:frame="1"/>
          <w:lang w:val="en-GB"/>
        </w:rPr>
        <w:t xml:space="preserve"> </w:t>
      </w:r>
      <w:r w:rsidR="00A53135">
        <w:rPr>
          <w:bCs/>
          <w:color w:val="000000"/>
          <w:spacing w:val="-6"/>
          <w:bdr w:val="none" w:sz="0" w:space="0" w:color="auto" w:frame="1"/>
          <w:lang w:val="en-GB"/>
        </w:rPr>
        <w:t>However,</w:t>
      </w:r>
      <w:r w:rsidR="004E570A">
        <w:rPr>
          <w:bCs/>
          <w:color w:val="000000"/>
          <w:spacing w:val="-6"/>
          <w:bdr w:val="none" w:sz="0" w:space="0" w:color="auto" w:frame="1"/>
          <w:lang w:val="en-GB"/>
        </w:rPr>
        <w:t xml:space="preserve"> in the second period</w:t>
      </w:r>
      <w:r w:rsidR="00B2378E" w:rsidRPr="00B2378E">
        <w:rPr>
          <w:rFonts w:asciiTheme="minorHAnsi" w:eastAsiaTheme="minorHAnsi" w:hAnsiTheme="minorHAnsi" w:cstheme="minorBidi"/>
          <w:sz w:val="22"/>
          <w:szCs w:val="22"/>
        </w:rPr>
        <w:t xml:space="preserve"> </w:t>
      </w:r>
      <w:r w:rsidR="00B2378E" w:rsidRPr="00B2378E">
        <w:rPr>
          <w:bCs/>
          <w:color w:val="000000"/>
          <w:spacing w:val="-6"/>
          <w:bdr w:val="none" w:sz="0" w:space="0" w:color="auto" w:frame="1"/>
        </w:rPr>
        <w:t>flaws of the legal framework and institutional architecture allowed undue political influence in the investigation and prosecution phases of corruption cases. </w:t>
      </w:r>
      <w:r w:rsidR="006C63F1">
        <w:rPr>
          <w:bCs/>
          <w:color w:val="000000"/>
          <w:spacing w:val="-6"/>
          <w:bdr w:val="none" w:sz="0" w:space="0" w:color="auto" w:frame="1"/>
        </w:rPr>
        <w:t xml:space="preserve">Absence </w:t>
      </w:r>
      <w:r w:rsidR="00191DFA">
        <w:rPr>
          <w:bCs/>
          <w:color w:val="000000"/>
          <w:spacing w:val="-6"/>
          <w:bdr w:val="none" w:sz="0" w:space="0" w:color="auto" w:frame="1"/>
        </w:rPr>
        <w:t xml:space="preserve">of </w:t>
      </w:r>
      <w:r w:rsidR="00191DFA" w:rsidRPr="00B2378E">
        <w:rPr>
          <w:bCs/>
          <w:color w:val="000000"/>
          <w:spacing w:val="-6"/>
          <w:bdr w:val="none" w:sz="0" w:space="0" w:color="auto" w:frame="1"/>
        </w:rPr>
        <w:t>anti</w:t>
      </w:r>
      <w:r w:rsidR="00B2378E" w:rsidRPr="00B2378E">
        <w:rPr>
          <w:bCs/>
          <w:color w:val="000000"/>
          <w:spacing w:val="-6"/>
          <w:bdr w:val="none" w:sz="0" w:space="0" w:color="auto" w:frame="1"/>
        </w:rPr>
        <w:t>-corruption strategy and action plan indicated a lack of will to fight decisively against corruption</w:t>
      </w:r>
      <w:r w:rsidR="00F30871">
        <w:rPr>
          <w:bCs/>
          <w:color w:val="000000"/>
          <w:spacing w:val="-6"/>
          <w:bdr w:val="none" w:sz="0" w:space="0" w:color="auto" w:frame="1"/>
        </w:rPr>
        <w:t xml:space="preserve">, </w:t>
      </w:r>
      <w:r w:rsidR="00D74D63">
        <w:rPr>
          <w:bCs/>
          <w:color w:val="000000"/>
          <w:spacing w:val="-6"/>
          <w:bdr w:val="none" w:sz="0" w:space="0" w:color="auto" w:frame="1"/>
        </w:rPr>
        <w:t>considering that</w:t>
      </w:r>
      <w:r w:rsidR="00F30871">
        <w:rPr>
          <w:bCs/>
          <w:color w:val="000000"/>
          <w:spacing w:val="-6"/>
          <w:bdr w:val="none" w:sz="0" w:space="0" w:color="auto" w:frame="1"/>
        </w:rPr>
        <w:t xml:space="preserve"> most </w:t>
      </w:r>
      <w:r w:rsidR="00B2378E" w:rsidRPr="00B2378E">
        <w:rPr>
          <w:bCs/>
          <w:color w:val="000000"/>
          <w:spacing w:val="-6"/>
          <w:bdr w:val="none" w:sz="0" w:space="0" w:color="auto" w:frame="1"/>
        </w:rPr>
        <w:t xml:space="preserve">of the Council of Europe’s Group of States against Corruption (GRECO) recommendations </w:t>
      </w:r>
      <w:r w:rsidR="00191DFA">
        <w:rPr>
          <w:bCs/>
          <w:color w:val="000000"/>
          <w:spacing w:val="-6"/>
          <w:bdr w:val="none" w:sz="0" w:space="0" w:color="auto" w:frame="1"/>
        </w:rPr>
        <w:t>were</w:t>
      </w:r>
      <w:r w:rsidR="00B2378E" w:rsidRPr="00B2378E">
        <w:rPr>
          <w:bCs/>
          <w:color w:val="000000"/>
          <w:spacing w:val="-6"/>
          <w:bdr w:val="none" w:sz="0" w:space="0" w:color="auto" w:frame="1"/>
        </w:rPr>
        <w:t xml:space="preserve"> not implemented.</w:t>
      </w:r>
      <w:r w:rsidR="00B2378E" w:rsidRPr="00B2378E">
        <w:rPr>
          <w:bCs/>
          <w:color w:val="000000"/>
          <w:spacing w:val="-6"/>
          <w:bdr w:val="none" w:sz="0" w:space="0" w:color="auto" w:frame="1"/>
        </w:rPr>
        <w:br/>
      </w:r>
    </w:p>
    <w:p w14:paraId="2F264164" w14:textId="3323B0D4" w:rsidR="00C07346" w:rsidRPr="008550E0" w:rsidRDefault="00F24607" w:rsidP="00D53E1B">
      <w:pPr>
        <w:pStyle w:val="NormalWeb"/>
        <w:shd w:val="clear" w:color="auto" w:fill="FFFFFF"/>
        <w:spacing w:before="0" w:beforeAutospacing="0" w:after="0" w:afterAutospacing="0"/>
        <w:jc w:val="both"/>
        <w:textAlignment w:val="baseline"/>
        <w:rPr>
          <w:rFonts w:eastAsia="Calibri"/>
          <w:color w:val="000000"/>
          <w:spacing w:val="-6"/>
          <w:bdr w:val="none" w:sz="0" w:space="0" w:color="auto" w:frame="1"/>
        </w:rPr>
      </w:pPr>
      <w:r w:rsidRPr="00F24607">
        <w:rPr>
          <w:bCs/>
          <w:color w:val="000000"/>
          <w:spacing w:val="-6"/>
          <w:bdr w:val="none" w:sz="0" w:space="0" w:color="auto" w:frame="1"/>
          <w:lang w:val="en-GB"/>
        </w:rPr>
        <w:t xml:space="preserve">Concerning the third external condition, the </w:t>
      </w:r>
      <w:r w:rsidRPr="00F24607">
        <w:rPr>
          <w:b/>
          <w:i/>
          <w:iCs/>
          <w:color w:val="000000"/>
          <w:spacing w:val="-6"/>
          <w:bdr w:val="none" w:sz="0" w:space="0" w:color="auto" w:frame="1"/>
          <w:lang w:val="en-GB"/>
        </w:rPr>
        <w:t>civil society</w:t>
      </w:r>
      <w:r w:rsidRPr="00F24607">
        <w:rPr>
          <w:bCs/>
          <w:color w:val="000000"/>
          <w:spacing w:val="-6"/>
          <w:bdr w:val="none" w:sz="0" w:space="0" w:color="auto" w:frame="1"/>
          <w:lang w:val="en-GB"/>
        </w:rPr>
        <w:t>, the focused attention of the EU was mainly on legislative and bureaucratic obstacles, enhancement of their administrative and communication skills, and encouragement of civil society dialogue between Turkey and the EU.</w:t>
      </w:r>
      <w:r w:rsidRPr="00F24607">
        <w:rPr>
          <w:rFonts w:eastAsia="Calibri"/>
          <w:bCs/>
          <w:color w:val="000000"/>
          <w:spacing w:val="-6"/>
          <w:bdr w:val="none" w:sz="0" w:space="0" w:color="auto" w:frame="1"/>
          <w:lang w:val="tr-TR"/>
        </w:rPr>
        <w:t xml:space="preserve"> Turkish civil society organizations “continued to face increasing pressure, in particular following the high number of detentions and arrests of civil society activists and human rights defenders. Smear campaigns in some media outlets against some of these activists, including  accepting funds from international donors, became a recurrent feature and a matter of serious concern.”</w:t>
      </w:r>
      <w:r w:rsidRPr="00F24607">
        <w:rPr>
          <w:rFonts w:eastAsia="Calibri"/>
          <w:bCs/>
          <w:color w:val="000000"/>
          <w:spacing w:val="-6"/>
          <w:bdr w:val="none" w:sz="0" w:space="0" w:color="auto" w:frame="1"/>
          <w:vertAlign w:val="superscript"/>
          <w:lang w:val="tr-TR"/>
        </w:rPr>
        <w:footnoteReference w:id="28"/>
      </w:r>
      <w:r w:rsidRPr="00F24607">
        <w:rPr>
          <w:rFonts w:eastAsia="Calibri"/>
          <w:bCs/>
          <w:color w:val="000000"/>
          <w:spacing w:val="-6"/>
          <w:bdr w:val="none" w:sz="0" w:space="0" w:color="auto" w:frame="1"/>
          <w:lang w:val="en-GB"/>
        </w:rPr>
        <w:t xml:space="preserve"> </w:t>
      </w:r>
      <w:r w:rsidRPr="00F24607">
        <w:rPr>
          <w:rFonts w:eastAsia="Calibri"/>
          <w:bCs/>
          <w:color w:val="000000"/>
          <w:spacing w:val="-6"/>
          <w:bdr w:val="none" w:sz="0" w:space="0" w:color="auto" w:frame="1"/>
          <w:lang w:val="tr-TR"/>
        </w:rPr>
        <w:t xml:space="preserve"> </w:t>
      </w:r>
      <w:r w:rsidR="003B5BB1" w:rsidRPr="00F24607">
        <w:rPr>
          <w:rFonts w:eastAsia="Calibri"/>
          <w:bCs/>
          <w:color w:val="000000"/>
          <w:spacing w:val="-6"/>
          <w:bdr w:val="none" w:sz="0" w:space="0" w:color="auto" w:frame="1"/>
        </w:rPr>
        <w:t>Many</w:t>
      </w:r>
      <w:r w:rsidRPr="00F24607">
        <w:rPr>
          <w:rFonts w:eastAsia="Calibri"/>
          <w:bCs/>
          <w:color w:val="000000"/>
          <w:spacing w:val="-6"/>
          <w:bdr w:val="none" w:sz="0" w:space="0" w:color="auto" w:frame="1"/>
        </w:rPr>
        <w:t xml:space="preserve"> organizations were closed as part of the post-coup measures taken by the government for alleged links to the Gülen movement.”</w:t>
      </w:r>
      <w:r w:rsidRPr="00F24607">
        <w:rPr>
          <w:rFonts w:eastAsia="Calibri"/>
          <w:bCs/>
          <w:color w:val="000000"/>
          <w:spacing w:val="-6"/>
          <w:bdr w:val="none" w:sz="0" w:space="0" w:color="auto" w:frame="1"/>
          <w:vertAlign w:val="superscript"/>
        </w:rPr>
        <w:t xml:space="preserve"> </w:t>
      </w:r>
      <w:r w:rsidRPr="00F24607">
        <w:rPr>
          <w:rFonts w:eastAsia="Calibri"/>
          <w:bCs/>
          <w:color w:val="000000"/>
          <w:spacing w:val="-6"/>
          <w:bdr w:val="none" w:sz="0" w:space="0" w:color="auto" w:frame="1"/>
          <w:vertAlign w:val="superscript"/>
        </w:rPr>
        <w:footnoteReference w:id="29"/>
      </w:r>
      <w:r w:rsidRPr="00F24607">
        <w:rPr>
          <w:rFonts w:eastAsia="Calibri"/>
          <w:bCs/>
          <w:color w:val="000000"/>
          <w:spacing w:val="-6"/>
          <w:bdr w:val="none" w:sz="0" w:space="0" w:color="auto" w:frame="1"/>
        </w:rPr>
        <w:t xml:space="preserve">  </w:t>
      </w:r>
      <w:r w:rsidRPr="00F24607">
        <w:rPr>
          <w:rFonts w:eastAsia="Calibri"/>
          <w:bCs/>
          <w:color w:val="000000"/>
          <w:spacing w:val="-6"/>
          <w:bdr w:val="none" w:sz="0" w:space="0" w:color="auto" w:frame="1"/>
          <w:lang w:val="tr-TR"/>
        </w:rPr>
        <w:t xml:space="preserve">There has been serious backsliding regarding civil society as it came under increasing pressure, notably in the face of a large number of arrests of activists, including human rights defenders, and the recurrent use of bans of demonstrations and other types of gatherings, leading to a rapid shrinking of space for fundamental rights and freedoms. Many rights-based organizations remained closed as part of the measures under the state of emergency and they </w:t>
      </w:r>
      <w:r w:rsidR="00B860B4">
        <w:rPr>
          <w:rFonts w:eastAsia="Calibri"/>
          <w:bCs/>
          <w:color w:val="000000"/>
          <w:spacing w:val="-6"/>
          <w:bdr w:val="none" w:sz="0" w:space="0" w:color="auto" w:frame="1"/>
          <w:lang w:val="tr-TR"/>
        </w:rPr>
        <w:t>were</w:t>
      </w:r>
      <w:r w:rsidR="002A290B">
        <w:rPr>
          <w:rFonts w:eastAsia="Calibri"/>
          <w:bCs/>
          <w:color w:val="000000"/>
          <w:spacing w:val="-6"/>
          <w:bdr w:val="none" w:sz="0" w:space="0" w:color="auto" w:frame="1"/>
          <w:lang w:val="tr-TR"/>
        </w:rPr>
        <w:t xml:space="preserve"> </w:t>
      </w:r>
      <w:r w:rsidR="00B860B4">
        <w:rPr>
          <w:rFonts w:eastAsia="Calibri"/>
          <w:bCs/>
          <w:color w:val="000000"/>
          <w:spacing w:val="-6"/>
          <w:bdr w:val="none" w:sz="0" w:space="0" w:color="auto" w:frame="1"/>
          <w:lang w:val="tr-TR"/>
        </w:rPr>
        <w:t>not</w:t>
      </w:r>
      <w:r w:rsidRPr="00F24607">
        <w:rPr>
          <w:rFonts w:eastAsia="Calibri"/>
          <w:bCs/>
          <w:color w:val="000000"/>
          <w:spacing w:val="-6"/>
          <w:bdr w:val="none" w:sz="0" w:space="0" w:color="auto" w:frame="1"/>
          <w:lang w:val="tr-TR"/>
        </w:rPr>
        <w:t xml:space="preserve"> offered any legal remedy in relation to confiscations</w:t>
      </w:r>
      <w:r w:rsidRPr="00F24607">
        <w:rPr>
          <w:rFonts w:eastAsia="Calibri"/>
          <w:b/>
          <w:bCs/>
          <w:color w:val="000000"/>
          <w:spacing w:val="-6"/>
          <w:bdr w:val="none" w:sz="0" w:space="0" w:color="auto" w:frame="1"/>
          <w:lang w:val="tr-TR"/>
        </w:rPr>
        <w:t xml:space="preserve">. </w:t>
      </w:r>
      <w:r w:rsidRPr="00F24607">
        <w:rPr>
          <w:rFonts w:eastAsia="Calibri"/>
          <w:bCs/>
          <w:color w:val="000000"/>
          <w:spacing w:val="-6"/>
          <w:bdr w:val="none" w:sz="0" w:space="0" w:color="auto" w:frame="1"/>
          <w:lang w:val="tr-TR"/>
        </w:rPr>
        <w:t>The map of civil society organizations has started to change significantly, with a more visible role given to the pro-government organizations.</w:t>
      </w:r>
      <w:r w:rsidRPr="00F24607">
        <w:rPr>
          <w:rFonts w:eastAsia="Calibri"/>
          <w:bCs/>
          <w:color w:val="000000"/>
          <w:spacing w:val="-6"/>
          <w:bdr w:val="none" w:sz="0" w:space="0" w:color="auto" w:frame="1"/>
          <w:vertAlign w:val="superscript"/>
          <w:lang w:val="tr-TR"/>
        </w:rPr>
        <w:footnoteReference w:id="30"/>
      </w:r>
      <w:r w:rsidRPr="00F24607">
        <w:rPr>
          <w:rFonts w:eastAsia="Calibri"/>
          <w:b/>
          <w:bCs/>
          <w:color w:val="000000"/>
          <w:spacing w:val="-6"/>
          <w:bdr w:val="none" w:sz="0" w:space="0" w:color="auto" w:frame="1"/>
          <w:lang w:val="tr-TR"/>
        </w:rPr>
        <w:t xml:space="preserve"> </w:t>
      </w:r>
      <w:r w:rsidR="00C07346" w:rsidRPr="008550E0">
        <w:rPr>
          <w:rFonts w:eastAsia="Calibri"/>
          <w:color w:val="000000"/>
          <w:spacing w:val="-6"/>
          <w:bdr w:val="none" w:sz="0" w:space="0" w:color="auto" w:frame="1"/>
        </w:rPr>
        <w:t>Since October 2018, following the amendment of the Parliament's rules of procedure, civil society organizations are excluded from the legislative consultation process at parliamentary committees. Inclusive mechanisms for consulting across society became impossible</w:t>
      </w:r>
      <w:r w:rsidR="00C07346" w:rsidRPr="008550E0">
        <w:rPr>
          <w:rFonts w:eastAsia="Calibri"/>
          <w:color w:val="000000"/>
          <w:spacing w:val="-6"/>
          <w:bdr w:val="none" w:sz="0" w:space="0" w:color="auto" w:frame="1"/>
          <w:vertAlign w:val="superscript"/>
        </w:rPr>
        <w:footnoteReference w:id="31"/>
      </w:r>
      <w:r w:rsidR="00C07346" w:rsidRPr="008550E0">
        <w:rPr>
          <w:rFonts w:eastAsia="Calibri"/>
          <w:color w:val="000000"/>
          <w:spacing w:val="-6"/>
          <w:bdr w:val="none" w:sz="0" w:space="0" w:color="auto" w:frame="1"/>
        </w:rPr>
        <w:t>.</w:t>
      </w:r>
    </w:p>
    <w:p w14:paraId="56B4831D" w14:textId="20EAAFD1" w:rsidR="003914D3" w:rsidRDefault="00F24607" w:rsidP="009E7BD9">
      <w:pPr>
        <w:pStyle w:val="NormalWeb"/>
        <w:shd w:val="clear" w:color="auto" w:fill="FFFFFF"/>
        <w:jc w:val="both"/>
        <w:textAlignment w:val="baseline"/>
        <w:rPr>
          <w:bCs/>
          <w:color w:val="000000"/>
          <w:spacing w:val="-6"/>
          <w:bdr w:val="none" w:sz="0" w:space="0" w:color="auto" w:frame="1"/>
        </w:rPr>
      </w:pPr>
      <w:r w:rsidRPr="00F24607">
        <w:rPr>
          <w:color w:val="000000"/>
          <w:spacing w:val="-6"/>
          <w:bdr w:val="none" w:sz="0" w:space="0" w:color="auto" w:frame="1"/>
          <w:lang w:val="en-GB"/>
        </w:rPr>
        <w:t xml:space="preserve">The EU focused strongly on the </w:t>
      </w:r>
      <w:r w:rsidRPr="00F24607">
        <w:rPr>
          <w:b/>
          <w:bCs/>
          <w:i/>
          <w:iCs/>
          <w:color w:val="000000"/>
          <w:spacing w:val="-6"/>
          <w:bdr w:val="none" w:sz="0" w:space="0" w:color="auto" w:frame="1"/>
          <w:lang w:val="en-GB"/>
        </w:rPr>
        <w:t xml:space="preserve">socioeconomic development, </w:t>
      </w:r>
      <w:r w:rsidRPr="00F24607">
        <w:rPr>
          <w:color w:val="000000"/>
          <w:spacing w:val="-6"/>
          <w:bdr w:val="none" w:sz="0" w:space="0" w:color="auto" w:frame="1"/>
          <w:lang w:val="en-GB"/>
        </w:rPr>
        <w:t xml:space="preserve">as the fourth external condition context, </w:t>
      </w:r>
      <w:r w:rsidRPr="00F24607">
        <w:rPr>
          <w:bCs/>
          <w:color w:val="000000"/>
          <w:spacing w:val="-6"/>
          <w:bdr w:val="none" w:sz="0" w:space="0" w:color="auto" w:frame="1"/>
          <w:lang w:val="en-GB"/>
        </w:rPr>
        <w:t>indicating that poverty and inequality are pronounced and partially structurally ingrained.</w:t>
      </w:r>
      <w:r w:rsidR="0036228B" w:rsidRPr="0036228B">
        <w:rPr>
          <w:rFonts w:asciiTheme="minorHAnsi" w:eastAsiaTheme="minorHAnsi" w:hAnsiTheme="minorHAnsi" w:cstheme="minorBidi"/>
          <w:sz w:val="22"/>
          <w:szCs w:val="22"/>
        </w:rPr>
        <w:t xml:space="preserve"> </w:t>
      </w:r>
      <w:r w:rsidR="0036228B" w:rsidRPr="0036228B">
        <w:rPr>
          <w:bCs/>
          <w:color w:val="000000"/>
          <w:spacing w:val="-6"/>
          <w:bdr w:val="none" w:sz="0" w:space="0" w:color="auto" w:frame="1"/>
        </w:rPr>
        <w:br/>
      </w:r>
      <w:r w:rsidR="003F183B">
        <w:rPr>
          <w:bCs/>
          <w:color w:val="000000"/>
          <w:spacing w:val="-6"/>
          <w:bdr w:val="none" w:sz="0" w:space="0" w:color="auto" w:frame="1"/>
        </w:rPr>
        <w:t xml:space="preserve">In the second period, </w:t>
      </w:r>
      <w:r w:rsidR="000379C5">
        <w:rPr>
          <w:bCs/>
          <w:color w:val="000000"/>
          <w:spacing w:val="-6"/>
          <w:bdr w:val="none" w:sz="0" w:space="0" w:color="auto" w:frame="1"/>
        </w:rPr>
        <w:t>the</w:t>
      </w:r>
      <w:r w:rsidR="0036228B" w:rsidRPr="0036228B">
        <w:rPr>
          <w:bCs/>
          <w:color w:val="000000"/>
          <w:spacing w:val="-6"/>
          <w:bdr w:val="none" w:sz="0" w:space="0" w:color="auto" w:frame="1"/>
        </w:rPr>
        <w:t xml:space="preserve"> institutional and regulatory environment weakened further and there are persistent issues with the predictability, transparency, and implementation of regulations.</w:t>
      </w:r>
      <w:r w:rsidR="001A5B9B">
        <w:rPr>
          <w:rStyle w:val="FootnoteReference"/>
          <w:bCs/>
          <w:color w:val="000000"/>
          <w:spacing w:val="-6"/>
          <w:bdr w:val="none" w:sz="0" w:space="0" w:color="auto" w:frame="1"/>
        </w:rPr>
        <w:footnoteReference w:id="32"/>
      </w:r>
      <w:r w:rsidR="0036228B" w:rsidRPr="0036228B">
        <w:rPr>
          <w:bCs/>
          <w:color w:val="000000"/>
          <w:spacing w:val="-6"/>
          <w:bdr w:val="none" w:sz="0" w:space="0" w:color="auto" w:frame="1"/>
        </w:rPr>
        <w:t xml:space="preserve"> </w:t>
      </w:r>
      <w:r w:rsidR="00673F19" w:rsidRPr="00673F19">
        <w:rPr>
          <w:bCs/>
          <w:color w:val="000000"/>
          <w:spacing w:val="-6"/>
          <w:bdr w:val="none" w:sz="0" w:space="0" w:color="auto" w:frame="1"/>
        </w:rPr>
        <w:t xml:space="preserve">The Central Bank remains directly linked to the presidency, which undermines its independence. </w:t>
      </w:r>
      <w:r w:rsidR="0036228B" w:rsidRPr="0036228B">
        <w:rPr>
          <w:bCs/>
          <w:color w:val="000000"/>
          <w:spacing w:val="-6"/>
          <w:bdr w:val="none" w:sz="0" w:space="0" w:color="auto" w:frame="1"/>
        </w:rPr>
        <w:t xml:space="preserve">The provision of State aid lacks proper rules on implementation, </w:t>
      </w:r>
      <w:r w:rsidR="00BC0A82" w:rsidRPr="0036228B">
        <w:rPr>
          <w:bCs/>
          <w:color w:val="000000"/>
          <w:spacing w:val="-6"/>
          <w:bdr w:val="none" w:sz="0" w:space="0" w:color="auto" w:frame="1"/>
        </w:rPr>
        <w:t>enforcement,</w:t>
      </w:r>
      <w:r w:rsidR="0036228B" w:rsidRPr="0036228B">
        <w:rPr>
          <w:bCs/>
          <w:color w:val="000000"/>
          <w:spacing w:val="-6"/>
          <w:bdr w:val="none" w:sz="0" w:space="0" w:color="auto" w:frame="1"/>
        </w:rPr>
        <w:t xml:space="preserve"> and transparency. Supported by loose monetary policy until the autumn 2020 and favorable regulatory measures, bank lending grew strongly, spurred </w:t>
      </w:r>
      <w:r w:rsidR="002C736E">
        <w:rPr>
          <w:bCs/>
          <w:color w:val="000000"/>
          <w:spacing w:val="-6"/>
          <w:bdr w:val="none" w:sz="0" w:space="0" w:color="auto" w:frame="1"/>
        </w:rPr>
        <w:t xml:space="preserve">mainly </w:t>
      </w:r>
      <w:r w:rsidR="002C736E" w:rsidRPr="0036228B">
        <w:rPr>
          <w:bCs/>
          <w:color w:val="000000"/>
          <w:spacing w:val="-6"/>
          <w:bdr w:val="none" w:sz="0" w:space="0" w:color="auto" w:frame="1"/>
        </w:rPr>
        <w:t>by</w:t>
      </w:r>
      <w:r w:rsidR="0036228B" w:rsidRPr="0036228B">
        <w:rPr>
          <w:bCs/>
          <w:color w:val="000000"/>
          <w:spacing w:val="-6"/>
          <w:bdr w:val="none" w:sz="0" w:space="0" w:color="auto" w:frame="1"/>
        </w:rPr>
        <w:t xml:space="preserve"> state-owned banks. The pandemic had a deeply negative impact on the </w:t>
      </w:r>
      <w:r w:rsidR="002C736E" w:rsidRPr="0036228B">
        <w:rPr>
          <w:bCs/>
          <w:color w:val="000000"/>
          <w:spacing w:val="-6"/>
          <w:bdr w:val="none" w:sz="0" w:space="0" w:color="auto" w:frame="1"/>
        </w:rPr>
        <w:t>labor</w:t>
      </w:r>
      <w:r w:rsidR="0036228B" w:rsidRPr="0036228B">
        <w:rPr>
          <w:bCs/>
          <w:color w:val="000000"/>
          <w:spacing w:val="-6"/>
          <w:bdr w:val="none" w:sz="0" w:space="0" w:color="auto" w:frame="1"/>
        </w:rPr>
        <w:t xml:space="preserve"> market and on poverty. </w:t>
      </w:r>
    </w:p>
    <w:p w14:paraId="52F4AF11" w14:textId="2927088C" w:rsidR="00F24607" w:rsidRPr="00F24607" w:rsidRDefault="00990745" w:rsidP="009E7BD9">
      <w:pPr>
        <w:pStyle w:val="NormalWeb"/>
        <w:shd w:val="clear" w:color="auto" w:fill="FFFFFF"/>
        <w:jc w:val="both"/>
        <w:textAlignment w:val="baseline"/>
        <w:rPr>
          <w:bCs/>
          <w:color w:val="000000"/>
          <w:spacing w:val="-6"/>
          <w:bdr w:val="none" w:sz="0" w:space="0" w:color="auto" w:frame="1"/>
          <w:lang w:val="en-GB"/>
        </w:rPr>
      </w:pPr>
      <w:r w:rsidRPr="00990745">
        <w:rPr>
          <w:bCs/>
          <w:color w:val="000000"/>
          <w:spacing w:val="-6"/>
          <w:bdr w:val="none" w:sz="0" w:space="0" w:color="auto" w:frame="1"/>
        </w:rPr>
        <w:t xml:space="preserve">The functioning of the Customs Union </w:t>
      </w:r>
      <w:r w:rsidR="003914D3">
        <w:rPr>
          <w:bCs/>
          <w:color w:val="000000"/>
          <w:spacing w:val="-6"/>
          <w:bdr w:val="none" w:sz="0" w:space="0" w:color="auto" w:frame="1"/>
        </w:rPr>
        <w:t xml:space="preserve">shows that </w:t>
      </w:r>
      <w:r w:rsidRPr="00990745">
        <w:rPr>
          <w:bCs/>
          <w:color w:val="000000"/>
          <w:spacing w:val="-6"/>
          <w:bdr w:val="none" w:sz="0" w:space="0" w:color="auto" w:frame="1"/>
        </w:rPr>
        <w:t xml:space="preserve">Turkey has achieved a good level of preparation for the free movement of goods. Although </w:t>
      </w:r>
      <w:r w:rsidR="00A746A4">
        <w:rPr>
          <w:bCs/>
          <w:color w:val="000000"/>
          <w:spacing w:val="-6"/>
          <w:bdr w:val="none" w:sz="0" w:space="0" w:color="auto" w:frame="1"/>
        </w:rPr>
        <w:t xml:space="preserve">some </w:t>
      </w:r>
      <w:r w:rsidRPr="00990745">
        <w:rPr>
          <w:bCs/>
          <w:color w:val="000000"/>
          <w:spacing w:val="-6"/>
          <w:bdr w:val="none" w:sz="0" w:space="0" w:color="auto" w:frame="1"/>
        </w:rPr>
        <w:t xml:space="preserve">technical barriers to trade remain, </w:t>
      </w:r>
      <w:r w:rsidR="00A746A4">
        <w:rPr>
          <w:bCs/>
          <w:color w:val="000000"/>
          <w:spacing w:val="-6"/>
          <w:bdr w:val="none" w:sz="0" w:space="0" w:color="auto" w:frame="1"/>
        </w:rPr>
        <w:t xml:space="preserve">as well as </w:t>
      </w:r>
      <w:r w:rsidR="00554088">
        <w:rPr>
          <w:bCs/>
          <w:color w:val="000000"/>
          <w:spacing w:val="-6"/>
          <w:bdr w:val="none" w:sz="0" w:space="0" w:color="auto" w:frame="1"/>
        </w:rPr>
        <w:t>the p</w:t>
      </w:r>
      <w:r w:rsidRPr="00990745">
        <w:rPr>
          <w:bCs/>
          <w:color w:val="000000"/>
          <w:spacing w:val="-6"/>
          <w:bdr w:val="none" w:sz="0" w:space="0" w:color="auto" w:frame="1"/>
        </w:rPr>
        <w:t xml:space="preserve">reparations in the areas of freedom of movement for </w:t>
      </w:r>
      <w:r w:rsidR="00BC0A82" w:rsidRPr="00990745">
        <w:rPr>
          <w:bCs/>
          <w:color w:val="000000"/>
          <w:spacing w:val="-6"/>
          <w:bdr w:val="none" w:sz="0" w:space="0" w:color="auto" w:frame="1"/>
        </w:rPr>
        <w:t>workers</w:t>
      </w:r>
      <w:r w:rsidR="00BC0A82">
        <w:rPr>
          <w:bCs/>
          <w:color w:val="000000"/>
          <w:spacing w:val="-6"/>
          <w:bdr w:val="none" w:sz="0" w:space="0" w:color="auto" w:frame="1"/>
        </w:rPr>
        <w:t xml:space="preserve">, </w:t>
      </w:r>
      <w:r w:rsidR="00BC0A82" w:rsidRPr="00990745">
        <w:rPr>
          <w:bCs/>
          <w:color w:val="000000"/>
          <w:spacing w:val="-6"/>
          <w:bdr w:val="none" w:sz="0" w:space="0" w:color="auto" w:frame="1"/>
        </w:rPr>
        <w:t>right</w:t>
      </w:r>
      <w:r w:rsidRPr="00990745">
        <w:rPr>
          <w:bCs/>
          <w:color w:val="000000"/>
          <w:spacing w:val="-6"/>
          <w:bdr w:val="none" w:sz="0" w:space="0" w:color="auto" w:frame="1"/>
        </w:rPr>
        <w:t xml:space="preserve"> of </w:t>
      </w:r>
      <w:r w:rsidR="002C736E" w:rsidRPr="00990745">
        <w:rPr>
          <w:bCs/>
          <w:color w:val="000000"/>
          <w:spacing w:val="-6"/>
          <w:bdr w:val="none" w:sz="0" w:space="0" w:color="auto" w:frame="1"/>
        </w:rPr>
        <w:t>establishment</w:t>
      </w:r>
      <w:r w:rsidR="002C736E">
        <w:rPr>
          <w:bCs/>
          <w:color w:val="000000"/>
          <w:spacing w:val="-6"/>
          <w:bdr w:val="none" w:sz="0" w:space="0" w:color="auto" w:frame="1"/>
        </w:rPr>
        <w:t xml:space="preserve">, </w:t>
      </w:r>
      <w:r w:rsidR="002C736E" w:rsidRPr="00990745">
        <w:rPr>
          <w:bCs/>
          <w:color w:val="000000"/>
          <w:spacing w:val="-6"/>
          <w:bdr w:val="none" w:sz="0" w:space="0" w:color="auto" w:frame="1"/>
        </w:rPr>
        <w:t>freedom</w:t>
      </w:r>
      <w:r w:rsidRPr="00990745">
        <w:rPr>
          <w:bCs/>
          <w:color w:val="000000"/>
          <w:spacing w:val="-6"/>
          <w:bdr w:val="none" w:sz="0" w:space="0" w:color="auto" w:frame="1"/>
        </w:rPr>
        <w:t xml:space="preserve"> to provide services </w:t>
      </w:r>
      <w:r w:rsidR="00B169D4">
        <w:rPr>
          <w:bCs/>
          <w:color w:val="000000"/>
          <w:spacing w:val="-6"/>
          <w:bdr w:val="none" w:sz="0" w:space="0" w:color="auto" w:frame="1"/>
        </w:rPr>
        <w:t xml:space="preserve">and free movement of capital </w:t>
      </w:r>
      <w:r w:rsidRPr="00990745">
        <w:rPr>
          <w:bCs/>
          <w:color w:val="000000"/>
          <w:spacing w:val="-6"/>
          <w:bdr w:val="none" w:sz="0" w:space="0" w:color="auto" w:frame="1"/>
        </w:rPr>
        <w:t>are at an early stage</w:t>
      </w:r>
      <w:r w:rsidR="00B169D4">
        <w:rPr>
          <w:bCs/>
          <w:color w:val="000000"/>
          <w:spacing w:val="-6"/>
          <w:bdr w:val="none" w:sz="0" w:space="0" w:color="auto" w:frame="1"/>
        </w:rPr>
        <w:t>.</w:t>
      </w:r>
    </w:p>
    <w:p w14:paraId="0FED120B" w14:textId="624DFD88" w:rsidR="00F24607" w:rsidRPr="00F24607" w:rsidRDefault="00F24607" w:rsidP="009E7BD9">
      <w:pPr>
        <w:pStyle w:val="NormalWeb"/>
        <w:shd w:val="clear" w:color="auto" w:fill="FFFFFF"/>
        <w:jc w:val="both"/>
        <w:textAlignment w:val="baseline"/>
        <w:rPr>
          <w:bCs/>
          <w:color w:val="000000"/>
          <w:spacing w:val="-6"/>
          <w:bdr w:val="none" w:sz="0" w:space="0" w:color="auto" w:frame="1"/>
          <w:lang w:val="en-GB"/>
        </w:rPr>
      </w:pPr>
      <w:r w:rsidRPr="00F24607">
        <w:rPr>
          <w:color w:val="000000"/>
          <w:spacing w:val="-6"/>
          <w:bdr w:val="none" w:sz="0" w:space="0" w:color="auto" w:frame="1"/>
          <w:lang w:val="en-GB"/>
        </w:rPr>
        <w:t xml:space="preserve"> </w:t>
      </w:r>
      <w:r w:rsidRPr="00F24607">
        <w:rPr>
          <w:bCs/>
          <w:color w:val="000000"/>
          <w:spacing w:val="-6"/>
          <w:bdr w:val="none" w:sz="0" w:space="0" w:color="auto" w:frame="1"/>
          <w:lang w:val="en-GB"/>
        </w:rPr>
        <w:t xml:space="preserve">To sum up, the EU’s democracy promotion in Turkey can be classified as externally embedded liberal democracy promotion. The Union, besides the five partial regimes, also significantly supported the advancement of external conditions. Concerning the partial regimes, the EU paid major attention to democracy promotion in Turkey regarding civil rights, political rights, and horizontal accountability; it also paid focused attention on the effective power to govern, while paying some attention to the electoral regime. Concerning external conditions, the EU paid major attention to socio-economic development and focused attention on </w:t>
      </w:r>
      <w:proofErr w:type="spellStart"/>
      <w:r w:rsidRPr="00F24607">
        <w:rPr>
          <w:bCs/>
          <w:color w:val="000000"/>
          <w:spacing w:val="-6"/>
          <w:bdr w:val="none" w:sz="0" w:space="0" w:color="auto" w:frame="1"/>
          <w:lang w:val="en-GB"/>
        </w:rPr>
        <w:t>stateness</w:t>
      </w:r>
      <w:proofErr w:type="spellEnd"/>
      <w:r w:rsidRPr="00F24607">
        <w:rPr>
          <w:bCs/>
          <w:color w:val="000000"/>
          <w:spacing w:val="-6"/>
          <w:bdr w:val="none" w:sz="0" w:space="0" w:color="auto" w:frame="1"/>
          <w:lang w:val="en-GB"/>
        </w:rPr>
        <w:t xml:space="preserve">, state administrative capacity and civil society. The substance of EU democracy promotion in Turkey can be mapped as a ‘broad agenda’, which can be explained by institutionalist and power-based approaches in the early stages of the process, and by the domestic approach in the later stages. </w:t>
      </w:r>
    </w:p>
    <w:p w14:paraId="3C07ACBD" w14:textId="03978CCF" w:rsidR="00160E45" w:rsidRPr="00160E45" w:rsidRDefault="00160E45" w:rsidP="00160E45">
      <w:pPr>
        <w:spacing w:line="360" w:lineRule="auto"/>
        <w:rPr>
          <w:rFonts w:ascii="Times New Roman" w:hAnsi="Times New Roman" w:cs="Times New Roman"/>
          <w:b/>
          <w:highlight w:val="yellow"/>
        </w:rPr>
      </w:pPr>
      <w:r w:rsidRPr="00160E45">
        <w:rPr>
          <w:rFonts w:ascii="Times New Roman" w:hAnsi="Times New Roman" w:cs="Times New Roman"/>
          <w:b/>
          <w:lang w:val="tr-TR"/>
        </w:rPr>
        <w:t>4.</w:t>
      </w:r>
      <w:r w:rsidRPr="00160E45">
        <w:rPr>
          <w:rFonts w:ascii="Times New Roman" w:hAnsi="Times New Roman" w:cs="Times New Roman"/>
          <w:b/>
        </w:rPr>
        <w:t xml:space="preserve">The analysis of the shift in the </w:t>
      </w:r>
      <w:r w:rsidRPr="00160E45">
        <w:rPr>
          <w:rFonts w:ascii="Times New Roman" w:eastAsia="Times New Roman" w:hAnsi="Times New Roman" w:cs="Times New Roman"/>
          <w:b/>
          <w:color w:val="1F1C1B"/>
          <w:bdr w:val="none" w:sz="0" w:space="0" w:color="auto" w:frame="1"/>
        </w:rPr>
        <w:t>substance of</w:t>
      </w:r>
      <w:r w:rsidRPr="00160E45">
        <w:rPr>
          <w:rFonts w:ascii="Times New Roman" w:eastAsia="Times New Roman" w:hAnsi="Times New Roman" w:cs="Times New Roman"/>
          <w:b/>
          <w:color w:val="1F1C1B"/>
          <w:bdr w:val="none" w:sz="0" w:space="0" w:color="auto" w:frame="1"/>
          <w:lang w:val="tr-TR"/>
        </w:rPr>
        <w:t xml:space="preserve"> EU’s </w:t>
      </w:r>
      <w:r w:rsidRPr="00160E45">
        <w:rPr>
          <w:rFonts w:ascii="Times New Roman" w:eastAsia="Times New Roman" w:hAnsi="Times New Roman" w:cs="Times New Roman"/>
          <w:b/>
          <w:color w:val="1F1C1B"/>
          <w:bdr w:val="none" w:sz="0" w:space="0" w:color="auto" w:frame="1"/>
        </w:rPr>
        <w:t>democracy promotion</w:t>
      </w:r>
      <w:r w:rsidRPr="00160E45">
        <w:rPr>
          <w:rFonts w:ascii="Times New Roman" w:eastAsia="Times New Roman" w:hAnsi="Times New Roman" w:cs="Times New Roman"/>
          <w:b/>
          <w:color w:val="1F1C1B"/>
          <w:bdr w:val="none" w:sz="0" w:space="0" w:color="auto" w:frame="1"/>
          <w:lang w:val="tr-TR"/>
        </w:rPr>
        <w:t xml:space="preserve"> </w:t>
      </w:r>
    </w:p>
    <w:p w14:paraId="7522E45B" w14:textId="65CF3550" w:rsidR="00834F26" w:rsidRPr="00160E45" w:rsidRDefault="00834F26" w:rsidP="00834F26">
      <w:pPr>
        <w:pStyle w:val="NormalWeb"/>
        <w:shd w:val="clear" w:color="auto" w:fill="FFFFFF"/>
        <w:spacing w:before="0" w:beforeAutospacing="0" w:after="0" w:afterAutospacing="0"/>
        <w:ind w:left="360"/>
        <w:textAlignment w:val="baseline"/>
        <w:rPr>
          <w:color w:val="000000"/>
          <w:spacing w:val="-6"/>
          <w:highlight w:val="yellow"/>
          <w:bdr w:val="none" w:sz="0" w:space="0" w:color="auto" w:frame="1"/>
          <w:lang w:val="en-GB"/>
        </w:rPr>
      </w:pPr>
    </w:p>
    <w:p w14:paraId="569F6FB1" w14:textId="1FD2DC8B" w:rsidR="00834F26" w:rsidRPr="00EC0593" w:rsidRDefault="001F36CA" w:rsidP="00A73A25">
      <w:pPr>
        <w:pStyle w:val="NormalWeb"/>
        <w:shd w:val="clear" w:color="auto" w:fill="FFFFFF"/>
        <w:spacing w:before="0" w:beforeAutospacing="0" w:after="0" w:afterAutospacing="0"/>
        <w:textAlignment w:val="baseline"/>
        <w:rPr>
          <w:i/>
          <w:iCs/>
          <w:color w:val="1F1C1B"/>
          <w:spacing w:val="-6"/>
          <w:bdr w:val="none" w:sz="0" w:space="0" w:color="auto" w:frame="1"/>
        </w:rPr>
      </w:pPr>
      <w:r w:rsidRPr="00EC0593">
        <w:rPr>
          <w:i/>
          <w:iCs/>
          <w:color w:val="1F1C1B"/>
          <w:spacing w:val="-6"/>
          <w:bdr w:val="none" w:sz="0" w:space="0" w:color="auto" w:frame="1"/>
        </w:rPr>
        <w:t>4.1</w:t>
      </w:r>
      <w:r w:rsidR="002959D0" w:rsidRPr="00EC0593">
        <w:rPr>
          <w:i/>
          <w:iCs/>
          <w:color w:val="1F1C1B"/>
          <w:spacing w:val="-6"/>
          <w:bdr w:val="none" w:sz="0" w:space="0" w:color="auto" w:frame="1"/>
        </w:rPr>
        <w:t xml:space="preserve"> </w:t>
      </w:r>
      <w:r w:rsidR="00FA2D8C" w:rsidRPr="00EC0593">
        <w:rPr>
          <w:i/>
          <w:iCs/>
          <w:color w:val="1F1C1B"/>
          <w:spacing w:val="-6"/>
          <w:bdr w:val="none" w:sz="0" w:space="0" w:color="auto" w:frame="1"/>
        </w:rPr>
        <w:t>Domestic Struggles</w:t>
      </w:r>
      <w:r w:rsidR="00520D42" w:rsidRPr="00EC0593">
        <w:rPr>
          <w:i/>
          <w:iCs/>
          <w:color w:val="1F1C1B"/>
          <w:spacing w:val="-6"/>
          <w:bdr w:val="none" w:sz="0" w:space="0" w:color="auto" w:frame="1"/>
        </w:rPr>
        <w:t xml:space="preserve"> </w:t>
      </w:r>
    </w:p>
    <w:p w14:paraId="20E5CE81" w14:textId="77777777" w:rsidR="005F1EAC" w:rsidRPr="00565291" w:rsidRDefault="005F1EAC" w:rsidP="00834F26">
      <w:pPr>
        <w:pStyle w:val="NormalWeb"/>
        <w:shd w:val="clear" w:color="auto" w:fill="FFFFFF"/>
        <w:spacing w:before="0" w:beforeAutospacing="0" w:after="0" w:afterAutospacing="0"/>
        <w:ind w:left="360"/>
        <w:textAlignment w:val="baseline"/>
        <w:rPr>
          <w:color w:val="1F1C1B"/>
          <w:spacing w:val="-6"/>
          <w:bdr w:val="none" w:sz="0" w:space="0" w:color="auto" w:frame="1"/>
        </w:rPr>
      </w:pPr>
    </w:p>
    <w:p w14:paraId="0B5B2C10" w14:textId="203006F0" w:rsidR="00A67C30" w:rsidRPr="00A67C30" w:rsidRDefault="00D076DE" w:rsidP="00A67C30">
      <w:pPr>
        <w:pStyle w:val="NormalWeb"/>
        <w:shd w:val="clear" w:color="auto" w:fill="FFFFFF"/>
        <w:spacing w:before="0" w:beforeAutospacing="0" w:after="0" w:afterAutospacing="0"/>
        <w:jc w:val="both"/>
        <w:textAlignment w:val="baseline"/>
        <w:rPr>
          <w:color w:val="1F1C1B"/>
          <w:spacing w:val="-6"/>
          <w:bdr w:val="none" w:sz="0" w:space="0" w:color="auto" w:frame="1"/>
          <w:lang w:val="en-GB"/>
        </w:rPr>
      </w:pPr>
      <w:r>
        <w:rPr>
          <w:color w:val="1F1C1B"/>
          <w:spacing w:val="-6"/>
          <w:bdr w:val="none" w:sz="0" w:space="0" w:color="auto" w:frame="1"/>
        </w:rPr>
        <w:t>Bertelsmann Stiftung</w:t>
      </w:r>
      <w:r w:rsidR="00DB27EC">
        <w:rPr>
          <w:color w:val="1F1C1B"/>
          <w:spacing w:val="-6"/>
          <w:bdr w:val="none" w:sz="0" w:space="0" w:color="auto" w:frame="1"/>
        </w:rPr>
        <w:t>’s</w:t>
      </w:r>
      <w:r>
        <w:rPr>
          <w:color w:val="1F1C1B"/>
          <w:spacing w:val="-6"/>
          <w:bdr w:val="none" w:sz="0" w:space="0" w:color="auto" w:frame="1"/>
        </w:rPr>
        <w:t xml:space="preserve"> </w:t>
      </w:r>
      <w:r w:rsidR="00DB27EC">
        <w:rPr>
          <w:color w:val="1F1C1B"/>
          <w:spacing w:val="-6"/>
          <w:bdr w:val="none" w:sz="0" w:space="0" w:color="auto" w:frame="1"/>
        </w:rPr>
        <w:t>Turkey</w:t>
      </w:r>
      <w:r>
        <w:rPr>
          <w:color w:val="1F1C1B"/>
          <w:spacing w:val="-6"/>
          <w:bdr w:val="none" w:sz="0" w:space="0" w:color="auto" w:frame="1"/>
        </w:rPr>
        <w:t xml:space="preserve"> report </w:t>
      </w:r>
      <w:r w:rsidR="00DB27EC">
        <w:rPr>
          <w:color w:val="1F1C1B"/>
          <w:spacing w:val="-6"/>
          <w:bdr w:val="none" w:sz="0" w:space="0" w:color="auto" w:frame="1"/>
        </w:rPr>
        <w:t xml:space="preserve">states </w:t>
      </w:r>
      <w:r w:rsidR="00247B2C">
        <w:rPr>
          <w:color w:val="1F1C1B"/>
          <w:spacing w:val="-6"/>
          <w:bdr w:val="none" w:sz="0" w:space="0" w:color="auto" w:frame="1"/>
        </w:rPr>
        <w:t xml:space="preserve">that the country in 2022 faces </w:t>
      </w:r>
      <w:r w:rsidR="00AC303A" w:rsidRPr="00AC303A">
        <w:rPr>
          <w:color w:val="1F1C1B"/>
          <w:spacing w:val="-6"/>
          <w:bdr w:val="none" w:sz="0" w:space="0" w:color="auto" w:frame="1"/>
        </w:rPr>
        <w:t xml:space="preserve">three major problems: the consolidation of authoritarianism, economic </w:t>
      </w:r>
      <w:r w:rsidR="005D1983" w:rsidRPr="00AC303A">
        <w:rPr>
          <w:color w:val="1F1C1B"/>
          <w:spacing w:val="-6"/>
          <w:bdr w:val="none" w:sz="0" w:space="0" w:color="auto" w:frame="1"/>
        </w:rPr>
        <w:t>vulnerability,</w:t>
      </w:r>
      <w:r w:rsidR="00AC303A" w:rsidRPr="00AC303A">
        <w:rPr>
          <w:color w:val="1F1C1B"/>
          <w:spacing w:val="-6"/>
          <w:bdr w:val="none" w:sz="0" w:space="0" w:color="auto" w:frame="1"/>
        </w:rPr>
        <w:t xml:space="preserve"> and an increasingly conflictual foreign policy.</w:t>
      </w:r>
      <w:r w:rsidR="00247B2C">
        <w:rPr>
          <w:rStyle w:val="FootnoteReference"/>
          <w:color w:val="1F1C1B"/>
          <w:spacing w:val="-6"/>
          <w:bdr w:val="none" w:sz="0" w:space="0" w:color="auto" w:frame="1"/>
        </w:rPr>
        <w:footnoteReference w:id="33"/>
      </w:r>
      <w:r w:rsidR="00D24652">
        <w:rPr>
          <w:color w:val="1F1C1B"/>
          <w:spacing w:val="-6"/>
          <w:bdr w:val="none" w:sz="0" w:space="0" w:color="auto" w:frame="1"/>
        </w:rPr>
        <w:t xml:space="preserve"> The two of the major problems </w:t>
      </w:r>
      <w:r w:rsidR="00AE1BE5">
        <w:rPr>
          <w:color w:val="1F1C1B"/>
          <w:spacing w:val="-6"/>
          <w:bdr w:val="none" w:sz="0" w:space="0" w:color="auto" w:frame="1"/>
        </w:rPr>
        <w:t xml:space="preserve">have </w:t>
      </w:r>
      <w:r w:rsidR="00D8146C">
        <w:rPr>
          <w:color w:val="1F1C1B"/>
          <w:spacing w:val="-6"/>
          <w:bdr w:val="none" w:sz="0" w:space="0" w:color="auto" w:frame="1"/>
        </w:rPr>
        <w:t>materialized</w:t>
      </w:r>
      <w:r w:rsidR="00D8146C" w:rsidRPr="00565291">
        <w:rPr>
          <w:color w:val="1F1C1B"/>
          <w:spacing w:val="-6"/>
          <w:bdr w:val="none" w:sz="0" w:space="0" w:color="auto" w:frame="1"/>
        </w:rPr>
        <w:t xml:space="preserve"> </w:t>
      </w:r>
      <w:r w:rsidR="00EA4F0E">
        <w:rPr>
          <w:color w:val="1F1C1B"/>
          <w:spacing w:val="-6"/>
          <w:bdr w:val="none" w:sz="0" w:space="0" w:color="auto" w:frame="1"/>
        </w:rPr>
        <w:t xml:space="preserve">during the time of </w:t>
      </w:r>
      <w:r w:rsidR="005F1EAC" w:rsidRPr="00565291">
        <w:rPr>
          <w:color w:val="1F1C1B"/>
          <w:spacing w:val="-6"/>
          <w:bdr w:val="none" w:sz="0" w:space="0" w:color="auto" w:frame="1"/>
        </w:rPr>
        <w:t>Justice and Development Party (AKP</w:t>
      </w:r>
      <w:r w:rsidR="006F444F" w:rsidRPr="00565291">
        <w:rPr>
          <w:color w:val="1F1C1B"/>
          <w:spacing w:val="-6"/>
          <w:bdr w:val="none" w:sz="0" w:space="0" w:color="auto" w:frame="1"/>
        </w:rPr>
        <w:t>)</w:t>
      </w:r>
      <w:r w:rsidR="00B36756">
        <w:rPr>
          <w:color w:val="1F1C1B"/>
          <w:spacing w:val="-6"/>
          <w:bdr w:val="none" w:sz="0" w:space="0" w:color="auto" w:frame="1"/>
        </w:rPr>
        <w:t xml:space="preserve">, which </w:t>
      </w:r>
      <w:r w:rsidR="00003B7D">
        <w:rPr>
          <w:color w:val="1F1C1B"/>
          <w:spacing w:val="-6"/>
          <w:bdr w:val="none" w:sz="0" w:space="0" w:color="auto" w:frame="1"/>
        </w:rPr>
        <w:t xml:space="preserve">won </w:t>
      </w:r>
      <w:r w:rsidR="00CE62D1" w:rsidRPr="00565291">
        <w:rPr>
          <w:color w:val="1F1C1B"/>
          <w:spacing w:val="-6"/>
          <w:bdr w:val="none" w:sz="0" w:space="0" w:color="auto" w:frame="1"/>
        </w:rPr>
        <w:t xml:space="preserve">three </w:t>
      </w:r>
      <w:r w:rsidR="005F5B14" w:rsidRPr="00565291">
        <w:rPr>
          <w:color w:val="1F1C1B"/>
          <w:spacing w:val="-6"/>
          <w:bdr w:val="none" w:sz="0" w:space="0" w:color="auto" w:frame="1"/>
        </w:rPr>
        <w:t>successive elections with increasing vote</w:t>
      </w:r>
      <w:r w:rsidR="00A73A25">
        <w:rPr>
          <w:color w:val="1F1C1B"/>
          <w:spacing w:val="-6"/>
          <w:bdr w:val="none" w:sz="0" w:space="0" w:color="auto" w:frame="1"/>
        </w:rPr>
        <w:t>s</w:t>
      </w:r>
      <w:r w:rsidR="00003B7D">
        <w:rPr>
          <w:color w:val="1F1C1B"/>
          <w:spacing w:val="-6"/>
          <w:bdr w:val="none" w:sz="0" w:space="0" w:color="auto" w:frame="1"/>
        </w:rPr>
        <w:t>.</w:t>
      </w:r>
      <w:r w:rsidR="005E107E" w:rsidRPr="00565291">
        <w:rPr>
          <w:color w:val="1F1C1B"/>
          <w:spacing w:val="-6"/>
          <w:bdr w:val="none" w:sz="0" w:space="0" w:color="auto" w:frame="1"/>
        </w:rPr>
        <w:t xml:space="preserve"> Coupled,</w:t>
      </w:r>
      <w:r w:rsidR="00A0053D" w:rsidRPr="00565291">
        <w:rPr>
          <w:color w:val="1F1C1B"/>
          <w:spacing w:val="-6"/>
          <w:bdr w:val="none" w:sz="0" w:space="0" w:color="auto" w:frame="1"/>
        </w:rPr>
        <w:t xml:space="preserve"> </w:t>
      </w:r>
      <w:r w:rsidR="005E107E" w:rsidRPr="00565291">
        <w:rPr>
          <w:color w:val="1F1C1B"/>
          <w:spacing w:val="-6"/>
          <w:bdr w:val="none" w:sz="0" w:space="0" w:color="auto" w:frame="1"/>
        </w:rPr>
        <w:t xml:space="preserve">with the economic growth of the country and the resulting tripled increase in the per capita income of average citizen </w:t>
      </w:r>
      <w:r w:rsidR="003271D4" w:rsidRPr="00565291">
        <w:rPr>
          <w:color w:val="1F1C1B"/>
          <w:spacing w:val="-6"/>
          <w:bdr w:val="none" w:sz="0" w:space="0" w:color="auto" w:frame="1"/>
        </w:rPr>
        <w:t>after 2010</w:t>
      </w:r>
      <w:r w:rsidR="004A1069">
        <w:rPr>
          <w:color w:val="1F1C1B"/>
          <w:spacing w:val="-6"/>
          <w:bdr w:val="none" w:sz="0" w:space="0" w:color="auto" w:frame="1"/>
        </w:rPr>
        <w:t xml:space="preserve">, AKP </w:t>
      </w:r>
      <w:r w:rsidR="008A27FD">
        <w:rPr>
          <w:color w:val="1F1C1B"/>
          <w:spacing w:val="-6"/>
          <w:bdr w:val="none" w:sz="0" w:space="0" w:color="auto" w:frame="1"/>
        </w:rPr>
        <w:t>under</w:t>
      </w:r>
      <w:r w:rsidR="004A1069">
        <w:rPr>
          <w:color w:val="1F1C1B"/>
          <w:spacing w:val="-6"/>
          <w:bdr w:val="none" w:sz="0" w:space="0" w:color="auto" w:frame="1"/>
        </w:rPr>
        <w:t xml:space="preserve"> </w:t>
      </w:r>
      <w:r w:rsidR="00134FE4">
        <w:rPr>
          <w:color w:val="1F1C1B"/>
          <w:spacing w:val="-6"/>
          <w:bdr w:val="none" w:sz="0" w:space="0" w:color="auto" w:frame="1"/>
        </w:rPr>
        <w:t xml:space="preserve">the leadership of Erdogan </w:t>
      </w:r>
      <w:r w:rsidR="005F1EAC" w:rsidRPr="00565291">
        <w:rPr>
          <w:color w:val="1F1C1B"/>
          <w:spacing w:val="-6"/>
          <w:bdr w:val="none" w:sz="0" w:space="0" w:color="auto" w:frame="1"/>
        </w:rPr>
        <w:t xml:space="preserve">consolidated </w:t>
      </w:r>
      <w:r w:rsidR="00134FE4">
        <w:rPr>
          <w:color w:val="1F1C1B"/>
          <w:spacing w:val="-6"/>
          <w:bdr w:val="none" w:sz="0" w:space="0" w:color="auto" w:frame="1"/>
        </w:rPr>
        <w:t>its</w:t>
      </w:r>
      <w:r w:rsidR="005F1EAC" w:rsidRPr="00565291">
        <w:rPr>
          <w:color w:val="1F1C1B"/>
          <w:spacing w:val="-6"/>
          <w:bdr w:val="none" w:sz="0" w:space="0" w:color="auto" w:frame="1"/>
        </w:rPr>
        <w:t xml:space="preserve"> power</w:t>
      </w:r>
      <w:r w:rsidR="00134FE4">
        <w:rPr>
          <w:color w:val="1F1C1B"/>
          <w:spacing w:val="-6"/>
          <w:bdr w:val="none" w:sz="0" w:space="0" w:color="auto" w:frame="1"/>
        </w:rPr>
        <w:t>.</w:t>
      </w:r>
      <w:r w:rsidR="00DC5CD6" w:rsidRPr="00565291">
        <w:rPr>
          <w:color w:val="1F1C1B"/>
          <w:spacing w:val="-6"/>
          <w:bdr w:val="none" w:sz="0" w:space="0" w:color="auto" w:frame="1"/>
        </w:rPr>
        <w:t xml:space="preserve"> </w:t>
      </w:r>
      <w:r w:rsidR="00730873" w:rsidRPr="00565291">
        <w:rPr>
          <w:color w:val="1F1C1B"/>
          <w:spacing w:val="-6"/>
          <w:bdr w:val="none" w:sz="0" w:space="0" w:color="auto" w:frame="1"/>
        </w:rPr>
        <w:t xml:space="preserve">The state’s role in the economy became </w:t>
      </w:r>
      <w:r w:rsidR="0089261B">
        <w:rPr>
          <w:color w:val="1F1C1B"/>
          <w:spacing w:val="-6"/>
          <w:bdr w:val="none" w:sz="0" w:space="0" w:color="auto" w:frame="1"/>
        </w:rPr>
        <w:t xml:space="preserve">strong and </w:t>
      </w:r>
      <w:r w:rsidR="00730873" w:rsidRPr="00565291">
        <w:rPr>
          <w:color w:val="1F1C1B"/>
          <w:spacing w:val="-6"/>
          <w:bdr w:val="none" w:sz="0" w:space="0" w:color="auto" w:frame="1"/>
        </w:rPr>
        <w:t>non-transparent</w:t>
      </w:r>
      <w:r w:rsidR="00626223" w:rsidRPr="00565291">
        <w:rPr>
          <w:color w:val="1F1C1B"/>
          <w:spacing w:val="-6"/>
          <w:bdr w:val="none" w:sz="0" w:space="0" w:color="auto" w:frame="1"/>
        </w:rPr>
        <w:t xml:space="preserve">. </w:t>
      </w:r>
      <w:r w:rsidR="00730873" w:rsidRPr="00565291">
        <w:rPr>
          <w:color w:val="1F1C1B"/>
          <w:spacing w:val="-6"/>
          <w:bdr w:val="none" w:sz="0" w:space="0" w:color="auto" w:frame="1"/>
        </w:rPr>
        <w:t xml:space="preserve"> The </w:t>
      </w:r>
      <w:r w:rsidR="005F1EAC" w:rsidRPr="00565291">
        <w:rPr>
          <w:color w:val="1F1C1B"/>
          <w:spacing w:val="-6"/>
          <w:bdr w:val="none" w:sz="0" w:space="0" w:color="auto" w:frame="1"/>
        </w:rPr>
        <w:t xml:space="preserve">institutional checks and balance mechanisms </w:t>
      </w:r>
      <w:r w:rsidR="00730873" w:rsidRPr="00565291">
        <w:rPr>
          <w:color w:val="1F1C1B"/>
          <w:spacing w:val="-6"/>
          <w:bdr w:val="none" w:sz="0" w:space="0" w:color="auto" w:frame="1"/>
        </w:rPr>
        <w:t xml:space="preserve">were eroded, </w:t>
      </w:r>
      <w:r w:rsidR="00B52003" w:rsidRPr="00565291">
        <w:rPr>
          <w:color w:val="1F1C1B"/>
          <w:spacing w:val="-6"/>
          <w:bdr w:val="none" w:sz="0" w:space="0" w:color="auto" w:frame="1"/>
        </w:rPr>
        <w:t xml:space="preserve">along with the freedom of expression and independence of media </w:t>
      </w:r>
      <w:r w:rsidR="00DC556D" w:rsidRPr="00565291">
        <w:rPr>
          <w:color w:val="1F1C1B"/>
          <w:spacing w:val="-6"/>
          <w:bdr w:val="none" w:sz="0" w:space="0" w:color="auto" w:frame="1"/>
        </w:rPr>
        <w:t xml:space="preserve">and judiciary. </w:t>
      </w:r>
      <w:r w:rsidR="00B64C7F">
        <w:rPr>
          <w:color w:val="1F1C1B"/>
          <w:spacing w:val="-6"/>
          <w:bdr w:val="none" w:sz="0" w:space="0" w:color="auto" w:frame="1"/>
        </w:rPr>
        <w:t xml:space="preserve">Many achievements </w:t>
      </w:r>
      <w:r w:rsidR="00B64C7F" w:rsidRPr="00B64C7F">
        <w:rPr>
          <w:color w:val="1F1C1B"/>
          <w:spacing w:val="-6"/>
          <w:bdr w:val="none" w:sz="0" w:space="0" w:color="auto" w:frame="1"/>
          <w:lang w:val="en-GB"/>
        </w:rPr>
        <w:t>between 2002 and 2012</w:t>
      </w:r>
      <w:r w:rsidR="00575527" w:rsidRPr="00565291">
        <w:rPr>
          <w:color w:val="1F1C1B"/>
          <w:spacing w:val="-6"/>
          <w:bdr w:val="none" w:sz="0" w:space="0" w:color="auto" w:frame="1"/>
        </w:rPr>
        <w:t xml:space="preserve"> </w:t>
      </w:r>
      <w:r w:rsidR="00544B73">
        <w:rPr>
          <w:color w:val="1F1C1B"/>
          <w:spacing w:val="-6"/>
          <w:bdr w:val="none" w:sz="0" w:space="0" w:color="auto" w:frame="1"/>
        </w:rPr>
        <w:t xml:space="preserve">concerning </w:t>
      </w:r>
      <w:r w:rsidR="00C74FCE">
        <w:rPr>
          <w:color w:val="1F1C1B"/>
          <w:spacing w:val="-6"/>
          <w:bdr w:val="none" w:sz="0" w:space="0" w:color="auto" w:frame="1"/>
        </w:rPr>
        <w:t xml:space="preserve">the EU </w:t>
      </w:r>
      <w:r w:rsidR="00104FC4">
        <w:rPr>
          <w:color w:val="1F1C1B"/>
          <w:spacing w:val="-6"/>
          <w:bdr w:val="none" w:sz="0" w:space="0" w:color="auto" w:frame="1"/>
        </w:rPr>
        <w:t>standards, the</w:t>
      </w:r>
      <w:r w:rsidR="00C74FCE">
        <w:rPr>
          <w:color w:val="1F1C1B"/>
          <w:spacing w:val="-6"/>
          <w:bdr w:val="none" w:sz="0" w:space="0" w:color="auto" w:frame="1"/>
        </w:rPr>
        <w:t xml:space="preserve"> Copenhagen criteria</w:t>
      </w:r>
      <w:r w:rsidR="00B64C7F">
        <w:rPr>
          <w:color w:val="1F1C1B"/>
          <w:spacing w:val="-6"/>
          <w:bdr w:val="none" w:sz="0" w:space="0" w:color="auto" w:frame="1"/>
        </w:rPr>
        <w:t xml:space="preserve">, </w:t>
      </w:r>
      <w:r w:rsidR="00B64C7F" w:rsidRPr="00B64C7F">
        <w:rPr>
          <w:color w:val="1F1C1B"/>
          <w:spacing w:val="-6"/>
          <w:bdr w:val="none" w:sz="0" w:space="0" w:color="auto" w:frame="1"/>
          <w:lang w:val="en-GB"/>
        </w:rPr>
        <w:t xml:space="preserve">and universal values on human rights, </w:t>
      </w:r>
      <w:r w:rsidR="005D1983" w:rsidRPr="00B64C7F">
        <w:rPr>
          <w:color w:val="1F1C1B"/>
          <w:spacing w:val="-6"/>
          <w:bdr w:val="none" w:sz="0" w:space="0" w:color="auto" w:frame="1"/>
          <w:lang w:val="en-GB"/>
        </w:rPr>
        <w:t>democracy,</w:t>
      </w:r>
      <w:r w:rsidR="00B64C7F" w:rsidRPr="00B64C7F">
        <w:rPr>
          <w:color w:val="1F1C1B"/>
          <w:spacing w:val="-6"/>
          <w:bdr w:val="none" w:sz="0" w:space="0" w:color="auto" w:frame="1"/>
          <w:lang w:val="en-GB"/>
        </w:rPr>
        <w:t xml:space="preserve"> and free market principles, were </w:t>
      </w:r>
      <w:r w:rsidR="00160FF1">
        <w:rPr>
          <w:color w:val="1F1C1B"/>
          <w:spacing w:val="-6"/>
          <w:bdr w:val="none" w:sz="0" w:space="0" w:color="auto" w:frame="1"/>
          <w:lang w:val="en-GB"/>
        </w:rPr>
        <w:t>drained</w:t>
      </w:r>
      <w:r w:rsidR="00B64C7F" w:rsidRPr="00B64C7F">
        <w:rPr>
          <w:color w:val="1F1C1B"/>
          <w:spacing w:val="-6"/>
          <w:bdr w:val="none" w:sz="0" w:space="0" w:color="auto" w:frame="1"/>
          <w:lang w:val="en-GB"/>
        </w:rPr>
        <w:t xml:space="preserve">. </w:t>
      </w:r>
      <w:r w:rsidR="00A67C30">
        <w:rPr>
          <w:color w:val="1F1C1B"/>
          <w:spacing w:val="-6"/>
          <w:bdr w:val="none" w:sz="0" w:space="0" w:color="auto" w:frame="1"/>
          <w:lang w:val="en-GB"/>
        </w:rPr>
        <w:t xml:space="preserve"> </w:t>
      </w:r>
      <w:r w:rsidR="00A67C30" w:rsidRPr="00A67C30">
        <w:rPr>
          <w:color w:val="1F1C1B"/>
          <w:spacing w:val="-6"/>
          <w:bdr w:val="none" w:sz="0" w:space="0" w:color="auto" w:frame="1"/>
          <w:lang w:val="en-GB"/>
        </w:rPr>
        <w:t xml:space="preserve">2013 Gezi Park </w:t>
      </w:r>
      <w:r w:rsidR="00CA7D59" w:rsidRPr="00A67C30">
        <w:rPr>
          <w:color w:val="1F1C1B"/>
          <w:spacing w:val="-6"/>
          <w:bdr w:val="none" w:sz="0" w:space="0" w:color="auto" w:frame="1"/>
          <w:lang w:val="en-GB"/>
        </w:rPr>
        <w:t>protests,</w:t>
      </w:r>
      <w:r w:rsidR="00A67C30" w:rsidRPr="00A67C30">
        <w:rPr>
          <w:color w:val="1F1C1B"/>
          <w:spacing w:val="-6"/>
          <w:bdr w:val="none" w:sz="0" w:space="0" w:color="auto" w:frame="1"/>
          <w:lang w:val="en-GB"/>
        </w:rPr>
        <w:t xml:space="preserve"> </w:t>
      </w:r>
      <w:r w:rsidR="003E15E6">
        <w:rPr>
          <w:color w:val="1F1C1B"/>
          <w:spacing w:val="-6"/>
          <w:bdr w:val="none" w:sz="0" w:space="0" w:color="auto" w:frame="1"/>
          <w:lang w:val="en-GB"/>
        </w:rPr>
        <w:t xml:space="preserve">and the response of the state can be considered as </w:t>
      </w:r>
      <w:r w:rsidR="00A67C30" w:rsidRPr="00A67C30">
        <w:rPr>
          <w:color w:val="1F1C1B"/>
          <w:spacing w:val="-6"/>
          <w:bdr w:val="none" w:sz="0" w:space="0" w:color="auto" w:frame="1"/>
          <w:lang w:val="en-GB"/>
        </w:rPr>
        <w:t xml:space="preserve">the beginning of </w:t>
      </w:r>
      <w:r w:rsidR="00A4144A">
        <w:rPr>
          <w:color w:val="1F1C1B"/>
          <w:spacing w:val="-6"/>
          <w:bdr w:val="none" w:sz="0" w:space="0" w:color="auto" w:frame="1"/>
          <w:lang w:val="en-GB"/>
        </w:rPr>
        <w:t xml:space="preserve">democratic </w:t>
      </w:r>
      <w:r w:rsidR="00AC7354">
        <w:rPr>
          <w:color w:val="1F1C1B"/>
          <w:spacing w:val="-6"/>
          <w:bdr w:val="none" w:sz="0" w:space="0" w:color="auto" w:frame="1"/>
          <w:lang w:val="en-GB"/>
        </w:rPr>
        <w:t xml:space="preserve">backsliding </w:t>
      </w:r>
      <w:r w:rsidR="00AC7354" w:rsidRPr="00A67C30">
        <w:rPr>
          <w:color w:val="1F1C1B"/>
          <w:spacing w:val="-6"/>
          <w:bdr w:val="none" w:sz="0" w:space="0" w:color="auto" w:frame="1"/>
          <w:lang w:val="en-GB"/>
        </w:rPr>
        <w:t>in</w:t>
      </w:r>
      <w:r w:rsidR="00A67C30" w:rsidRPr="00A67C30">
        <w:rPr>
          <w:color w:val="1F1C1B"/>
          <w:spacing w:val="-6"/>
          <w:bdr w:val="none" w:sz="0" w:space="0" w:color="auto" w:frame="1"/>
          <w:lang w:val="en-GB"/>
        </w:rPr>
        <w:t xml:space="preserve"> Turkey. </w:t>
      </w:r>
      <w:r w:rsidR="00A67C30" w:rsidRPr="00A67C30">
        <w:rPr>
          <w:color w:val="1F1C1B"/>
          <w:spacing w:val="-6"/>
          <w:bdr w:val="none" w:sz="0" w:space="0" w:color="auto" w:frame="1"/>
        </w:rPr>
        <w:t xml:space="preserve">The protests began as part of a longstanding campaign against the destruction of the park, one of the last green spaces in central Istanbul, as part of the redevelopment of </w:t>
      </w:r>
      <w:proofErr w:type="spellStart"/>
      <w:r w:rsidR="00A67C30" w:rsidRPr="00A67C30">
        <w:rPr>
          <w:color w:val="1F1C1B"/>
          <w:spacing w:val="-6"/>
          <w:bdr w:val="none" w:sz="0" w:space="0" w:color="auto" w:frame="1"/>
        </w:rPr>
        <w:t>Taksim</w:t>
      </w:r>
      <w:proofErr w:type="spellEnd"/>
      <w:r w:rsidR="00A67C30" w:rsidRPr="00A67C30">
        <w:rPr>
          <w:color w:val="1F1C1B"/>
          <w:spacing w:val="-6"/>
          <w:bdr w:val="none" w:sz="0" w:space="0" w:color="auto" w:frame="1"/>
        </w:rPr>
        <w:t xml:space="preserve"> area. Protests, which were intended to raise environmental awareness, evolved into nationwide anti-government protests. Many </w:t>
      </w:r>
      <w:r w:rsidR="00CA7D59">
        <w:rPr>
          <w:color w:val="1F1C1B"/>
          <w:spacing w:val="-6"/>
          <w:bdr w:val="none" w:sz="0" w:space="0" w:color="auto" w:frame="1"/>
        </w:rPr>
        <w:t xml:space="preserve">protestors </w:t>
      </w:r>
      <w:r w:rsidR="00A67C30" w:rsidRPr="00A67C30">
        <w:rPr>
          <w:color w:val="1F1C1B"/>
          <w:spacing w:val="-6"/>
          <w:bdr w:val="none" w:sz="0" w:space="0" w:color="auto" w:frame="1"/>
        </w:rPr>
        <w:t>were arrested, including academics and journalists</w:t>
      </w:r>
      <w:r w:rsidR="00F909B2">
        <w:rPr>
          <w:color w:val="1F1C1B"/>
          <w:spacing w:val="-6"/>
          <w:bdr w:val="none" w:sz="0" w:space="0" w:color="auto" w:frame="1"/>
        </w:rPr>
        <w:t>.</w:t>
      </w:r>
      <w:r w:rsidR="00F909B2">
        <w:rPr>
          <w:rStyle w:val="FootnoteReference"/>
          <w:color w:val="1F1C1B"/>
          <w:spacing w:val="-6"/>
          <w:bdr w:val="none" w:sz="0" w:space="0" w:color="auto" w:frame="1"/>
        </w:rPr>
        <w:footnoteReference w:id="34"/>
      </w:r>
    </w:p>
    <w:p w14:paraId="5CB5B8B9" w14:textId="43B607CD" w:rsidR="00277C8D" w:rsidRDefault="00277C8D" w:rsidP="00277C8D">
      <w:pPr>
        <w:pStyle w:val="NormalWeb"/>
        <w:shd w:val="clear" w:color="auto" w:fill="FFFFFF"/>
        <w:spacing w:before="0" w:beforeAutospacing="0" w:after="0" w:afterAutospacing="0"/>
        <w:jc w:val="both"/>
        <w:textAlignment w:val="baseline"/>
        <w:rPr>
          <w:color w:val="1F1C1B"/>
          <w:spacing w:val="-6"/>
          <w:bdr w:val="none" w:sz="0" w:space="0" w:color="auto" w:frame="1"/>
          <w:lang w:val="en-GB"/>
        </w:rPr>
      </w:pPr>
    </w:p>
    <w:p w14:paraId="2B4FEE50" w14:textId="20FD454F" w:rsidR="00C648D9" w:rsidRDefault="00C04DBC" w:rsidP="00C648D9">
      <w:pPr>
        <w:pStyle w:val="NormalWeb"/>
        <w:shd w:val="clear" w:color="auto" w:fill="FFFFFF"/>
        <w:spacing w:before="0" w:beforeAutospacing="0" w:after="0" w:afterAutospacing="0"/>
        <w:jc w:val="both"/>
        <w:textAlignment w:val="baseline"/>
        <w:rPr>
          <w:color w:val="1F1C1B"/>
          <w:spacing w:val="-6"/>
          <w:bdr w:val="none" w:sz="0" w:space="0" w:color="auto" w:frame="1"/>
        </w:rPr>
      </w:pPr>
      <w:r w:rsidRPr="00C04DBC">
        <w:rPr>
          <w:color w:val="1F1C1B"/>
          <w:spacing w:val="-6"/>
          <w:bdr w:val="none" w:sz="0" w:space="0" w:color="auto" w:frame="1"/>
        </w:rPr>
        <w:t xml:space="preserve">Between 2007 and 2012, </w:t>
      </w:r>
      <w:r w:rsidR="000B6412">
        <w:rPr>
          <w:color w:val="1F1C1B"/>
          <w:spacing w:val="-6"/>
          <w:bdr w:val="none" w:sz="0" w:space="0" w:color="auto" w:frame="1"/>
        </w:rPr>
        <w:t>under the alliance of AKP and Gulen organization</w:t>
      </w:r>
      <w:r w:rsidR="00C648D9">
        <w:rPr>
          <w:rStyle w:val="FootnoteReference"/>
          <w:color w:val="1F1C1B"/>
          <w:spacing w:val="-6"/>
          <w:bdr w:val="none" w:sz="0" w:space="0" w:color="auto" w:frame="1"/>
        </w:rPr>
        <w:footnoteReference w:id="35"/>
      </w:r>
      <w:r w:rsidR="000B6412">
        <w:rPr>
          <w:color w:val="1F1C1B"/>
          <w:spacing w:val="-6"/>
          <w:bdr w:val="none" w:sz="0" w:space="0" w:color="auto" w:frame="1"/>
        </w:rPr>
        <w:t xml:space="preserve">, </w:t>
      </w:r>
      <w:r w:rsidRPr="00C04DBC">
        <w:rPr>
          <w:color w:val="1F1C1B"/>
          <w:spacing w:val="-6"/>
          <w:bdr w:val="none" w:sz="0" w:space="0" w:color="auto" w:frame="1"/>
        </w:rPr>
        <w:t>high-profile Kemalists, including high-ranking officers of the Turkish Armed Forces, faced a series of trials and purges, under reports of involvement in a secret society codenamed "Ergenekon." This was supported by both pro-</w:t>
      </w:r>
      <w:r w:rsidR="001346A4">
        <w:rPr>
          <w:color w:val="1F1C1B"/>
          <w:spacing w:val="-6"/>
          <w:bdr w:val="none" w:sz="0" w:space="0" w:color="auto" w:frame="1"/>
        </w:rPr>
        <w:t xml:space="preserve">Islamist </w:t>
      </w:r>
      <w:r w:rsidRPr="00C04DBC">
        <w:rPr>
          <w:color w:val="1F1C1B"/>
          <w:spacing w:val="-6"/>
          <w:bdr w:val="none" w:sz="0" w:space="0" w:color="auto" w:frame="1"/>
        </w:rPr>
        <w:t xml:space="preserve">prosecutors, security officials, and media. The purges </w:t>
      </w:r>
      <w:proofErr w:type="gramStart"/>
      <w:r w:rsidR="001062B1">
        <w:rPr>
          <w:color w:val="1F1C1B"/>
          <w:spacing w:val="-6"/>
          <w:bdr w:val="none" w:sz="0" w:space="0" w:color="auto" w:frame="1"/>
        </w:rPr>
        <w:t>op[</w:t>
      </w:r>
      <w:proofErr w:type="spellStart"/>
      <w:proofErr w:type="gramEnd"/>
      <w:r w:rsidR="001062B1">
        <w:rPr>
          <w:color w:val="1F1C1B"/>
          <w:spacing w:val="-6"/>
          <w:bdr w:val="none" w:sz="0" w:space="0" w:color="auto" w:frame="1"/>
        </w:rPr>
        <w:t>ened</w:t>
      </w:r>
      <w:proofErr w:type="spellEnd"/>
      <w:r w:rsidR="001062B1">
        <w:rPr>
          <w:color w:val="1F1C1B"/>
          <w:spacing w:val="-6"/>
          <w:bdr w:val="none" w:sz="0" w:space="0" w:color="auto" w:frame="1"/>
        </w:rPr>
        <w:t xml:space="preserve"> the way for</w:t>
      </w:r>
      <w:r w:rsidRPr="00C04DBC">
        <w:rPr>
          <w:color w:val="1F1C1B"/>
          <w:spacing w:val="-6"/>
          <w:bdr w:val="none" w:sz="0" w:space="0" w:color="auto" w:frame="1"/>
        </w:rPr>
        <w:t xml:space="preserve"> lower-rank Islamist officers to assume high-ranking military positions. Additionally, some military officers were said to be involved in a separate </w:t>
      </w:r>
      <w:r w:rsidR="000C7D5B">
        <w:rPr>
          <w:color w:val="1F1C1B"/>
          <w:spacing w:val="-6"/>
          <w:bdr w:val="none" w:sz="0" w:space="0" w:color="auto" w:frame="1"/>
        </w:rPr>
        <w:t xml:space="preserve">alleged </w:t>
      </w:r>
      <w:r w:rsidRPr="00C04DBC">
        <w:rPr>
          <w:color w:val="1F1C1B"/>
          <w:spacing w:val="-6"/>
          <w:bdr w:val="none" w:sz="0" w:space="0" w:color="auto" w:frame="1"/>
        </w:rPr>
        <w:t>plot, </w:t>
      </w:r>
      <w:r>
        <w:rPr>
          <w:color w:val="1F1C1B"/>
          <w:spacing w:val="-6"/>
          <w:bdr w:val="none" w:sz="0" w:space="0" w:color="auto" w:frame="1"/>
        </w:rPr>
        <w:t>Sledgehammer</w:t>
      </w:r>
      <w:r w:rsidR="00B44734">
        <w:rPr>
          <w:color w:val="1F1C1B"/>
          <w:spacing w:val="-6"/>
          <w:bdr w:val="none" w:sz="0" w:space="0" w:color="auto" w:frame="1"/>
        </w:rPr>
        <w:t>.</w:t>
      </w:r>
      <w:r w:rsidRPr="00C04DBC">
        <w:rPr>
          <w:color w:val="1F1C1B"/>
          <w:spacing w:val="-6"/>
          <w:bdr w:val="none" w:sz="0" w:space="0" w:color="auto" w:frame="1"/>
        </w:rPr>
        <w:t xml:space="preserve"> </w:t>
      </w:r>
      <w:r w:rsidR="00B44734" w:rsidRPr="008140E2">
        <w:rPr>
          <w:color w:val="1F1C1B"/>
          <w:spacing w:val="-6"/>
          <w:bdr w:val="none" w:sz="0" w:space="0" w:color="auto" w:frame="1"/>
        </w:rPr>
        <w:t xml:space="preserve">The AKP's alliance with Gülen started to collapse during 2013 as </w:t>
      </w:r>
      <w:proofErr w:type="spellStart"/>
      <w:r w:rsidR="00B44734" w:rsidRPr="008140E2">
        <w:rPr>
          <w:color w:val="1F1C1B"/>
          <w:spacing w:val="-6"/>
          <w:bdr w:val="none" w:sz="0" w:space="0" w:color="auto" w:frame="1"/>
        </w:rPr>
        <w:t>Gülenists</w:t>
      </w:r>
      <w:proofErr w:type="spellEnd"/>
      <w:r w:rsidR="00B44734" w:rsidRPr="008140E2">
        <w:rPr>
          <w:color w:val="1F1C1B"/>
          <w:spacing w:val="-6"/>
          <w:bdr w:val="none" w:sz="0" w:space="0" w:color="auto" w:frame="1"/>
        </w:rPr>
        <w:t xml:space="preserve"> targeted the AKP using corruption charges. After the split</w:t>
      </w:r>
      <w:r w:rsidR="001062B1">
        <w:rPr>
          <w:color w:val="1F1C1B"/>
          <w:spacing w:val="-6"/>
          <w:bdr w:val="none" w:sz="0" w:space="0" w:color="auto" w:frame="1"/>
        </w:rPr>
        <w:t xml:space="preserve"> with the </w:t>
      </w:r>
      <w:r w:rsidR="001062B1" w:rsidRPr="001062B1">
        <w:rPr>
          <w:color w:val="1F1C1B"/>
          <w:spacing w:val="-6"/>
          <w:bdr w:val="none" w:sz="0" w:space="0" w:color="auto" w:frame="1"/>
        </w:rPr>
        <w:t xml:space="preserve">Gülen </w:t>
      </w:r>
      <w:r w:rsidR="001062B1">
        <w:rPr>
          <w:color w:val="1F1C1B"/>
          <w:spacing w:val="-6"/>
          <w:bdr w:val="none" w:sz="0" w:space="0" w:color="auto" w:frame="1"/>
        </w:rPr>
        <w:t xml:space="preserve"> Movement</w:t>
      </w:r>
      <w:r w:rsidR="00B44734" w:rsidRPr="008140E2">
        <w:rPr>
          <w:color w:val="1F1C1B"/>
          <w:spacing w:val="-6"/>
          <w:bdr w:val="none" w:sz="0" w:space="0" w:color="auto" w:frame="1"/>
        </w:rPr>
        <w:t xml:space="preserve">, </w:t>
      </w:r>
      <w:proofErr w:type="spellStart"/>
      <w:r w:rsidR="00B44734" w:rsidRPr="008140E2">
        <w:rPr>
          <w:color w:val="1F1C1B"/>
          <w:spacing w:val="-6"/>
          <w:bdr w:val="none" w:sz="0" w:space="0" w:color="auto" w:frame="1"/>
        </w:rPr>
        <w:t>Erdoğan</w:t>
      </w:r>
      <w:proofErr w:type="spellEnd"/>
      <w:r w:rsidR="00B44734" w:rsidRPr="008140E2">
        <w:rPr>
          <w:color w:val="1F1C1B"/>
          <w:spacing w:val="-6"/>
          <w:bdr w:val="none" w:sz="0" w:space="0" w:color="auto" w:frame="1"/>
        </w:rPr>
        <w:t xml:space="preserve"> decided to </w:t>
      </w:r>
      <w:r w:rsidR="00D54E9A">
        <w:rPr>
          <w:color w:val="1F1C1B"/>
          <w:spacing w:val="-6"/>
          <w:bdr w:val="none" w:sz="0" w:space="0" w:color="auto" w:frame="1"/>
        </w:rPr>
        <w:t>restore relations w</w:t>
      </w:r>
      <w:r w:rsidR="00A83A66">
        <w:rPr>
          <w:color w:val="1F1C1B"/>
          <w:spacing w:val="-6"/>
          <w:bdr w:val="none" w:sz="0" w:space="0" w:color="auto" w:frame="1"/>
        </w:rPr>
        <w:t xml:space="preserve">ith </w:t>
      </w:r>
      <w:r w:rsidR="00B44734" w:rsidRPr="008140E2">
        <w:rPr>
          <w:color w:val="1F1C1B"/>
          <w:spacing w:val="-6"/>
          <w:bdr w:val="none" w:sz="0" w:space="0" w:color="auto" w:frame="1"/>
        </w:rPr>
        <w:t>the army</w:t>
      </w:r>
      <w:r w:rsidR="00A83A66">
        <w:rPr>
          <w:color w:val="1F1C1B"/>
          <w:spacing w:val="-6"/>
          <w:bdr w:val="none" w:sz="0" w:space="0" w:color="auto" w:frame="1"/>
        </w:rPr>
        <w:t xml:space="preserve">, </w:t>
      </w:r>
      <w:r w:rsidR="00387C28">
        <w:rPr>
          <w:color w:val="1F1C1B"/>
          <w:spacing w:val="-6"/>
          <w:bdr w:val="none" w:sz="0" w:space="0" w:color="auto" w:frame="1"/>
        </w:rPr>
        <w:t xml:space="preserve">which </w:t>
      </w:r>
      <w:r w:rsidR="006A20C7">
        <w:rPr>
          <w:color w:val="1F1C1B"/>
          <w:spacing w:val="-6"/>
          <w:bdr w:val="none" w:sz="0" w:space="0" w:color="auto" w:frame="1"/>
        </w:rPr>
        <w:t xml:space="preserve">ended in </w:t>
      </w:r>
      <w:r w:rsidR="006A20C7" w:rsidRPr="006A20C7">
        <w:rPr>
          <w:color w:val="1F1C1B"/>
          <w:spacing w:val="-6"/>
          <w:bdr w:val="none" w:sz="0" w:space="0" w:color="auto" w:frame="1"/>
        </w:rPr>
        <w:t xml:space="preserve">April 2016 by the Court of Cassation </w:t>
      </w:r>
      <w:r w:rsidR="006A20C7">
        <w:rPr>
          <w:color w:val="1F1C1B"/>
          <w:spacing w:val="-6"/>
          <w:bdr w:val="none" w:sz="0" w:space="0" w:color="auto" w:frame="1"/>
        </w:rPr>
        <w:t xml:space="preserve">ruling </w:t>
      </w:r>
      <w:r w:rsidR="00714BBB">
        <w:rPr>
          <w:color w:val="1F1C1B"/>
          <w:spacing w:val="-6"/>
          <w:bdr w:val="none" w:sz="0" w:space="0" w:color="auto" w:frame="1"/>
        </w:rPr>
        <w:t>o</w:t>
      </w:r>
      <w:r w:rsidR="00387C28">
        <w:rPr>
          <w:color w:val="1F1C1B"/>
          <w:spacing w:val="-6"/>
          <w:bdr w:val="none" w:sz="0" w:space="0" w:color="auto" w:frame="1"/>
        </w:rPr>
        <w:t>verturn</w:t>
      </w:r>
      <w:r w:rsidR="00714BBB">
        <w:rPr>
          <w:color w:val="1F1C1B"/>
          <w:spacing w:val="-6"/>
          <w:bdr w:val="none" w:sz="0" w:space="0" w:color="auto" w:frame="1"/>
        </w:rPr>
        <w:t>ing</w:t>
      </w:r>
      <w:r w:rsidR="00387C28">
        <w:rPr>
          <w:color w:val="1F1C1B"/>
          <w:spacing w:val="-6"/>
          <w:bdr w:val="none" w:sz="0" w:space="0" w:color="auto" w:frame="1"/>
        </w:rPr>
        <w:t xml:space="preserve"> t</w:t>
      </w:r>
      <w:hyperlink r:id="rId8" w:anchor="cite_note-Chontier-84" w:history="1"/>
      <w:r w:rsidR="00B44734" w:rsidRPr="008140E2">
        <w:rPr>
          <w:color w:val="1F1C1B"/>
          <w:spacing w:val="-6"/>
          <w:bdr w:val="none" w:sz="0" w:space="0" w:color="auto" w:frame="1"/>
        </w:rPr>
        <w:t xml:space="preserve">he "Ergenekon" convictions </w:t>
      </w:r>
      <w:r w:rsidR="00486457">
        <w:rPr>
          <w:color w:val="1F1C1B"/>
          <w:spacing w:val="-6"/>
          <w:bdr w:val="none" w:sz="0" w:space="0" w:color="auto" w:frame="1"/>
        </w:rPr>
        <w:t>based on the fact that the existence of the network was unproven</w:t>
      </w:r>
      <w:r w:rsidR="00A750A5">
        <w:rPr>
          <w:color w:val="1F1C1B"/>
          <w:spacing w:val="-6"/>
          <w:bdr w:val="none" w:sz="0" w:space="0" w:color="auto" w:frame="1"/>
        </w:rPr>
        <w:t xml:space="preserve">. </w:t>
      </w:r>
      <w:proofErr w:type="spellStart"/>
      <w:r w:rsidR="00B44734" w:rsidRPr="008140E2">
        <w:rPr>
          <w:color w:val="1F1C1B"/>
          <w:spacing w:val="-6"/>
          <w:bdr w:val="none" w:sz="0" w:space="0" w:color="auto" w:frame="1"/>
        </w:rPr>
        <w:t>Erdoğan</w:t>
      </w:r>
      <w:proofErr w:type="spellEnd"/>
      <w:r w:rsidR="00B44734" w:rsidRPr="008140E2">
        <w:rPr>
          <w:color w:val="1F1C1B"/>
          <w:spacing w:val="-6"/>
          <w:bdr w:val="none" w:sz="0" w:space="0" w:color="auto" w:frame="1"/>
        </w:rPr>
        <w:t xml:space="preserve"> </w:t>
      </w:r>
      <w:r w:rsidR="00A750A5">
        <w:rPr>
          <w:color w:val="1F1C1B"/>
          <w:spacing w:val="-6"/>
          <w:bdr w:val="none" w:sz="0" w:space="0" w:color="auto" w:frame="1"/>
        </w:rPr>
        <w:t xml:space="preserve">also </w:t>
      </w:r>
      <w:r w:rsidR="00B44734" w:rsidRPr="008140E2">
        <w:rPr>
          <w:color w:val="1F1C1B"/>
          <w:spacing w:val="-6"/>
          <w:bdr w:val="none" w:sz="0" w:space="0" w:color="auto" w:frame="1"/>
        </w:rPr>
        <w:t xml:space="preserve">signed a bill </w:t>
      </w:r>
      <w:r w:rsidR="00A750A5">
        <w:rPr>
          <w:color w:val="1F1C1B"/>
          <w:spacing w:val="-6"/>
          <w:bdr w:val="none" w:sz="0" w:space="0" w:color="auto" w:frame="1"/>
        </w:rPr>
        <w:t>o</w:t>
      </w:r>
      <w:r w:rsidR="00A750A5" w:rsidRPr="00A750A5">
        <w:rPr>
          <w:color w:val="1F1C1B"/>
          <w:spacing w:val="-6"/>
          <w:bdr w:val="none" w:sz="0" w:space="0" w:color="auto" w:frame="1"/>
        </w:rPr>
        <w:t xml:space="preserve">n 13 July, </w:t>
      </w:r>
      <w:r w:rsidR="00B44734" w:rsidRPr="008140E2">
        <w:rPr>
          <w:color w:val="1F1C1B"/>
          <w:spacing w:val="-6"/>
          <w:bdr w:val="none" w:sz="0" w:space="0" w:color="auto" w:frame="1"/>
        </w:rPr>
        <w:t>giving Turkish soldiers immunity from prosecution while taking part in domestic operations in Kurdish-inhabited areas</w:t>
      </w:r>
      <w:r w:rsidR="00B44734" w:rsidRPr="00B44734">
        <w:rPr>
          <w:color w:val="1F1C1B"/>
          <w:spacing w:val="-6"/>
          <w:bdr w:val="none" w:sz="0" w:space="0" w:color="auto" w:frame="1"/>
        </w:rPr>
        <w:t xml:space="preserve">. </w:t>
      </w:r>
      <w:r w:rsidR="00B44734" w:rsidRPr="008140E2">
        <w:rPr>
          <w:color w:val="1F1C1B"/>
          <w:spacing w:val="-6"/>
          <w:bdr w:val="none" w:sz="0" w:space="0" w:color="auto" w:frame="1"/>
        </w:rPr>
        <w:t>The immunity bill was seen as part of the </w:t>
      </w:r>
      <w:r w:rsidR="00B44734" w:rsidRPr="00B44734">
        <w:rPr>
          <w:color w:val="1F1C1B"/>
          <w:spacing w:val="-6"/>
          <w:bdr w:val="none" w:sz="0" w:space="0" w:color="auto" w:frame="1"/>
        </w:rPr>
        <w:t>truce</w:t>
      </w:r>
      <w:r w:rsidR="00B44734" w:rsidRPr="008140E2">
        <w:rPr>
          <w:color w:val="1F1C1B"/>
          <w:spacing w:val="-6"/>
          <w:bdr w:val="none" w:sz="0" w:space="0" w:color="auto" w:frame="1"/>
        </w:rPr>
        <w:t xml:space="preserve"> between the government and the armed forces. </w:t>
      </w:r>
    </w:p>
    <w:p w14:paraId="37ADBFE5" w14:textId="77777777" w:rsidR="00C648D9" w:rsidRDefault="00C648D9" w:rsidP="00C648D9">
      <w:pPr>
        <w:pStyle w:val="NormalWeb"/>
        <w:shd w:val="clear" w:color="auto" w:fill="FFFFFF"/>
        <w:spacing w:before="0" w:beforeAutospacing="0" w:after="0" w:afterAutospacing="0"/>
        <w:jc w:val="both"/>
        <w:textAlignment w:val="baseline"/>
        <w:rPr>
          <w:color w:val="1F1C1B"/>
          <w:spacing w:val="-6"/>
          <w:bdr w:val="none" w:sz="0" w:space="0" w:color="auto" w:frame="1"/>
        </w:rPr>
      </w:pPr>
    </w:p>
    <w:p w14:paraId="381BE0D8" w14:textId="6E02BB44" w:rsidR="0076019C" w:rsidRDefault="001E2773" w:rsidP="00823CCD">
      <w:pPr>
        <w:pStyle w:val="NormalWeb"/>
        <w:shd w:val="clear" w:color="auto" w:fill="FFFFFF"/>
        <w:spacing w:before="0" w:beforeAutospacing="0" w:after="0" w:afterAutospacing="0"/>
        <w:jc w:val="both"/>
        <w:textAlignment w:val="baseline"/>
        <w:rPr>
          <w:color w:val="1F1C1B"/>
          <w:spacing w:val="-6"/>
          <w:bdr w:val="none" w:sz="0" w:space="0" w:color="auto" w:frame="1"/>
        </w:rPr>
      </w:pPr>
      <w:r w:rsidRPr="00565291">
        <w:rPr>
          <w:color w:val="1F1C1B"/>
          <w:spacing w:val="-6"/>
          <w:bdr w:val="none" w:sz="0" w:space="0" w:color="auto" w:frame="1"/>
          <w:lang w:val="en-GB"/>
        </w:rPr>
        <w:t xml:space="preserve"> </w:t>
      </w:r>
      <w:r w:rsidR="002451ED" w:rsidRPr="00A52E3E">
        <w:rPr>
          <w:color w:val="1F1C1B"/>
          <w:spacing w:val="-6"/>
          <w:bdr w:val="none" w:sz="0" w:space="0" w:color="auto" w:frame="1"/>
        </w:rPr>
        <w:t>Th</w:t>
      </w:r>
      <w:r w:rsidR="002451ED" w:rsidRPr="002451ED">
        <w:rPr>
          <w:color w:val="1F1C1B"/>
          <w:spacing w:val="-6"/>
          <w:bdr w:val="none" w:sz="0" w:space="0" w:color="auto" w:frame="1"/>
        </w:rPr>
        <w:t xml:space="preserve">ings got worse with the 15 July 2016 coup d'état attempt, </w:t>
      </w:r>
      <w:r w:rsidR="00E53EA3">
        <w:rPr>
          <w:color w:val="1F1C1B"/>
          <w:spacing w:val="-6"/>
          <w:bdr w:val="none" w:sz="0" w:space="0" w:color="auto" w:frame="1"/>
        </w:rPr>
        <w:t xml:space="preserve">which </w:t>
      </w:r>
      <w:r w:rsidR="00E53EA3" w:rsidRPr="002451ED">
        <w:rPr>
          <w:color w:val="1F1C1B"/>
          <w:spacing w:val="-6"/>
          <w:bdr w:val="none" w:sz="0" w:space="0" w:color="auto" w:frame="1"/>
        </w:rPr>
        <w:t>was</w:t>
      </w:r>
      <w:r w:rsidR="002451ED" w:rsidRPr="002451ED">
        <w:rPr>
          <w:color w:val="1F1C1B"/>
          <w:spacing w:val="-6"/>
          <w:bdr w:val="none" w:sz="0" w:space="0" w:color="auto" w:frame="1"/>
        </w:rPr>
        <w:t xml:space="preserve"> carried out by a faction within the Turkish Armed forces, the leaders being linked to the Gulen Movement. The Turkish army has historically intervened four times in politics as it sees itself as the protector of Turkey's secularism and democracy. </w:t>
      </w:r>
      <w:r w:rsidR="002451ED" w:rsidRPr="003B1235">
        <w:rPr>
          <w:color w:val="1F1C1B"/>
          <w:spacing w:val="-6"/>
          <w:bdr w:val="none" w:sz="0" w:space="0" w:color="auto" w:frame="1"/>
        </w:rPr>
        <w:t>The military has had tensions with Erdogan's Justice and Development Party (AKP) over its brand of political Islamism.</w:t>
      </w:r>
      <w:r w:rsidR="002451ED" w:rsidRPr="002451ED">
        <w:rPr>
          <w:color w:val="1F1C1B"/>
          <w:spacing w:val="-6"/>
          <w:bdr w:val="none" w:sz="0" w:space="0" w:color="auto" w:frame="1"/>
        </w:rPr>
        <w:t xml:space="preserve"> However, a</w:t>
      </w:r>
      <w:r w:rsidR="002451ED" w:rsidRPr="008140E2">
        <w:rPr>
          <w:color w:val="1F1C1B"/>
          <w:spacing w:val="-6"/>
          <w:bdr w:val="none" w:sz="0" w:space="0" w:color="auto" w:frame="1"/>
        </w:rPr>
        <w:t>s opposed to previous political interventions by the Turkish military, 15 July 2016 coup attempt was not motivated by allegiance to </w:t>
      </w:r>
      <w:r w:rsidR="002451ED" w:rsidRPr="002451ED">
        <w:rPr>
          <w:color w:val="1F1C1B"/>
          <w:spacing w:val="-6"/>
          <w:bdr w:val="none" w:sz="0" w:space="0" w:color="auto" w:frame="1"/>
        </w:rPr>
        <w:t>Kemalist Ideology</w:t>
      </w:r>
      <w:r w:rsidR="002451ED" w:rsidRPr="008140E2">
        <w:rPr>
          <w:color w:val="1F1C1B"/>
          <w:spacing w:val="-6"/>
          <w:bdr w:val="none" w:sz="0" w:space="0" w:color="auto" w:frame="1"/>
        </w:rPr>
        <w:t xml:space="preserve">, but rather </w:t>
      </w:r>
      <w:r w:rsidR="00F27AB6">
        <w:rPr>
          <w:color w:val="1F1C1B"/>
          <w:spacing w:val="-6"/>
          <w:bdr w:val="none" w:sz="0" w:space="0" w:color="auto" w:frame="1"/>
        </w:rPr>
        <w:t xml:space="preserve">claimed </w:t>
      </w:r>
      <w:r w:rsidR="002451ED" w:rsidRPr="008140E2">
        <w:rPr>
          <w:color w:val="1F1C1B"/>
          <w:spacing w:val="-6"/>
          <w:bdr w:val="none" w:sz="0" w:space="0" w:color="auto" w:frame="1"/>
        </w:rPr>
        <w:t>to the vast political, economic, and religious network led by U.S.-based Muslim cleric </w:t>
      </w:r>
      <w:r w:rsidR="002451ED" w:rsidRPr="002451ED">
        <w:rPr>
          <w:color w:val="1F1C1B"/>
          <w:spacing w:val="-6"/>
          <w:bdr w:val="none" w:sz="0" w:space="0" w:color="auto" w:frame="1"/>
        </w:rPr>
        <w:t xml:space="preserve">Fethullah Gulen. </w:t>
      </w:r>
      <w:r w:rsidRPr="00565291">
        <w:rPr>
          <w:color w:val="1F1C1B"/>
          <w:spacing w:val="-6"/>
          <w:bdr w:val="none" w:sz="0" w:space="0" w:color="auto" w:frame="1"/>
          <w:lang w:val="en-GB"/>
        </w:rPr>
        <w:t xml:space="preserve">Following the failed coup attempt of 15 July 2016, all institutions were purged of opposition elements, </w:t>
      </w:r>
      <w:r w:rsidR="007C05D4" w:rsidRPr="00565291">
        <w:rPr>
          <w:color w:val="1F1C1B"/>
          <w:spacing w:val="-6"/>
          <w:bdr w:val="none" w:sz="0" w:space="0" w:color="auto" w:frame="1"/>
          <w:lang w:val="en-GB"/>
        </w:rPr>
        <w:t xml:space="preserve">mainly the </w:t>
      </w:r>
      <w:r w:rsidR="00565291" w:rsidRPr="00565291">
        <w:rPr>
          <w:color w:val="1F1C1B"/>
          <w:spacing w:val="-6"/>
          <w:bdr w:val="none" w:sz="0" w:space="0" w:color="auto" w:frame="1"/>
          <w:lang w:val="en-GB"/>
        </w:rPr>
        <w:t xml:space="preserve">military, </w:t>
      </w:r>
      <w:r w:rsidR="00997695" w:rsidRPr="00565291">
        <w:rPr>
          <w:color w:val="1F1C1B"/>
          <w:spacing w:val="-6"/>
          <w:bdr w:val="none" w:sz="0" w:space="0" w:color="auto" w:frame="1"/>
          <w:lang w:val="en-GB"/>
        </w:rPr>
        <w:t>judiciary,</w:t>
      </w:r>
      <w:r w:rsidR="00565291" w:rsidRPr="00565291">
        <w:rPr>
          <w:color w:val="1F1C1B"/>
          <w:spacing w:val="-6"/>
          <w:bdr w:val="none" w:sz="0" w:space="0" w:color="auto" w:frame="1"/>
          <w:lang w:val="en-GB"/>
        </w:rPr>
        <w:t xml:space="preserve"> and the media.</w:t>
      </w:r>
      <w:r w:rsidR="00565291" w:rsidRPr="00565291">
        <w:rPr>
          <w:color w:val="1F1C1B"/>
          <w:spacing w:val="-6"/>
          <w:bdr w:val="none" w:sz="0" w:space="0" w:color="auto" w:frame="1"/>
        </w:rPr>
        <w:t xml:space="preserve"> </w:t>
      </w:r>
      <w:r w:rsidR="00823CCD" w:rsidRPr="00823CCD">
        <w:rPr>
          <w:bCs/>
          <w:color w:val="1F1C1B"/>
          <w:spacing w:val="-6"/>
          <w:bdr w:val="none" w:sz="0" w:space="0" w:color="auto" w:frame="1"/>
        </w:rPr>
        <w:t xml:space="preserve">The EU’s concerns on continued deterioration of the rule of law, fundamental rights and the independence of the judiciary and the weakening of effective checks and balances in the political system </w:t>
      </w:r>
      <w:r w:rsidR="00823CCD">
        <w:rPr>
          <w:bCs/>
          <w:color w:val="1F1C1B"/>
          <w:spacing w:val="-6"/>
          <w:bdr w:val="none" w:sz="0" w:space="0" w:color="auto" w:frame="1"/>
        </w:rPr>
        <w:t xml:space="preserve">were </w:t>
      </w:r>
      <w:r w:rsidR="00823CCD" w:rsidRPr="00823CCD">
        <w:rPr>
          <w:bCs/>
          <w:color w:val="1F1C1B"/>
          <w:spacing w:val="-6"/>
          <w:bdr w:val="none" w:sz="0" w:space="0" w:color="auto" w:frame="1"/>
        </w:rPr>
        <w:t xml:space="preserve"> not been credibly addressed by Turkey</w:t>
      </w:r>
      <w:r w:rsidR="00041D6E">
        <w:rPr>
          <w:bCs/>
          <w:color w:val="1F1C1B"/>
          <w:spacing w:val="-6"/>
          <w:bdr w:val="none" w:sz="0" w:space="0" w:color="auto" w:frame="1"/>
        </w:rPr>
        <w:t>, being aware that t</w:t>
      </w:r>
      <w:r w:rsidR="00565291" w:rsidRPr="00565291">
        <w:rPr>
          <w:color w:val="1F1C1B"/>
          <w:spacing w:val="-6"/>
          <w:bdr w:val="none" w:sz="0" w:space="0" w:color="auto" w:frame="1"/>
        </w:rPr>
        <w:t>here</w:t>
      </w:r>
      <w:r w:rsidR="00CE4180" w:rsidRPr="00565291">
        <w:rPr>
          <w:color w:val="1F1C1B"/>
          <w:spacing w:val="-6"/>
          <w:bdr w:val="none" w:sz="0" w:space="0" w:color="auto" w:frame="1"/>
        </w:rPr>
        <w:t xml:space="preserve"> was </w:t>
      </w:r>
      <w:r w:rsidR="00770144">
        <w:rPr>
          <w:color w:val="1F1C1B"/>
          <w:spacing w:val="-6"/>
          <w:bdr w:val="none" w:sz="0" w:space="0" w:color="auto" w:frame="1"/>
        </w:rPr>
        <w:t xml:space="preserve">almost </w:t>
      </w:r>
      <w:r w:rsidR="00CE4180" w:rsidRPr="00565291">
        <w:rPr>
          <w:color w:val="1F1C1B"/>
          <w:spacing w:val="-6"/>
          <w:bdr w:val="none" w:sz="0" w:space="0" w:color="auto" w:frame="1"/>
        </w:rPr>
        <w:t xml:space="preserve">no chance </w:t>
      </w:r>
      <w:r w:rsidR="00EA44D9" w:rsidRPr="00565291">
        <w:rPr>
          <w:color w:val="1F1C1B"/>
          <w:spacing w:val="-6"/>
          <w:bdr w:val="none" w:sz="0" w:space="0" w:color="auto" w:frame="1"/>
        </w:rPr>
        <w:t>of EU’s</w:t>
      </w:r>
      <w:r w:rsidR="00CE4180" w:rsidRPr="00565291">
        <w:rPr>
          <w:color w:val="1F1C1B"/>
          <w:spacing w:val="-6"/>
          <w:bdr w:val="none" w:sz="0" w:space="0" w:color="auto" w:frame="1"/>
        </w:rPr>
        <w:t xml:space="preserve"> transformative </w:t>
      </w:r>
      <w:r w:rsidR="00154D50" w:rsidRPr="00565291">
        <w:rPr>
          <w:color w:val="1F1C1B"/>
          <w:spacing w:val="-6"/>
          <w:bdr w:val="none" w:sz="0" w:space="0" w:color="auto" w:frame="1"/>
        </w:rPr>
        <w:t>power</w:t>
      </w:r>
      <w:r w:rsidR="00CE4180" w:rsidRPr="00565291">
        <w:rPr>
          <w:color w:val="1F1C1B"/>
          <w:spacing w:val="-6"/>
          <w:bdr w:val="none" w:sz="0" w:space="0" w:color="auto" w:frame="1"/>
        </w:rPr>
        <w:t xml:space="preserve"> to block the growing retreat towards illiberal democracy</w:t>
      </w:r>
      <w:r w:rsidR="00154D50" w:rsidRPr="00565291">
        <w:rPr>
          <w:color w:val="1F1C1B"/>
          <w:spacing w:val="-6"/>
          <w:bdr w:val="none" w:sz="0" w:space="0" w:color="auto" w:frame="1"/>
        </w:rPr>
        <w:t>, due to the</w:t>
      </w:r>
      <w:r w:rsidR="00FC2806">
        <w:rPr>
          <w:color w:val="1F1C1B"/>
          <w:spacing w:val="-6"/>
          <w:bdr w:val="none" w:sz="0" w:space="0" w:color="auto" w:frame="1"/>
        </w:rPr>
        <w:t xml:space="preserve"> </w:t>
      </w:r>
      <w:r w:rsidR="008A7B68" w:rsidRPr="00565291">
        <w:rPr>
          <w:color w:val="1F1C1B"/>
          <w:spacing w:val="-6"/>
          <w:bdr w:val="none" w:sz="0" w:space="0" w:color="auto" w:frame="1"/>
        </w:rPr>
        <w:t xml:space="preserve">absence of credible commitment to Turkish membership </w:t>
      </w:r>
      <w:r w:rsidR="002536F2">
        <w:rPr>
          <w:color w:val="1F1C1B"/>
          <w:spacing w:val="-6"/>
          <w:bdr w:val="none" w:sz="0" w:space="0" w:color="auto" w:frame="1"/>
        </w:rPr>
        <w:t>negotiations</w:t>
      </w:r>
      <w:r w:rsidR="00FC2806">
        <w:rPr>
          <w:color w:val="1F1C1B"/>
          <w:spacing w:val="-6"/>
          <w:bdr w:val="none" w:sz="0" w:space="0" w:color="auto" w:frame="1"/>
        </w:rPr>
        <w:t xml:space="preserve"> </w:t>
      </w:r>
      <w:r w:rsidR="00BF01CA" w:rsidRPr="00565291">
        <w:rPr>
          <w:color w:val="1F1C1B"/>
          <w:spacing w:val="-6"/>
          <w:bdr w:val="none" w:sz="0" w:space="0" w:color="auto" w:frame="1"/>
        </w:rPr>
        <w:t xml:space="preserve">which </w:t>
      </w:r>
      <w:r w:rsidR="00626223" w:rsidRPr="00565291">
        <w:rPr>
          <w:color w:val="1F1C1B"/>
          <w:spacing w:val="-6"/>
          <w:bdr w:val="none" w:sz="0" w:space="0" w:color="auto" w:frame="1"/>
        </w:rPr>
        <w:t>has generated</w:t>
      </w:r>
      <w:r w:rsidR="008A7B68" w:rsidRPr="00565291">
        <w:rPr>
          <w:color w:val="1F1C1B"/>
          <w:spacing w:val="-6"/>
          <w:bdr w:val="none" w:sz="0" w:space="0" w:color="auto" w:frame="1"/>
        </w:rPr>
        <w:t xml:space="preserve"> </w:t>
      </w:r>
      <w:r w:rsidR="006A354B" w:rsidRPr="00565291">
        <w:rPr>
          <w:color w:val="1F1C1B"/>
          <w:spacing w:val="-6"/>
          <w:bdr w:val="none" w:sz="0" w:space="0" w:color="auto" w:frame="1"/>
        </w:rPr>
        <w:t>an</w:t>
      </w:r>
      <w:r w:rsidR="008A7B68" w:rsidRPr="00565291">
        <w:rPr>
          <w:color w:val="1F1C1B"/>
          <w:spacing w:val="-6"/>
          <w:bdr w:val="none" w:sz="0" w:space="0" w:color="auto" w:frame="1"/>
        </w:rPr>
        <w:t xml:space="preserve"> </w:t>
      </w:r>
      <w:r w:rsidR="00EA44D9" w:rsidRPr="00565291">
        <w:rPr>
          <w:color w:val="1F1C1B"/>
          <w:spacing w:val="-6"/>
          <w:bdr w:val="none" w:sz="0" w:space="0" w:color="auto" w:frame="1"/>
        </w:rPr>
        <w:t>intense</w:t>
      </w:r>
      <w:r w:rsidR="008A7B68" w:rsidRPr="00565291">
        <w:rPr>
          <w:color w:val="1F1C1B"/>
          <w:spacing w:val="-6"/>
          <w:bdr w:val="none" w:sz="0" w:space="0" w:color="auto" w:frame="1"/>
        </w:rPr>
        <w:t xml:space="preserve"> sense of resentment </w:t>
      </w:r>
      <w:r w:rsidR="005915BA" w:rsidRPr="00565291">
        <w:rPr>
          <w:color w:val="1F1C1B"/>
          <w:spacing w:val="-6"/>
          <w:bdr w:val="none" w:sz="0" w:space="0" w:color="auto" w:frame="1"/>
        </w:rPr>
        <w:t>among the public</w:t>
      </w:r>
      <w:r w:rsidR="008A7B68" w:rsidRPr="00565291">
        <w:rPr>
          <w:color w:val="1F1C1B"/>
          <w:spacing w:val="-6"/>
          <w:bdr w:val="none" w:sz="0" w:space="0" w:color="auto" w:frame="1"/>
        </w:rPr>
        <w:t xml:space="preserve">. </w:t>
      </w:r>
      <w:r w:rsidR="00E03645" w:rsidRPr="00565291">
        <w:rPr>
          <w:color w:val="1F1C1B"/>
          <w:spacing w:val="-6"/>
          <w:bdr w:val="none" w:sz="0" w:space="0" w:color="auto" w:frame="1"/>
        </w:rPr>
        <w:t xml:space="preserve">Erdogan </w:t>
      </w:r>
      <w:r w:rsidR="0079113A">
        <w:rPr>
          <w:color w:val="1F1C1B"/>
          <w:spacing w:val="-6"/>
          <w:bdr w:val="none" w:sz="0" w:space="0" w:color="auto" w:frame="1"/>
        </w:rPr>
        <w:t xml:space="preserve">used this opportunity </w:t>
      </w:r>
      <w:r w:rsidR="00E03645" w:rsidRPr="00565291">
        <w:rPr>
          <w:color w:val="1F1C1B"/>
          <w:spacing w:val="-6"/>
          <w:bdr w:val="none" w:sz="0" w:space="0" w:color="auto" w:frame="1"/>
        </w:rPr>
        <w:t xml:space="preserve">to </w:t>
      </w:r>
      <w:r w:rsidR="0016381E" w:rsidRPr="00565291">
        <w:rPr>
          <w:color w:val="1F1C1B"/>
          <w:spacing w:val="-6"/>
          <w:bdr w:val="none" w:sz="0" w:space="0" w:color="auto" w:frame="1"/>
        </w:rPr>
        <w:t>tell</w:t>
      </w:r>
      <w:r w:rsidR="00E03645" w:rsidRPr="00565291">
        <w:rPr>
          <w:color w:val="1F1C1B"/>
          <w:spacing w:val="-6"/>
          <w:bdr w:val="none" w:sz="0" w:space="0" w:color="auto" w:frame="1"/>
        </w:rPr>
        <w:t xml:space="preserve"> the public that it is the first time </w:t>
      </w:r>
      <w:r w:rsidR="008C2A2D" w:rsidRPr="00565291">
        <w:rPr>
          <w:color w:val="1F1C1B"/>
          <w:spacing w:val="-6"/>
          <w:bdr w:val="none" w:sz="0" w:space="0" w:color="auto" w:frame="1"/>
        </w:rPr>
        <w:t>that domestic affairs were being shaped by the Turkish political actors</w:t>
      </w:r>
      <w:r w:rsidR="0079113A">
        <w:rPr>
          <w:color w:val="1F1C1B"/>
          <w:spacing w:val="-6"/>
          <w:bdr w:val="none" w:sz="0" w:space="0" w:color="auto" w:frame="1"/>
        </w:rPr>
        <w:t>, and not outside forces</w:t>
      </w:r>
      <w:r w:rsidR="008A68D9">
        <w:rPr>
          <w:color w:val="1F1C1B"/>
          <w:spacing w:val="-6"/>
          <w:bdr w:val="none" w:sz="0" w:space="0" w:color="auto" w:frame="1"/>
        </w:rPr>
        <w:t xml:space="preserve">. </w:t>
      </w:r>
    </w:p>
    <w:p w14:paraId="74944F4C" w14:textId="77777777" w:rsidR="0076019C" w:rsidRDefault="0076019C" w:rsidP="0076019C">
      <w:pPr>
        <w:pStyle w:val="NormalWeb"/>
        <w:shd w:val="clear" w:color="auto" w:fill="FFFFFF"/>
        <w:spacing w:before="0" w:beforeAutospacing="0" w:after="0" w:afterAutospacing="0"/>
        <w:jc w:val="both"/>
        <w:textAlignment w:val="baseline"/>
        <w:rPr>
          <w:color w:val="1F1C1B"/>
          <w:spacing w:val="-6"/>
          <w:bdr w:val="none" w:sz="0" w:space="0" w:color="auto" w:frame="1"/>
        </w:rPr>
      </w:pPr>
    </w:p>
    <w:p w14:paraId="6C41E114" w14:textId="23417631" w:rsidR="00AF0DF8" w:rsidRPr="00AF0DF8" w:rsidRDefault="00A646F5" w:rsidP="0076019C">
      <w:pPr>
        <w:pStyle w:val="NormalWeb"/>
        <w:shd w:val="clear" w:color="auto" w:fill="FFFFFF"/>
        <w:spacing w:before="0" w:beforeAutospacing="0" w:after="0" w:afterAutospacing="0"/>
        <w:jc w:val="both"/>
        <w:textAlignment w:val="baseline"/>
        <w:rPr>
          <w:bCs/>
          <w:color w:val="1F1C1B"/>
          <w:spacing w:val="-6"/>
          <w:bdr w:val="none" w:sz="0" w:space="0" w:color="auto" w:frame="1"/>
        </w:rPr>
      </w:pPr>
      <w:r w:rsidRPr="00A646F5">
        <w:rPr>
          <w:color w:val="1F1C1B"/>
          <w:spacing w:val="-6"/>
          <w:bdr w:val="none" w:sz="0" w:space="0" w:color="auto" w:frame="1"/>
        </w:rPr>
        <w:t> </w:t>
      </w:r>
      <w:r w:rsidR="00195BB8">
        <w:rPr>
          <w:color w:val="1F1C1B"/>
          <w:spacing w:val="-6"/>
          <w:bdr w:val="none" w:sz="0" w:space="0" w:color="auto" w:frame="1"/>
        </w:rPr>
        <w:t xml:space="preserve">The democratic backsliding </w:t>
      </w:r>
      <w:r w:rsidR="00663E85">
        <w:rPr>
          <w:color w:val="1F1C1B"/>
          <w:spacing w:val="-6"/>
          <w:bdr w:val="none" w:sz="0" w:space="0" w:color="auto" w:frame="1"/>
        </w:rPr>
        <w:t>elevated after the 2016 coup</w:t>
      </w:r>
      <w:r w:rsidR="00195BB8">
        <w:rPr>
          <w:color w:val="1F1C1B"/>
          <w:spacing w:val="-6"/>
          <w:bdr w:val="none" w:sz="0" w:space="0" w:color="auto" w:frame="1"/>
        </w:rPr>
        <w:t xml:space="preserve">. </w:t>
      </w:r>
      <w:r w:rsidR="0076019C" w:rsidRPr="0076019C">
        <w:rPr>
          <w:color w:val="1F1C1B"/>
          <w:spacing w:val="-6"/>
          <w:bdr w:val="none" w:sz="0" w:space="0" w:color="auto" w:frame="1"/>
        </w:rPr>
        <w:t xml:space="preserve">The structural deficiencies of the presidential system facilitated the </w:t>
      </w:r>
      <w:r w:rsidR="0076019C">
        <w:rPr>
          <w:color w:val="1F1C1B"/>
          <w:spacing w:val="-6"/>
          <w:bdr w:val="none" w:sz="0" w:space="0" w:color="auto" w:frame="1"/>
        </w:rPr>
        <w:t xml:space="preserve">process. </w:t>
      </w:r>
      <w:r w:rsidR="00EB2B1F">
        <w:rPr>
          <w:color w:val="1F1C1B"/>
          <w:spacing w:val="-6"/>
          <w:bdr w:val="none" w:sz="0" w:space="0" w:color="auto" w:frame="1"/>
        </w:rPr>
        <w:t xml:space="preserve">The local democracy was </w:t>
      </w:r>
      <w:r w:rsidR="00797B1E">
        <w:rPr>
          <w:color w:val="1F1C1B"/>
          <w:spacing w:val="-6"/>
          <w:bdr w:val="none" w:sz="0" w:space="0" w:color="auto" w:frame="1"/>
        </w:rPr>
        <w:t xml:space="preserve">weakened by </w:t>
      </w:r>
      <w:r w:rsidR="00150E4F">
        <w:rPr>
          <w:color w:val="1F1C1B"/>
          <w:spacing w:val="-6"/>
          <w:bdr w:val="none" w:sz="0" w:space="0" w:color="auto" w:frame="1"/>
        </w:rPr>
        <w:t>the p</w:t>
      </w:r>
      <w:r w:rsidR="00525EFE" w:rsidRPr="00525EFE">
        <w:rPr>
          <w:color w:val="1F1C1B"/>
          <w:spacing w:val="-6"/>
          <w:bdr w:val="none" w:sz="0" w:space="0" w:color="auto" w:frame="1"/>
        </w:rPr>
        <w:t xml:space="preserve">ressure on </w:t>
      </w:r>
      <w:r w:rsidR="006F3946">
        <w:rPr>
          <w:color w:val="1F1C1B"/>
          <w:spacing w:val="-6"/>
          <w:bdr w:val="none" w:sz="0" w:space="0" w:color="auto" w:frame="1"/>
        </w:rPr>
        <w:t xml:space="preserve">mayors from opposition parties </w:t>
      </w:r>
      <w:r w:rsidR="00B504E5">
        <w:rPr>
          <w:color w:val="1F1C1B"/>
          <w:spacing w:val="-6"/>
          <w:bdr w:val="none" w:sz="0" w:space="0" w:color="auto" w:frame="1"/>
        </w:rPr>
        <w:t>on</w:t>
      </w:r>
      <w:r w:rsidR="001E2973" w:rsidRPr="001E2973">
        <w:rPr>
          <w:rFonts w:asciiTheme="minorHAnsi" w:eastAsiaTheme="minorHAnsi" w:hAnsiTheme="minorHAnsi" w:cstheme="minorBidi"/>
          <w:color w:val="1F1C1B"/>
          <w:spacing w:val="-6"/>
          <w:bdr w:val="none" w:sz="0" w:space="0" w:color="auto" w:frame="1"/>
        </w:rPr>
        <w:t xml:space="preserve"> </w:t>
      </w:r>
      <w:r w:rsidR="001E2973" w:rsidRPr="001E2973">
        <w:rPr>
          <w:color w:val="1F1C1B"/>
          <w:spacing w:val="-6"/>
          <w:bdr w:val="none" w:sz="0" w:space="0" w:color="auto" w:frame="1"/>
        </w:rPr>
        <w:t xml:space="preserve">terrorism-related </w:t>
      </w:r>
      <w:r w:rsidR="00A47AAA" w:rsidRPr="001E2973">
        <w:rPr>
          <w:color w:val="1F1C1B"/>
          <w:spacing w:val="-6"/>
          <w:bdr w:val="none" w:sz="0" w:space="0" w:color="auto" w:frame="1"/>
        </w:rPr>
        <w:t>charges</w:t>
      </w:r>
      <w:r w:rsidR="00150E4F">
        <w:rPr>
          <w:color w:val="1F1C1B"/>
          <w:spacing w:val="-6"/>
          <w:bdr w:val="none" w:sz="0" w:space="0" w:color="auto" w:frame="1"/>
        </w:rPr>
        <w:t>.</w:t>
      </w:r>
      <w:r w:rsidR="00525EFE" w:rsidRPr="00525EFE">
        <w:rPr>
          <w:color w:val="1F1C1B"/>
          <w:spacing w:val="-6"/>
          <w:bdr w:val="none" w:sz="0" w:space="0" w:color="auto" w:frame="1"/>
        </w:rPr>
        <w:t xml:space="preserve"> </w:t>
      </w:r>
      <w:r w:rsidR="00B504E5">
        <w:rPr>
          <w:color w:val="1F1C1B"/>
          <w:spacing w:val="-6"/>
          <w:bdr w:val="none" w:sz="0" w:space="0" w:color="auto" w:frame="1"/>
        </w:rPr>
        <w:t>M</w:t>
      </w:r>
      <w:r w:rsidR="00525EFE" w:rsidRPr="00525EFE">
        <w:rPr>
          <w:color w:val="1F1C1B"/>
          <w:spacing w:val="-6"/>
          <w:bdr w:val="none" w:sz="0" w:space="0" w:color="auto" w:frame="1"/>
        </w:rPr>
        <w:t xml:space="preserve">ayors </w:t>
      </w:r>
      <w:r w:rsidR="00E33128">
        <w:rPr>
          <w:color w:val="1F1C1B"/>
          <w:spacing w:val="-6"/>
          <w:bdr w:val="none" w:sz="0" w:space="0" w:color="auto" w:frame="1"/>
        </w:rPr>
        <w:t>was</w:t>
      </w:r>
      <w:r w:rsidR="00525EFE" w:rsidRPr="00525EFE">
        <w:rPr>
          <w:color w:val="1F1C1B"/>
          <w:spacing w:val="-6"/>
          <w:bdr w:val="none" w:sz="0" w:space="0" w:color="auto" w:frame="1"/>
        </w:rPr>
        <w:t xml:space="preserve"> replaced by government-appointed trustees</w:t>
      </w:r>
      <w:r w:rsidR="00921B7F">
        <w:rPr>
          <w:color w:val="1F1C1B"/>
          <w:spacing w:val="-6"/>
          <w:bdr w:val="none" w:sz="0" w:space="0" w:color="auto" w:frame="1"/>
        </w:rPr>
        <w:t xml:space="preserve"> which in many cases </w:t>
      </w:r>
      <w:r w:rsidR="00525EFE" w:rsidRPr="00525EFE">
        <w:rPr>
          <w:color w:val="1F1C1B"/>
          <w:spacing w:val="-6"/>
          <w:bdr w:val="none" w:sz="0" w:space="0" w:color="auto" w:frame="1"/>
        </w:rPr>
        <w:t xml:space="preserve">kept the municipal assemblies suspended. </w:t>
      </w:r>
      <w:r w:rsidR="00150E4F">
        <w:rPr>
          <w:color w:val="1F1C1B"/>
          <w:spacing w:val="-6"/>
          <w:bdr w:val="none" w:sz="0" w:space="0" w:color="auto" w:frame="1"/>
        </w:rPr>
        <w:t xml:space="preserve">There were arrests from the </w:t>
      </w:r>
      <w:r w:rsidR="005D7CA6" w:rsidRPr="005D7CA6">
        <w:rPr>
          <w:color w:val="1F1C1B"/>
          <w:spacing w:val="-6"/>
          <w:bdr w:val="none" w:sz="0" w:space="0" w:color="auto" w:frame="1"/>
        </w:rPr>
        <w:t xml:space="preserve">Peoples' Democratic Party, the HDP, </w:t>
      </w:r>
      <w:r w:rsidR="00730F52">
        <w:rPr>
          <w:color w:val="1F1C1B"/>
          <w:spacing w:val="-6"/>
          <w:bdr w:val="none" w:sz="0" w:space="0" w:color="auto" w:frame="1"/>
        </w:rPr>
        <w:t xml:space="preserve">which is the second largest </w:t>
      </w:r>
      <w:r w:rsidR="00EC1B2A">
        <w:rPr>
          <w:color w:val="1F1C1B"/>
          <w:spacing w:val="-6"/>
          <w:bdr w:val="none" w:sz="0" w:space="0" w:color="auto" w:frame="1"/>
        </w:rPr>
        <w:t xml:space="preserve">opposition party in Turkey, </w:t>
      </w:r>
      <w:r w:rsidR="009E2C85">
        <w:rPr>
          <w:color w:val="1F1C1B"/>
          <w:spacing w:val="-6"/>
          <w:bdr w:val="none" w:sz="0" w:space="0" w:color="auto" w:frame="1"/>
        </w:rPr>
        <w:t>representing Kurds</w:t>
      </w:r>
      <w:r w:rsidR="00225000">
        <w:rPr>
          <w:color w:val="1F1C1B"/>
          <w:spacing w:val="-6"/>
          <w:bdr w:val="none" w:sz="0" w:space="0" w:color="auto" w:frame="1"/>
        </w:rPr>
        <w:t xml:space="preserve">, </w:t>
      </w:r>
      <w:r w:rsidR="00966338">
        <w:rPr>
          <w:color w:val="1F1C1B"/>
          <w:spacing w:val="-6"/>
          <w:bdr w:val="none" w:sz="0" w:space="0" w:color="auto" w:frame="1"/>
        </w:rPr>
        <w:t>including its</w:t>
      </w:r>
      <w:r w:rsidR="00A47AAA">
        <w:rPr>
          <w:color w:val="1F1C1B"/>
          <w:spacing w:val="-6"/>
          <w:bdr w:val="none" w:sz="0" w:space="0" w:color="auto" w:frame="1"/>
        </w:rPr>
        <w:t xml:space="preserve"> </w:t>
      </w:r>
      <w:r w:rsidR="00A47AAA" w:rsidRPr="005D7CA6">
        <w:rPr>
          <w:color w:val="1F1C1B"/>
          <w:spacing w:val="-6"/>
          <w:bdr w:val="none" w:sz="0" w:space="0" w:color="auto" w:frame="1"/>
        </w:rPr>
        <w:t>co</w:t>
      </w:r>
      <w:r w:rsidR="005D7CA6" w:rsidRPr="005D7CA6">
        <w:rPr>
          <w:color w:val="1F1C1B"/>
          <w:spacing w:val="-6"/>
          <w:bdr w:val="none" w:sz="0" w:space="0" w:color="auto" w:frame="1"/>
        </w:rPr>
        <w:t xml:space="preserve">-leader </w:t>
      </w:r>
      <w:proofErr w:type="spellStart"/>
      <w:r w:rsidR="005D7CA6" w:rsidRPr="005D7CA6">
        <w:rPr>
          <w:color w:val="1F1C1B"/>
          <w:spacing w:val="-6"/>
          <w:bdr w:val="none" w:sz="0" w:space="0" w:color="auto" w:frame="1"/>
        </w:rPr>
        <w:t>Selahattin</w:t>
      </w:r>
      <w:proofErr w:type="spellEnd"/>
      <w:r w:rsidR="005D7CA6" w:rsidRPr="005D7CA6">
        <w:rPr>
          <w:color w:val="1F1C1B"/>
          <w:spacing w:val="-6"/>
          <w:bdr w:val="none" w:sz="0" w:space="0" w:color="auto" w:frame="1"/>
        </w:rPr>
        <w:t xml:space="preserve"> </w:t>
      </w:r>
      <w:proofErr w:type="spellStart"/>
      <w:r w:rsidR="005D7CA6" w:rsidRPr="005D7CA6">
        <w:rPr>
          <w:color w:val="1F1C1B"/>
          <w:spacing w:val="-6"/>
          <w:bdr w:val="none" w:sz="0" w:space="0" w:color="auto" w:frame="1"/>
        </w:rPr>
        <w:t>Demirtaş</w:t>
      </w:r>
      <w:proofErr w:type="spellEnd"/>
      <w:r w:rsidR="007C5293">
        <w:rPr>
          <w:color w:val="1F1C1B"/>
          <w:spacing w:val="-6"/>
          <w:bdr w:val="none" w:sz="0" w:space="0" w:color="auto" w:frame="1"/>
        </w:rPr>
        <w:t xml:space="preserve">, who has been in </w:t>
      </w:r>
      <w:r w:rsidR="005D7CA6" w:rsidRPr="005D7CA6">
        <w:rPr>
          <w:color w:val="1F1C1B"/>
          <w:spacing w:val="-6"/>
          <w:bdr w:val="none" w:sz="0" w:space="0" w:color="auto" w:frame="1"/>
        </w:rPr>
        <w:t>prison</w:t>
      </w:r>
      <w:r w:rsidR="00A70E2A">
        <w:rPr>
          <w:color w:val="1F1C1B"/>
          <w:spacing w:val="-6"/>
          <w:bdr w:val="none" w:sz="0" w:space="0" w:color="auto" w:frame="1"/>
        </w:rPr>
        <w:t xml:space="preserve"> since 2016</w:t>
      </w:r>
      <w:r w:rsidR="005D7CA6" w:rsidRPr="005D7CA6">
        <w:rPr>
          <w:color w:val="1F1C1B"/>
          <w:spacing w:val="-6"/>
          <w:bdr w:val="none" w:sz="0" w:space="0" w:color="auto" w:frame="1"/>
        </w:rPr>
        <w:t>, despite two European Court of Human Rights rulings in favor of his release.</w:t>
      </w:r>
      <w:r w:rsidR="00225000">
        <w:rPr>
          <w:color w:val="1F1C1B"/>
          <w:spacing w:val="-6"/>
          <w:bdr w:val="none" w:sz="0" w:space="0" w:color="auto" w:frame="1"/>
        </w:rPr>
        <w:t xml:space="preserve"> </w:t>
      </w:r>
      <w:r w:rsidR="009A631C">
        <w:rPr>
          <w:color w:val="1F1C1B"/>
          <w:spacing w:val="-6"/>
          <w:bdr w:val="none" w:sz="0" w:space="0" w:color="auto" w:frame="1"/>
        </w:rPr>
        <w:t xml:space="preserve">As </w:t>
      </w:r>
      <w:r w:rsidR="00EB296F">
        <w:rPr>
          <w:color w:val="1F1C1B"/>
          <w:spacing w:val="-6"/>
          <w:bdr w:val="none" w:sz="0" w:space="0" w:color="auto" w:frame="1"/>
        </w:rPr>
        <w:t>the security</w:t>
      </w:r>
      <w:r w:rsidR="00DF4D06" w:rsidRPr="00DF4D06">
        <w:rPr>
          <w:color w:val="1F1C1B"/>
          <w:spacing w:val="-6"/>
          <w:bdr w:val="none" w:sz="0" w:space="0" w:color="auto" w:frame="1"/>
        </w:rPr>
        <w:t> </w:t>
      </w:r>
      <w:r w:rsidR="00DF4D06" w:rsidRPr="00BA0AC6">
        <w:rPr>
          <w:color w:val="1F1C1B"/>
          <w:spacing w:val="-6"/>
          <w:bdr w:val="none" w:sz="0" w:space="0" w:color="auto" w:frame="1"/>
        </w:rPr>
        <w:t xml:space="preserve">situation in the south-east remained </w:t>
      </w:r>
      <w:r w:rsidR="00D36059" w:rsidRPr="00BA0AC6">
        <w:rPr>
          <w:color w:val="1F1C1B"/>
          <w:spacing w:val="-6"/>
          <w:bdr w:val="none" w:sz="0" w:space="0" w:color="auto" w:frame="1"/>
        </w:rPr>
        <w:t>disturbing</w:t>
      </w:r>
      <w:r w:rsidR="00901BFD" w:rsidRPr="00BA0AC6">
        <w:rPr>
          <w:color w:val="1F1C1B"/>
          <w:spacing w:val="-6"/>
          <w:bdr w:val="none" w:sz="0" w:space="0" w:color="auto" w:frame="1"/>
        </w:rPr>
        <w:t xml:space="preserve"> with recurrent terrorist acts by the Kurdistan Worke</w:t>
      </w:r>
      <w:r w:rsidR="00901BFD" w:rsidRPr="00901BFD">
        <w:rPr>
          <w:color w:val="1F1C1B"/>
          <w:spacing w:val="-6"/>
          <w:bdr w:val="none" w:sz="0" w:space="0" w:color="auto" w:frame="1"/>
        </w:rPr>
        <w:t>rs’ Party (PKK</w:t>
      </w:r>
      <w:r w:rsidR="00972943" w:rsidRPr="00901BFD">
        <w:rPr>
          <w:color w:val="1F1C1B"/>
          <w:spacing w:val="-6"/>
          <w:bdr w:val="none" w:sz="0" w:space="0" w:color="auto" w:frame="1"/>
        </w:rPr>
        <w:t>)</w:t>
      </w:r>
      <w:r w:rsidR="00BA0AC6">
        <w:rPr>
          <w:color w:val="1F1C1B"/>
          <w:spacing w:val="-6"/>
          <w:bdr w:val="none" w:sz="0" w:space="0" w:color="auto" w:frame="1"/>
        </w:rPr>
        <w:t xml:space="preserve">, this </w:t>
      </w:r>
      <w:r w:rsidR="00082C1C">
        <w:rPr>
          <w:color w:val="1F1C1B"/>
          <w:spacing w:val="-6"/>
          <w:bdr w:val="none" w:sz="0" w:space="0" w:color="auto" w:frame="1"/>
        </w:rPr>
        <w:t xml:space="preserve">gave </w:t>
      </w:r>
      <w:r w:rsidR="00082C1C" w:rsidRPr="00DF4D06">
        <w:rPr>
          <w:color w:val="1F1C1B"/>
          <w:spacing w:val="-6"/>
          <w:bdr w:val="none" w:sz="0" w:space="0" w:color="auto" w:frame="1"/>
        </w:rPr>
        <w:t>government</w:t>
      </w:r>
      <w:r w:rsidR="00DF4D06" w:rsidRPr="00DF4D06">
        <w:rPr>
          <w:color w:val="1F1C1B"/>
          <w:spacing w:val="-6"/>
          <w:bdr w:val="none" w:sz="0" w:space="0" w:color="auto" w:frame="1"/>
        </w:rPr>
        <w:t xml:space="preserve"> </w:t>
      </w:r>
      <w:r w:rsidR="00082C1C">
        <w:rPr>
          <w:color w:val="1F1C1B"/>
          <w:spacing w:val="-6"/>
          <w:bdr w:val="none" w:sz="0" w:space="0" w:color="auto" w:frame="1"/>
        </w:rPr>
        <w:t xml:space="preserve">the reason to carry </w:t>
      </w:r>
      <w:r w:rsidR="00DF4D06" w:rsidRPr="00DF4D06">
        <w:rPr>
          <w:color w:val="1F1C1B"/>
          <w:spacing w:val="-6"/>
          <w:bdr w:val="none" w:sz="0" w:space="0" w:color="auto" w:frame="1"/>
        </w:rPr>
        <w:t xml:space="preserve">out domestic and cross-border security and military operations. </w:t>
      </w:r>
    </w:p>
    <w:p w14:paraId="303FEE3A" w14:textId="77777777" w:rsidR="00673F19" w:rsidRDefault="00673F19" w:rsidP="00D541B5">
      <w:pPr>
        <w:pStyle w:val="NormalWeb"/>
        <w:shd w:val="clear" w:color="auto" w:fill="FFFFFF"/>
        <w:spacing w:before="0" w:beforeAutospacing="0" w:after="0" w:afterAutospacing="0"/>
        <w:jc w:val="both"/>
        <w:textAlignment w:val="baseline"/>
        <w:rPr>
          <w:bCs/>
          <w:color w:val="1F1C1B"/>
          <w:spacing w:val="-6"/>
          <w:bdr w:val="none" w:sz="0" w:space="0" w:color="auto" w:frame="1"/>
        </w:rPr>
      </w:pPr>
    </w:p>
    <w:p w14:paraId="3FD5ED98" w14:textId="78AFA4AF" w:rsidR="003F183B" w:rsidRPr="00A374F5" w:rsidRDefault="00360724" w:rsidP="00D541B5">
      <w:pPr>
        <w:pStyle w:val="NormalWeb"/>
        <w:shd w:val="clear" w:color="auto" w:fill="FFFFFF"/>
        <w:spacing w:before="0" w:beforeAutospacing="0" w:after="0" w:afterAutospacing="0"/>
        <w:jc w:val="both"/>
        <w:textAlignment w:val="baseline"/>
        <w:rPr>
          <w:bCs/>
          <w:color w:val="1F1C1B"/>
          <w:spacing w:val="-6"/>
          <w:bdr w:val="none" w:sz="0" w:space="0" w:color="auto" w:frame="1"/>
        </w:rPr>
      </w:pPr>
      <w:r>
        <w:rPr>
          <w:bCs/>
          <w:color w:val="1F1C1B"/>
          <w:spacing w:val="-6"/>
          <w:bdr w:val="none" w:sz="0" w:space="0" w:color="auto" w:frame="1"/>
        </w:rPr>
        <w:t xml:space="preserve">Coming to the </w:t>
      </w:r>
      <w:r w:rsidR="00304D18">
        <w:rPr>
          <w:bCs/>
          <w:color w:val="1F1C1B"/>
          <w:spacing w:val="-6"/>
          <w:bdr w:val="none" w:sz="0" w:space="0" w:color="auto" w:frame="1"/>
        </w:rPr>
        <w:t>economic side of the picture,</w:t>
      </w:r>
      <w:r w:rsidR="00673F19">
        <w:rPr>
          <w:rFonts w:asciiTheme="minorHAnsi" w:eastAsiaTheme="minorHAnsi" w:hAnsiTheme="minorHAnsi" w:cstheme="minorBidi"/>
          <w:i/>
          <w:iCs/>
          <w:color w:val="1F1C1B"/>
          <w:spacing w:val="-6"/>
          <w:bdr w:val="none" w:sz="0" w:space="0" w:color="auto" w:frame="1"/>
        </w:rPr>
        <w:t xml:space="preserve"> </w:t>
      </w:r>
      <w:r w:rsidR="00673F19" w:rsidRPr="00673F19">
        <w:rPr>
          <w:rFonts w:asciiTheme="minorHAnsi" w:eastAsiaTheme="minorHAnsi" w:hAnsiTheme="minorHAnsi" w:cstheme="minorBidi"/>
          <w:color w:val="1F1C1B"/>
          <w:spacing w:val="-6"/>
          <w:bdr w:val="none" w:sz="0" w:space="0" w:color="auto" w:frame="1"/>
        </w:rPr>
        <w:t>the p</w:t>
      </w:r>
      <w:r w:rsidR="00673F19" w:rsidRPr="00673F19">
        <w:rPr>
          <w:bCs/>
          <w:color w:val="1F1C1B"/>
          <w:spacing w:val="-6"/>
          <w:bdr w:val="none" w:sz="0" w:space="0" w:color="auto" w:frame="1"/>
        </w:rPr>
        <w:t xml:space="preserve">olitical turmoil after the attempted </w:t>
      </w:r>
      <w:r w:rsidR="00B654E2" w:rsidRPr="00673F19">
        <w:rPr>
          <w:bCs/>
          <w:color w:val="1F1C1B"/>
          <w:spacing w:val="-6"/>
          <w:bdr w:val="none" w:sz="0" w:space="0" w:color="auto" w:frame="1"/>
        </w:rPr>
        <w:t>coup, the</w:t>
      </w:r>
      <w:r w:rsidR="00673F19" w:rsidRPr="00673F19">
        <w:rPr>
          <w:bCs/>
          <w:color w:val="1F1C1B"/>
          <w:spacing w:val="-6"/>
          <w:bdr w:val="none" w:sz="0" w:space="0" w:color="auto" w:frame="1"/>
        </w:rPr>
        <w:t xml:space="preserve"> war in Syria, political tensions with the United States, the European Union and Russia), and the COVID-19 pandemic ha</w:t>
      </w:r>
      <w:r w:rsidR="00824E45">
        <w:rPr>
          <w:bCs/>
          <w:color w:val="1F1C1B"/>
          <w:spacing w:val="-6"/>
          <w:bdr w:val="none" w:sz="0" w:space="0" w:color="auto" w:frame="1"/>
        </w:rPr>
        <w:t>d</w:t>
      </w:r>
      <w:r w:rsidR="00673F19" w:rsidRPr="00673F19">
        <w:rPr>
          <w:bCs/>
          <w:color w:val="1F1C1B"/>
          <w:spacing w:val="-6"/>
          <w:bdr w:val="none" w:sz="0" w:space="0" w:color="auto" w:frame="1"/>
        </w:rPr>
        <w:t xml:space="preserve"> adversely affected the economy, mainly FDI, trade, </w:t>
      </w:r>
      <w:r w:rsidR="00B654E2" w:rsidRPr="00673F19">
        <w:rPr>
          <w:bCs/>
          <w:color w:val="1F1C1B"/>
          <w:spacing w:val="-6"/>
          <w:bdr w:val="none" w:sz="0" w:space="0" w:color="auto" w:frame="1"/>
        </w:rPr>
        <w:t>and tourism</w:t>
      </w:r>
      <w:r w:rsidR="00673F19" w:rsidRPr="00673F19">
        <w:rPr>
          <w:bCs/>
          <w:color w:val="1F1C1B"/>
          <w:spacing w:val="-6"/>
          <w:bdr w:val="none" w:sz="0" w:space="0" w:color="auto" w:frame="1"/>
        </w:rPr>
        <w:t xml:space="preserve">. </w:t>
      </w:r>
      <w:r w:rsidR="00673F19">
        <w:rPr>
          <w:bCs/>
          <w:color w:val="1F1C1B"/>
          <w:spacing w:val="-6"/>
          <w:bdr w:val="none" w:sz="0" w:space="0" w:color="auto" w:frame="1"/>
        </w:rPr>
        <w:t xml:space="preserve">After enjoying </w:t>
      </w:r>
      <w:r w:rsidR="00A21C4C" w:rsidRPr="00014341">
        <w:rPr>
          <w:bCs/>
          <w:color w:val="1F1C1B"/>
          <w:spacing w:val="-6"/>
          <w:bdr w:val="none" w:sz="0" w:space="0" w:color="auto" w:frame="1"/>
        </w:rPr>
        <w:t xml:space="preserve">high growth rates between 2002 and </w:t>
      </w:r>
      <w:r w:rsidR="00673F19" w:rsidRPr="00014341">
        <w:rPr>
          <w:bCs/>
          <w:color w:val="1F1C1B"/>
          <w:spacing w:val="-6"/>
          <w:bdr w:val="none" w:sz="0" w:space="0" w:color="auto" w:frame="1"/>
        </w:rPr>
        <w:t>2017</w:t>
      </w:r>
      <w:r w:rsidR="00673F19">
        <w:rPr>
          <w:bCs/>
          <w:color w:val="1F1C1B"/>
          <w:spacing w:val="-6"/>
          <w:bdr w:val="none" w:sz="0" w:space="0" w:color="auto" w:frame="1"/>
        </w:rPr>
        <w:t xml:space="preserve">, </w:t>
      </w:r>
      <w:r w:rsidR="00673F19" w:rsidRPr="00014341">
        <w:rPr>
          <w:bCs/>
          <w:color w:val="1F1C1B"/>
          <w:spacing w:val="-6"/>
          <w:bdr w:val="none" w:sz="0" w:space="0" w:color="auto" w:frame="1"/>
        </w:rPr>
        <w:t>reform</w:t>
      </w:r>
      <w:r w:rsidR="00A21C4C" w:rsidRPr="00014341">
        <w:rPr>
          <w:bCs/>
          <w:color w:val="1F1C1B"/>
          <w:spacing w:val="-6"/>
          <w:bdr w:val="none" w:sz="0" w:space="0" w:color="auto" w:frame="1"/>
        </w:rPr>
        <w:t xml:space="preserve"> momentum </w:t>
      </w:r>
      <w:r w:rsidR="00517559">
        <w:rPr>
          <w:bCs/>
          <w:color w:val="1F1C1B"/>
          <w:spacing w:val="-6"/>
          <w:bdr w:val="none" w:sz="0" w:space="0" w:color="auto" w:frame="1"/>
        </w:rPr>
        <w:t xml:space="preserve">faded </w:t>
      </w:r>
      <w:r w:rsidR="00D95A97">
        <w:rPr>
          <w:bCs/>
          <w:color w:val="1F1C1B"/>
          <w:spacing w:val="-6"/>
          <w:bdr w:val="none" w:sz="0" w:space="0" w:color="auto" w:frame="1"/>
        </w:rPr>
        <w:t xml:space="preserve">and growth was </w:t>
      </w:r>
      <w:r w:rsidR="00673F19">
        <w:rPr>
          <w:bCs/>
          <w:color w:val="1F1C1B"/>
          <w:spacing w:val="-6"/>
          <w:bdr w:val="none" w:sz="0" w:space="0" w:color="auto" w:frame="1"/>
        </w:rPr>
        <w:t xml:space="preserve">supported </w:t>
      </w:r>
      <w:r w:rsidR="00673F19" w:rsidRPr="00014341">
        <w:rPr>
          <w:bCs/>
          <w:color w:val="1F1C1B"/>
          <w:spacing w:val="-6"/>
          <w:bdr w:val="none" w:sz="0" w:space="0" w:color="auto" w:frame="1"/>
        </w:rPr>
        <w:t>with</w:t>
      </w:r>
      <w:r w:rsidR="00A21C4C" w:rsidRPr="00014341">
        <w:rPr>
          <w:bCs/>
          <w:color w:val="1F1C1B"/>
          <w:spacing w:val="-6"/>
          <w:bdr w:val="none" w:sz="0" w:space="0" w:color="auto" w:frame="1"/>
        </w:rPr>
        <w:t xml:space="preserve"> credit booms and a demand stimulus, </w:t>
      </w:r>
      <w:r w:rsidR="00B7003D">
        <w:rPr>
          <w:bCs/>
          <w:color w:val="1F1C1B"/>
          <w:spacing w:val="-6"/>
          <w:bdr w:val="none" w:sz="0" w:space="0" w:color="auto" w:frame="1"/>
        </w:rPr>
        <w:t>aggravating</w:t>
      </w:r>
      <w:r w:rsidR="00B7003D" w:rsidRPr="00014341">
        <w:rPr>
          <w:bCs/>
          <w:color w:val="1F1C1B"/>
          <w:spacing w:val="-6"/>
          <w:bdr w:val="none" w:sz="0" w:space="0" w:color="auto" w:frame="1"/>
        </w:rPr>
        <w:t xml:space="preserve"> </w:t>
      </w:r>
      <w:r w:rsidR="00A21C4C" w:rsidRPr="00014341">
        <w:rPr>
          <w:bCs/>
          <w:color w:val="1F1C1B"/>
          <w:spacing w:val="-6"/>
          <w:bdr w:val="none" w:sz="0" w:space="0" w:color="auto" w:frame="1"/>
        </w:rPr>
        <w:t>internal and</w:t>
      </w:r>
      <w:r w:rsidR="00A21C4C" w:rsidRPr="00A21C4C">
        <w:rPr>
          <w:bCs/>
          <w:color w:val="1F1C1B"/>
          <w:spacing w:val="-6"/>
          <w:bdr w:val="none" w:sz="0" w:space="0" w:color="auto" w:frame="1"/>
        </w:rPr>
        <w:t xml:space="preserve"> </w:t>
      </w:r>
      <w:r w:rsidR="00D95A97">
        <w:rPr>
          <w:bCs/>
          <w:color w:val="1F1C1B"/>
          <w:spacing w:val="-6"/>
          <w:bdr w:val="none" w:sz="0" w:space="0" w:color="auto" w:frame="1"/>
        </w:rPr>
        <w:t>e</w:t>
      </w:r>
      <w:r w:rsidR="00A21C4C" w:rsidRPr="00A21C4C">
        <w:rPr>
          <w:bCs/>
          <w:color w:val="1F1C1B"/>
          <w:spacing w:val="-6"/>
          <w:bdr w:val="none" w:sz="0" w:space="0" w:color="auto" w:frame="1"/>
        </w:rPr>
        <w:t>xternal vulnerabilities</w:t>
      </w:r>
      <w:r w:rsidR="00A21C4C" w:rsidRPr="00673F19">
        <w:rPr>
          <w:bCs/>
          <w:color w:val="1F1C1B"/>
          <w:spacing w:val="-6"/>
          <w:bdr w:val="none" w:sz="0" w:space="0" w:color="auto" w:frame="1"/>
        </w:rPr>
        <w:t>.</w:t>
      </w:r>
      <w:r w:rsidR="00673F19" w:rsidRPr="00673F19">
        <w:rPr>
          <w:bCs/>
          <w:color w:val="1F1C1B"/>
          <w:spacing w:val="-6"/>
          <w:bdr w:val="none" w:sz="0" w:space="0" w:color="auto" w:frame="1"/>
        </w:rPr>
        <w:t xml:space="preserve">  A </w:t>
      </w:r>
      <w:r w:rsidR="00EA389A" w:rsidRPr="00EA389A">
        <w:rPr>
          <w:bCs/>
          <w:color w:val="1F1C1B"/>
          <w:spacing w:val="-6"/>
          <w:bdr w:val="none" w:sz="0" w:space="0" w:color="auto" w:frame="1"/>
        </w:rPr>
        <w:t>persistent current account deficits financed by short-term portfolio flows</w:t>
      </w:r>
      <w:r w:rsidR="00EA389A">
        <w:rPr>
          <w:bCs/>
          <w:color w:val="1F1C1B"/>
          <w:spacing w:val="-6"/>
          <w:bdr w:val="none" w:sz="0" w:space="0" w:color="auto" w:frame="1"/>
        </w:rPr>
        <w:t>, h</w:t>
      </w:r>
      <w:r w:rsidR="00EA389A" w:rsidRPr="00EA389A">
        <w:rPr>
          <w:bCs/>
          <w:color w:val="1F1C1B"/>
          <w:spacing w:val="-6"/>
          <w:bdr w:val="none" w:sz="0" w:space="0" w:color="auto" w:frame="1"/>
        </w:rPr>
        <w:t xml:space="preserve">igh private sector debt, high inflation, and high unemployment </w:t>
      </w:r>
      <w:r w:rsidR="00673F19" w:rsidRPr="00673F19">
        <w:rPr>
          <w:bCs/>
          <w:color w:val="1F1C1B"/>
          <w:spacing w:val="-6"/>
          <w:bdr w:val="none" w:sz="0" w:space="0" w:color="auto" w:frame="1"/>
        </w:rPr>
        <w:t>left the economy vulnerable to s</w:t>
      </w:r>
      <w:r w:rsidR="00673F19">
        <w:rPr>
          <w:bCs/>
          <w:color w:val="1F1C1B"/>
          <w:spacing w:val="-6"/>
          <w:bdr w:val="none" w:sz="0" w:space="0" w:color="auto" w:frame="1"/>
        </w:rPr>
        <w:t xml:space="preserve">hocks. </w:t>
      </w:r>
      <w:r w:rsidR="00A21C4C" w:rsidRPr="00A21C4C">
        <w:rPr>
          <w:bCs/>
          <w:color w:val="1F1C1B"/>
          <w:spacing w:val="-6"/>
          <w:bdr w:val="none" w:sz="0" w:space="0" w:color="auto" w:frame="1"/>
        </w:rPr>
        <w:t xml:space="preserve"> </w:t>
      </w:r>
      <w:r w:rsidR="00EA389A">
        <w:rPr>
          <w:bCs/>
          <w:color w:val="1F1C1B"/>
          <w:spacing w:val="-6"/>
          <w:bdr w:val="none" w:sz="0" w:space="0" w:color="auto" w:frame="1"/>
        </w:rPr>
        <w:t>T</w:t>
      </w:r>
      <w:r w:rsidR="00E71E7F" w:rsidRPr="00E71E7F">
        <w:rPr>
          <w:bCs/>
          <w:color w:val="1F1C1B"/>
          <w:spacing w:val="-6"/>
          <w:bdr w:val="none" w:sz="0" w:space="0" w:color="auto" w:frame="1"/>
        </w:rPr>
        <w:t>he Turkish economy grew 1.8%</w:t>
      </w:r>
      <w:r w:rsidR="003D350B">
        <w:rPr>
          <w:bCs/>
          <w:color w:val="1F1C1B"/>
          <w:spacing w:val="-6"/>
          <w:bdr w:val="none" w:sz="0" w:space="0" w:color="auto" w:frame="1"/>
        </w:rPr>
        <w:t xml:space="preserve"> </w:t>
      </w:r>
      <w:r w:rsidR="00EA389A">
        <w:rPr>
          <w:bCs/>
          <w:color w:val="1F1C1B"/>
          <w:spacing w:val="-6"/>
          <w:bdr w:val="none" w:sz="0" w:space="0" w:color="auto" w:frame="1"/>
        </w:rPr>
        <w:t xml:space="preserve">in 2020 </w:t>
      </w:r>
      <w:r w:rsidR="003D350B">
        <w:rPr>
          <w:bCs/>
          <w:color w:val="1F1C1B"/>
          <w:spacing w:val="-6"/>
          <w:bdr w:val="none" w:sz="0" w:space="0" w:color="auto" w:frame="1"/>
        </w:rPr>
        <w:t xml:space="preserve">and 11% </w:t>
      </w:r>
      <w:r w:rsidR="00014341" w:rsidRPr="00014341">
        <w:rPr>
          <w:bCs/>
          <w:color w:val="1F1C1B"/>
          <w:spacing w:val="-6"/>
          <w:bdr w:val="none" w:sz="0" w:space="0" w:color="auto" w:frame="1"/>
        </w:rPr>
        <w:t>in 2021, the fastest among the G20 countries</w:t>
      </w:r>
      <w:r w:rsidR="0063271B">
        <w:rPr>
          <w:bCs/>
          <w:color w:val="1F1C1B"/>
          <w:spacing w:val="-6"/>
          <w:bdr w:val="none" w:sz="0" w:space="0" w:color="auto" w:frame="1"/>
        </w:rPr>
        <w:t>. The</w:t>
      </w:r>
      <w:r w:rsidR="00014341" w:rsidRPr="00014341">
        <w:rPr>
          <w:bCs/>
          <w:color w:val="1F1C1B"/>
          <w:spacing w:val="-6"/>
          <w:bdr w:val="none" w:sz="0" w:space="0" w:color="auto" w:frame="1"/>
        </w:rPr>
        <w:t xml:space="preserve"> interest rate cuts </w:t>
      </w:r>
      <w:r w:rsidR="00A21C4C">
        <w:rPr>
          <w:bCs/>
          <w:color w:val="1F1C1B"/>
          <w:spacing w:val="-6"/>
          <w:bdr w:val="none" w:sz="0" w:space="0" w:color="auto" w:frame="1"/>
        </w:rPr>
        <w:t xml:space="preserve">in </w:t>
      </w:r>
      <w:r w:rsidR="00A21C4C" w:rsidRPr="00014341">
        <w:rPr>
          <w:bCs/>
          <w:color w:val="1F1C1B"/>
          <w:spacing w:val="-6"/>
          <w:bdr w:val="none" w:sz="0" w:space="0" w:color="auto" w:frame="1"/>
        </w:rPr>
        <w:t>September</w:t>
      </w:r>
      <w:r w:rsidR="00014341" w:rsidRPr="00014341">
        <w:rPr>
          <w:bCs/>
          <w:color w:val="1F1C1B"/>
          <w:spacing w:val="-6"/>
          <w:bdr w:val="none" w:sz="0" w:space="0" w:color="auto" w:frame="1"/>
        </w:rPr>
        <w:t xml:space="preserve"> </w:t>
      </w:r>
      <w:r w:rsidR="00BE555A">
        <w:rPr>
          <w:bCs/>
          <w:color w:val="1F1C1B"/>
          <w:spacing w:val="-6"/>
          <w:bdr w:val="none" w:sz="0" w:space="0" w:color="auto" w:frame="1"/>
        </w:rPr>
        <w:t xml:space="preserve">2021 </w:t>
      </w:r>
      <w:r w:rsidR="00EA389A">
        <w:rPr>
          <w:bCs/>
          <w:color w:val="1F1C1B"/>
          <w:spacing w:val="-6"/>
          <w:bdr w:val="none" w:sz="0" w:space="0" w:color="auto" w:frame="1"/>
        </w:rPr>
        <w:t>to support</w:t>
      </w:r>
      <w:r w:rsidR="00014341" w:rsidRPr="00014341">
        <w:rPr>
          <w:bCs/>
          <w:color w:val="1F1C1B"/>
          <w:spacing w:val="-6"/>
          <w:bdr w:val="none" w:sz="0" w:space="0" w:color="auto" w:frame="1"/>
        </w:rPr>
        <w:t xml:space="preserve"> demand, amplified macro-financial instability, which, combined with spillovers from the Ukraine-Russia war, </w:t>
      </w:r>
      <w:r w:rsidR="0063271B">
        <w:rPr>
          <w:bCs/>
          <w:color w:val="1F1C1B"/>
          <w:spacing w:val="-6"/>
          <w:bdr w:val="none" w:sz="0" w:space="0" w:color="auto" w:frame="1"/>
        </w:rPr>
        <w:t xml:space="preserve">is expected to </w:t>
      </w:r>
      <w:r w:rsidR="00AB4983">
        <w:rPr>
          <w:bCs/>
          <w:color w:val="1F1C1B"/>
          <w:spacing w:val="-6"/>
          <w:bdr w:val="none" w:sz="0" w:space="0" w:color="auto" w:frame="1"/>
        </w:rPr>
        <w:t xml:space="preserve">reduce </w:t>
      </w:r>
      <w:r w:rsidR="00014341" w:rsidRPr="00014341">
        <w:rPr>
          <w:bCs/>
          <w:color w:val="1F1C1B"/>
          <w:spacing w:val="-6"/>
          <w:bdr w:val="none" w:sz="0" w:space="0" w:color="auto" w:frame="1"/>
        </w:rPr>
        <w:t xml:space="preserve">2022 growth to 1.4 </w:t>
      </w:r>
      <w:r w:rsidR="0063271B">
        <w:rPr>
          <w:bCs/>
          <w:color w:val="1F1C1B"/>
          <w:spacing w:val="-6"/>
          <w:bdr w:val="none" w:sz="0" w:space="0" w:color="auto" w:frame="1"/>
        </w:rPr>
        <w:t>%</w:t>
      </w:r>
      <w:r w:rsidR="00014341" w:rsidRPr="00014341">
        <w:rPr>
          <w:bCs/>
          <w:color w:val="1F1C1B"/>
          <w:spacing w:val="-6"/>
          <w:bdr w:val="none" w:sz="0" w:space="0" w:color="auto" w:frame="1"/>
        </w:rPr>
        <w:t xml:space="preserve">. </w:t>
      </w:r>
      <w:r w:rsidR="005124A0">
        <w:rPr>
          <w:bCs/>
          <w:color w:val="1F1C1B"/>
          <w:spacing w:val="-6"/>
          <w:bdr w:val="none" w:sz="0" w:space="0" w:color="auto" w:frame="1"/>
        </w:rPr>
        <w:t xml:space="preserve"> T</w:t>
      </w:r>
      <w:r w:rsidR="00267AD2" w:rsidRPr="00267AD2">
        <w:rPr>
          <w:bCs/>
          <w:color w:val="1F1C1B"/>
          <w:spacing w:val="-6"/>
          <w:bdr w:val="none" w:sz="0" w:space="0" w:color="auto" w:frame="1"/>
        </w:rPr>
        <w:t xml:space="preserve">he monetary stimulus </w:t>
      </w:r>
      <w:r w:rsidR="00AB4983">
        <w:rPr>
          <w:bCs/>
          <w:color w:val="1F1C1B"/>
          <w:spacing w:val="-6"/>
          <w:bdr w:val="none" w:sz="0" w:space="0" w:color="auto" w:frame="1"/>
        </w:rPr>
        <w:t xml:space="preserve">approach </w:t>
      </w:r>
      <w:r w:rsidR="00267AD2" w:rsidRPr="00267AD2">
        <w:rPr>
          <w:bCs/>
          <w:color w:val="1F1C1B"/>
          <w:spacing w:val="-6"/>
          <w:bdr w:val="none" w:sz="0" w:space="0" w:color="auto" w:frame="1"/>
        </w:rPr>
        <w:t>also caused deteriorating financial conditions</w:t>
      </w:r>
      <w:r w:rsidR="005124A0">
        <w:rPr>
          <w:bCs/>
          <w:color w:val="1F1C1B"/>
          <w:spacing w:val="-6"/>
          <w:bdr w:val="none" w:sz="0" w:space="0" w:color="auto" w:frame="1"/>
        </w:rPr>
        <w:t xml:space="preserve">, </w:t>
      </w:r>
      <w:r w:rsidR="00AB7CD2">
        <w:rPr>
          <w:bCs/>
          <w:color w:val="1F1C1B"/>
          <w:spacing w:val="-6"/>
          <w:bdr w:val="none" w:sz="0" w:space="0" w:color="auto" w:frame="1"/>
        </w:rPr>
        <w:t>portfolio</w:t>
      </w:r>
      <w:r w:rsidR="005130F0">
        <w:rPr>
          <w:bCs/>
          <w:color w:val="1F1C1B"/>
          <w:spacing w:val="-6"/>
          <w:bdr w:val="none" w:sz="0" w:space="0" w:color="auto" w:frame="1"/>
        </w:rPr>
        <w:t xml:space="preserve"> outflows, </w:t>
      </w:r>
      <w:r w:rsidR="002D4695">
        <w:rPr>
          <w:bCs/>
          <w:color w:val="1F1C1B"/>
          <w:spacing w:val="-6"/>
          <w:bdr w:val="none" w:sz="0" w:space="0" w:color="auto" w:frame="1"/>
        </w:rPr>
        <w:t>Turkish L</w:t>
      </w:r>
      <w:r w:rsidR="002D4695" w:rsidRPr="00267AD2">
        <w:rPr>
          <w:bCs/>
          <w:color w:val="1F1C1B"/>
          <w:spacing w:val="-6"/>
          <w:bdr w:val="none" w:sz="0" w:space="0" w:color="auto" w:frame="1"/>
        </w:rPr>
        <w:t>ira</w:t>
      </w:r>
      <w:r w:rsidR="00267AD2" w:rsidRPr="00267AD2">
        <w:rPr>
          <w:bCs/>
          <w:color w:val="1F1C1B"/>
          <w:spacing w:val="-6"/>
          <w:bdr w:val="none" w:sz="0" w:space="0" w:color="auto" w:frame="1"/>
        </w:rPr>
        <w:t xml:space="preserve"> depreciat</w:t>
      </w:r>
      <w:r w:rsidR="006061E9">
        <w:rPr>
          <w:bCs/>
          <w:color w:val="1F1C1B"/>
          <w:spacing w:val="-6"/>
          <w:bdr w:val="none" w:sz="0" w:space="0" w:color="auto" w:frame="1"/>
        </w:rPr>
        <w:t xml:space="preserve">ing </w:t>
      </w:r>
      <w:r w:rsidR="00267AD2" w:rsidRPr="00267AD2">
        <w:rPr>
          <w:bCs/>
          <w:color w:val="1F1C1B"/>
          <w:spacing w:val="-6"/>
          <w:bdr w:val="none" w:sz="0" w:space="0" w:color="auto" w:frame="1"/>
        </w:rPr>
        <w:t>to record lows and inflation r</w:t>
      </w:r>
      <w:r w:rsidR="006061E9">
        <w:rPr>
          <w:bCs/>
          <w:color w:val="1F1C1B"/>
          <w:spacing w:val="-6"/>
          <w:bdr w:val="none" w:sz="0" w:space="0" w:color="auto" w:frame="1"/>
        </w:rPr>
        <w:t xml:space="preserve">ising </w:t>
      </w:r>
      <w:r w:rsidR="00267AD2" w:rsidRPr="00267AD2">
        <w:rPr>
          <w:bCs/>
          <w:color w:val="1F1C1B"/>
          <w:spacing w:val="-6"/>
          <w:bdr w:val="none" w:sz="0" w:space="0" w:color="auto" w:frame="1"/>
        </w:rPr>
        <w:t>to record highs</w:t>
      </w:r>
      <w:r w:rsidR="00910C04">
        <w:rPr>
          <w:bCs/>
          <w:color w:val="1F1C1B"/>
          <w:spacing w:val="-6"/>
          <w:bdr w:val="none" w:sz="0" w:space="0" w:color="auto" w:frame="1"/>
        </w:rPr>
        <w:t xml:space="preserve">. </w:t>
      </w:r>
      <w:r w:rsidR="00267AD2" w:rsidRPr="00267AD2">
        <w:rPr>
          <w:bCs/>
          <w:color w:val="1F1C1B"/>
          <w:spacing w:val="-6"/>
          <w:bdr w:val="none" w:sz="0" w:space="0" w:color="auto" w:frame="1"/>
        </w:rPr>
        <w:t xml:space="preserve"> Central Bank dipped into foreign reserves to support the lira and the </w:t>
      </w:r>
      <w:r w:rsidR="00EA389A">
        <w:rPr>
          <w:bCs/>
          <w:color w:val="1F1C1B"/>
          <w:spacing w:val="-6"/>
          <w:bdr w:val="none" w:sz="0" w:space="0" w:color="auto" w:frame="1"/>
        </w:rPr>
        <w:t>g</w:t>
      </w:r>
      <w:r w:rsidR="00267AD2" w:rsidRPr="00267AD2">
        <w:rPr>
          <w:bCs/>
          <w:color w:val="1F1C1B"/>
          <w:spacing w:val="-6"/>
          <w:bdr w:val="none" w:sz="0" w:space="0" w:color="auto" w:frame="1"/>
        </w:rPr>
        <w:t>overnment deployed tax rate reductions and fuel subsidies to dampen the impact of inflation.</w:t>
      </w:r>
      <w:r w:rsidR="00703367">
        <w:rPr>
          <w:rStyle w:val="FootnoteReference"/>
          <w:bCs/>
          <w:color w:val="1F1C1B"/>
          <w:spacing w:val="-6"/>
          <w:bdr w:val="none" w:sz="0" w:space="0" w:color="auto" w:frame="1"/>
        </w:rPr>
        <w:footnoteReference w:id="36"/>
      </w:r>
      <w:r>
        <w:rPr>
          <w:bCs/>
          <w:color w:val="1F1C1B"/>
          <w:spacing w:val="-6"/>
          <w:bdr w:val="none" w:sz="0" w:space="0" w:color="auto" w:frame="1"/>
        </w:rPr>
        <w:t xml:space="preserve"> </w:t>
      </w:r>
    </w:p>
    <w:p w14:paraId="6E78681E" w14:textId="77777777" w:rsidR="00EC1B81" w:rsidRPr="009E7BD9" w:rsidRDefault="00EC1B81" w:rsidP="00834F26">
      <w:pPr>
        <w:pStyle w:val="NormalWeb"/>
        <w:shd w:val="clear" w:color="auto" w:fill="FFFFFF"/>
        <w:spacing w:before="0" w:beforeAutospacing="0" w:after="0" w:afterAutospacing="0"/>
        <w:ind w:left="360"/>
        <w:textAlignment w:val="baseline"/>
        <w:rPr>
          <w:i/>
          <w:iCs/>
          <w:color w:val="26282A"/>
          <w:spacing w:val="-6"/>
          <w:bdr w:val="none" w:sz="0" w:space="0" w:color="auto" w:frame="1"/>
          <w:lang w:val="en-GB"/>
        </w:rPr>
      </w:pPr>
    </w:p>
    <w:p w14:paraId="3D8CC439" w14:textId="59A0B5CE" w:rsidR="00834F26" w:rsidRDefault="001F36CA" w:rsidP="00834F26">
      <w:pPr>
        <w:pStyle w:val="NormalWeb"/>
        <w:shd w:val="clear" w:color="auto" w:fill="FFFFFF"/>
        <w:spacing w:before="0" w:beforeAutospacing="0" w:after="0" w:afterAutospacing="0"/>
        <w:ind w:left="360"/>
        <w:textAlignment w:val="baseline"/>
        <w:rPr>
          <w:i/>
          <w:iCs/>
          <w:color w:val="FF0000"/>
          <w:spacing w:val="-6"/>
          <w:bdr w:val="none" w:sz="0" w:space="0" w:color="auto" w:frame="1"/>
        </w:rPr>
      </w:pPr>
      <w:r w:rsidRPr="009E7BD9">
        <w:rPr>
          <w:i/>
          <w:iCs/>
          <w:color w:val="1F1C1B"/>
          <w:spacing w:val="-6"/>
          <w:bdr w:val="none" w:sz="0" w:space="0" w:color="auto" w:frame="1"/>
        </w:rPr>
        <w:t>4.2</w:t>
      </w:r>
      <w:r w:rsidR="002959D0" w:rsidRPr="009E7BD9">
        <w:rPr>
          <w:i/>
          <w:iCs/>
          <w:color w:val="1F1C1B"/>
          <w:spacing w:val="-6"/>
          <w:bdr w:val="none" w:sz="0" w:space="0" w:color="auto" w:frame="1"/>
        </w:rPr>
        <w:t xml:space="preserve"> </w:t>
      </w:r>
      <w:r w:rsidR="009E7BD9" w:rsidRPr="009E7BD9">
        <w:rPr>
          <w:i/>
          <w:iCs/>
          <w:color w:val="1F1C1B"/>
          <w:spacing w:val="-6"/>
          <w:bdr w:val="none" w:sz="0" w:space="0" w:color="auto" w:frame="1"/>
        </w:rPr>
        <w:t>P</w:t>
      </w:r>
      <w:r w:rsidR="002959D0" w:rsidRPr="009E7BD9">
        <w:rPr>
          <w:i/>
          <w:iCs/>
          <w:color w:val="1F1C1B"/>
          <w:spacing w:val="-6"/>
          <w:bdr w:val="none" w:sz="0" w:space="0" w:color="auto" w:frame="1"/>
        </w:rPr>
        <w:t xml:space="preserve">ower </w:t>
      </w:r>
      <w:r w:rsidRPr="009E7BD9">
        <w:rPr>
          <w:i/>
          <w:iCs/>
          <w:color w:val="1F1C1B"/>
          <w:spacing w:val="-6"/>
          <w:bdr w:val="none" w:sz="0" w:space="0" w:color="auto" w:frame="1"/>
        </w:rPr>
        <w:t>asymmetries</w:t>
      </w:r>
      <w:r w:rsidR="002959D0" w:rsidRPr="009E7BD9">
        <w:rPr>
          <w:i/>
          <w:iCs/>
          <w:color w:val="1F1C1B"/>
          <w:spacing w:val="-6"/>
          <w:bdr w:val="none" w:sz="0" w:space="0" w:color="auto" w:frame="1"/>
        </w:rPr>
        <w:t xml:space="preserve"> </w:t>
      </w:r>
      <w:r w:rsidR="00834F26" w:rsidRPr="009E7BD9">
        <w:rPr>
          <w:i/>
          <w:iCs/>
          <w:color w:val="1F1C1B"/>
          <w:spacing w:val="-6"/>
          <w:bdr w:val="none" w:sz="0" w:space="0" w:color="auto" w:frame="1"/>
        </w:rPr>
        <w:t> </w:t>
      </w:r>
      <w:r w:rsidR="00834F26" w:rsidRPr="009E7BD9">
        <w:rPr>
          <w:i/>
          <w:iCs/>
          <w:color w:val="FF0000"/>
          <w:spacing w:val="-6"/>
          <w:bdr w:val="none" w:sz="0" w:space="0" w:color="auto" w:frame="1"/>
        </w:rPr>
        <w:t xml:space="preserve"> </w:t>
      </w:r>
    </w:p>
    <w:p w14:paraId="056B85D1" w14:textId="77777777" w:rsidR="009F7AB1" w:rsidRPr="009E7BD9" w:rsidRDefault="009F7AB1" w:rsidP="00834F26">
      <w:pPr>
        <w:pStyle w:val="NormalWeb"/>
        <w:shd w:val="clear" w:color="auto" w:fill="FFFFFF"/>
        <w:spacing w:before="0" w:beforeAutospacing="0" w:after="0" w:afterAutospacing="0"/>
        <w:ind w:left="360"/>
        <w:textAlignment w:val="baseline"/>
        <w:rPr>
          <w:i/>
          <w:iCs/>
          <w:color w:val="FF0000"/>
          <w:spacing w:val="-6"/>
          <w:bdr w:val="none" w:sz="0" w:space="0" w:color="auto" w:frame="1"/>
        </w:rPr>
      </w:pPr>
    </w:p>
    <w:p w14:paraId="00556183" w14:textId="77777777" w:rsidR="009F7AB1" w:rsidRDefault="009F7AB1" w:rsidP="00940ADE">
      <w:pPr>
        <w:pStyle w:val="NormalWeb"/>
        <w:shd w:val="clear" w:color="auto" w:fill="FFFFFF"/>
        <w:spacing w:before="0" w:beforeAutospacing="0" w:after="0" w:afterAutospacing="0"/>
        <w:jc w:val="both"/>
        <w:textAlignment w:val="baseline"/>
        <w:rPr>
          <w:bCs/>
          <w:color w:val="000000" w:themeColor="text1"/>
        </w:rPr>
      </w:pPr>
      <w:r w:rsidRPr="00160E45">
        <w:rPr>
          <w:lang w:val="en-GB"/>
        </w:rPr>
        <w:t>The degree of interdependence crucially shapes the pressure for adaptation the EU is able to exert and the power of the target country to resist such pressures. In principle, accession candidates have much to gain by closer relations with the EU which then increases the EU’s ability to exert pressure. However, some states possess resources (gas, oil) the EU is interested in, are of strategic importance and/or have the potential to create substantial negative externalities for the EU (illegal immigration, cross-border crime) (</w:t>
      </w:r>
      <w:proofErr w:type="spellStart"/>
      <w:r w:rsidRPr="00160E45">
        <w:rPr>
          <w:lang w:val="en-GB"/>
        </w:rPr>
        <w:t>Börzel</w:t>
      </w:r>
      <w:proofErr w:type="spellEnd"/>
      <w:r w:rsidRPr="00160E45">
        <w:rPr>
          <w:lang w:val="en-GB"/>
        </w:rPr>
        <w:t xml:space="preserve"> and </w:t>
      </w:r>
      <w:proofErr w:type="spellStart"/>
      <w:r w:rsidRPr="00160E45">
        <w:rPr>
          <w:lang w:val="en-GB"/>
        </w:rPr>
        <w:t>Risse</w:t>
      </w:r>
      <w:proofErr w:type="spellEnd"/>
      <w:r w:rsidRPr="00160E45">
        <w:rPr>
          <w:lang w:val="en-GB"/>
        </w:rPr>
        <w:t xml:space="preserve"> 2012).</w:t>
      </w:r>
      <w:r w:rsidRPr="00160E45">
        <w:rPr>
          <w:bCs/>
          <w:color w:val="000000" w:themeColor="text1"/>
        </w:rPr>
        <w:t xml:space="preserve"> </w:t>
      </w:r>
    </w:p>
    <w:p w14:paraId="6E659896" w14:textId="77777777" w:rsidR="009F7AB1" w:rsidRDefault="009F7AB1" w:rsidP="009F7AB1">
      <w:pPr>
        <w:pStyle w:val="NormalWeb"/>
        <w:shd w:val="clear" w:color="auto" w:fill="FFFFFF"/>
        <w:spacing w:before="0" w:beforeAutospacing="0" w:after="0" w:afterAutospacing="0"/>
        <w:ind w:left="360"/>
        <w:jc w:val="both"/>
        <w:textAlignment w:val="baseline"/>
        <w:rPr>
          <w:bCs/>
          <w:color w:val="000000" w:themeColor="text1"/>
        </w:rPr>
      </w:pPr>
    </w:p>
    <w:p w14:paraId="65E4CD88" w14:textId="1182C178" w:rsidR="009F7AB1" w:rsidRPr="00F60ECA" w:rsidRDefault="009F7AB1" w:rsidP="009F7AB1">
      <w:pPr>
        <w:jc w:val="both"/>
        <w:rPr>
          <w:rFonts w:ascii="Times New Roman" w:eastAsia="Calibri" w:hAnsi="Times New Roman" w:cs="Times New Roman"/>
          <w:color w:val="000000"/>
        </w:rPr>
      </w:pPr>
      <w:r w:rsidRPr="009F7AB1">
        <w:rPr>
          <w:rFonts w:ascii="Times New Roman" w:eastAsia="Calibri" w:hAnsi="Times New Roman" w:cs="Times New Roman"/>
          <w:color w:val="000000"/>
        </w:rPr>
        <w:t>Turkey</w:t>
      </w:r>
      <w:r w:rsidRPr="009F7AB1">
        <w:rPr>
          <w:rFonts w:ascii="Times New Roman" w:eastAsia="Calibri" w:hAnsi="Times New Roman" w:cs="Times New Roman"/>
          <w:color w:val="231F20"/>
        </w:rPr>
        <w:t xml:space="preserve"> has embarked on an ambitious foreign policy agenda in the last decades characterized by middle power activism </w:t>
      </w:r>
      <w:r w:rsidRPr="009F7AB1">
        <w:rPr>
          <w:rFonts w:ascii="Times New Roman" w:eastAsia="Calibri" w:hAnsi="Times New Roman" w:cs="Times New Roman"/>
        </w:rPr>
        <w:t>(</w:t>
      </w:r>
      <w:proofErr w:type="spellStart"/>
      <w:r w:rsidRPr="009F7AB1">
        <w:rPr>
          <w:rFonts w:ascii="Times New Roman" w:eastAsia="Calibri" w:hAnsi="Times New Roman" w:cs="Times New Roman"/>
        </w:rPr>
        <w:t>Kardaş</w:t>
      </w:r>
      <w:proofErr w:type="spellEnd"/>
      <w:r w:rsidRPr="009F7AB1">
        <w:rPr>
          <w:rFonts w:ascii="Times New Roman" w:eastAsia="Calibri" w:hAnsi="Times New Roman" w:cs="Times New Roman"/>
        </w:rPr>
        <w:t xml:space="preserve"> 2013; </w:t>
      </w:r>
      <w:proofErr w:type="spellStart"/>
      <w:r w:rsidRPr="009F7AB1">
        <w:rPr>
          <w:rFonts w:ascii="Times New Roman" w:eastAsia="Calibri" w:hAnsi="Times New Roman" w:cs="Times New Roman"/>
        </w:rPr>
        <w:t>Öniş</w:t>
      </w:r>
      <w:proofErr w:type="spellEnd"/>
      <w:r w:rsidRPr="009F7AB1">
        <w:rPr>
          <w:rFonts w:ascii="Times New Roman" w:eastAsia="Calibri" w:hAnsi="Times New Roman" w:cs="Times New Roman"/>
        </w:rPr>
        <w:t xml:space="preserve"> and </w:t>
      </w:r>
      <w:proofErr w:type="spellStart"/>
      <w:r w:rsidRPr="009F7AB1">
        <w:rPr>
          <w:rFonts w:ascii="Times New Roman" w:eastAsia="Calibri" w:hAnsi="Times New Roman" w:cs="Times New Roman"/>
        </w:rPr>
        <w:t>Kutlay</w:t>
      </w:r>
      <w:proofErr w:type="spellEnd"/>
      <w:r w:rsidRPr="009F7AB1">
        <w:rPr>
          <w:rFonts w:ascii="Times New Roman" w:eastAsia="Calibri" w:hAnsi="Times New Roman" w:cs="Times New Roman"/>
        </w:rPr>
        <w:t xml:space="preserve"> 2017; </w:t>
      </w:r>
      <w:proofErr w:type="spellStart"/>
      <w:r w:rsidRPr="009F7AB1">
        <w:rPr>
          <w:rFonts w:ascii="Times New Roman" w:eastAsia="Calibri" w:hAnsi="Times New Roman" w:cs="Times New Roman"/>
        </w:rPr>
        <w:t>Parlar</w:t>
      </w:r>
      <w:proofErr w:type="spellEnd"/>
      <w:r w:rsidRPr="009F7AB1">
        <w:rPr>
          <w:rFonts w:ascii="Times New Roman" w:eastAsia="Calibri" w:hAnsi="Times New Roman" w:cs="Times New Roman"/>
        </w:rPr>
        <w:t xml:space="preserve"> Dal 2016)</w:t>
      </w:r>
      <w:r w:rsidR="00592FA4">
        <w:rPr>
          <w:rFonts w:ascii="Times New Roman" w:eastAsia="Calibri" w:hAnsi="Times New Roman" w:cs="Times New Roman"/>
        </w:rPr>
        <w:t xml:space="preserve"> which changed the power asymmetries.</w:t>
      </w:r>
      <w:r w:rsidRPr="009F7AB1">
        <w:rPr>
          <w:rFonts w:ascii="Times New Roman" w:eastAsia="Calibri" w:hAnsi="Times New Roman" w:cs="Times New Roman"/>
        </w:rPr>
        <w:t xml:space="preserve"> Among other strategies, Tu</w:t>
      </w:r>
      <w:r w:rsidR="00F41829">
        <w:rPr>
          <w:rFonts w:ascii="Times New Roman" w:eastAsia="Calibri" w:hAnsi="Times New Roman" w:cs="Times New Roman"/>
        </w:rPr>
        <w:t>r</w:t>
      </w:r>
      <w:r w:rsidRPr="009F7AB1">
        <w:rPr>
          <w:rFonts w:ascii="Times New Roman" w:eastAsia="Calibri" w:hAnsi="Times New Roman" w:cs="Times New Roman"/>
        </w:rPr>
        <w:t>key’s middle power activism involved deepening engagement with its neighborhood, being a vocal advocate of global issues such as underdevelopment and the humanitarian suffering in Africa and questioning the key components of the liberal world order (</w:t>
      </w:r>
      <w:proofErr w:type="spellStart"/>
      <w:r w:rsidRPr="009F7AB1">
        <w:rPr>
          <w:rFonts w:ascii="Times New Roman" w:eastAsia="Calibri" w:hAnsi="Times New Roman" w:cs="Times New Roman"/>
        </w:rPr>
        <w:t>Kardaş</w:t>
      </w:r>
      <w:proofErr w:type="spellEnd"/>
      <w:r w:rsidRPr="009F7AB1">
        <w:rPr>
          <w:rFonts w:ascii="Times New Roman" w:eastAsia="Calibri" w:hAnsi="Times New Roman" w:cs="Times New Roman"/>
        </w:rPr>
        <w:t xml:space="preserve"> 2013: 637–53). Ankara’s increasing economic involvement in </w:t>
      </w:r>
      <w:r w:rsidRPr="00F60ECA">
        <w:rPr>
          <w:rFonts w:ascii="Times New Roman" w:eastAsia="Calibri" w:hAnsi="Times New Roman" w:cs="Times New Roman"/>
        </w:rPr>
        <w:t xml:space="preserve">the Balkans, the Turkish-speaking nations of Central Asia, and the Caspian region is coupled with its growing influence as a regional power promoting peaceful resolution of the Middle East </w:t>
      </w:r>
      <w:r w:rsidRPr="00F60ECA">
        <w:rPr>
          <w:rFonts w:ascii="Times New Roman" w:eastAsia="Calibri" w:hAnsi="Times New Roman" w:cs="Times New Roman"/>
          <w:color w:val="000000"/>
        </w:rPr>
        <w:t>conflicts (</w:t>
      </w:r>
      <w:proofErr w:type="spellStart"/>
      <w:r w:rsidRPr="00F60ECA">
        <w:rPr>
          <w:rFonts w:ascii="Times New Roman" w:eastAsia="Calibri" w:hAnsi="Times New Roman" w:cs="Times New Roman"/>
          <w:color w:val="000000"/>
        </w:rPr>
        <w:t>Kirişçi</w:t>
      </w:r>
      <w:proofErr w:type="spellEnd"/>
      <w:r w:rsidRPr="00F60ECA">
        <w:rPr>
          <w:rFonts w:ascii="Times New Roman" w:eastAsia="Calibri" w:hAnsi="Times New Roman" w:cs="Times New Roman"/>
          <w:color w:val="000000"/>
        </w:rPr>
        <w:t xml:space="preserve"> 2011: 320).</w:t>
      </w:r>
    </w:p>
    <w:p w14:paraId="15ADBDFD" w14:textId="77777777" w:rsidR="009F7AB1" w:rsidRPr="00F60ECA" w:rsidRDefault="009F7AB1" w:rsidP="009F7AB1">
      <w:pPr>
        <w:jc w:val="both"/>
        <w:rPr>
          <w:rFonts w:ascii="Times New Roman" w:eastAsia="Calibri" w:hAnsi="Times New Roman" w:cs="Times New Roman"/>
          <w:color w:val="000000"/>
        </w:rPr>
      </w:pPr>
    </w:p>
    <w:p w14:paraId="415E0D9D" w14:textId="07C8F38B" w:rsidR="00F60ECA" w:rsidRDefault="00A9519F" w:rsidP="00A9519F">
      <w:pPr>
        <w:jc w:val="both"/>
        <w:rPr>
          <w:rFonts w:ascii="Times New Roman" w:eastAsia="Calibri" w:hAnsi="Times New Roman" w:cs="Times New Roman"/>
        </w:rPr>
      </w:pPr>
      <w:r w:rsidRPr="00F60ECA">
        <w:rPr>
          <w:rFonts w:ascii="Times New Roman" w:hAnsi="Times New Roman" w:cs="Times New Roman"/>
          <w:bCs/>
          <w:color w:val="000000" w:themeColor="text1"/>
        </w:rPr>
        <w:t xml:space="preserve">Turkey has also emerged as a donor for the developing countries </w:t>
      </w:r>
      <w:r w:rsidRPr="00F60ECA">
        <w:rPr>
          <w:rFonts w:ascii="Times New Roman" w:hAnsi="Times New Roman" w:cs="Times New Roman"/>
          <w:color w:val="000000"/>
        </w:rPr>
        <w:t>(Aydin</w:t>
      </w:r>
      <w:r w:rsidR="00DE3A62">
        <w:rPr>
          <w:rFonts w:ascii="Times New Roman" w:hAnsi="Times New Roman" w:cs="Times New Roman"/>
          <w:color w:val="000000"/>
        </w:rPr>
        <w:t xml:space="preserve"> </w:t>
      </w:r>
      <w:proofErr w:type="spellStart"/>
      <w:r w:rsidRPr="00F60ECA">
        <w:rPr>
          <w:rFonts w:ascii="Times New Roman" w:hAnsi="Times New Roman" w:cs="Times New Roman"/>
          <w:color w:val="000000"/>
        </w:rPr>
        <w:t>Düzgit</w:t>
      </w:r>
      <w:proofErr w:type="spellEnd"/>
      <w:r w:rsidRPr="00F60ECA">
        <w:rPr>
          <w:rFonts w:ascii="Times New Roman" w:hAnsi="Times New Roman" w:cs="Times New Roman"/>
          <w:color w:val="000000"/>
        </w:rPr>
        <w:t xml:space="preserve"> 2</w:t>
      </w:r>
      <w:r w:rsidRPr="00F60ECA">
        <w:rPr>
          <w:rFonts w:ascii="Times New Roman" w:hAnsi="Times New Roman" w:cs="Times New Roman"/>
        </w:rPr>
        <w:t xml:space="preserve">020; </w:t>
      </w:r>
      <w:proofErr w:type="spellStart"/>
      <w:r w:rsidRPr="00F60ECA">
        <w:rPr>
          <w:rFonts w:ascii="Times New Roman" w:hAnsi="Times New Roman" w:cs="Times New Roman"/>
          <w:color w:val="000000"/>
        </w:rPr>
        <w:t>Cihangir-Tetik</w:t>
      </w:r>
      <w:proofErr w:type="spellEnd"/>
      <w:r w:rsidRPr="00F60ECA">
        <w:rPr>
          <w:rFonts w:ascii="Times New Roman" w:hAnsi="Times New Roman" w:cs="Times New Roman"/>
          <w:color w:val="000000"/>
        </w:rPr>
        <w:t xml:space="preserve"> and </w:t>
      </w:r>
      <w:proofErr w:type="spellStart"/>
      <w:r w:rsidRPr="00F60ECA">
        <w:rPr>
          <w:rFonts w:ascii="Times New Roman" w:hAnsi="Times New Roman" w:cs="Times New Roman"/>
          <w:color w:val="000000"/>
        </w:rPr>
        <w:t>Müftüler-Baç</w:t>
      </w:r>
      <w:proofErr w:type="spellEnd"/>
      <w:r w:rsidRPr="00F60ECA">
        <w:rPr>
          <w:rFonts w:ascii="Times New Roman" w:hAnsi="Times New Roman" w:cs="Times New Roman"/>
          <w:color w:val="000000"/>
        </w:rPr>
        <w:t xml:space="preserve">, 2020) </w:t>
      </w:r>
      <w:r w:rsidR="00592FA4" w:rsidRPr="00F60ECA">
        <w:rPr>
          <w:rFonts w:ascii="Times New Roman" w:hAnsi="Times New Roman" w:cs="Times New Roman"/>
          <w:color w:val="000000"/>
        </w:rPr>
        <w:t xml:space="preserve">especially in the </w:t>
      </w:r>
      <w:r w:rsidR="00F60ECA" w:rsidRPr="00F60ECA">
        <w:rPr>
          <w:rFonts w:ascii="Times New Roman" w:hAnsi="Times New Roman" w:cs="Times New Roman"/>
          <w:color w:val="000000"/>
        </w:rPr>
        <w:t>Sub-Saharan</w:t>
      </w:r>
      <w:r w:rsidR="00592FA4" w:rsidRPr="00F60ECA">
        <w:rPr>
          <w:rFonts w:ascii="Times New Roman" w:hAnsi="Times New Roman" w:cs="Times New Roman"/>
          <w:color w:val="000000"/>
        </w:rPr>
        <w:t xml:space="preserve"> Africa.</w:t>
      </w:r>
      <w:r w:rsidR="00F60ECA" w:rsidRPr="00F60ECA">
        <w:rPr>
          <w:rFonts w:ascii="Times New Roman" w:hAnsi="Times New Roman" w:cs="Times New Roman"/>
          <w:color w:val="000000"/>
        </w:rPr>
        <w:t xml:space="preserve"> During the pandemic </w:t>
      </w:r>
      <w:r w:rsidR="00F60ECA" w:rsidRPr="00F60ECA">
        <w:rPr>
          <w:rFonts w:ascii="Times New Roman" w:eastAsia="Calibri" w:hAnsi="Times New Roman" w:cs="Times New Roman"/>
        </w:rPr>
        <w:t xml:space="preserve">Turkey has stretched ‘a helping hand to 156 countries and nine international organizations in the fight against the coronavirus (AA, 23.11.2020). Presenting Turkey as a reliable global actor, </w:t>
      </w:r>
      <w:proofErr w:type="spellStart"/>
      <w:r w:rsidR="00F60ECA" w:rsidRPr="00F60ECA">
        <w:rPr>
          <w:rFonts w:ascii="Times New Roman" w:eastAsia="Calibri" w:hAnsi="Times New Roman" w:cs="Times New Roman"/>
        </w:rPr>
        <w:t>Erdoğan</w:t>
      </w:r>
      <w:proofErr w:type="spellEnd"/>
      <w:r w:rsidR="00F60ECA" w:rsidRPr="00F60ECA">
        <w:rPr>
          <w:rFonts w:ascii="Times New Roman" w:eastAsia="Calibri" w:hAnsi="Times New Roman" w:cs="Times New Roman"/>
        </w:rPr>
        <w:t xml:space="preserve"> critici</w:t>
      </w:r>
      <w:r w:rsidR="00631DA3">
        <w:rPr>
          <w:rFonts w:ascii="Times New Roman" w:eastAsia="Calibri" w:hAnsi="Times New Roman" w:cs="Times New Roman"/>
        </w:rPr>
        <w:t>z</w:t>
      </w:r>
      <w:r w:rsidR="00F60ECA" w:rsidRPr="00F60ECA">
        <w:rPr>
          <w:rFonts w:ascii="Times New Roman" w:eastAsia="Calibri" w:hAnsi="Times New Roman" w:cs="Times New Roman"/>
        </w:rPr>
        <w:t>ed the current structure of the world order which ‘favored a handful of strong actors over righteous masses and rich over poor people, where international organizations including the EU failed to respond to the ongoing crises, which uncovered their apathy in the wake of the pandemic.’</w:t>
      </w:r>
    </w:p>
    <w:p w14:paraId="747F786B" w14:textId="71E565A4" w:rsidR="00F60ECA" w:rsidRDefault="00F60ECA" w:rsidP="00A9519F">
      <w:pPr>
        <w:jc w:val="both"/>
        <w:rPr>
          <w:rFonts w:ascii="Times New Roman" w:hAnsi="Times New Roman" w:cs="Times New Roman"/>
          <w:color w:val="000000"/>
        </w:rPr>
      </w:pPr>
    </w:p>
    <w:p w14:paraId="08794023" w14:textId="485A6230" w:rsidR="009B4EA8" w:rsidRPr="009B4EA8" w:rsidRDefault="009B4EA8" w:rsidP="009B4EA8">
      <w:pPr>
        <w:jc w:val="both"/>
        <w:rPr>
          <w:rFonts w:ascii="Times New Roman" w:hAnsi="Times New Roman" w:cs="Times New Roman"/>
          <w:color w:val="000000"/>
        </w:rPr>
      </w:pPr>
      <w:r w:rsidRPr="009B4EA8">
        <w:rPr>
          <w:rFonts w:ascii="Times New Roman" w:hAnsi="Times New Roman" w:cs="Times New Roman"/>
          <w:color w:val="000000"/>
        </w:rPr>
        <w:t>For the EU, Turkey has been also an important partner for the governance of the refugee problem.</w:t>
      </w:r>
    </w:p>
    <w:p w14:paraId="37729520" w14:textId="0248236B" w:rsidR="00E61472" w:rsidRPr="00F90858" w:rsidRDefault="009B4EA8" w:rsidP="00E61472">
      <w:pPr>
        <w:autoSpaceDE w:val="0"/>
        <w:autoSpaceDN w:val="0"/>
        <w:adjustRightInd w:val="0"/>
        <w:jc w:val="both"/>
        <w:rPr>
          <w:rFonts w:ascii="Times New Roman" w:hAnsi="Times New Roman" w:cs="Times New Roman"/>
          <w:color w:val="000000" w:themeColor="text1"/>
          <w:sz w:val="22"/>
          <w:szCs w:val="22"/>
        </w:rPr>
      </w:pPr>
      <w:r w:rsidRPr="009B4EA8">
        <w:rPr>
          <w:rFonts w:ascii="Times New Roman" w:hAnsi="Times New Roman" w:cs="Times New Roman"/>
        </w:rPr>
        <w:t xml:space="preserve">In 2015, when the EU faced the Syrian refugee crisis, the EU leaders reached out to Turkey for containing the refugee flows. This ‘externalization phase’ resulted in the EU-Turkey Statements of 29 November 2015 and 18 March 2016. These statements – in particular, the March 2016 ‘refugee deal’ - secured Ankara’s agreement for hosting the refugees in exchange for: (a) a 6-billion-euro aid package (granted under the Facility for Refugees); (b) “re-energized” EU-Turkey accession talks; (c) the (conditional) prospect of visa liberalization for Turkish citizens in the Schengen area; (d) closer EU-Turkey dialogue and cooperation in various issue-areas including the upgrading of the 1995 EU-Turkey Customs Union (CU) agreement; and (e) ‘1:1 scheme’ foreseeing the resettlement of one Syrian refugee from Turkey in Europe for every irregular </w:t>
      </w:r>
      <w:r w:rsidRPr="00E61472">
        <w:rPr>
          <w:rFonts w:ascii="Times New Roman" w:hAnsi="Times New Roman" w:cs="Times New Roman"/>
        </w:rPr>
        <w:t>migrant that Turkey would receive from the Greek islands. Despite moral criticisms coming from human rights organizations, the deal managed to stop illegal trafficking in the Aegean Sea to a great extent and increased the EU’s dependency on Turkey.</w:t>
      </w:r>
      <w:r w:rsidR="00EC0593" w:rsidRPr="00E61472">
        <w:rPr>
          <w:rFonts w:ascii="Times New Roman" w:hAnsi="Times New Roman" w:cs="Times New Roman"/>
        </w:rPr>
        <w:t xml:space="preserve"> </w:t>
      </w:r>
      <w:r w:rsidR="00EC0593" w:rsidRPr="00F90858">
        <w:rPr>
          <w:rFonts w:ascii="Times New Roman" w:hAnsi="Times New Roman" w:cs="Times New Roman"/>
          <w:color w:val="000000" w:themeColor="text1"/>
        </w:rPr>
        <w:t xml:space="preserve">However, these relations have become increasingly more difficult to manage for both sides as the conduct of Turkish foreign policy </w:t>
      </w:r>
      <w:r w:rsidR="00E61472" w:rsidRPr="00F90858">
        <w:rPr>
          <w:rFonts w:ascii="Times New Roman" w:hAnsi="Times New Roman" w:cs="Times New Roman"/>
          <w:color w:val="000000" w:themeColor="text1"/>
        </w:rPr>
        <w:t>have</w:t>
      </w:r>
      <w:r w:rsidR="00EC0593" w:rsidRPr="00F90858">
        <w:rPr>
          <w:rFonts w:ascii="Times New Roman" w:hAnsi="Times New Roman" w:cs="Times New Roman"/>
          <w:color w:val="000000" w:themeColor="text1"/>
        </w:rPr>
        <w:t xml:space="preserve"> become more politicized</w:t>
      </w:r>
      <w:r w:rsidR="00E61472" w:rsidRPr="00F90858">
        <w:rPr>
          <w:rFonts w:ascii="Times New Roman" w:hAnsi="Times New Roman" w:cs="Times New Roman"/>
          <w:color w:val="000000" w:themeColor="text1"/>
        </w:rPr>
        <w:t xml:space="preserve">, more aggressive </w:t>
      </w:r>
      <w:r w:rsidR="00EC0593" w:rsidRPr="00F90858">
        <w:rPr>
          <w:rFonts w:ascii="Times New Roman" w:hAnsi="Times New Roman" w:cs="Times New Roman"/>
          <w:color w:val="000000" w:themeColor="text1"/>
        </w:rPr>
        <w:t>and dictated by short-term interests</w:t>
      </w:r>
      <w:r w:rsidR="00E61472" w:rsidRPr="00F90858">
        <w:rPr>
          <w:rFonts w:ascii="Times New Roman" w:hAnsi="Times New Roman" w:cs="Times New Roman"/>
          <w:color w:val="000000" w:themeColor="text1"/>
        </w:rPr>
        <w:t xml:space="preserve"> determined by the president’s office (Bertelsmann Stiftung 2022:39).</w:t>
      </w:r>
      <w:r w:rsidR="00E61472" w:rsidRPr="00F90858">
        <w:rPr>
          <w:rFonts w:ascii="Times New Roman" w:hAnsi="Times New Roman" w:cs="Times New Roman"/>
          <w:color w:val="000000" w:themeColor="text1"/>
          <w:sz w:val="22"/>
          <w:szCs w:val="22"/>
        </w:rPr>
        <w:t xml:space="preserve"> </w:t>
      </w:r>
    </w:p>
    <w:p w14:paraId="5C482607" w14:textId="77777777" w:rsidR="00E61472" w:rsidRPr="00F90858" w:rsidRDefault="00E61472" w:rsidP="00E61472">
      <w:pPr>
        <w:autoSpaceDE w:val="0"/>
        <w:autoSpaceDN w:val="0"/>
        <w:adjustRightInd w:val="0"/>
        <w:jc w:val="both"/>
        <w:rPr>
          <w:rFonts w:ascii="Times New Roman" w:hAnsi="Times New Roman" w:cs="Times New Roman"/>
          <w:color w:val="000000" w:themeColor="text1"/>
          <w:sz w:val="22"/>
          <w:szCs w:val="22"/>
        </w:rPr>
      </w:pPr>
    </w:p>
    <w:p w14:paraId="5E126AC7" w14:textId="41CFCF15" w:rsidR="00EC1B81" w:rsidRPr="00E61472" w:rsidRDefault="009B4EA8" w:rsidP="00E61472">
      <w:pPr>
        <w:autoSpaceDE w:val="0"/>
        <w:autoSpaceDN w:val="0"/>
        <w:adjustRightInd w:val="0"/>
        <w:jc w:val="both"/>
        <w:rPr>
          <w:rFonts w:ascii="Times New Roman" w:hAnsi="Times New Roman" w:cs="Times New Roman"/>
          <w:color w:val="000000"/>
          <w:sz w:val="22"/>
          <w:szCs w:val="22"/>
        </w:rPr>
      </w:pPr>
      <w:r>
        <w:rPr>
          <w:rFonts w:ascii="Times New Roman" w:hAnsi="Times New Roman" w:cs="Times New Roman"/>
        </w:rPr>
        <w:t xml:space="preserve">Next to the refugee crisis, </w:t>
      </w:r>
      <w:r w:rsidRPr="00F60ECA">
        <w:rPr>
          <w:rFonts w:ascii="Times New Roman" w:hAnsi="Times New Roman" w:cs="Times New Roman"/>
          <w:color w:val="000000"/>
        </w:rPr>
        <w:t xml:space="preserve">the UK’s decision to withdraw from EU membership, the recent COVID-19 pandemic </w:t>
      </w:r>
      <w:r>
        <w:rPr>
          <w:rFonts w:ascii="Times New Roman" w:hAnsi="Times New Roman" w:cs="Times New Roman"/>
          <w:color w:val="000000"/>
        </w:rPr>
        <w:t xml:space="preserve">and illiberal challenge at home </w:t>
      </w:r>
      <w:r w:rsidRPr="00F60ECA">
        <w:rPr>
          <w:rFonts w:ascii="Times New Roman" w:hAnsi="Times New Roman" w:cs="Times New Roman"/>
          <w:color w:val="000000"/>
        </w:rPr>
        <w:t>have als</w:t>
      </w:r>
      <w:r>
        <w:rPr>
          <w:rFonts w:ascii="Times New Roman" w:hAnsi="Times New Roman" w:cs="Times New Roman"/>
          <w:color w:val="000000"/>
        </w:rPr>
        <w:t xml:space="preserve">o weakened the EU and </w:t>
      </w:r>
      <w:r w:rsidRPr="00F60ECA">
        <w:rPr>
          <w:rFonts w:ascii="Times New Roman" w:hAnsi="Times New Roman" w:cs="Times New Roman"/>
          <w:color w:val="000000"/>
        </w:rPr>
        <w:t>deepened the integration crisis in the EU</w:t>
      </w:r>
      <w:r>
        <w:rPr>
          <w:rFonts w:ascii="Times New Roman" w:hAnsi="Times New Roman" w:cs="Times New Roman"/>
          <w:color w:val="000000"/>
        </w:rPr>
        <w:t>.</w:t>
      </w:r>
      <w:r>
        <w:rPr>
          <w:rFonts w:ascii="Times New Roman" w:hAnsi="Times New Roman" w:cs="Times New Roman"/>
        </w:rPr>
        <w:t xml:space="preserve"> </w:t>
      </w:r>
      <w:r w:rsidR="00A9519F" w:rsidRPr="00F60ECA">
        <w:rPr>
          <w:rFonts w:ascii="Times New Roman" w:hAnsi="Times New Roman" w:cs="Times New Roman"/>
          <w:color w:val="000000"/>
        </w:rPr>
        <w:t>The recent democratic backsliding in the EU’s new member states (Poland, Hungary, Slovakia, Bulgaria, Romania) has made it clear that the EU’s instruments for the protection of democracy, the rule of law, and good governance in its member states have remained rather weak (</w:t>
      </w:r>
      <w:proofErr w:type="spellStart"/>
      <w:r w:rsidR="00A9519F" w:rsidRPr="00F60ECA">
        <w:rPr>
          <w:rFonts w:ascii="Times New Roman" w:hAnsi="Times New Roman" w:cs="Times New Roman"/>
          <w:color w:val="000000"/>
          <w:highlight w:val="white"/>
        </w:rPr>
        <w:t>Mungiu-Pippidi</w:t>
      </w:r>
      <w:proofErr w:type="spellEnd"/>
      <w:r w:rsidR="00A9519F" w:rsidRPr="00F60ECA">
        <w:rPr>
          <w:rFonts w:ascii="Times New Roman" w:hAnsi="Times New Roman" w:cs="Times New Roman"/>
          <w:color w:val="000000"/>
          <w:highlight w:val="white"/>
        </w:rPr>
        <w:t xml:space="preserve"> and </w:t>
      </w:r>
      <w:proofErr w:type="spellStart"/>
      <w:r w:rsidR="00A9519F" w:rsidRPr="00F60ECA">
        <w:rPr>
          <w:rFonts w:ascii="Times New Roman" w:hAnsi="Times New Roman" w:cs="Times New Roman"/>
          <w:color w:val="000000"/>
          <w:highlight w:val="white"/>
        </w:rPr>
        <w:t>Warkotsch</w:t>
      </w:r>
      <w:proofErr w:type="spellEnd"/>
      <w:r w:rsidR="00A9519F" w:rsidRPr="00F60ECA">
        <w:rPr>
          <w:rFonts w:ascii="Times New Roman" w:hAnsi="Times New Roman" w:cs="Times New Roman"/>
          <w:color w:val="000000"/>
          <w:highlight w:val="white"/>
        </w:rPr>
        <w:t>, 2017;</w:t>
      </w:r>
      <w:r w:rsidR="00A9519F" w:rsidRPr="00F60ECA">
        <w:rPr>
          <w:rFonts w:ascii="Times New Roman" w:hAnsi="Times New Roman" w:cs="Times New Roman"/>
          <w:color w:val="000000"/>
        </w:rPr>
        <w:t xml:space="preserve"> </w:t>
      </w:r>
      <w:proofErr w:type="spellStart"/>
      <w:r w:rsidR="00A9519F" w:rsidRPr="00F60ECA">
        <w:rPr>
          <w:rFonts w:ascii="Times New Roman" w:hAnsi="Times New Roman" w:cs="Times New Roman"/>
          <w:color w:val="000000"/>
        </w:rPr>
        <w:t>Sedelmeir</w:t>
      </w:r>
      <w:proofErr w:type="spellEnd"/>
      <w:r w:rsidR="00A9519F" w:rsidRPr="00F60ECA">
        <w:rPr>
          <w:rFonts w:ascii="Times New Roman" w:hAnsi="Times New Roman" w:cs="Times New Roman"/>
          <w:color w:val="000000"/>
        </w:rPr>
        <w:t xml:space="preserve">, 2016; van </w:t>
      </w:r>
      <w:proofErr w:type="spellStart"/>
      <w:r w:rsidR="00A9519F" w:rsidRPr="00F60ECA">
        <w:rPr>
          <w:rFonts w:ascii="Times New Roman" w:hAnsi="Times New Roman" w:cs="Times New Roman"/>
          <w:color w:val="000000"/>
        </w:rPr>
        <w:t>Hüllen</w:t>
      </w:r>
      <w:proofErr w:type="spellEnd"/>
      <w:r w:rsidR="00A9519F" w:rsidRPr="00F60ECA">
        <w:rPr>
          <w:rFonts w:ascii="Times New Roman" w:hAnsi="Times New Roman" w:cs="Times New Roman"/>
          <w:color w:val="000000"/>
        </w:rPr>
        <w:t xml:space="preserve"> and </w:t>
      </w:r>
      <w:proofErr w:type="spellStart"/>
      <w:r w:rsidR="00A9519F" w:rsidRPr="00F60ECA">
        <w:rPr>
          <w:rFonts w:ascii="Times New Roman" w:hAnsi="Times New Roman" w:cs="Times New Roman"/>
          <w:color w:val="000000"/>
        </w:rPr>
        <w:t>Börzel</w:t>
      </w:r>
      <w:proofErr w:type="spellEnd"/>
      <w:r w:rsidR="00A9519F" w:rsidRPr="00F60ECA">
        <w:rPr>
          <w:rFonts w:ascii="Times New Roman" w:hAnsi="Times New Roman" w:cs="Times New Roman"/>
          <w:color w:val="000000"/>
        </w:rPr>
        <w:t>, 2015). Until now, the EU has failed to activate Article 7-related sanctions against the illiberal governments in Hungary and Poland, given the procedures and voting rules within the Council and member governments’ reluctance to do so (</w:t>
      </w:r>
      <w:proofErr w:type="spellStart"/>
      <w:r w:rsidR="00A9519F" w:rsidRPr="00F60ECA">
        <w:rPr>
          <w:rFonts w:ascii="Times New Roman" w:hAnsi="Times New Roman" w:cs="Times New Roman"/>
          <w:color w:val="000000"/>
        </w:rPr>
        <w:t>Closa</w:t>
      </w:r>
      <w:proofErr w:type="spellEnd"/>
      <w:r w:rsidR="00A9519F" w:rsidRPr="00F60ECA">
        <w:rPr>
          <w:rFonts w:ascii="Times New Roman" w:hAnsi="Times New Roman" w:cs="Times New Roman"/>
          <w:color w:val="000000"/>
        </w:rPr>
        <w:t xml:space="preserve"> 2020; Kelemen and </w:t>
      </w:r>
      <w:proofErr w:type="spellStart"/>
      <w:r w:rsidR="00A9519F" w:rsidRPr="00F60ECA">
        <w:rPr>
          <w:rFonts w:ascii="Times New Roman" w:hAnsi="Times New Roman" w:cs="Times New Roman"/>
          <w:color w:val="000000"/>
        </w:rPr>
        <w:t>Blauberger</w:t>
      </w:r>
      <w:proofErr w:type="spellEnd"/>
      <w:r w:rsidR="00A9519F" w:rsidRPr="00F60ECA">
        <w:rPr>
          <w:rFonts w:ascii="Times New Roman" w:hAnsi="Times New Roman" w:cs="Times New Roman"/>
          <w:color w:val="000000"/>
        </w:rPr>
        <w:t xml:space="preserve">, 2016; </w:t>
      </w:r>
      <w:proofErr w:type="spellStart"/>
      <w:r w:rsidR="00A9519F" w:rsidRPr="00F60ECA">
        <w:rPr>
          <w:rFonts w:ascii="Times New Roman" w:hAnsi="Times New Roman" w:cs="Times New Roman"/>
          <w:color w:val="000000"/>
        </w:rPr>
        <w:t>Kochenov</w:t>
      </w:r>
      <w:proofErr w:type="spellEnd"/>
      <w:r w:rsidR="00A9519F" w:rsidRPr="00F60ECA">
        <w:rPr>
          <w:rFonts w:ascii="Times New Roman" w:hAnsi="Times New Roman" w:cs="Times New Roman"/>
          <w:color w:val="000000"/>
        </w:rPr>
        <w:t xml:space="preserve"> </w:t>
      </w:r>
      <w:r w:rsidR="00A9519F" w:rsidRPr="00F60ECA">
        <w:rPr>
          <w:rFonts w:ascii="Times New Roman" w:hAnsi="Times New Roman" w:cs="Times New Roman"/>
          <w:i/>
          <w:color w:val="000000"/>
        </w:rPr>
        <w:t>et al</w:t>
      </w:r>
      <w:r w:rsidR="00A9519F" w:rsidRPr="00F60ECA">
        <w:rPr>
          <w:rFonts w:ascii="Times New Roman" w:hAnsi="Times New Roman" w:cs="Times New Roman"/>
          <w:color w:val="000000"/>
        </w:rPr>
        <w:t xml:space="preserve">., 2016; </w:t>
      </w:r>
      <w:proofErr w:type="spellStart"/>
      <w:r w:rsidR="00A9519F" w:rsidRPr="00F60ECA">
        <w:rPr>
          <w:rFonts w:ascii="Times New Roman" w:hAnsi="Times New Roman" w:cs="Times New Roman"/>
          <w:color w:val="000000"/>
        </w:rPr>
        <w:t>Schlipphak</w:t>
      </w:r>
      <w:proofErr w:type="spellEnd"/>
      <w:r w:rsidR="00A9519F" w:rsidRPr="00F60ECA">
        <w:rPr>
          <w:rFonts w:ascii="Times New Roman" w:hAnsi="Times New Roman" w:cs="Times New Roman"/>
          <w:color w:val="000000"/>
        </w:rPr>
        <w:t xml:space="preserve"> and </w:t>
      </w:r>
      <w:proofErr w:type="spellStart"/>
      <w:r w:rsidR="00A9519F" w:rsidRPr="00F60ECA">
        <w:rPr>
          <w:rFonts w:ascii="Times New Roman" w:hAnsi="Times New Roman" w:cs="Times New Roman"/>
          <w:color w:val="000000"/>
        </w:rPr>
        <w:t>Treib</w:t>
      </w:r>
      <w:proofErr w:type="spellEnd"/>
      <w:r w:rsidR="00A9519F" w:rsidRPr="00F60ECA">
        <w:rPr>
          <w:rFonts w:ascii="Times New Roman" w:hAnsi="Times New Roman" w:cs="Times New Roman"/>
          <w:color w:val="000000"/>
        </w:rPr>
        <w:t xml:space="preserve">, 2016; </w:t>
      </w:r>
      <w:proofErr w:type="spellStart"/>
      <w:r w:rsidR="00A9519F" w:rsidRPr="00F60ECA">
        <w:rPr>
          <w:rFonts w:ascii="Times New Roman" w:hAnsi="Times New Roman" w:cs="Times New Roman"/>
          <w:color w:val="000000"/>
        </w:rPr>
        <w:t>Sedelmeier</w:t>
      </w:r>
      <w:proofErr w:type="spellEnd"/>
      <w:r w:rsidR="00A9519F" w:rsidRPr="00F60ECA">
        <w:rPr>
          <w:rFonts w:ascii="Times New Roman" w:hAnsi="Times New Roman" w:cs="Times New Roman"/>
          <w:color w:val="000000"/>
        </w:rPr>
        <w:t xml:space="preserve"> 2014, 2016; Soyaltin-Colella 2020). </w:t>
      </w:r>
      <w:r>
        <w:rPr>
          <w:rFonts w:ascii="Times New Roman" w:hAnsi="Times New Roman" w:cs="Times New Roman"/>
          <w:color w:val="000000"/>
        </w:rPr>
        <w:t>The</w:t>
      </w:r>
      <w:r w:rsidR="00A9519F" w:rsidRPr="00F60ECA">
        <w:rPr>
          <w:rFonts w:ascii="Times New Roman" w:hAnsi="Times New Roman" w:cs="Times New Roman"/>
          <w:color w:val="000000"/>
        </w:rPr>
        <w:t xml:space="preserve"> recent COVID-19 pandemic </w:t>
      </w:r>
      <w:r w:rsidR="001E3E66" w:rsidRPr="00F60ECA">
        <w:rPr>
          <w:rFonts w:ascii="Times New Roman" w:hAnsi="Times New Roman" w:cs="Times New Roman"/>
          <w:color w:val="000000"/>
        </w:rPr>
        <w:t>has</w:t>
      </w:r>
      <w:r w:rsidR="00A9519F" w:rsidRPr="00F60ECA">
        <w:rPr>
          <w:rFonts w:ascii="Times New Roman" w:hAnsi="Times New Roman" w:cs="Times New Roman"/>
          <w:color w:val="000000"/>
        </w:rPr>
        <w:t xml:space="preserve"> also </w:t>
      </w:r>
      <w:r>
        <w:rPr>
          <w:rFonts w:ascii="Times New Roman" w:hAnsi="Times New Roman" w:cs="Times New Roman"/>
          <w:color w:val="000000"/>
        </w:rPr>
        <w:t>led to</w:t>
      </w:r>
      <w:r w:rsidR="00A9519F" w:rsidRPr="00F60ECA">
        <w:rPr>
          <w:rFonts w:ascii="Times New Roman" w:hAnsi="Times New Roman" w:cs="Times New Roman"/>
          <w:color w:val="000000"/>
        </w:rPr>
        <w:t xml:space="preserve"> fragmentation among European actors and constrained responses to illiberal tendencies in its member states (</w:t>
      </w:r>
      <w:proofErr w:type="spellStart"/>
      <w:r w:rsidR="00A9519F" w:rsidRPr="00F60ECA">
        <w:rPr>
          <w:rFonts w:ascii="Times New Roman" w:hAnsi="Times New Roman" w:cs="Times New Roman"/>
          <w:color w:val="000000"/>
        </w:rPr>
        <w:t>Börzel</w:t>
      </w:r>
      <w:proofErr w:type="spellEnd"/>
      <w:r w:rsidR="00A9519F" w:rsidRPr="00F60ECA">
        <w:rPr>
          <w:rFonts w:ascii="Times New Roman" w:hAnsi="Times New Roman" w:cs="Times New Roman"/>
          <w:color w:val="000000"/>
        </w:rPr>
        <w:t xml:space="preserve"> and </w:t>
      </w:r>
      <w:proofErr w:type="spellStart"/>
      <w:r w:rsidR="00A9519F" w:rsidRPr="00F60ECA">
        <w:rPr>
          <w:rFonts w:ascii="Times New Roman" w:hAnsi="Times New Roman" w:cs="Times New Roman"/>
          <w:color w:val="000000"/>
        </w:rPr>
        <w:t>Schimmelfennig</w:t>
      </w:r>
      <w:proofErr w:type="spellEnd"/>
      <w:r w:rsidR="00A9519F" w:rsidRPr="00F60ECA">
        <w:rPr>
          <w:rFonts w:ascii="Times New Roman" w:hAnsi="Times New Roman" w:cs="Times New Roman"/>
          <w:color w:val="000000"/>
        </w:rPr>
        <w:t xml:space="preserve">, 2017; Buhari </w:t>
      </w:r>
      <w:proofErr w:type="spellStart"/>
      <w:r w:rsidR="00A9519F" w:rsidRPr="00F60ECA">
        <w:rPr>
          <w:rFonts w:ascii="Times New Roman" w:hAnsi="Times New Roman" w:cs="Times New Roman"/>
          <w:color w:val="000000"/>
        </w:rPr>
        <w:t>Gülmez</w:t>
      </w:r>
      <w:proofErr w:type="spellEnd"/>
      <w:r w:rsidR="00A9519F" w:rsidRPr="00F60ECA">
        <w:rPr>
          <w:rFonts w:ascii="Times New Roman" w:hAnsi="Times New Roman" w:cs="Times New Roman"/>
          <w:color w:val="000000"/>
        </w:rPr>
        <w:t xml:space="preserve"> and </w:t>
      </w:r>
      <w:proofErr w:type="spellStart"/>
      <w:r w:rsidR="00A9519F" w:rsidRPr="00F60ECA">
        <w:rPr>
          <w:rFonts w:ascii="Times New Roman" w:hAnsi="Times New Roman" w:cs="Times New Roman"/>
          <w:color w:val="000000"/>
        </w:rPr>
        <w:t>Gülmez</w:t>
      </w:r>
      <w:proofErr w:type="spellEnd"/>
      <w:r w:rsidR="00A9519F" w:rsidRPr="00F60ECA">
        <w:rPr>
          <w:rFonts w:ascii="Times New Roman" w:hAnsi="Times New Roman" w:cs="Times New Roman"/>
          <w:color w:val="000000"/>
        </w:rPr>
        <w:t xml:space="preserve">, 2020; </w:t>
      </w:r>
      <w:proofErr w:type="spellStart"/>
      <w:r w:rsidR="00A9519F" w:rsidRPr="00F60ECA">
        <w:rPr>
          <w:rFonts w:ascii="Times New Roman" w:hAnsi="Times New Roman" w:cs="Times New Roman"/>
          <w:color w:val="000000"/>
          <w:highlight w:val="white"/>
        </w:rPr>
        <w:t>Buzogány</w:t>
      </w:r>
      <w:proofErr w:type="spellEnd"/>
      <w:r w:rsidR="00A9519F" w:rsidRPr="00F60ECA">
        <w:rPr>
          <w:rFonts w:ascii="Times New Roman" w:hAnsi="Times New Roman" w:cs="Times New Roman"/>
          <w:color w:val="000000"/>
          <w:highlight w:val="white"/>
        </w:rPr>
        <w:t xml:space="preserve"> </w:t>
      </w:r>
      <w:r w:rsidR="00A9519F" w:rsidRPr="00F60ECA">
        <w:rPr>
          <w:rFonts w:ascii="Times New Roman" w:hAnsi="Times New Roman" w:cs="Times New Roman"/>
          <w:i/>
          <w:color w:val="000000"/>
          <w:highlight w:val="white"/>
        </w:rPr>
        <w:t xml:space="preserve">et </w:t>
      </w:r>
      <w:r w:rsidR="001E3E66" w:rsidRPr="00F60ECA">
        <w:rPr>
          <w:rFonts w:ascii="Times New Roman" w:hAnsi="Times New Roman" w:cs="Times New Roman"/>
          <w:i/>
          <w:color w:val="000000"/>
          <w:highlight w:val="white"/>
        </w:rPr>
        <w:t>a</w:t>
      </w:r>
      <w:r w:rsidR="001E3E66" w:rsidRPr="00F60ECA">
        <w:rPr>
          <w:rFonts w:ascii="Times New Roman" w:hAnsi="Times New Roman" w:cs="Times New Roman"/>
          <w:i/>
          <w:highlight w:val="white"/>
        </w:rPr>
        <w:t>l.</w:t>
      </w:r>
      <w:r w:rsidR="00A9519F" w:rsidRPr="00F60ECA">
        <w:rPr>
          <w:rFonts w:ascii="Times New Roman" w:hAnsi="Times New Roman" w:cs="Times New Roman"/>
          <w:highlight w:val="white"/>
        </w:rPr>
        <w:t xml:space="preserve"> 2021</w:t>
      </w:r>
      <w:r w:rsidR="00A9519F" w:rsidRPr="00F60ECA">
        <w:rPr>
          <w:rFonts w:ascii="Times New Roman" w:hAnsi="Times New Roman" w:cs="Times New Roman"/>
        </w:rPr>
        <w:t xml:space="preserve">; </w:t>
      </w:r>
      <w:proofErr w:type="spellStart"/>
      <w:r w:rsidR="00A9519F" w:rsidRPr="00F60ECA">
        <w:rPr>
          <w:rFonts w:ascii="Times New Roman" w:hAnsi="Times New Roman" w:cs="Times New Roman"/>
          <w:color w:val="000000"/>
        </w:rPr>
        <w:t>Mungui-Pippidi</w:t>
      </w:r>
      <w:proofErr w:type="spellEnd"/>
      <w:r w:rsidR="00A9519F" w:rsidRPr="00F60ECA">
        <w:rPr>
          <w:rFonts w:ascii="Times New Roman" w:hAnsi="Times New Roman" w:cs="Times New Roman"/>
          <w:color w:val="000000"/>
        </w:rPr>
        <w:t xml:space="preserve">, 2020; </w:t>
      </w:r>
      <w:proofErr w:type="spellStart"/>
      <w:r w:rsidR="00A9519F" w:rsidRPr="00F60ECA">
        <w:rPr>
          <w:rFonts w:ascii="Times New Roman" w:hAnsi="Times New Roman" w:cs="Times New Roman"/>
        </w:rPr>
        <w:t>Sedelmeier</w:t>
      </w:r>
      <w:proofErr w:type="spellEnd"/>
      <w:r w:rsidR="00A9519F" w:rsidRPr="00F60ECA">
        <w:rPr>
          <w:rFonts w:ascii="Times New Roman" w:hAnsi="Times New Roman" w:cs="Times New Roman"/>
        </w:rPr>
        <w:t xml:space="preserve">, 2016; </w:t>
      </w:r>
      <w:r w:rsidR="00A9519F" w:rsidRPr="00F60ECA">
        <w:rPr>
          <w:rFonts w:ascii="Times New Roman" w:hAnsi="Times New Roman" w:cs="Times New Roman"/>
          <w:color w:val="000000"/>
        </w:rPr>
        <w:t xml:space="preserve">Soyaltin-Colella 2020). </w:t>
      </w:r>
      <w:r w:rsidR="00A9519F" w:rsidRPr="00F60ECA">
        <w:rPr>
          <w:rFonts w:ascii="Times New Roman" w:hAnsi="Times New Roman" w:cs="Times New Roman"/>
          <w:color w:val="000000"/>
          <w:highlight w:val="white"/>
        </w:rPr>
        <w:t xml:space="preserve">Known as the </w:t>
      </w:r>
      <w:proofErr w:type="spellStart"/>
      <w:r w:rsidR="00A9519F" w:rsidRPr="00F60ECA">
        <w:rPr>
          <w:rFonts w:ascii="Times New Roman" w:hAnsi="Times New Roman" w:cs="Times New Roman"/>
          <w:color w:val="000000"/>
          <w:highlight w:val="white"/>
        </w:rPr>
        <w:t>Visegrad</w:t>
      </w:r>
      <w:proofErr w:type="spellEnd"/>
      <w:r w:rsidR="00A9519F" w:rsidRPr="00F60ECA">
        <w:rPr>
          <w:rFonts w:ascii="Times New Roman" w:hAnsi="Times New Roman" w:cs="Times New Roman"/>
          <w:color w:val="000000"/>
          <w:highlight w:val="white"/>
        </w:rPr>
        <w:t xml:space="preserve"> Group, the alliance of the Czech Republic, Hungary, Poland, and Slovakia has become an area of increasing political concern as their leaders increasingly embrace policies that undermine rule of law and democratic rights, and that diverge from EU’s common strategies in the handling of recent crises, most notably the refugee crisis. </w:t>
      </w:r>
      <w:r w:rsidR="00A9519F" w:rsidRPr="00F60ECA">
        <w:rPr>
          <w:rFonts w:ascii="Times New Roman" w:hAnsi="Times New Roman" w:cs="Times New Roman"/>
        </w:rPr>
        <w:t xml:space="preserve">Their </w:t>
      </w:r>
      <w:r w:rsidR="00A9519F" w:rsidRPr="00F60ECA">
        <w:rPr>
          <w:rFonts w:ascii="Times New Roman" w:hAnsi="Times New Roman" w:cs="Times New Roman"/>
          <w:color w:val="000000"/>
          <w:highlight w:val="white"/>
        </w:rPr>
        <w:t>move towards illiberal democracy and nationalist/protectionist policies when it comes to migration has not only found public support at home but also in other EU member states where far right populist parties adopt hard line positions on immigration, prioriti</w:t>
      </w:r>
      <w:r w:rsidR="00271570">
        <w:rPr>
          <w:rFonts w:ascii="Times New Roman" w:hAnsi="Times New Roman" w:cs="Times New Roman"/>
          <w:color w:val="000000"/>
          <w:highlight w:val="white"/>
        </w:rPr>
        <w:t>z</w:t>
      </w:r>
      <w:r w:rsidR="00A9519F" w:rsidRPr="00F60ECA">
        <w:rPr>
          <w:rFonts w:ascii="Times New Roman" w:hAnsi="Times New Roman" w:cs="Times New Roman"/>
          <w:color w:val="000000"/>
          <w:highlight w:val="white"/>
        </w:rPr>
        <w:t xml:space="preserve">e security over democracy, and </w:t>
      </w:r>
      <w:r w:rsidR="0018232D" w:rsidRPr="00F60ECA">
        <w:rPr>
          <w:rFonts w:ascii="Times New Roman" w:hAnsi="Times New Roman" w:cs="Times New Roman"/>
          <w:color w:val="000000"/>
          <w:highlight w:val="white"/>
        </w:rPr>
        <w:t>politicize</w:t>
      </w:r>
      <w:r w:rsidR="00A9519F" w:rsidRPr="00F60ECA">
        <w:rPr>
          <w:rFonts w:ascii="Times New Roman" w:hAnsi="Times New Roman" w:cs="Times New Roman"/>
          <w:color w:val="000000"/>
          <w:highlight w:val="white"/>
        </w:rPr>
        <w:t xml:space="preserve"> their relations with </w:t>
      </w:r>
      <w:r w:rsidR="0018232D" w:rsidRPr="00F60ECA">
        <w:rPr>
          <w:rFonts w:ascii="Times New Roman" w:hAnsi="Times New Roman" w:cs="Times New Roman"/>
          <w:color w:val="000000"/>
          <w:highlight w:val="white"/>
        </w:rPr>
        <w:t>neighbors</w:t>
      </w:r>
      <w:r w:rsidR="00A9519F" w:rsidRPr="00F60ECA">
        <w:rPr>
          <w:rFonts w:ascii="Times New Roman" w:hAnsi="Times New Roman" w:cs="Times New Roman"/>
          <w:color w:val="000000"/>
          <w:highlight w:val="white"/>
        </w:rPr>
        <w:t xml:space="preserve"> (</w:t>
      </w:r>
      <w:proofErr w:type="spellStart"/>
      <w:r w:rsidR="00A9519F" w:rsidRPr="00F60ECA">
        <w:rPr>
          <w:rFonts w:ascii="Times New Roman" w:hAnsi="Times New Roman" w:cs="Times New Roman"/>
          <w:color w:val="000000"/>
          <w:highlight w:val="white"/>
        </w:rPr>
        <w:t>Buzogány</w:t>
      </w:r>
      <w:proofErr w:type="spellEnd"/>
      <w:r w:rsidR="00A9519F" w:rsidRPr="00F60ECA">
        <w:rPr>
          <w:rFonts w:ascii="Times New Roman" w:hAnsi="Times New Roman" w:cs="Times New Roman"/>
          <w:color w:val="000000"/>
          <w:highlight w:val="white"/>
        </w:rPr>
        <w:t xml:space="preserve"> </w:t>
      </w:r>
      <w:r w:rsidR="00A9519F" w:rsidRPr="00F60ECA">
        <w:rPr>
          <w:rFonts w:ascii="Times New Roman" w:hAnsi="Times New Roman" w:cs="Times New Roman"/>
          <w:i/>
          <w:color w:val="000000"/>
          <w:highlight w:val="white"/>
        </w:rPr>
        <w:t>et al.,</w:t>
      </w:r>
      <w:r w:rsidR="00A9519F" w:rsidRPr="00F60ECA">
        <w:rPr>
          <w:rFonts w:ascii="Times New Roman" w:hAnsi="Times New Roman" w:cs="Times New Roman"/>
          <w:color w:val="000000"/>
          <w:highlight w:val="white"/>
        </w:rPr>
        <w:t xml:space="preserve"> 2021; Góra, 2021;</w:t>
      </w:r>
      <w:r w:rsidR="00A9519F" w:rsidRPr="00F60ECA">
        <w:rPr>
          <w:rFonts w:ascii="Times New Roman" w:hAnsi="Times New Roman" w:cs="Times New Roman"/>
          <w:color w:val="000000"/>
        </w:rPr>
        <w:t xml:space="preserve"> </w:t>
      </w:r>
      <w:proofErr w:type="spellStart"/>
      <w:r w:rsidR="00A9519F" w:rsidRPr="00F60ECA">
        <w:rPr>
          <w:rFonts w:ascii="Times New Roman" w:hAnsi="Times New Roman" w:cs="Times New Roman"/>
          <w:color w:val="000000"/>
          <w:highlight w:val="white"/>
        </w:rPr>
        <w:t>Morillas</w:t>
      </w:r>
      <w:proofErr w:type="spellEnd"/>
      <w:r w:rsidR="00A9519F" w:rsidRPr="00F60ECA">
        <w:rPr>
          <w:rFonts w:ascii="Times New Roman" w:hAnsi="Times New Roman" w:cs="Times New Roman"/>
          <w:color w:val="000000"/>
          <w:highlight w:val="white"/>
        </w:rPr>
        <w:t xml:space="preserve"> 2017).</w:t>
      </w:r>
      <w:r w:rsidR="00A9519F" w:rsidRPr="00F60ECA">
        <w:rPr>
          <w:rFonts w:ascii="Times New Roman" w:hAnsi="Times New Roman" w:cs="Times New Roman"/>
          <w:color w:val="000000"/>
        </w:rPr>
        <w:t xml:space="preserve"> </w:t>
      </w:r>
      <w:r w:rsidR="00A9519F" w:rsidRPr="00F60ECA">
        <w:rPr>
          <w:rFonts w:ascii="Times New Roman" w:hAnsi="Times New Roman" w:cs="Times New Roman"/>
          <w:color w:val="000000"/>
          <w:highlight w:val="white"/>
        </w:rPr>
        <w:t>The EU’s security interests overshadow the promotion of its democratic values and norms, weakening the normative actorness of the EU (</w:t>
      </w:r>
      <w:proofErr w:type="spellStart"/>
      <w:r w:rsidR="00A9519F" w:rsidRPr="00F60ECA">
        <w:rPr>
          <w:rFonts w:ascii="Times New Roman" w:hAnsi="Times New Roman" w:cs="Times New Roman"/>
          <w:color w:val="000000"/>
        </w:rPr>
        <w:t>Hackenesch</w:t>
      </w:r>
      <w:proofErr w:type="spellEnd"/>
      <w:r w:rsidR="00A9519F" w:rsidRPr="00F60ECA">
        <w:rPr>
          <w:rFonts w:ascii="Times New Roman" w:hAnsi="Times New Roman" w:cs="Times New Roman"/>
          <w:color w:val="000000"/>
        </w:rPr>
        <w:t xml:space="preserve"> </w:t>
      </w:r>
      <w:r w:rsidR="00A9519F" w:rsidRPr="00F60ECA">
        <w:rPr>
          <w:rFonts w:ascii="Times New Roman" w:hAnsi="Times New Roman" w:cs="Times New Roman"/>
          <w:i/>
          <w:color w:val="000000"/>
        </w:rPr>
        <w:t>et al.,</w:t>
      </w:r>
      <w:r w:rsidR="00A9519F" w:rsidRPr="00F60ECA">
        <w:rPr>
          <w:rFonts w:ascii="Times New Roman" w:hAnsi="Times New Roman" w:cs="Times New Roman"/>
          <w:color w:val="000000"/>
        </w:rPr>
        <w:t xml:space="preserve"> 2021).</w:t>
      </w:r>
      <w:r w:rsidR="006A6316">
        <w:rPr>
          <w:rFonts w:ascii="Times New Roman" w:hAnsi="Times New Roman" w:cs="Times New Roman"/>
          <w:color w:val="000000"/>
        </w:rPr>
        <w:t xml:space="preserve"> </w:t>
      </w:r>
      <w:r w:rsidR="009F7AB1" w:rsidRPr="00160E45">
        <w:rPr>
          <w:rFonts w:ascii="Times New Roman" w:hAnsi="Times New Roman" w:cs="Times New Roman"/>
          <w:bCs/>
          <w:color w:val="000000" w:themeColor="text1"/>
        </w:rPr>
        <w:t>The new power dynamics changed the degree of interdependency and trimmed down EU’s ability to ex</w:t>
      </w:r>
      <w:proofErr w:type="spellStart"/>
      <w:r w:rsidR="009F7AB1" w:rsidRPr="00160E45">
        <w:rPr>
          <w:rFonts w:ascii="Times New Roman" w:hAnsi="Times New Roman" w:cs="Times New Roman"/>
          <w:lang w:val="en-GB"/>
        </w:rPr>
        <w:t>ert</w:t>
      </w:r>
      <w:proofErr w:type="spellEnd"/>
      <w:r w:rsidR="009F7AB1" w:rsidRPr="00160E45">
        <w:rPr>
          <w:rFonts w:ascii="Times New Roman" w:hAnsi="Times New Roman" w:cs="Times New Roman"/>
          <w:lang w:val="en-GB"/>
        </w:rPr>
        <w:t xml:space="preserve"> direct influence and adaptational pressure for institutional change in Turkey</w:t>
      </w:r>
      <w:r w:rsidR="009F7AB1" w:rsidRPr="00160E45">
        <w:rPr>
          <w:rFonts w:ascii="Times New Roman" w:hAnsi="Times New Roman" w:cs="Times New Roman"/>
          <w:bCs/>
          <w:color w:val="000000" w:themeColor="text1"/>
        </w:rPr>
        <w:t>.</w:t>
      </w:r>
    </w:p>
    <w:p w14:paraId="21082488" w14:textId="506E2DD4" w:rsidR="009F7AB1" w:rsidRDefault="009F7AB1" w:rsidP="006A6316">
      <w:pPr>
        <w:pStyle w:val="NormalWeb"/>
        <w:shd w:val="clear" w:color="auto" w:fill="FFFFFF"/>
        <w:spacing w:before="0" w:beforeAutospacing="0" w:after="0" w:afterAutospacing="0"/>
        <w:textAlignment w:val="baseline"/>
        <w:rPr>
          <w:i/>
          <w:iCs/>
          <w:color w:val="26282A"/>
          <w:spacing w:val="-6"/>
          <w:bdr w:val="none" w:sz="0" w:space="0" w:color="auto" w:frame="1"/>
          <w:lang w:val="en-GB"/>
        </w:rPr>
      </w:pPr>
    </w:p>
    <w:p w14:paraId="2DE0EF3D" w14:textId="77777777" w:rsidR="009F7AB1" w:rsidRPr="009E7BD9" w:rsidRDefault="009F7AB1" w:rsidP="00834F26">
      <w:pPr>
        <w:pStyle w:val="NormalWeb"/>
        <w:shd w:val="clear" w:color="auto" w:fill="FFFFFF"/>
        <w:spacing w:before="0" w:beforeAutospacing="0" w:after="0" w:afterAutospacing="0"/>
        <w:ind w:left="360"/>
        <w:textAlignment w:val="baseline"/>
        <w:rPr>
          <w:i/>
          <w:iCs/>
          <w:color w:val="26282A"/>
          <w:spacing w:val="-6"/>
          <w:bdr w:val="none" w:sz="0" w:space="0" w:color="auto" w:frame="1"/>
          <w:lang w:val="en-GB"/>
        </w:rPr>
      </w:pPr>
    </w:p>
    <w:p w14:paraId="5C50A043" w14:textId="34C7561A" w:rsidR="00834F26" w:rsidRPr="009E7BD9" w:rsidRDefault="001F36CA" w:rsidP="00834F26">
      <w:pPr>
        <w:pStyle w:val="NormalWeb"/>
        <w:shd w:val="clear" w:color="auto" w:fill="FFFFFF"/>
        <w:spacing w:before="0" w:beforeAutospacing="0" w:after="0" w:afterAutospacing="0"/>
        <w:ind w:left="360"/>
        <w:textAlignment w:val="baseline"/>
        <w:rPr>
          <w:i/>
          <w:iCs/>
          <w:color w:val="26282A"/>
          <w:spacing w:val="-6"/>
          <w:bdr w:val="none" w:sz="0" w:space="0" w:color="auto" w:frame="1"/>
          <w:lang w:val="en-GB"/>
        </w:rPr>
      </w:pPr>
      <w:r w:rsidRPr="009E7BD9">
        <w:rPr>
          <w:i/>
          <w:iCs/>
          <w:color w:val="1F1C1B"/>
          <w:spacing w:val="-6"/>
          <w:bdr w:val="none" w:sz="0" w:space="0" w:color="auto" w:frame="1"/>
        </w:rPr>
        <w:t xml:space="preserve">4.3. </w:t>
      </w:r>
      <w:r w:rsidR="002959D0" w:rsidRPr="009E7BD9">
        <w:rPr>
          <w:i/>
          <w:iCs/>
          <w:color w:val="1F1C1B"/>
          <w:spacing w:val="-6"/>
          <w:bdr w:val="none" w:sz="0" w:space="0" w:color="auto" w:frame="1"/>
        </w:rPr>
        <w:t xml:space="preserve"> </w:t>
      </w:r>
      <w:r w:rsidR="009E7BD9" w:rsidRPr="009E7BD9">
        <w:rPr>
          <w:i/>
          <w:iCs/>
          <w:color w:val="1F1C1B"/>
          <w:spacing w:val="-6"/>
          <w:bdr w:val="none" w:sz="0" w:space="0" w:color="auto" w:frame="1"/>
        </w:rPr>
        <w:t>R</w:t>
      </w:r>
      <w:r w:rsidR="002959D0" w:rsidRPr="009E7BD9">
        <w:rPr>
          <w:i/>
          <w:iCs/>
          <w:color w:val="1F1C1B"/>
          <w:spacing w:val="-6"/>
          <w:bdr w:val="none" w:sz="0" w:space="0" w:color="auto" w:frame="1"/>
        </w:rPr>
        <w:t xml:space="preserve">esilience politics </w:t>
      </w:r>
    </w:p>
    <w:p w14:paraId="1C211737" w14:textId="57BF87EA" w:rsidR="00834F26" w:rsidRPr="00160E45" w:rsidRDefault="00834F26" w:rsidP="00834F26">
      <w:pPr>
        <w:pStyle w:val="NormalWeb"/>
        <w:shd w:val="clear" w:color="auto" w:fill="FFFFFF"/>
        <w:spacing w:before="0" w:beforeAutospacing="0" w:after="160" w:afterAutospacing="0" w:line="235" w:lineRule="atLeast"/>
        <w:ind w:left="360"/>
        <w:textAlignment w:val="baseline"/>
        <w:rPr>
          <w:color w:val="FF0000"/>
          <w:spacing w:val="-6"/>
          <w:bdr w:val="none" w:sz="0" w:space="0" w:color="auto" w:frame="1"/>
          <w:lang w:val="en-GB"/>
        </w:rPr>
      </w:pPr>
      <w:r w:rsidRPr="00160E45">
        <w:rPr>
          <w:color w:val="FF0000"/>
          <w:spacing w:val="-6"/>
          <w:bdr w:val="none" w:sz="0" w:space="0" w:color="auto" w:frame="1"/>
          <w:lang w:val="en-GB"/>
        </w:rPr>
        <w:t> </w:t>
      </w:r>
    </w:p>
    <w:p w14:paraId="72911CCF" w14:textId="2E105B5E" w:rsidR="00B051BC" w:rsidRPr="00941CB4" w:rsidRDefault="00E61472" w:rsidP="00B051BC">
      <w:pPr>
        <w:pStyle w:val="Default"/>
        <w:jc w:val="both"/>
        <w:rPr>
          <w:rFonts w:eastAsiaTheme="minorHAnsi"/>
          <w:color w:val="auto"/>
          <w:lang w:val="en-US"/>
        </w:rPr>
      </w:pPr>
      <w:r>
        <w:rPr>
          <w:bCs/>
          <w:color w:val="000000" w:themeColor="text1"/>
        </w:rPr>
        <w:t xml:space="preserve">The changing domestic dynamics in Turkey and in the EU member states are accompanied by new policies at the EU level. </w:t>
      </w:r>
      <w:r>
        <w:t>R</w:t>
      </w:r>
      <w:r w:rsidR="00E85EB1" w:rsidRPr="00940ADE">
        <w:t xml:space="preserve">esilience </w:t>
      </w:r>
      <w:r>
        <w:t xml:space="preserve">is defined </w:t>
      </w:r>
      <w:r w:rsidR="00E85EB1" w:rsidRPr="00940ADE">
        <w:t xml:space="preserve">as the cornerstone of EU foreign and security policy </w:t>
      </w:r>
      <w:r w:rsidR="00940ADE" w:rsidRPr="00940ADE">
        <w:t>and attention</w:t>
      </w:r>
      <w:r w:rsidR="00E85EB1" w:rsidRPr="00940ADE">
        <w:t xml:space="preserve"> to bottom-up democracy building rather than top-down </w:t>
      </w:r>
      <w:r>
        <w:t xml:space="preserve">democracy </w:t>
      </w:r>
      <w:r w:rsidR="00E85EB1" w:rsidRPr="00940ADE">
        <w:t xml:space="preserve">promotion. </w:t>
      </w:r>
      <w:r w:rsidR="00940ADE" w:rsidRPr="00940ADE">
        <w:rPr>
          <w:color w:val="222222"/>
          <w:shd w:val="clear" w:color="auto" w:fill="FFFFFF"/>
        </w:rPr>
        <w:t>Resilience is the capacity to cope with, adapt to, and recover from various external and internal challenges. Moreover, “resilience ought to be seen as a</w:t>
      </w:r>
      <w:r w:rsidR="00940ADE" w:rsidRPr="00940ADE">
        <w:rPr>
          <w:color w:val="222222"/>
        </w:rPr>
        <w:t xml:space="preserve"> </w:t>
      </w:r>
      <w:r w:rsidR="00940ADE" w:rsidRPr="00940ADE">
        <w:rPr>
          <w:color w:val="222222"/>
          <w:shd w:val="clear" w:color="auto" w:fill="FFFFFF"/>
        </w:rPr>
        <w:t xml:space="preserve">form of ‘self-governance,’ which places the emphasis on the ‘local’ and the ‘person’ </w:t>
      </w:r>
      <w:r w:rsidR="00B1014D">
        <w:rPr>
          <w:color w:val="222222"/>
          <w:shd w:val="clear" w:color="auto" w:fill="FFFFFF"/>
        </w:rPr>
        <w:t>i</w:t>
      </w:r>
      <w:r w:rsidR="00940ADE" w:rsidRPr="00940ADE">
        <w:rPr>
          <w:color w:val="222222"/>
          <w:shd w:val="clear" w:color="auto" w:fill="FFFFFF"/>
        </w:rPr>
        <w:t>n inside-out processes of learning and capacity-building to help a self-referential agency to find its own equilibrium”.</w:t>
      </w:r>
      <w:r w:rsidR="00940ADE">
        <w:rPr>
          <w:color w:val="222222"/>
          <w:shd w:val="clear" w:color="auto" w:fill="FFFFFF"/>
        </w:rPr>
        <w:t xml:space="preserve"> </w:t>
      </w:r>
      <w:r w:rsidR="00E85EB1" w:rsidRPr="00940ADE">
        <w:t>With the rapid influx of Syrian refugees to Europe in 2015, the EU’s democracy promotion strategy for Turkey has turned into the promotion of resilience that situates Turkey as a partner for effective governance of the refugee crisis. To foster refugee resilience in Turkey, the EU has provided funding for educational infrastructure investments, including school constructions as well as school equipment and capacity building, job creation, strengthening municipal services and Turkish language training. T</w:t>
      </w:r>
      <w:r w:rsidR="00E85EB1" w:rsidRPr="00940ADE">
        <w:rPr>
          <w:lang w:val="en-GB"/>
        </w:rPr>
        <w:t>he </w:t>
      </w:r>
      <w:r w:rsidR="00E85EB1" w:rsidRPr="00940ADE">
        <w:t xml:space="preserve">EU’s policy that associates Turkey’s EU accession process with its success in ending the refugee flows to Europe overshadow the legitimacy of the EU and </w:t>
      </w:r>
      <w:r w:rsidR="00E85EB1" w:rsidRPr="00940ADE">
        <w:rPr>
          <w:color w:val="000000" w:themeColor="text1"/>
        </w:rPr>
        <w:t>highlights</w:t>
      </w:r>
      <w:r w:rsidR="00E85EB1" w:rsidRPr="00940ADE">
        <w:t xml:space="preserve"> </w:t>
      </w:r>
      <w:r w:rsidR="00E85EB1" w:rsidRPr="00940ADE">
        <w:rPr>
          <w:color w:val="000000" w:themeColor="text1"/>
        </w:rPr>
        <w:t>strategic co-operation between Turkey and the EU on a number</w:t>
      </w:r>
      <w:r w:rsidR="00E85EB1" w:rsidRPr="00CC7C37">
        <w:rPr>
          <w:color w:val="000000" w:themeColor="text1"/>
        </w:rPr>
        <w:t xml:space="preserve"> of key areas (such as trade, energy, and migration) instead of membership</w:t>
      </w:r>
      <w:r w:rsidR="00E85EB1" w:rsidRPr="00B051BC">
        <w:rPr>
          <w:color w:val="C00000"/>
        </w:rPr>
        <w:t xml:space="preserve">. </w:t>
      </w:r>
      <w:r w:rsidR="00B051BC" w:rsidRPr="00941CB4">
        <w:rPr>
          <w:color w:val="auto"/>
        </w:rPr>
        <w:t xml:space="preserve">This policy choice leaves more room to Turkey to engage with other authoritarian countries (e.g., Russia and China) and endangers </w:t>
      </w:r>
      <w:r w:rsidR="00B051BC" w:rsidRPr="00941CB4">
        <w:rPr>
          <w:rFonts w:eastAsiaTheme="minorHAnsi"/>
          <w:color w:val="auto"/>
          <w:lang w:val="en-US"/>
        </w:rPr>
        <w:t xml:space="preserve">Turkey’s involvement in democratic and multilateral initiatives </w:t>
      </w:r>
      <w:r w:rsidR="00B051BC" w:rsidRPr="00941CB4">
        <w:rPr>
          <w:color w:val="auto"/>
        </w:rPr>
        <w:t>(Bertelsmann Stiftung 2022:43).</w:t>
      </w:r>
    </w:p>
    <w:p w14:paraId="4BA42E68" w14:textId="77777777" w:rsidR="00EC1B81" w:rsidRPr="00CC7C37" w:rsidRDefault="00EC1B81" w:rsidP="00B051BC">
      <w:pPr>
        <w:pStyle w:val="NormalWeb"/>
        <w:shd w:val="clear" w:color="auto" w:fill="FFFFFF"/>
        <w:spacing w:before="0" w:beforeAutospacing="0" w:after="160" w:afterAutospacing="0" w:line="235" w:lineRule="atLeast"/>
        <w:jc w:val="both"/>
        <w:textAlignment w:val="baseline"/>
        <w:rPr>
          <w:color w:val="26282A"/>
          <w:spacing w:val="-6"/>
          <w:bdr w:val="none" w:sz="0" w:space="0" w:color="auto" w:frame="1"/>
          <w:lang w:val="en-GB"/>
        </w:rPr>
      </w:pPr>
    </w:p>
    <w:p w14:paraId="12602563" w14:textId="79924311" w:rsidR="00A04C82" w:rsidRPr="00A04C82" w:rsidRDefault="00A04C82" w:rsidP="00CC7C37">
      <w:pPr>
        <w:jc w:val="both"/>
        <w:rPr>
          <w:rFonts w:ascii="Times New Roman" w:hAnsi="Times New Roman" w:cs="Times New Roman"/>
        </w:rPr>
      </w:pPr>
      <w:r w:rsidRPr="00CC7C37">
        <w:rPr>
          <w:rFonts w:ascii="Times New Roman" w:hAnsi="Times New Roman" w:cs="Times New Roman"/>
        </w:rPr>
        <w:t xml:space="preserve">Scholars have already defined alternative ways for the governance of EU-Turkey relations. </w:t>
      </w:r>
      <w:r w:rsidR="00CC7C37">
        <w:rPr>
          <w:rFonts w:ascii="Times New Roman" w:hAnsi="Times New Roman" w:cs="Times New Roman"/>
        </w:rPr>
        <w:t xml:space="preserve"> </w:t>
      </w:r>
      <w:r w:rsidRPr="00CC7C37">
        <w:rPr>
          <w:rFonts w:ascii="Times New Roman" w:hAnsi="Times New Roman" w:cs="Times New Roman"/>
        </w:rPr>
        <w:t xml:space="preserve">While both sides will not manage to make a </w:t>
      </w:r>
      <w:r w:rsidRPr="00A04C82">
        <w:rPr>
          <w:rFonts w:ascii="Times New Roman" w:hAnsi="Times New Roman" w:cs="Times New Roman"/>
        </w:rPr>
        <w:t>fundamental improvement in the existing relationship,</w:t>
      </w:r>
      <w:r w:rsidRPr="00CC7C37">
        <w:rPr>
          <w:rFonts w:ascii="Times New Roman" w:hAnsi="Times New Roman" w:cs="Times New Roman"/>
        </w:rPr>
        <w:t xml:space="preserve"> they will also not </w:t>
      </w:r>
      <w:r w:rsidRPr="00A04C82">
        <w:rPr>
          <w:rFonts w:ascii="Times New Roman" w:hAnsi="Times New Roman" w:cs="Times New Roman"/>
        </w:rPr>
        <w:t xml:space="preserve">clash over issues of common concern </w:t>
      </w:r>
      <w:r w:rsidRPr="00CC7C37">
        <w:rPr>
          <w:rFonts w:ascii="Times New Roman" w:hAnsi="Times New Roman" w:cs="Times New Roman"/>
        </w:rPr>
        <w:t xml:space="preserve">and diverge from each other. Instead, the </w:t>
      </w:r>
      <w:r w:rsidRPr="00CC7C37">
        <w:rPr>
          <w:rFonts w:ascii="Times New Roman" w:hAnsi="Times New Roman" w:cs="Times New Roman"/>
          <w:lang w:val="tr-TR"/>
        </w:rPr>
        <w:t>c</w:t>
      </w:r>
      <w:r w:rsidRPr="00A04C82">
        <w:rPr>
          <w:rFonts w:ascii="Times New Roman" w:hAnsi="Times New Roman" w:cs="Times New Roman"/>
          <w:lang w:val="tr-TR"/>
        </w:rPr>
        <w:t>onflictual cooperation</w:t>
      </w:r>
      <w:r w:rsidRPr="00CC7C37">
        <w:rPr>
          <w:rFonts w:ascii="Times New Roman" w:hAnsi="Times New Roman" w:cs="Times New Roman"/>
          <w:lang w:val="tr-TR"/>
        </w:rPr>
        <w:t xml:space="preserve"> </w:t>
      </w:r>
      <w:r w:rsidRPr="00A04C82">
        <w:rPr>
          <w:rFonts w:ascii="Times New Roman" w:hAnsi="Times New Roman" w:cs="Times New Roman"/>
          <w:lang w:val="tr-TR"/>
        </w:rPr>
        <w:t xml:space="preserve">scenario </w:t>
      </w:r>
      <w:r w:rsidRPr="00A04C82">
        <w:rPr>
          <w:rFonts w:ascii="Times New Roman" w:hAnsi="Times New Roman" w:cs="Times New Roman"/>
        </w:rPr>
        <w:t xml:space="preserve">that will define the EU-Turkey relationship by 2023 </w:t>
      </w:r>
      <w:r w:rsidRPr="00CC7C37">
        <w:rPr>
          <w:rFonts w:ascii="Times New Roman" w:hAnsi="Times New Roman" w:cs="Times New Roman"/>
        </w:rPr>
        <w:t xml:space="preserve">will be determined by </w:t>
      </w:r>
      <w:r w:rsidRPr="00A04C82">
        <w:rPr>
          <w:rFonts w:ascii="Times New Roman" w:hAnsi="Times New Roman" w:cs="Times New Roman"/>
        </w:rPr>
        <w:t xml:space="preserve">security, migration, </w:t>
      </w:r>
      <w:r w:rsidR="00752976" w:rsidRPr="00A04C82">
        <w:rPr>
          <w:rFonts w:ascii="Times New Roman" w:hAnsi="Times New Roman" w:cs="Times New Roman"/>
        </w:rPr>
        <w:t>energy,</w:t>
      </w:r>
      <w:r w:rsidRPr="00A04C82">
        <w:rPr>
          <w:rFonts w:ascii="Times New Roman" w:hAnsi="Times New Roman" w:cs="Times New Roman"/>
        </w:rPr>
        <w:t xml:space="preserve"> and economics</w:t>
      </w:r>
      <w:r w:rsidRPr="00CC7C37">
        <w:rPr>
          <w:rFonts w:ascii="Times New Roman" w:hAnsi="Times New Roman" w:cs="Times New Roman"/>
        </w:rPr>
        <w:t xml:space="preserve">. As defined by </w:t>
      </w:r>
      <w:r w:rsidRPr="00CC7C37">
        <w:rPr>
          <w:rFonts w:ascii="Times New Roman" w:hAnsi="Times New Roman" w:cs="Times New Roman"/>
          <w:lang w:val="tr-TR"/>
        </w:rPr>
        <w:t xml:space="preserve">Saatçioğlu et al (2021) the </w:t>
      </w:r>
      <w:r w:rsidRPr="00CC7C37">
        <w:rPr>
          <w:rFonts w:ascii="Times New Roman" w:hAnsi="Times New Roman" w:cs="Times New Roman"/>
        </w:rPr>
        <w:t xml:space="preserve">institutional relationship format between two parties will be a </w:t>
      </w:r>
      <w:r w:rsidR="0018232D" w:rsidRPr="00A04C82">
        <w:rPr>
          <w:rFonts w:ascii="Times New Roman" w:hAnsi="Times New Roman" w:cs="Times New Roman"/>
        </w:rPr>
        <w:t>dynamic</w:t>
      </w:r>
      <w:r w:rsidRPr="00A04C82">
        <w:rPr>
          <w:rFonts w:ascii="Times New Roman" w:hAnsi="Times New Roman" w:cs="Times New Roman"/>
        </w:rPr>
        <w:t xml:space="preserve"> association (DA)</w:t>
      </w:r>
      <w:r w:rsidRPr="00CC7C37">
        <w:rPr>
          <w:rFonts w:ascii="Times New Roman" w:hAnsi="Times New Roman" w:cs="Times New Roman"/>
          <w:lang w:val="tr-TR"/>
        </w:rPr>
        <w:t xml:space="preserve">. DA </w:t>
      </w:r>
      <w:r w:rsidRPr="00A04C82">
        <w:rPr>
          <w:rFonts w:ascii="Times New Roman" w:hAnsi="Times New Roman" w:cs="Times New Roman"/>
          <w:lang w:val="tr-TR"/>
        </w:rPr>
        <w:t xml:space="preserve">aims to </w:t>
      </w:r>
      <w:r w:rsidR="00E652E9" w:rsidRPr="00A04C82">
        <w:rPr>
          <w:rFonts w:ascii="Times New Roman" w:hAnsi="Times New Roman" w:cs="Times New Roman"/>
        </w:rPr>
        <w:t>mitigate</w:t>
      </w:r>
      <w:r w:rsidRPr="00A04C82">
        <w:rPr>
          <w:rFonts w:ascii="Times New Roman" w:hAnsi="Times New Roman" w:cs="Times New Roman"/>
        </w:rPr>
        <w:t xml:space="preserve"> conflictual dynamics while fostering cooperation – and potentially, trends towards convergence – through a rules-based framework.</w:t>
      </w:r>
      <w:r w:rsidRPr="00CC7C37">
        <w:rPr>
          <w:rFonts w:ascii="Times New Roman" w:hAnsi="Times New Roman" w:cs="Times New Roman"/>
          <w:lang w:val="tr-TR"/>
        </w:rPr>
        <w:t xml:space="preserve"> </w:t>
      </w:r>
      <w:r w:rsidRPr="00A04C82">
        <w:rPr>
          <w:rFonts w:ascii="Times New Roman" w:hAnsi="Times New Roman" w:cs="Times New Roman"/>
          <w:lang w:val="tr-TR"/>
        </w:rPr>
        <w:t>DA includes upgraded EU-Turkey CU</w:t>
      </w:r>
      <w:r w:rsidRPr="00A04C82">
        <w:rPr>
          <w:rFonts w:ascii="Times New Roman" w:hAnsi="Times New Roman" w:cs="Times New Roman"/>
        </w:rPr>
        <w:t xml:space="preserve"> </w:t>
      </w:r>
      <w:r w:rsidRPr="00A04C82">
        <w:rPr>
          <w:rFonts w:ascii="Times New Roman" w:hAnsi="Times New Roman" w:cs="Times New Roman"/>
          <w:lang w:val="tr-TR"/>
        </w:rPr>
        <w:t xml:space="preserve">and </w:t>
      </w:r>
      <w:r w:rsidRPr="00A04C82">
        <w:rPr>
          <w:rFonts w:ascii="Times New Roman" w:hAnsi="Times New Roman" w:cs="Times New Roman"/>
        </w:rPr>
        <w:t xml:space="preserve">functional areas of cooperation such as </w:t>
      </w:r>
      <w:r w:rsidRPr="00A04C82">
        <w:rPr>
          <w:rFonts w:ascii="Times New Roman" w:hAnsi="Times New Roman" w:cs="Times New Roman"/>
          <w:lang w:val="tr-TR"/>
        </w:rPr>
        <w:t xml:space="preserve">trade, </w:t>
      </w:r>
      <w:r w:rsidRPr="00A04C82">
        <w:rPr>
          <w:rFonts w:ascii="Times New Roman" w:hAnsi="Times New Roman" w:cs="Times New Roman"/>
        </w:rPr>
        <w:t xml:space="preserve">migration, security and </w:t>
      </w:r>
      <w:r w:rsidR="00CC7C37" w:rsidRPr="00CC7C37">
        <w:rPr>
          <w:rFonts w:ascii="Times New Roman" w:hAnsi="Times New Roman" w:cs="Times New Roman"/>
        </w:rPr>
        <w:t>energy</w:t>
      </w:r>
      <w:r w:rsidR="00CC7C37" w:rsidRPr="00CC7C37">
        <w:rPr>
          <w:rFonts w:ascii="Times New Roman" w:hAnsi="Times New Roman" w:cs="Times New Roman"/>
          <w:lang w:val="tr-TR"/>
        </w:rPr>
        <w:t>. DA</w:t>
      </w:r>
      <w:r w:rsidRPr="00A04C82">
        <w:rPr>
          <w:rFonts w:ascii="Times New Roman" w:hAnsi="Times New Roman" w:cs="Times New Roman"/>
        </w:rPr>
        <w:t xml:space="preserve"> promises to serve as a platform which can foster interactions despite the effectively frozen accession track.</w:t>
      </w:r>
      <w:r w:rsidRPr="00CC7C37">
        <w:rPr>
          <w:rFonts w:ascii="Times New Roman" w:hAnsi="Times New Roman" w:cs="Times New Roman"/>
          <w:lang w:val="tr-TR"/>
        </w:rPr>
        <w:t xml:space="preserve"> </w:t>
      </w:r>
      <w:r w:rsidRPr="00A04C82">
        <w:rPr>
          <w:rFonts w:ascii="Times New Roman" w:hAnsi="Times New Roman" w:cs="Times New Roman"/>
          <w:lang w:val="tr-TR"/>
        </w:rPr>
        <w:t xml:space="preserve">DA </w:t>
      </w:r>
      <w:r w:rsidRPr="00A04C82">
        <w:rPr>
          <w:rFonts w:ascii="Times New Roman" w:hAnsi="Times New Roman" w:cs="Times New Roman"/>
        </w:rPr>
        <w:t xml:space="preserve">is comprehensive </w:t>
      </w:r>
      <w:r w:rsidRPr="00822325">
        <w:rPr>
          <w:rFonts w:ascii="Times New Roman" w:hAnsi="Times New Roman" w:cs="Times New Roman"/>
        </w:rPr>
        <w:t>and flexible enough to feed both cooperative and convergent dynamics in the EU-Turkey relationship</w:t>
      </w:r>
      <w:r w:rsidR="00CC7C37" w:rsidRPr="00822325">
        <w:rPr>
          <w:rFonts w:ascii="Times New Roman" w:hAnsi="Times New Roman" w:cs="Times New Roman"/>
        </w:rPr>
        <w:t>.</w:t>
      </w:r>
      <w:r w:rsidR="00EB4325" w:rsidRPr="00822325">
        <w:rPr>
          <w:rFonts w:ascii="New serif" w:hAnsi="New serif"/>
          <w:color w:val="1D2228"/>
          <w:shd w:val="clear" w:color="auto" w:fill="FFFF00"/>
        </w:rPr>
        <w:t xml:space="preserve"> </w:t>
      </w:r>
      <w:r w:rsidR="00EB4325" w:rsidRPr="00822325">
        <w:rPr>
          <w:rFonts w:ascii="Times New Roman" w:hAnsi="Times New Roman" w:cs="Times New Roman"/>
        </w:rPr>
        <w:t>We argue</w:t>
      </w:r>
      <w:r w:rsidR="00EB4325" w:rsidRPr="00EB4325">
        <w:rPr>
          <w:rFonts w:ascii="Times New Roman" w:hAnsi="Times New Roman" w:cs="Times New Roman"/>
        </w:rPr>
        <w:t xml:space="preserve"> that DA also fits the EU’s resilience-building policies as it makes cooperation possible outside of the membership box. The rule-based nature of the DA might also trigger structural reforms in Turkey without top-down enforcement and strengthen the self-governance capacity of domestic actors. While the DA weakens the EU’s capacity to hit domestic politics from above, it allows the EU to put emphasis on resilience building in Turkey.</w:t>
      </w:r>
      <w:r w:rsidR="00CC7C37" w:rsidRPr="00CC7C37">
        <w:rPr>
          <w:rFonts w:ascii="Times New Roman" w:hAnsi="Times New Roman" w:cs="Times New Roman"/>
        </w:rPr>
        <w:t xml:space="preserve"> </w:t>
      </w:r>
    </w:p>
    <w:p w14:paraId="3B08C0B8" w14:textId="7A4C25F7" w:rsidR="00C15EC0" w:rsidRDefault="00C15EC0">
      <w:pPr>
        <w:rPr>
          <w:rFonts w:ascii="Times New Roman" w:hAnsi="Times New Roman" w:cs="Times New Roman"/>
        </w:rPr>
      </w:pPr>
    </w:p>
    <w:p w14:paraId="56595F5A" w14:textId="3DABEBD1" w:rsidR="00247530" w:rsidRDefault="00247530">
      <w:pPr>
        <w:rPr>
          <w:rFonts w:ascii="Times New Roman" w:hAnsi="Times New Roman" w:cs="Times New Roman"/>
        </w:rPr>
      </w:pPr>
    </w:p>
    <w:p w14:paraId="07828EE4" w14:textId="7F6E9B3D" w:rsidR="00247530" w:rsidRDefault="00247530">
      <w:pPr>
        <w:rPr>
          <w:rFonts w:ascii="Times New Roman" w:hAnsi="Times New Roman" w:cs="Times New Roman"/>
          <w:i/>
          <w:iCs/>
        </w:rPr>
      </w:pPr>
      <w:r w:rsidRPr="00247530">
        <w:rPr>
          <w:rFonts w:ascii="Times New Roman" w:hAnsi="Times New Roman" w:cs="Times New Roman"/>
          <w:i/>
          <w:iCs/>
        </w:rPr>
        <w:t>Conclusion and references TBA</w:t>
      </w:r>
    </w:p>
    <w:p w14:paraId="5EB5F098" w14:textId="77777777" w:rsidR="00F95F06" w:rsidRDefault="00F95F06">
      <w:pPr>
        <w:rPr>
          <w:rFonts w:ascii="Times New Roman" w:hAnsi="Times New Roman" w:cs="Times New Roman"/>
          <w:i/>
          <w:iCs/>
        </w:rPr>
      </w:pPr>
    </w:p>
    <w:p w14:paraId="04A467F0" w14:textId="77777777" w:rsidR="00F95F06" w:rsidRDefault="00F95F06">
      <w:pPr>
        <w:rPr>
          <w:rFonts w:ascii="Times New Roman" w:hAnsi="Times New Roman" w:cs="Times New Roman"/>
          <w:i/>
          <w:iCs/>
        </w:rPr>
      </w:pPr>
    </w:p>
    <w:p w14:paraId="13104DDB" w14:textId="77777777" w:rsidR="00F95F06" w:rsidRDefault="00F95F06">
      <w:pPr>
        <w:rPr>
          <w:rFonts w:ascii="Times New Roman" w:hAnsi="Times New Roman" w:cs="Times New Roman"/>
          <w:i/>
          <w:iCs/>
        </w:rPr>
      </w:pPr>
    </w:p>
    <w:sectPr w:rsidR="00F95F0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E3124" w14:textId="77777777" w:rsidR="00370E30" w:rsidRDefault="00370E30" w:rsidP="00EC1B81">
      <w:r>
        <w:separator/>
      </w:r>
    </w:p>
  </w:endnote>
  <w:endnote w:type="continuationSeparator" w:id="0">
    <w:p w14:paraId="412B7D11" w14:textId="77777777" w:rsidR="00370E30" w:rsidRDefault="00370E30" w:rsidP="00EC1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default"/>
    <w:sig w:usb0="00000003" w:usb1="00000000" w:usb2="00000000" w:usb3="00000000" w:csb0="00000001" w:csb1="00000000"/>
  </w:font>
  <w:font w:name="StoneSerif">
    <w:altName w:val="Yu Gothic"/>
    <w:panose1 w:val="00000000000000000000"/>
    <w:charset w:val="80"/>
    <w:family w:val="auto"/>
    <w:notTrueType/>
    <w:pitch w:val="default"/>
    <w:sig w:usb0="00000001" w:usb1="08070000" w:usb2="00000010" w:usb3="00000000" w:csb0="00020000" w:csb1="00000000"/>
  </w:font>
  <w:font w:name="StoneSerif-Semibold">
    <w:altName w:val="Yu Gothic"/>
    <w:panose1 w:val="00000000000000000000"/>
    <w:charset w:val="80"/>
    <w:family w:val="auto"/>
    <w:notTrueType/>
    <w:pitch w:val="default"/>
    <w:sig w:usb0="00000001" w:usb1="08070000" w:usb2="00000010" w:usb3="00000000" w:csb0="00020000" w:csb1="00000000"/>
  </w:font>
  <w:font w:name="New serif">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AA1CB" w14:textId="77777777" w:rsidR="00370E30" w:rsidRDefault="00370E30" w:rsidP="00EC1B81">
      <w:r>
        <w:separator/>
      </w:r>
    </w:p>
  </w:footnote>
  <w:footnote w:type="continuationSeparator" w:id="0">
    <w:p w14:paraId="6077DDE7" w14:textId="77777777" w:rsidR="00370E30" w:rsidRDefault="00370E30" w:rsidP="00EC1B81">
      <w:r>
        <w:continuationSeparator/>
      </w:r>
    </w:p>
  </w:footnote>
  <w:footnote w:id="1">
    <w:p w14:paraId="19602844" w14:textId="575EE62F" w:rsidR="003A6943" w:rsidRDefault="003A6943" w:rsidP="008C6477">
      <w:pPr>
        <w:pStyle w:val="FootnoteText"/>
        <w:spacing w:after="0" w:line="240" w:lineRule="auto"/>
        <w:rPr>
          <w:lang w:val="en-US"/>
        </w:rPr>
      </w:pPr>
      <w:r>
        <w:rPr>
          <w:rStyle w:val="FootnoteReference"/>
        </w:rPr>
        <w:footnoteRef/>
      </w:r>
      <w:r>
        <w:t xml:space="preserve"> </w:t>
      </w:r>
      <w:r>
        <w:rPr>
          <w:lang w:val="en-US"/>
        </w:rPr>
        <w:t xml:space="preserve">Canan Balkir, Florida International University, </w:t>
      </w:r>
      <w:hyperlink r:id="rId1" w:history="1">
        <w:r w:rsidR="008C6477" w:rsidRPr="00A3530F">
          <w:rPr>
            <w:rStyle w:val="Hyperlink"/>
            <w:lang w:val="en-US"/>
          </w:rPr>
          <w:t>cbalkir@fiu.edu</w:t>
        </w:r>
      </w:hyperlink>
    </w:p>
    <w:p w14:paraId="5781764A" w14:textId="2E44A6D5" w:rsidR="008C6477" w:rsidRDefault="008C6477" w:rsidP="008C6477">
      <w:pPr>
        <w:pStyle w:val="FootnoteText"/>
        <w:spacing w:after="0" w:line="240" w:lineRule="auto"/>
        <w:rPr>
          <w:lang w:val="tr-TR"/>
        </w:rPr>
      </w:pPr>
      <w:r>
        <w:rPr>
          <w:lang w:val="en-US"/>
        </w:rPr>
        <w:t xml:space="preserve"> </w:t>
      </w:r>
      <w:r w:rsidRPr="008C6477">
        <w:rPr>
          <w:lang w:val="tr-TR"/>
        </w:rPr>
        <w:t>Digdem Soyaltin Colella</w:t>
      </w:r>
      <w:r w:rsidR="00890349">
        <w:rPr>
          <w:lang w:val="tr-TR"/>
        </w:rPr>
        <w:t xml:space="preserve">, Altinbas University, </w:t>
      </w:r>
      <w:r w:rsidR="006B30F8">
        <w:rPr>
          <w:lang w:val="tr-TR"/>
        </w:rPr>
        <w:fldChar w:fldCharType="begin"/>
      </w:r>
      <w:r w:rsidR="006B30F8">
        <w:rPr>
          <w:lang w:val="tr-TR"/>
        </w:rPr>
        <w:instrText xml:space="preserve"> HYPERLINK "mailto:digdem.soyaltin@altinbas.edu.tr" </w:instrText>
      </w:r>
      <w:r w:rsidR="006B30F8">
        <w:rPr>
          <w:lang w:val="tr-TR"/>
        </w:rPr>
        <w:fldChar w:fldCharType="separate"/>
      </w:r>
      <w:r w:rsidR="006B30F8" w:rsidRPr="00537794">
        <w:rPr>
          <w:rStyle w:val="Hyperlink"/>
          <w:lang w:val="tr-TR"/>
        </w:rPr>
        <w:t>digdem.soyaltin@altinbas.edu.tr</w:t>
      </w:r>
      <w:r w:rsidR="006B30F8">
        <w:rPr>
          <w:lang w:val="tr-TR"/>
        </w:rPr>
        <w:fldChar w:fldCharType="end"/>
      </w:r>
    </w:p>
    <w:p w14:paraId="2E8985D7" w14:textId="77777777" w:rsidR="006B30F8" w:rsidRPr="008C6477" w:rsidRDefault="006B30F8" w:rsidP="008C6477">
      <w:pPr>
        <w:pStyle w:val="FootnoteText"/>
        <w:spacing w:after="0" w:line="240" w:lineRule="auto"/>
        <w:rPr>
          <w:lang w:val="en-US"/>
        </w:rPr>
      </w:pPr>
    </w:p>
  </w:footnote>
  <w:footnote w:id="2">
    <w:p w14:paraId="0F848E7B" w14:textId="3F205698" w:rsidR="00247530" w:rsidRPr="00F3749A" w:rsidRDefault="00247530">
      <w:pPr>
        <w:pStyle w:val="FootnoteText"/>
        <w:rPr>
          <w:rFonts w:ascii="Times New Roman" w:hAnsi="Times New Roman" w:cs="Times New Roman"/>
          <w:color w:val="000000" w:themeColor="text1"/>
          <w:lang w:val="en-US"/>
        </w:rPr>
      </w:pPr>
      <w:r w:rsidRPr="00F3749A">
        <w:rPr>
          <w:rStyle w:val="FootnoteReference"/>
          <w:rFonts w:ascii="Times New Roman" w:hAnsi="Times New Roman" w:cs="Times New Roman"/>
          <w:color w:val="000000" w:themeColor="text1"/>
          <w:lang w:val="en-US"/>
        </w:rPr>
        <w:footnoteRef/>
      </w:r>
      <w:r w:rsidRPr="00F3749A">
        <w:rPr>
          <w:rFonts w:ascii="Times New Roman" w:hAnsi="Times New Roman" w:cs="Times New Roman"/>
          <w:color w:val="000000" w:themeColor="text1"/>
          <w:lang w:val="en-US"/>
        </w:rPr>
        <w:t xml:space="preserve"> This paper seeks to introduce a theoretical framework to account for when and under which conditions Europe does not hit domestic politics by </w:t>
      </w:r>
      <w:proofErr w:type="gramStart"/>
      <w:r w:rsidRPr="00F3749A">
        <w:rPr>
          <w:rFonts w:ascii="Times New Roman" w:hAnsi="Times New Roman" w:cs="Times New Roman"/>
          <w:color w:val="000000" w:themeColor="text1"/>
          <w:lang w:val="en-US"/>
        </w:rPr>
        <w:t>taking into account</w:t>
      </w:r>
      <w:proofErr w:type="gramEnd"/>
      <w:r w:rsidRPr="00F3749A">
        <w:rPr>
          <w:rFonts w:ascii="Times New Roman" w:hAnsi="Times New Roman" w:cs="Times New Roman"/>
          <w:color w:val="000000" w:themeColor="text1"/>
          <w:lang w:val="en-US"/>
        </w:rPr>
        <w:t xml:space="preserve"> </w:t>
      </w:r>
      <w:r w:rsidR="00B051BC" w:rsidRPr="00F3749A">
        <w:rPr>
          <w:rFonts w:ascii="Times New Roman" w:hAnsi="Times New Roman" w:cs="Times New Roman"/>
          <w:color w:val="000000" w:themeColor="text1"/>
          <w:lang w:val="en-US"/>
        </w:rPr>
        <w:t>changing</w:t>
      </w:r>
      <w:r w:rsidRPr="00F3749A">
        <w:rPr>
          <w:rFonts w:ascii="Times New Roman" w:hAnsi="Times New Roman" w:cs="Times New Roman"/>
          <w:color w:val="000000" w:themeColor="text1"/>
          <w:lang w:val="en-US"/>
        </w:rPr>
        <w:t xml:space="preserve"> domestic and external </w:t>
      </w:r>
      <w:r w:rsidR="00B051BC" w:rsidRPr="00F3749A">
        <w:rPr>
          <w:rFonts w:ascii="Times New Roman" w:hAnsi="Times New Roman" w:cs="Times New Roman"/>
          <w:color w:val="000000" w:themeColor="text1"/>
          <w:lang w:val="en-US"/>
        </w:rPr>
        <w:t>d</w:t>
      </w:r>
      <w:r w:rsidRPr="00F3749A">
        <w:rPr>
          <w:rFonts w:ascii="Times New Roman" w:hAnsi="Times New Roman" w:cs="Times New Roman"/>
          <w:color w:val="000000" w:themeColor="text1"/>
          <w:lang w:val="en-US"/>
        </w:rPr>
        <w:t xml:space="preserve">ynamics. We </w:t>
      </w:r>
      <w:r w:rsidR="00B051BC" w:rsidRPr="00F3749A">
        <w:rPr>
          <w:rFonts w:ascii="Times New Roman" w:hAnsi="Times New Roman" w:cs="Times New Roman"/>
          <w:color w:val="000000" w:themeColor="text1"/>
          <w:lang w:val="en-US"/>
        </w:rPr>
        <w:t xml:space="preserve">have for now </w:t>
      </w:r>
      <w:r w:rsidRPr="00F3749A">
        <w:rPr>
          <w:rFonts w:ascii="Times New Roman" w:hAnsi="Times New Roman" w:cs="Times New Roman"/>
          <w:color w:val="000000" w:themeColor="text1"/>
          <w:lang w:val="en-US"/>
        </w:rPr>
        <w:t>defined three factors</w:t>
      </w:r>
      <w:r w:rsidR="00B051BC" w:rsidRPr="00F3749A">
        <w:rPr>
          <w:rFonts w:ascii="Times New Roman" w:hAnsi="Times New Roman" w:cs="Times New Roman"/>
          <w:color w:val="000000" w:themeColor="text1"/>
          <w:lang w:val="en-US"/>
        </w:rPr>
        <w:t>. In the coming days,</w:t>
      </w:r>
      <w:r w:rsidRPr="00F3749A">
        <w:rPr>
          <w:rFonts w:ascii="Times New Roman" w:hAnsi="Times New Roman" w:cs="Times New Roman"/>
          <w:color w:val="000000" w:themeColor="text1"/>
          <w:lang w:val="en-US"/>
        </w:rPr>
        <w:t xml:space="preserve"> </w:t>
      </w:r>
      <w:r w:rsidR="00B051BC" w:rsidRPr="00F3749A">
        <w:rPr>
          <w:rFonts w:ascii="Times New Roman" w:hAnsi="Times New Roman" w:cs="Times New Roman"/>
          <w:color w:val="000000" w:themeColor="text1"/>
          <w:lang w:val="en-US"/>
        </w:rPr>
        <w:t>we aim to work</w:t>
      </w:r>
      <w:r w:rsidRPr="00F3749A">
        <w:rPr>
          <w:rFonts w:ascii="Times New Roman" w:hAnsi="Times New Roman" w:cs="Times New Roman"/>
          <w:color w:val="000000" w:themeColor="text1"/>
          <w:lang w:val="en-US"/>
        </w:rPr>
        <w:t xml:space="preserve"> on </w:t>
      </w:r>
      <w:r w:rsidR="00B051BC" w:rsidRPr="00F3749A">
        <w:rPr>
          <w:rFonts w:ascii="Times New Roman" w:hAnsi="Times New Roman" w:cs="Times New Roman"/>
          <w:color w:val="000000" w:themeColor="text1"/>
          <w:lang w:val="en-US"/>
        </w:rPr>
        <w:t>developing</w:t>
      </w:r>
      <w:r w:rsidRPr="00F3749A">
        <w:rPr>
          <w:rFonts w:ascii="Times New Roman" w:hAnsi="Times New Roman" w:cs="Times New Roman"/>
          <w:color w:val="000000" w:themeColor="text1"/>
          <w:lang w:val="en-US"/>
        </w:rPr>
        <w:t xml:space="preserve"> a </w:t>
      </w:r>
      <w:r w:rsidR="00B051BC" w:rsidRPr="00F3749A">
        <w:rPr>
          <w:rFonts w:ascii="Times New Roman" w:hAnsi="Times New Roman" w:cs="Times New Roman"/>
          <w:color w:val="000000" w:themeColor="text1"/>
          <w:lang w:val="en-US"/>
        </w:rPr>
        <w:t>casual</w:t>
      </w:r>
      <w:r w:rsidRPr="00F3749A">
        <w:rPr>
          <w:rFonts w:ascii="Times New Roman" w:hAnsi="Times New Roman" w:cs="Times New Roman"/>
          <w:color w:val="000000" w:themeColor="text1"/>
          <w:lang w:val="en-US"/>
        </w:rPr>
        <w:t xml:space="preserve"> story</w:t>
      </w:r>
      <w:r w:rsidR="00B051BC" w:rsidRPr="00F3749A">
        <w:rPr>
          <w:rFonts w:ascii="Times New Roman" w:hAnsi="Times New Roman" w:cs="Times New Roman"/>
          <w:color w:val="000000" w:themeColor="text1"/>
          <w:lang w:val="en-US"/>
        </w:rPr>
        <w:t xml:space="preserve"> between these three factors and EU’s thinning democracy agenda for Turkey.</w:t>
      </w:r>
      <w:r w:rsidRPr="00F3749A">
        <w:rPr>
          <w:rFonts w:ascii="Times New Roman" w:hAnsi="Times New Roman" w:cs="Times New Roman"/>
          <w:color w:val="000000" w:themeColor="text1"/>
          <w:lang w:val="en-US"/>
        </w:rPr>
        <w:t xml:space="preserve"> All suggestions and comments are welcome!</w:t>
      </w:r>
    </w:p>
  </w:footnote>
  <w:footnote w:id="3">
    <w:p w14:paraId="5211553D" w14:textId="3BC3299E" w:rsidR="007A7392" w:rsidRPr="00247530" w:rsidRDefault="007A7392" w:rsidP="007A7392">
      <w:pPr>
        <w:pStyle w:val="FootnoteText"/>
        <w:rPr>
          <w:rFonts w:ascii="Times New Roman" w:hAnsi="Times New Roman" w:cs="Times New Roman"/>
          <w:i/>
          <w:iCs/>
          <w:sz w:val="16"/>
          <w:szCs w:val="16"/>
        </w:rPr>
      </w:pPr>
      <w:r w:rsidRPr="00247530">
        <w:rPr>
          <w:rStyle w:val="FootnoteReference"/>
          <w:rFonts w:ascii="Times New Roman" w:hAnsi="Times New Roman" w:cs="Times New Roman"/>
        </w:rPr>
        <w:footnoteRef/>
      </w:r>
      <w:r w:rsidRPr="00247530">
        <w:rPr>
          <w:rFonts w:ascii="Times New Roman" w:hAnsi="Times New Roman" w:cs="Times New Roman"/>
        </w:rPr>
        <w:t xml:space="preserve"> </w:t>
      </w:r>
      <w:r w:rsidRPr="00247530">
        <w:rPr>
          <w:rFonts w:ascii="Times New Roman" w:hAnsi="Times New Roman" w:cs="Times New Roman"/>
          <w:sz w:val="16"/>
          <w:szCs w:val="16"/>
        </w:rPr>
        <w:t xml:space="preserve">Speech by High Representative/Vice-President </w:t>
      </w:r>
      <w:proofErr w:type="spellStart"/>
      <w:r w:rsidRPr="00247530">
        <w:rPr>
          <w:rFonts w:ascii="Times New Roman" w:hAnsi="Times New Roman" w:cs="Times New Roman"/>
          <w:sz w:val="16"/>
          <w:szCs w:val="16"/>
        </w:rPr>
        <w:t>Josep</w:t>
      </w:r>
      <w:proofErr w:type="spellEnd"/>
      <w:r w:rsidRPr="00247530">
        <w:rPr>
          <w:rFonts w:ascii="Times New Roman" w:hAnsi="Times New Roman" w:cs="Times New Roman"/>
          <w:sz w:val="16"/>
          <w:szCs w:val="16"/>
        </w:rPr>
        <w:t xml:space="preserve"> Borrell in the EP Plenary</w:t>
      </w:r>
      <w:r w:rsidRPr="00247530">
        <w:rPr>
          <w:rFonts w:ascii="Times New Roman" w:hAnsi="Times New Roman" w:cs="Times New Roman"/>
          <w:b/>
          <w:bCs/>
          <w:i/>
          <w:iCs/>
          <w:sz w:val="16"/>
          <w:szCs w:val="16"/>
        </w:rPr>
        <w:t xml:space="preserve"> </w:t>
      </w:r>
      <w:r w:rsidRPr="00247530">
        <w:rPr>
          <w:rFonts w:ascii="Times New Roman" w:hAnsi="Times New Roman" w:cs="Times New Roman"/>
          <w:i/>
          <w:iCs/>
          <w:sz w:val="16"/>
          <w:szCs w:val="16"/>
        </w:rPr>
        <w:t xml:space="preserve">“One specific thing that has been raised by several Members [of Parliament] is: “How can you still continue funding Turkey? How can you be prepared to give more money to Turkey?” I think that you are referring to the funding for refugees and, certainly, I think that we will have to continue supporting the refugees that are being hosted in Turkey’s territory. Our support to these refugees is a sign of solidarity and it is also an investment in our </w:t>
      </w:r>
      <w:r w:rsidR="00D40370" w:rsidRPr="00247530">
        <w:rPr>
          <w:rFonts w:ascii="Times New Roman" w:hAnsi="Times New Roman" w:cs="Times New Roman"/>
          <w:i/>
          <w:iCs/>
          <w:sz w:val="16"/>
          <w:szCs w:val="16"/>
        </w:rPr>
        <w:t>s</w:t>
      </w:r>
      <w:r w:rsidRPr="00247530">
        <w:rPr>
          <w:rFonts w:ascii="Times New Roman" w:hAnsi="Times New Roman" w:cs="Times New Roman"/>
          <w:i/>
          <w:iCs/>
          <w:sz w:val="16"/>
          <w:szCs w:val="16"/>
        </w:rPr>
        <w:t>tability.</w:t>
      </w:r>
      <w:r w:rsidR="00D40370" w:rsidRPr="00247530">
        <w:rPr>
          <w:rFonts w:ascii="Times New Roman" w:hAnsi="Times New Roman" w:cs="Times New Roman"/>
          <w:i/>
          <w:iCs/>
          <w:sz w:val="16"/>
          <w:szCs w:val="16"/>
        </w:rPr>
        <w:t xml:space="preserve">” </w:t>
      </w:r>
      <w:r w:rsidRPr="00247530">
        <w:rPr>
          <w:rFonts w:ascii="Times New Roman" w:hAnsi="Times New Roman" w:cs="Times New Roman"/>
          <w:i/>
          <w:iCs/>
          <w:sz w:val="16"/>
          <w:szCs w:val="16"/>
        </w:rPr>
        <w:t> </w:t>
      </w:r>
      <w:hyperlink r:id="rId2" w:tgtFrame="_blank" w:history="1">
        <w:r w:rsidRPr="00247530">
          <w:rPr>
            <w:rStyle w:val="Hyperlink"/>
            <w:rFonts w:ascii="Times New Roman" w:hAnsi="Times New Roman" w:cs="Times New Roman"/>
            <w:i/>
            <w:iCs/>
            <w:sz w:val="16"/>
            <w:szCs w:val="16"/>
          </w:rPr>
          <w:t>https://audiovisual.ec.europa.eu/en/video/I-208729</w:t>
        </w:r>
      </w:hyperlink>
    </w:p>
    <w:p w14:paraId="4F501C1E" w14:textId="7DFFE49E" w:rsidR="007A7392" w:rsidRPr="007A7392" w:rsidRDefault="007A7392">
      <w:pPr>
        <w:pStyle w:val="FootnoteText"/>
        <w:rPr>
          <w:lang w:val="en-US"/>
        </w:rPr>
      </w:pPr>
    </w:p>
  </w:footnote>
  <w:footnote w:id="4">
    <w:p w14:paraId="0435DC68" w14:textId="56A6D431" w:rsidR="00F24607" w:rsidRPr="00B051BC" w:rsidRDefault="00F24607" w:rsidP="00B051BC">
      <w:pPr>
        <w:pStyle w:val="NoSpacing"/>
        <w:rPr>
          <w:rFonts w:ascii="Times New Roman" w:hAnsi="Times New Roman" w:cs="Times New Roman"/>
          <w:sz w:val="20"/>
          <w:szCs w:val="20"/>
          <w:lang w:val="en-GB"/>
        </w:rPr>
      </w:pPr>
      <w:r w:rsidRPr="00B051BC">
        <w:rPr>
          <w:rStyle w:val="FootnoteReference"/>
          <w:rFonts w:ascii="Times New Roman" w:hAnsi="Times New Roman" w:cs="Times New Roman"/>
          <w:sz w:val="20"/>
          <w:szCs w:val="20"/>
        </w:rPr>
        <w:footnoteRef/>
      </w:r>
      <w:r w:rsidRPr="00B051BC">
        <w:rPr>
          <w:rFonts w:ascii="Times New Roman" w:hAnsi="Times New Roman" w:cs="Times New Roman"/>
          <w:sz w:val="20"/>
          <w:szCs w:val="20"/>
        </w:rPr>
        <w:t xml:space="preserve"> See </w:t>
      </w:r>
      <w:r w:rsidR="00940FBD" w:rsidRPr="00B051BC">
        <w:rPr>
          <w:rFonts w:ascii="Times New Roman" w:hAnsi="Times New Roman" w:cs="Times New Roman"/>
          <w:sz w:val="20"/>
          <w:szCs w:val="20"/>
        </w:rPr>
        <w:t xml:space="preserve">C. </w:t>
      </w:r>
      <w:proofErr w:type="spellStart"/>
      <w:r w:rsidR="00940FBD" w:rsidRPr="00B051BC">
        <w:rPr>
          <w:rFonts w:ascii="Times New Roman" w:hAnsi="Times New Roman" w:cs="Times New Roman"/>
          <w:sz w:val="20"/>
          <w:szCs w:val="20"/>
        </w:rPr>
        <w:t>Balkır</w:t>
      </w:r>
      <w:proofErr w:type="spellEnd"/>
      <w:r w:rsidRPr="00B051BC">
        <w:rPr>
          <w:rFonts w:ascii="Times New Roman" w:hAnsi="Times New Roman" w:cs="Times New Roman"/>
          <w:sz w:val="20"/>
          <w:szCs w:val="20"/>
        </w:rPr>
        <w:t xml:space="preserve"> and M. Aknur, “Different Trajectories yet the Same Substance: Croatia and Turkey” in Anne Wetzel and Jan </w:t>
      </w:r>
      <w:proofErr w:type="spellStart"/>
      <w:r w:rsidRPr="00B051BC">
        <w:rPr>
          <w:rFonts w:ascii="Times New Roman" w:hAnsi="Times New Roman" w:cs="Times New Roman"/>
          <w:sz w:val="20"/>
          <w:szCs w:val="20"/>
        </w:rPr>
        <w:t>Orbie</w:t>
      </w:r>
      <w:proofErr w:type="spellEnd"/>
      <w:r w:rsidRPr="00B051BC">
        <w:rPr>
          <w:rFonts w:ascii="Times New Roman" w:hAnsi="Times New Roman" w:cs="Times New Roman"/>
          <w:sz w:val="20"/>
          <w:szCs w:val="20"/>
        </w:rPr>
        <w:t xml:space="preserve"> eds., </w:t>
      </w:r>
      <w:r w:rsidRPr="00B051BC">
        <w:rPr>
          <w:rFonts w:ascii="Times New Roman" w:hAnsi="Times New Roman" w:cs="Times New Roman"/>
          <w:i/>
          <w:iCs/>
          <w:sz w:val="20"/>
          <w:szCs w:val="20"/>
        </w:rPr>
        <w:t>The Substance of EU Democracy Promotion,</w:t>
      </w:r>
      <w:r w:rsidRPr="00B051BC">
        <w:rPr>
          <w:rFonts w:ascii="Times New Roman" w:hAnsi="Times New Roman" w:cs="Times New Roman"/>
          <w:sz w:val="20"/>
          <w:szCs w:val="20"/>
        </w:rPr>
        <w:t xml:space="preserve"> </w:t>
      </w:r>
      <w:proofErr w:type="gramStart"/>
      <w:r w:rsidRPr="00B051BC">
        <w:rPr>
          <w:rFonts w:ascii="Times New Roman" w:hAnsi="Times New Roman" w:cs="Times New Roman"/>
          <w:sz w:val="20"/>
          <w:szCs w:val="20"/>
        </w:rPr>
        <w:t>London</w:t>
      </w:r>
      <w:proofErr w:type="gramEnd"/>
      <w:r w:rsidRPr="00B051BC">
        <w:rPr>
          <w:rFonts w:ascii="Times New Roman" w:hAnsi="Times New Roman" w:cs="Times New Roman"/>
          <w:sz w:val="20"/>
          <w:szCs w:val="20"/>
        </w:rPr>
        <w:t xml:space="preserve"> and New York: Palgrave, MacMillan, 2015, pp. 85-103.</w:t>
      </w:r>
    </w:p>
  </w:footnote>
  <w:footnote w:id="5">
    <w:p w14:paraId="21553436" w14:textId="0584429A" w:rsidR="00F24607" w:rsidRPr="00B051BC" w:rsidRDefault="00F24607" w:rsidP="00B051BC">
      <w:pPr>
        <w:pStyle w:val="NoSpacing"/>
        <w:rPr>
          <w:rFonts w:ascii="Times New Roman" w:hAnsi="Times New Roman" w:cs="Times New Roman"/>
          <w:sz w:val="20"/>
          <w:szCs w:val="20"/>
        </w:rPr>
      </w:pPr>
      <w:r w:rsidRPr="00B051BC">
        <w:rPr>
          <w:rStyle w:val="FootnoteReference"/>
          <w:rFonts w:ascii="Times New Roman" w:hAnsi="Times New Roman" w:cs="Times New Roman"/>
          <w:sz w:val="20"/>
          <w:szCs w:val="20"/>
        </w:rPr>
        <w:footnoteRef/>
      </w:r>
      <w:r w:rsidRPr="00B051BC">
        <w:rPr>
          <w:rFonts w:ascii="Times New Roman" w:hAnsi="Times New Roman" w:cs="Times New Roman"/>
          <w:sz w:val="20"/>
          <w:szCs w:val="20"/>
        </w:rPr>
        <w:t xml:space="preserve"> </w:t>
      </w:r>
      <w:r w:rsidR="000C07A2" w:rsidRPr="000C07A2">
        <w:rPr>
          <w:rFonts w:ascii="Times New Roman" w:hAnsi="Times New Roman" w:cs="Times New Roman"/>
          <w:sz w:val="20"/>
          <w:szCs w:val="20"/>
        </w:rPr>
        <w:t xml:space="preserve">European Commission </w:t>
      </w:r>
      <w:r w:rsidR="0021026A" w:rsidRPr="00B051BC">
        <w:rPr>
          <w:rFonts w:ascii="Times New Roman" w:hAnsi="Times New Roman" w:cs="Times New Roman"/>
          <w:sz w:val="20"/>
          <w:szCs w:val="20"/>
        </w:rPr>
        <w:t>2014 Progress</w:t>
      </w:r>
      <w:r w:rsidRPr="00B051BC">
        <w:rPr>
          <w:rFonts w:ascii="Times New Roman" w:hAnsi="Times New Roman" w:cs="Times New Roman"/>
          <w:sz w:val="20"/>
          <w:szCs w:val="20"/>
        </w:rPr>
        <w:t xml:space="preserve"> Report, p. 6. </w:t>
      </w:r>
    </w:p>
  </w:footnote>
  <w:footnote w:id="6">
    <w:p w14:paraId="7670F0DB" w14:textId="61A560E7" w:rsidR="007A516B" w:rsidRPr="00B051BC" w:rsidRDefault="007A516B" w:rsidP="00B051BC">
      <w:pPr>
        <w:pStyle w:val="NoSpacing"/>
        <w:rPr>
          <w:rFonts w:ascii="Times New Roman" w:hAnsi="Times New Roman" w:cs="Times New Roman"/>
          <w:sz w:val="20"/>
          <w:szCs w:val="20"/>
        </w:rPr>
      </w:pPr>
      <w:r w:rsidRPr="00B051BC">
        <w:rPr>
          <w:rStyle w:val="FootnoteReference"/>
          <w:rFonts w:ascii="Times New Roman" w:hAnsi="Times New Roman" w:cs="Times New Roman"/>
          <w:sz w:val="20"/>
          <w:szCs w:val="20"/>
        </w:rPr>
        <w:footnoteRef/>
      </w:r>
      <w:r w:rsidRPr="00B051BC">
        <w:rPr>
          <w:rFonts w:ascii="Times New Roman" w:hAnsi="Times New Roman" w:cs="Times New Roman"/>
          <w:sz w:val="20"/>
          <w:szCs w:val="20"/>
        </w:rPr>
        <w:t xml:space="preserve"> European Commission </w:t>
      </w:r>
      <w:r w:rsidR="00465614">
        <w:rPr>
          <w:rFonts w:ascii="Times New Roman" w:hAnsi="Times New Roman" w:cs="Times New Roman"/>
          <w:sz w:val="20"/>
          <w:szCs w:val="20"/>
        </w:rPr>
        <w:t xml:space="preserve">Progress Reports </w:t>
      </w:r>
      <w:r w:rsidRPr="00B051BC">
        <w:rPr>
          <w:rFonts w:ascii="Times New Roman" w:hAnsi="Times New Roman" w:cs="Times New Roman"/>
          <w:sz w:val="20"/>
          <w:szCs w:val="20"/>
        </w:rPr>
        <w:t>1998</w:t>
      </w:r>
      <w:r w:rsidR="001C04A5">
        <w:rPr>
          <w:rFonts w:ascii="Times New Roman" w:hAnsi="Times New Roman" w:cs="Times New Roman"/>
          <w:sz w:val="20"/>
          <w:szCs w:val="20"/>
        </w:rPr>
        <w:t>, pp.</w:t>
      </w:r>
      <w:r w:rsidRPr="00B051BC">
        <w:rPr>
          <w:rFonts w:ascii="Times New Roman" w:hAnsi="Times New Roman" w:cs="Times New Roman"/>
          <w:sz w:val="20"/>
          <w:szCs w:val="20"/>
        </w:rPr>
        <w:t xml:space="preserve"> 14–15</w:t>
      </w:r>
      <w:r w:rsidR="001C04A5">
        <w:rPr>
          <w:rFonts w:ascii="Times New Roman" w:hAnsi="Times New Roman" w:cs="Times New Roman"/>
          <w:sz w:val="20"/>
          <w:szCs w:val="20"/>
        </w:rPr>
        <w:t>;</w:t>
      </w:r>
      <w:r w:rsidRPr="00B051BC">
        <w:rPr>
          <w:rFonts w:ascii="Times New Roman" w:hAnsi="Times New Roman" w:cs="Times New Roman"/>
          <w:sz w:val="20"/>
          <w:szCs w:val="20"/>
        </w:rPr>
        <w:t xml:space="preserve"> 1999</w:t>
      </w:r>
      <w:r w:rsidR="001C04A5">
        <w:rPr>
          <w:rFonts w:ascii="Times New Roman" w:hAnsi="Times New Roman" w:cs="Times New Roman"/>
          <w:sz w:val="20"/>
          <w:szCs w:val="20"/>
        </w:rPr>
        <w:t>, pp.</w:t>
      </w:r>
      <w:r w:rsidRPr="00B051BC">
        <w:rPr>
          <w:rFonts w:ascii="Times New Roman" w:hAnsi="Times New Roman" w:cs="Times New Roman"/>
          <w:sz w:val="20"/>
          <w:szCs w:val="20"/>
        </w:rPr>
        <w:t>10–11, 2000</w:t>
      </w:r>
      <w:r w:rsidR="00C12B84">
        <w:rPr>
          <w:rFonts w:ascii="Times New Roman" w:hAnsi="Times New Roman" w:cs="Times New Roman"/>
          <w:sz w:val="20"/>
          <w:szCs w:val="20"/>
        </w:rPr>
        <w:t>, p.</w:t>
      </w:r>
      <w:r w:rsidRPr="00B051BC">
        <w:rPr>
          <w:rFonts w:ascii="Times New Roman" w:hAnsi="Times New Roman" w:cs="Times New Roman"/>
          <w:sz w:val="20"/>
          <w:szCs w:val="20"/>
        </w:rPr>
        <w:t xml:space="preserve"> </w:t>
      </w:r>
      <w:r w:rsidR="00C12B84" w:rsidRPr="00B051BC">
        <w:rPr>
          <w:rFonts w:ascii="Times New Roman" w:hAnsi="Times New Roman" w:cs="Times New Roman"/>
          <w:sz w:val="20"/>
          <w:szCs w:val="20"/>
        </w:rPr>
        <w:t>15</w:t>
      </w:r>
      <w:r w:rsidR="00C12B84">
        <w:rPr>
          <w:rFonts w:ascii="Times New Roman" w:hAnsi="Times New Roman" w:cs="Times New Roman"/>
          <w:sz w:val="20"/>
          <w:szCs w:val="20"/>
        </w:rPr>
        <w:t xml:space="preserve">; </w:t>
      </w:r>
      <w:r w:rsidR="00C12B84" w:rsidRPr="00B051BC">
        <w:rPr>
          <w:rFonts w:ascii="Times New Roman" w:hAnsi="Times New Roman" w:cs="Times New Roman"/>
          <w:sz w:val="20"/>
          <w:szCs w:val="20"/>
        </w:rPr>
        <w:t>2001</w:t>
      </w:r>
      <w:r w:rsidR="00C12B84">
        <w:rPr>
          <w:rFonts w:ascii="Times New Roman" w:hAnsi="Times New Roman" w:cs="Times New Roman"/>
          <w:sz w:val="20"/>
          <w:szCs w:val="20"/>
        </w:rPr>
        <w:t>, p.</w:t>
      </w:r>
      <w:r w:rsidRPr="00B051BC">
        <w:rPr>
          <w:rFonts w:ascii="Times New Roman" w:hAnsi="Times New Roman" w:cs="Times New Roman"/>
          <w:sz w:val="20"/>
          <w:szCs w:val="20"/>
        </w:rPr>
        <w:t xml:space="preserve"> 22</w:t>
      </w:r>
      <w:r w:rsidR="00C12B84">
        <w:rPr>
          <w:rFonts w:ascii="Times New Roman" w:hAnsi="Times New Roman" w:cs="Times New Roman"/>
          <w:sz w:val="20"/>
          <w:szCs w:val="20"/>
        </w:rPr>
        <w:t>;</w:t>
      </w:r>
      <w:r w:rsidRPr="00B051BC">
        <w:rPr>
          <w:rFonts w:ascii="Times New Roman" w:hAnsi="Times New Roman" w:cs="Times New Roman"/>
          <w:sz w:val="20"/>
          <w:szCs w:val="20"/>
        </w:rPr>
        <w:t xml:space="preserve"> 2002</w:t>
      </w:r>
      <w:r w:rsidR="00C12B84">
        <w:rPr>
          <w:rFonts w:ascii="Times New Roman" w:hAnsi="Times New Roman" w:cs="Times New Roman"/>
          <w:sz w:val="20"/>
          <w:szCs w:val="20"/>
        </w:rPr>
        <w:t xml:space="preserve">, </w:t>
      </w:r>
      <w:r w:rsidR="00441F79">
        <w:rPr>
          <w:rFonts w:ascii="Times New Roman" w:hAnsi="Times New Roman" w:cs="Times New Roman"/>
          <w:sz w:val="20"/>
          <w:szCs w:val="20"/>
        </w:rPr>
        <w:t>pp.</w:t>
      </w:r>
      <w:r w:rsidRPr="00B051BC">
        <w:rPr>
          <w:rFonts w:ascii="Times New Roman" w:hAnsi="Times New Roman" w:cs="Times New Roman"/>
          <w:sz w:val="20"/>
          <w:szCs w:val="20"/>
        </w:rPr>
        <w:t xml:space="preserve"> 23, 29</w:t>
      </w:r>
      <w:r w:rsidR="00441F79">
        <w:rPr>
          <w:rFonts w:ascii="Times New Roman" w:hAnsi="Times New Roman" w:cs="Times New Roman"/>
          <w:sz w:val="20"/>
          <w:szCs w:val="20"/>
        </w:rPr>
        <w:t>;</w:t>
      </w:r>
      <w:r w:rsidRPr="00B051BC">
        <w:rPr>
          <w:rFonts w:ascii="Times New Roman" w:hAnsi="Times New Roman" w:cs="Times New Roman"/>
          <w:sz w:val="20"/>
          <w:szCs w:val="20"/>
        </w:rPr>
        <w:t xml:space="preserve"> 2010</w:t>
      </w:r>
      <w:r w:rsidR="00F12402">
        <w:rPr>
          <w:rFonts w:ascii="Times New Roman" w:hAnsi="Times New Roman" w:cs="Times New Roman"/>
          <w:sz w:val="20"/>
          <w:szCs w:val="20"/>
        </w:rPr>
        <w:t>, p.</w:t>
      </w:r>
      <w:r w:rsidRPr="00B051BC">
        <w:rPr>
          <w:rFonts w:ascii="Times New Roman" w:hAnsi="Times New Roman" w:cs="Times New Roman"/>
          <w:sz w:val="20"/>
          <w:szCs w:val="20"/>
        </w:rPr>
        <w:t xml:space="preserve"> 62</w:t>
      </w:r>
      <w:r w:rsidR="00F12402">
        <w:rPr>
          <w:rFonts w:ascii="Times New Roman" w:hAnsi="Times New Roman" w:cs="Times New Roman"/>
          <w:sz w:val="20"/>
          <w:szCs w:val="20"/>
        </w:rPr>
        <w:t>;</w:t>
      </w:r>
      <w:r w:rsidRPr="00B051BC">
        <w:rPr>
          <w:rFonts w:ascii="Times New Roman" w:hAnsi="Times New Roman" w:cs="Times New Roman"/>
          <w:sz w:val="20"/>
          <w:szCs w:val="20"/>
        </w:rPr>
        <w:t xml:space="preserve"> </w:t>
      </w:r>
      <w:r w:rsidR="00DE0C9D" w:rsidRPr="00B051BC">
        <w:rPr>
          <w:rFonts w:ascii="Times New Roman" w:hAnsi="Times New Roman" w:cs="Times New Roman"/>
          <w:sz w:val="20"/>
          <w:szCs w:val="20"/>
        </w:rPr>
        <w:t>2012</w:t>
      </w:r>
      <w:r w:rsidR="00DE0C9D">
        <w:rPr>
          <w:rFonts w:ascii="Times New Roman" w:hAnsi="Times New Roman" w:cs="Times New Roman"/>
          <w:sz w:val="20"/>
          <w:szCs w:val="20"/>
        </w:rPr>
        <w:t>, p.</w:t>
      </w:r>
      <w:r w:rsidRPr="00B051BC">
        <w:rPr>
          <w:rFonts w:ascii="Times New Roman" w:hAnsi="Times New Roman" w:cs="Times New Roman"/>
          <w:sz w:val="20"/>
          <w:szCs w:val="20"/>
        </w:rPr>
        <w:t>18</w:t>
      </w:r>
      <w:r w:rsidR="00DE0C9D">
        <w:rPr>
          <w:rFonts w:ascii="Times New Roman" w:hAnsi="Times New Roman" w:cs="Times New Roman"/>
          <w:sz w:val="20"/>
          <w:szCs w:val="20"/>
        </w:rPr>
        <w:t>;</w:t>
      </w:r>
      <w:r w:rsidRPr="00B051BC">
        <w:rPr>
          <w:rFonts w:ascii="Times New Roman" w:hAnsi="Times New Roman" w:cs="Times New Roman"/>
          <w:sz w:val="20"/>
          <w:szCs w:val="20"/>
        </w:rPr>
        <w:t xml:space="preserve"> Council of the European Union </w:t>
      </w:r>
      <w:proofErr w:type="gramStart"/>
      <w:r w:rsidRPr="00B051BC">
        <w:rPr>
          <w:rFonts w:ascii="Times New Roman" w:hAnsi="Times New Roman" w:cs="Times New Roman"/>
          <w:sz w:val="20"/>
          <w:szCs w:val="20"/>
        </w:rPr>
        <w:t>2008</w:t>
      </w:r>
      <w:r w:rsidR="00DE0C9D">
        <w:rPr>
          <w:rFonts w:ascii="Times New Roman" w:hAnsi="Times New Roman" w:cs="Times New Roman"/>
          <w:sz w:val="20"/>
          <w:szCs w:val="20"/>
        </w:rPr>
        <w:t>,p.</w:t>
      </w:r>
      <w:proofErr w:type="gramEnd"/>
      <w:r w:rsidRPr="00B051BC">
        <w:rPr>
          <w:rFonts w:ascii="Times New Roman" w:hAnsi="Times New Roman" w:cs="Times New Roman"/>
          <w:sz w:val="20"/>
          <w:szCs w:val="20"/>
        </w:rPr>
        <w:t xml:space="preserve"> 7.</w:t>
      </w:r>
    </w:p>
  </w:footnote>
  <w:footnote w:id="7">
    <w:p w14:paraId="181F706B" w14:textId="2274677D" w:rsidR="0070759E" w:rsidRPr="00B051BC" w:rsidRDefault="0070759E" w:rsidP="00B051BC">
      <w:pPr>
        <w:pStyle w:val="NoSpacing"/>
        <w:rPr>
          <w:rFonts w:ascii="Times New Roman" w:hAnsi="Times New Roman" w:cs="Times New Roman"/>
          <w:sz w:val="20"/>
          <w:szCs w:val="20"/>
        </w:rPr>
      </w:pPr>
      <w:r w:rsidRPr="00B051BC">
        <w:rPr>
          <w:rStyle w:val="FootnoteReference"/>
          <w:rFonts w:ascii="Times New Roman" w:hAnsi="Times New Roman" w:cs="Times New Roman"/>
          <w:sz w:val="20"/>
          <w:szCs w:val="20"/>
        </w:rPr>
        <w:footnoteRef/>
      </w:r>
      <w:r w:rsidRPr="00B051BC">
        <w:rPr>
          <w:rFonts w:ascii="Times New Roman" w:hAnsi="Times New Roman" w:cs="Times New Roman"/>
          <w:sz w:val="20"/>
          <w:szCs w:val="20"/>
        </w:rPr>
        <w:t xml:space="preserve"> European Commission </w:t>
      </w:r>
      <w:r w:rsidR="00CD13F1">
        <w:rPr>
          <w:rFonts w:ascii="Times New Roman" w:hAnsi="Times New Roman" w:cs="Times New Roman"/>
          <w:sz w:val="20"/>
          <w:szCs w:val="20"/>
        </w:rPr>
        <w:t>Progress reports</w:t>
      </w:r>
      <w:r w:rsidR="00465614">
        <w:rPr>
          <w:rFonts w:ascii="Times New Roman" w:hAnsi="Times New Roman" w:cs="Times New Roman"/>
          <w:sz w:val="20"/>
          <w:szCs w:val="20"/>
        </w:rPr>
        <w:t xml:space="preserve"> </w:t>
      </w:r>
      <w:r w:rsidRPr="00B051BC">
        <w:rPr>
          <w:rFonts w:ascii="Times New Roman" w:hAnsi="Times New Roman" w:cs="Times New Roman"/>
          <w:sz w:val="20"/>
          <w:szCs w:val="20"/>
        </w:rPr>
        <w:t>2003, 2004, 2005, 2006, 2007, 2008, 2010, 2011, 2012</w:t>
      </w:r>
    </w:p>
  </w:footnote>
  <w:footnote w:id="8">
    <w:p w14:paraId="4B9F126A" w14:textId="04DC8639" w:rsidR="00F24607" w:rsidRPr="00B051BC" w:rsidRDefault="00F24607" w:rsidP="00B051BC">
      <w:pPr>
        <w:pStyle w:val="NoSpacing"/>
        <w:rPr>
          <w:rFonts w:ascii="Times New Roman" w:hAnsi="Times New Roman" w:cs="Times New Roman"/>
          <w:sz w:val="20"/>
          <w:szCs w:val="20"/>
        </w:rPr>
      </w:pPr>
      <w:r w:rsidRPr="00B051BC">
        <w:rPr>
          <w:rStyle w:val="FootnoteReference"/>
          <w:rFonts w:ascii="Times New Roman" w:hAnsi="Times New Roman" w:cs="Times New Roman"/>
          <w:sz w:val="20"/>
          <w:szCs w:val="20"/>
        </w:rPr>
        <w:footnoteRef/>
      </w:r>
      <w:r w:rsidRPr="00B051BC">
        <w:rPr>
          <w:rFonts w:ascii="Times New Roman" w:hAnsi="Times New Roman" w:cs="Times New Roman"/>
          <w:sz w:val="20"/>
          <w:szCs w:val="20"/>
        </w:rPr>
        <w:t xml:space="preserve"> </w:t>
      </w:r>
      <w:r w:rsidR="000C07A2" w:rsidRPr="000C07A2">
        <w:rPr>
          <w:rFonts w:ascii="Times New Roman" w:hAnsi="Times New Roman" w:cs="Times New Roman"/>
          <w:sz w:val="20"/>
          <w:szCs w:val="20"/>
        </w:rPr>
        <w:t xml:space="preserve">European Commission </w:t>
      </w:r>
      <w:r w:rsidRPr="00B051BC">
        <w:rPr>
          <w:rFonts w:ascii="Times New Roman" w:hAnsi="Times New Roman" w:cs="Times New Roman"/>
          <w:sz w:val="20"/>
          <w:szCs w:val="20"/>
        </w:rPr>
        <w:t xml:space="preserve">2015 </w:t>
      </w:r>
      <w:r w:rsidR="0021026A">
        <w:rPr>
          <w:rFonts w:ascii="Times New Roman" w:hAnsi="Times New Roman" w:cs="Times New Roman"/>
          <w:sz w:val="20"/>
          <w:szCs w:val="20"/>
        </w:rPr>
        <w:t xml:space="preserve">Country </w:t>
      </w:r>
      <w:r w:rsidR="0021026A" w:rsidRPr="00B051BC">
        <w:rPr>
          <w:rFonts w:ascii="Times New Roman" w:hAnsi="Times New Roman" w:cs="Times New Roman"/>
          <w:sz w:val="20"/>
          <w:szCs w:val="20"/>
        </w:rPr>
        <w:t>Report</w:t>
      </w:r>
      <w:r w:rsidR="001F206B" w:rsidRPr="00B051BC">
        <w:rPr>
          <w:rFonts w:ascii="Times New Roman" w:hAnsi="Times New Roman" w:cs="Times New Roman"/>
          <w:sz w:val="20"/>
          <w:szCs w:val="20"/>
        </w:rPr>
        <w:t>,</w:t>
      </w:r>
      <w:r w:rsidRPr="00B051BC">
        <w:rPr>
          <w:rFonts w:ascii="Times New Roman" w:hAnsi="Times New Roman" w:cs="Times New Roman"/>
          <w:sz w:val="20"/>
          <w:szCs w:val="20"/>
        </w:rPr>
        <w:t xml:space="preserve"> pp. 20-21.</w:t>
      </w:r>
    </w:p>
  </w:footnote>
  <w:footnote w:id="9">
    <w:p w14:paraId="798174E5" w14:textId="1915773B" w:rsidR="00F24607" w:rsidRPr="00AF3AFA" w:rsidRDefault="00F24607" w:rsidP="00B051BC">
      <w:pPr>
        <w:pStyle w:val="NoSpacing"/>
      </w:pPr>
      <w:r w:rsidRPr="00B051BC">
        <w:rPr>
          <w:rStyle w:val="FootnoteReference"/>
          <w:rFonts w:ascii="Times New Roman" w:hAnsi="Times New Roman" w:cs="Times New Roman"/>
          <w:sz w:val="20"/>
          <w:szCs w:val="20"/>
        </w:rPr>
        <w:footnoteRef/>
      </w:r>
      <w:r w:rsidRPr="00B051BC">
        <w:rPr>
          <w:rFonts w:ascii="Times New Roman" w:hAnsi="Times New Roman" w:cs="Times New Roman"/>
          <w:sz w:val="20"/>
          <w:szCs w:val="20"/>
        </w:rPr>
        <w:t xml:space="preserve">  </w:t>
      </w:r>
      <w:r w:rsidR="003C3A90" w:rsidRPr="003C3A90">
        <w:rPr>
          <w:rFonts w:ascii="Times New Roman" w:hAnsi="Times New Roman" w:cs="Times New Roman"/>
          <w:sz w:val="20"/>
          <w:szCs w:val="20"/>
        </w:rPr>
        <w:t>European Commission</w:t>
      </w:r>
      <w:r w:rsidR="003C3A90">
        <w:rPr>
          <w:rFonts w:ascii="Times New Roman" w:hAnsi="Times New Roman" w:cs="Times New Roman"/>
          <w:sz w:val="20"/>
          <w:szCs w:val="20"/>
        </w:rPr>
        <w:t xml:space="preserve">, </w:t>
      </w:r>
      <w:r w:rsidRPr="00B051BC">
        <w:rPr>
          <w:rFonts w:ascii="Times New Roman" w:hAnsi="Times New Roman" w:cs="Times New Roman"/>
          <w:sz w:val="20"/>
          <w:szCs w:val="20"/>
        </w:rPr>
        <w:t xml:space="preserve">2018 </w:t>
      </w:r>
      <w:r w:rsidR="00161807">
        <w:rPr>
          <w:rFonts w:ascii="Times New Roman" w:hAnsi="Times New Roman" w:cs="Times New Roman"/>
          <w:sz w:val="20"/>
          <w:szCs w:val="20"/>
        </w:rPr>
        <w:t>Country Report Turkey</w:t>
      </w:r>
      <w:r w:rsidRPr="00B051BC">
        <w:rPr>
          <w:rFonts w:ascii="Times New Roman" w:hAnsi="Times New Roman" w:cs="Times New Roman"/>
          <w:sz w:val="20"/>
          <w:szCs w:val="20"/>
        </w:rPr>
        <w:t>, p. 39.</w:t>
      </w:r>
    </w:p>
  </w:footnote>
  <w:footnote w:id="10">
    <w:p w14:paraId="516206ED" w14:textId="5CC40B78" w:rsidR="00412A36" w:rsidRPr="00AF3AFA" w:rsidRDefault="00412A36" w:rsidP="00412A36">
      <w:pPr>
        <w:rPr>
          <w:rFonts w:ascii="Times New Roman" w:hAnsi="Times New Roman" w:cs="Times New Roman"/>
          <w:sz w:val="20"/>
          <w:szCs w:val="20"/>
        </w:rPr>
      </w:pPr>
      <w:r w:rsidRPr="00AF3AFA">
        <w:rPr>
          <w:rStyle w:val="FootnoteReference"/>
          <w:rFonts w:ascii="Times New Roman" w:hAnsi="Times New Roman" w:cs="Times New Roman"/>
          <w:sz w:val="20"/>
          <w:szCs w:val="20"/>
        </w:rPr>
        <w:footnoteRef/>
      </w:r>
      <w:r w:rsidRPr="00AF3AFA">
        <w:rPr>
          <w:rFonts w:ascii="Times New Roman" w:hAnsi="Times New Roman" w:cs="Times New Roman"/>
          <w:sz w:val="20"/>
          <w:szCs w:val="20"/>
        </w:rPr>
        <w:t xml:space="preserve"> </w:t>
      </w:r>
      <w:r w:rsidR="003C3A90" w:rsidRPr="003C3A90">
        <w:rPr>
          <w:rFonts w:ascii="Times New Roman" w:hAnsi="Times New Roman" w:cs="Times New Roman"/>
          <w:sz w:val="20"/>
          <w:szCs w:val="20"/>
        </w:rPr>
        <w:t>European Commission</w:t>
      </w:r>
      <w:r w:rsidR="003C3A90">
        <w:rPr>
          <w:rFonts w:ascii="Times New Roman" w:hAnsi="Times New Roman" w:cs="Times New Roman"/>
          <w:sz w:val="20"/>
          <w:szCs w:val="20"/>
        </w:rPr>
        <w:t xml:space="preserve">, </w:t>
      </w:r>
      <w:r w:rsidR="0021026A" w:rsidRPr="00AF3AFA">
        <w:rPr>
          <w:rFonts w:ascii="Times New Roman" w:hAnsi="Times New Roman" w:cs="Times New Roman"/>
          <w:sz w:val="20"/>
          <w:szCs w:val="20"/>
        </w:rPr>
        <w:t>2013 Progress</w:t>
      </w:r>
      <w:r w:rsidRPr="00AF3AFA">
        <w:rPr>
          <w:rFonts w:ascii="Times New Roman" w:hAnsi="Times New Roman" w:cs="Times New Roman"/>
          <w:sz w:val="20"/>
          <w:szCs w:val="20"/>
        </w:rPr>
        <w:t xml:space="preserve"> Report, p. 5.</w:t>
      </w:r>
    </w:p>
  </w:footnote>
  <w:footnote w:id="11">
    <w:p w14:paraId="7AFCC4E6" w14:textId="07ABD518" w:rsidR="00F83E90" w:rsidRPr="00AF3AFA" w:rsidRDefault="00F83E90" w:rsidP="00F83E90">
      <w:pPr>
        <w:rPr>
          <w:rFonts w:ascii="Times New Roman" w:hAnsi="Times New Roman" w:cs="Times New Roman"/>
          <w:sz w:val="20"/>
          <w:szCs w:val="20"/>
        </w:rPr>
      </w:pPr>
      <w:r w:rsidRPr="00AF3AFA">
        <w:rPr>
          <w:rStyle w:val="FootnoteReference"/>
          <w:rFonts w:ascii="Times New Roman" w:hAnsi="Times New Roman" w:cs="Times New Roman"/>
          <w:sz w:val="20"/>
          <w:szCs w:val="20"/>
        </w:rPr>
        <w:footnoteRef/>
      </w:r>
      <w:r w:rsidRPr="00AF3AFA">
        <w:rPr>
          <w:rFonts w:ascii="Times New Roman" w:hAnsi="Times New Roman" w:cs="Times New Roman"/>
          <w:sz w:val="20"/>
          <w:szCs w:val="20"/>
        </w:rPr>
        <w:t xml:space="preserve"> </w:t>
      </w:r>
      <w:bookmarkStart w:id="1" w:name="_Hlk103032945"/>
      <w:r w:rsidR="00694D4A">
        <w:rPr>
          <w:rFonts w:ascii="Times New Roman" w:hAnsi="Times New Roman" w:cs="Times New Roman"/>
          <w:sz w:val="20"/>
          <w:szCs w:val="20"/>
        </w:rPr>
        <w:t>European Commission</w:t>
      </w:r>
      <w:bookmarkEnd w:id="1"/>
      <w:r w:rsidR="00694D4A">
        <w:rPr>
          <w:rFonts w:ascii="Times New Roman" w:hAnsi="Times New Roman" w:cs="Times New Roman"/>
          <w:sz w:val="20"/>
          <w:szCs w:val="20"/>
        </w:rPr>
        <w:t xml:space="preserve">, </w:t>
      </w:r>
      <w:r w:rsidRPr="00AF3AFA">
        <w:rPr>
          <w:rFonts w:ascii="Times New Roman" w:hAnsi="Times New Roman" w:cs="Times New Roman"/>
          <w:sz w:val="20"/>
          <w:szCs w:val="20"/>
        </w:rPr>
        <w:t xml:space="preserve">2016 </w:t>
      </w:r>
      <w:r w:rsidR="00694D4A">
        <w:rPr>
          <w:rFonts w:ascii="Times New Roman" w:hAnsi="Times New Roman" w:cs="Times New Roman"/>
          <w:sz w:val="20"/>
          <w:szCs w:val="20"/>
        </w:rPr>
        <w:t xml:space="preserve">Country </w:t>
      </w:r>
      <w:r w:rsidR="00694D4A" w:rsidRPr="00AF3AFA">
        <w:rPr>
          <w:rFonts w:ascii="Times New Roman" w:hAnsi="Times New Roman" w:cs="Times New Roman"/>
          <w:sz w:val="20"/>
          <w:szCs w:val="20"/>
        </w:rPr>
        <w:t>Report</w:t>
      </w:r>
      <w:r w:rsidRPr="00AF3AFA">
        <w:rPr>
          <w:rFonts w:ascii="Times New Roman" w:hAnsi="Times New Roman" w:cs="Times New Roman"/>
          <w:sz w:val="20"/>
          <w:szCs w:val="20"/>
        </w:rPr>
        <w:t>, p. 9.</w:t>
      </w:r>
    </w:p>
  </w:footnote>
  <w:footnote w:id="12">
    <w:p w14:paraId="766E61C2" w14:textId="4BD24FDE" w:rsidR="00F24607" w:rsidRPr="00AF3AFA" w:rsidRDefault="00F24607" w:rsidP="00F24607">
      <w:pPr>
        <w:rPr>
          <w:rFonts w:ascii="Times New Roman" w:hAnsi="Times New Roman" w:cs="Times New Roman"/>
          <w:sz w:val="20"/>
          <w:szCs w:val="20"/>
        </w:rPr>
      </w:pPr>
      <w:r w:rsidRPr="00AF3AFA">
        <w:rPr>
          <w:rStyle w:val="FootnoteReference"/>
          <w:rFonts w:ascii="Times New Roman" w:hAnsi="Times New Roman" w:cs="Times New Roman"/>
          <w:sz w:val="20"/>
          <w:szCs w:val="20"/>
        </w:rPr>
        <w:footnoteRef/>
      </w:r>
      <w:r w:rsidRPr="00AF3AFA">
        <w:rPr>
          <w:rFonts w:ascii="Times New Roman" w:hAnsi="Times New Roman" w:cs="Times New Roman"/>
          <w:sz w:val="20"/>
          <w:szCs w:val="20"/>
        </w:rPr>
        <w:t xml:space="preserve"> </w:t>
      </w:r>
      <w:r w:rsidR="00BB25E5" w:rsidRPr="00BB25E5">
        <w:rPr>
          <w:rFonts w:ascii="Times New Roman" w:hAnsi="Times New Roman" w:cs="Times New Roman"/>
          <w:sz w:val="20"/>
          <w:szCs w:val="20"/>
        </w:rPr>
        <w:t>European Commission</w:t>
      </w:r>
      <w:r w:rsidR="00BB25E5">
        <w:rPr>
          <w:rFonts w:ascii="Times New Roman" w:hAnsi="Times New Roman" w:cs="Times New Roman"/>
          <w:sz w:val="20"/>
          <w:szCs w:val="20"/>
        </w:rPr>
        <w:t>,</w:t>
      </w:r>
      <w:r w:rsidR="00BB25E5" w:rsidRPr="00BB25E5">
        <w:rPr>
          <w:rFonts w:ascii="Times New Roman" w:hAnsi="Times New Roman" w:cs="Times New Roman"/>
          <w:sz w:val="20"/>
          <w:szCs w:val="20"/>
        </w:rPr>
        <w:t xml:space="preserve"> </w:t>
      </w:r>
      <w:r w:rsidR="00A91413" w:rsidRPr="00AF3AFA">
        <w:rPr>
          <w:rFonts w:ascii="Times New Roman" w:hAnsi="Times New Roman" w:cs="Times New Roman"/>
          <w:sz w:val="20"/>
          <w:szCs w:val="20"/>
        </w:rPr>
        <w:t>2014 Progress</w:t>
      </w:r>
      <w:r w:rsidRPr="00AF3AFA">
        <w:rPr>
          <w:rFonts w:ascii="Times New Roman" w:hAnsi="Times New Roman" w:cs="Times New Roman"/>
          <w:sz w:val="20"/>
          <w:szCs w:val="20"/>
        </w:rPr>
        <w:t xml:space="preserve"> Report, p.</w:t>
      </w:r>
      <w:r w:rsidR="00AF3AFA" w:rsidRPr="00AF3AFA">
        <w:rPr>
          <w:rFonts w:ascii="Times New Roman" w:hAnsi="Times New Roman" w:cs="Times New Roman"/>
          <w:sz w:val="20"/>
          <w:szCs w:val="20"/>
        </w:rPr>
        <w:t>15; 2015</w:t>
      </w:r>
      <w:r w:rsidRPr="00AF3AFA">
        <w:rPr>
          <w:rFonts w:ascii="Times New Roman" w:hAnsi="Times New Roman" w:cs="Times New Roman"/>
          <w:sz w:val="20"/>
          <w:szCs w:val="20"/>
        </w:rPr>
        <w:t xml:space="preserve"> </w:t>
      </w:r>
      <w:r w:rsidR="004526C3">
        <w:rPr>
          <w:rFonts w:ascii="Times New Roman" w:hAnsi="Times New Roman" w:cs="Times New Roman"/>
          <w:sz w:val="20"/>
          <w:szCs w:val="20"/>
        </w:rPr>
        <w:t xml:space="preserve">Country </w:t>
      </w:r>
      <w:r w:rsidR="00826A0C" w:rsidRPr="00826A0C">
        <w:rPr>
          <w:rFonts w:ascii="Times New Roman" w:hAnsi="Times New Roman" w:cs="Times New Roman"/>
          <w:sz w:val="20"/>
          <w:szCs w:val="20"/>
        </w:rPr>
        <w:t>Report</w:t>
      </w:r>
      <w:r w:rsidRPr="00AF3AFA">
        <w:rPr>
          <w:rFonts w:ascii="Times New Roman" w:hAnsi="Times New Roman" w:cs="Times New Roman"/>
          <w:sz w:val="20"/>
          <w:szCs w:val="20"/>
        </w:rPr>
        <w:t xml:space="preserve">, pp. 64-65; 2018 </w:t>
      </w:r>
      <w:r w:rsidR="004526C3">
        <w:rPr>
          <w:rFonts w:ascii="Times New Roman" w:hAnsi="Times New Roman" w:cs="Times New Roman"/>
          <w:sz w:val="20"/>
          <w:szCs w:val="20"/>
        </w:rPr>
        <w:t>Country</w:t>
      </w:r>
      <w:r w:rsidR="00A91413">
        <w:rPr>
          <w:rFonts w:ascii="Times New Roman" w:hAnsi="Times New Roman" w:cs="Times New Roman"/>
          <w:sz w:val="20"/>
          <w:szCs w:val="20"/>
        </w:rPr>
        <w:t xml:space="preserve"> Report </w:t>
      </w:r>
      <w:r w:rsidR="00826A0C" w:rsidRPr="00826A0C">
        <w:rPr>
          <w:rFonts w:ascii="Times New Roman" w:hAnsi="Times New Roman" w:cs="Times New Roman"/>
          <w:sz w:val="20"/>
          <w:szCs w:val="20"/>
        </w:rPr>
        <w:t>Turkey</w:t>
      </w:r>
      <w:r w:rsidRPr="00AF3AFA">
        <w:rPr>
          <w:rFonts w:ascii="Times New Roman" w:hAnsi="Times New Roman" w:cs="Times New Roman"/>
          <w:sz w:val="20"/>
          <w:szCs w:val="20"/>
        </w:rPr>
        <w:t xml:space="preserve">, p. </w:t>
      </w:r>
      <w:r w:rsidR="007D7B32" w:rsidRPr="00AF3AFA">
        <w:rPr>
          <w:rFonts w:ascii="Times New Roman" w:hAnsi="Times New Roman" w:cs="Times New Roman"/>
          <w:sz w:val="20"/>
          <w:szCs w:val="20"/>
        </w:rPr>
        <w:t>38; 2019</w:t>
      </w:r>
      <w:r w:rsidRPr="00AF3AFA">
        <w:rPr>
          <w:rFonts w:ascii="Times New Roman" w:hAnsi="Times New Roman" w:cs="Times New Roman"/>
          <w:sz w:val="20"/>
          <w:szCs w:val="20"/>
        </w:rPr>
        <w:t xml:space="preserve"> </w:t>
      </w:r>
      <w:r w:rsidR="00A91413">
        <w:rPr>
          <w:rFonts w:ascii="Times New Roman" w:hAnsi="Times New Roman" w:cs="Times New Roman"/>
          <w:sz w:val="20"/>
          <w:szCs w:val="20"/>
        </w:rPr>
        <w:t>Country</w:t>
      </w:r>
      <w:r w:rsidR="00826A0C">
        <w:rPr>
          <w:rFonts w:ascii="Times New Roman" w:hAnsi="Times New Roman" w:cs="Times New Roman"/>
          <w:sz w:val="20"/>
          <w:szCs w:val="20"/>
        </w:rPr>
        <w:t xml:space="preserve"> </w:t>
      </w:r>
      <w:r w:rsidRPr="00AF3AFA">
        <w:rPr>
          <w:rFonts w:ascii="Times New Roman" w:hAnsi="Times New Roman" w:cs="Times New Roman"/>
          <w:sz w:val="20"/>
          <w:szCs w:val="20"/>
        </w:rPr>
        <w:t>Report</w:t>
      </w:r>
      <w:r w:rsidR="00161418">
        <w:rPr>
          <w:rFonts w:ascii="Times New Roman" w:hAnsi="Times New Roman" w:cs="Times New Roman"/>
          <w:sz w:val="20"/>
          <w:szCs w:val="20"/>
        </w:rPr>
        <w:t xml:space="preserve"> Turkey</w:t>
      </w:r>
      <w:r w:rsidRPr="00AF3AFA">
        <w:rPr>
          <w:rFonts w:ascii="Times New Roman" w:hAnsi="Times New Roman" w:cs="Times New Roman"/>
          <w:sz w:val="20"/>
          <w:szCs w:val="20"/>
        </w:rPr>
        <w:t>, p. 37.</w:t>
      </w:r>
    </w:p>
  </w:footnote>
  <w:footnote w:id="13">
    <w:p w14:paraId="1287CAC5" w14:textId="77463829" w:rsidR="00F24607" w:rsidRPr="009E7BD9" w:rsidRDefault="00F24607" w:rsidP="00F24607">
      <w:pPr>
        <w:rPr>
          <w:rFonts w:ascii="Times New Roman" w:hAnsi="Times New Roman" w:cs="Times New Roman"/>
          <w:sz w:val="20"/>
          <w:szCs w:val="20"/>
        </w:rPr>
      </w:pPr>
      <w:r w:rsidRPr="009E7BD9">
        <w:rPr>
          <w:rStyle w:val="FootnoteReference"/>
          <w:rFonts w:ascii="Times New Roman" w:hAnsi="Times New Roman" w:cs="Times New Roman"/>
          <w:sz w:val="20"/>
          <w:szCs w:val="20"/>
        </w:rPr>
        <w:footnoteRef/>
      </w:r>
      <w:r w:rsidRPr="009E7BD9">
        <w:rPr>
          <w:rFonts w:ascii="Times New Roman" w:hAnsi="Times New Roman" w:cs="Times New Roman"/>
          <w:sz w:val="20"/>
          <w:szCs w:val="20"/>
        </w:rPr>
        <w:t xml:space="preserve"> </w:t>
      </w:r>
      <w:r w:rsidR="00F05F24">
        <w:rPr>
          <w:rFonts w:ascii="Times New Roman" w:hAnsi="Times New Roman" w:cs="Times New Roman"/>
          <w:sz w:val="20"/>
          <w:szCs w:val="20"/>
        </w:rPr>
        <w:t xml:space="preserve">2015 </w:t>
      </w:r>
      <w:r w:rsidR="00161418">
        <w:rPr>
          <w:rFonts w:ascii="Times New Roman" w:hAnsi="Times New Roman" w:cs="Times New Roman"/>
          <w:sz w:val="20"/>
          <w:szCs w:val="20"/>
        </w:rPr>
        <w:t xml:space="preserve">Country </w:t>
      </w:r>
      <w:r w:rsidR="00A91413">
        <w:rPr>
          <w:rFonts w:ascii="Times New Roman" w:hAnsi="Times New Roman" w:cs="Times New Roman"/>
          <w:sz w:val="20"/>
          <w:szCs w:val="20"/>
        </w:rPr>
        <w:t>Report</w:t>
      </w:r>
      <w:r w:rsidRPr="009E7BD9">
        <w:rPr>
          <w:rFonts w:ascii="Times New Roman" w:hAnsi="Times New Roman" w:cs="Times New Roman"/>
          <w:sz w:val="20"/>
          <w:szCs w:val="20"/>
        </w:rPr>
        <w:t>, p. 68.</w:t>
      </w:r>
    </w:p>
  </w:footnote>
  <w:footnote w:id="14">
    <w:p w14:paraId="00BF7DAC" w14:textId="38CDF9F7" w:rsidR="00F24607" w:rsidRDefault="00F24607" w:rsidP="00F24607">
      <w:pPr>
        <w:rPr>
          <w:rFonts w:ascii="Times New Roman" w:hAnsi="Times New Roman" w:cs="Times New Roman"/>
        </w:rPr>
      </w:pPr>
      <w:r w:rsidRPr="009E7BD9">
        <w:rPr>
          <w:rStyle w:val="FootnoteReference"/>
          <w:rFonts w:ascii="Times New Roman" w:hAnsi="Times New Roman" w:cs="Times New Roman"/>
          <w:sz w:val="20"/>
          <w:szCs w:val="20"/>
        </w:rPr>
        <w:footnoteRef/>
      </w:r>
      <w:r w:rsidRPr="009E7BD9">
        <w:rPr>
          <w:rFonts w:ascii="Times New Roman" w:hAnsi="Times New Roman" w:cs="Times New Roman"/>
          <w:sz w:val="20"/>
          <w:szCs w:val="20"/>
        </w:rPr>
        <w:t xml:space="preserve"> </w:t>
      </w:r>
      <w:r w:rsidR="00EA4D36">
        <w:rPr>
          <w:rFonts w:ascii="Times New Roman" w:hAnsi="Times New Roman" w:cs="Times New Roman"/>
          <w:sz w:val="20"/>
          <w:szCs w:val="20"/>
        </w:rPr>
        <w:t>The</w:t>
      </w:r>
      <w:r w:rsidR="00EA4D36" w:rsidRPr="00EA4D36">
        <w:rPr>
          <w:rFonts w:ascii="Times New Roman" w:hAnsi="Times New Roman" w:cs="Times New Roman"/>
          <w:bCs/>
          <w:sz w:val="20"/>
          <w:szCs w:val="20"/>
        </w:rPr>
        <w:t xml:space="preserve"> case </w:t>
      </w:r>
      <w:r w:rsidR="00F05F24">
        <w:rPr>
          <w:rFonts w:ascii="Times New Roman" w:hAnsi="Times New Roman" w:cs="Times New Roman"/>
          <w:bCs/>
          <w:sz w:val="20"/>
          <w:szCs w:val="20"/>
        </w:rPr>
        <w:t>of</w:t>
      </w:r>
      <w:r w:rsidR="00EA4D36" w:rsidRPr="00EA4D36">
        <w:rPr>
          <w:rFonts w:ascii="Times New Roman" w:hAnsi="Times New Roman" w:cs="Times New Roman"/>
          <w:bCs/>
          <w:sz w:val="20"/>
          <w:szCs w:val="20"/>
        </w:rPr>
        <w:t xml:space="preserve"> ‘Academics for Peace’, who signed a declaration in January 2016 condemning the security operations in the south-east and calling for resumption of the peace talks between the government and the </w:t>
      </w:r>
      <w:r w:rsidR="00940FBD" w:rsidRPr="00EA4D36">
        <w:rPr>
          <w:rFonts w:ascii="Times New Roman" w:hAnsi="Times New Roman" w:cs="Times New Roman"/>
          <w:bCs/>
          <w:sz w:val="20"/>
          <w:szCs w:val="20"/>
        </w:rPr>
        <w:t>PKK</w:t>
      </w:r>
      <w:r w:rsidR="00940FBD">
        <w:rPr>
          <w:rFonts w:ascii="Times New Roman" w:hAnsi="Times New Roman" w:cs="Times New Roman"/>
          <w:bCs/>
          <w:sz w:val="20"/>
          <w:szCs w:val="20"/>
        </w:rPr>
        <w:t>.</w:t>
      </w:r>
    </w:p>
  </w:footnote>
  <w:footnote w:id="15">
    <w:p w14:paraId="4D44E0C9" w14:textId="71F64872" w:rsidR="00F24607" w:rsidRPr="009E7BD9" w:rsidRDefault="00F24607" w:rsidP="00F24607">
      <w:pPr>
        <w:rPr>
          <w:rFonts w:ascii="Times New Roman" w:hAnsi="Times New Roman" w:cs="Times New Roman"/>
          <w:sz w:val="20"/>
          <w:szCs w:val="20"/>
        </w:rPr>
      </w:pPr>
      <w:r w:rsidRPr="009E7BD9">
        <w:rPr>
          <w:rStyle w:val="FootnoteReference"/>
          <w:rFonts w:ascii="Times New Roman" w:hAnsi="Times New Roman" w:cs="Times New Roman"/>
          <w:sz w:val="20"/>
          <w:szCs w:val="20"/>
        </w:rPr>
        <w:footnoteRef/>
      </w:r>
      <w:r w:rsidRPr="009E7BD9">
        <w:rPr>
          <w:rFonts w:ascii="Times New Roman" w:hAnsi="Times New Roman" w:cs="Times New Roman"/>
          <w:sz w:val="20"/>
          <w:szCs w:val="20"/>
        </w:rPr>
        <w:t xml:space="preserve"> 2013 </w:t>
      </w:r>
      <w:r w:rsidR="00161418">
        <w:rPr>
          <w:rFonts w:ascii="Times New Roman" w:hAnsi="Times New Roman" w:cs="Times New Roman"/>
          <w:sz w:val="20"/>
          <w:szCs w:val="20"/>
        </w:rPr>
        <w:t>Progress</w:t>
      </w:r>
      <w:r w:rsidRPr="009E7BD9">
        <w:rPr>
          <w:rFonts w:ascii="Times New Roman" w:hAnsi="Times New Roman" w:cs="Times New Roman"/>
          <w:sz w:val="20"/>
          <w:szCs w:val="20"/>
        </w:rPr>
        <w:t xml:space="preserve"> Report, p. 13.</w:t>
      </w:r>
    </w:p>
  </w:footnote>
  <w:footnote w:id="16">
    <w:p w14:paraId="66706CCA" w14:textId="1289F2CF" w:rsidR="00F24607" w:rsidRPr="009E7BD9" w:rsidRDefault="00F24607" w:rsidP="00F24607">
      <w:pPr>
        <w:rPr>
          <w:rFonts w:ascii="Times New Roman" w:hAnsi="Times New Roman" w:cs="Times New Roman"/>
          <w:sz w:val="20"/>
          <w:szCs w:val="20"/>
        </w:rPr>
      </w:pPr>
      <w:r w:rsidRPr="009E7BD9">
        <w:rPr>
          <w:rStyle w:val="FootnoteReference"/>
          <w:rFonts w:ascii="Times New Roman" w:hAnsi="Times New Roman" w:cs="Times New Roman"/>
          <w:sz w:val="20"/>
          <w:szCs w:val="20"/>
        </w:rPr>
        <w:footnoteRef/>
      </w:r>
      <w:r w:rsidRPr="009E7BD9">
        <w:rPr>
          <w:rFonts w:ascii="Times New Roman" w:hAnsi="Times New Roman" w:cs="Times New Roman"/>
          <w:sz w:val="20"/>
          <w:szCs w:val="20"/>
        </w:rPr>
        <w:t xml:space="preserve"> See details in </w:t>
      </w:r>
      <w:r w:rsidR="00F05F24">
        <w:rPr>
          <w:rFonts w:ascii="Times New Roman" w:hAnsi="Times New Roman" w:cs="Times New Roman"/>
          <w:sz w:val="20"/>
          <w:szCs w:val="20"/>
        </w:rPr>
        <w:t xml:space="preserve">2018 </w:t>
      </w:r>
      <w:r w:rsidR="002C7894">
        <w:rPr>
          <w:rFonts w:ascii="Times New Roman" w:hAnsi="Times New Roman" w:cs="Times New Roman"/>
          <w:sz w:val="20"/>
          <w:szCs w:val="20"/>
        </w:rPr>
        <w:t>Country Report Turkey</w:t>
      </w:r>
      <w:r w:rsidRPr="009E7BD9">
        <w:rPr>
          <w:rFonts w:ascii="Times New Roman" w:hAnsi="Times New Roman" w:cs="Times New Roman"/>
          <w:sz w:val="20"/>
          <w:szCs w:val="20"/>
        </w:rPr>
        <w:t>, p. 37.</w:t>
      </w:r>
    </w:p>
  </w:footnote>
  <w:footnote w:id="17">
    <w:p w14:paraId="253E86A9" w14:textId="2E99E01D" w:rsidR="00EA3193" w:rsidRPr="00247530" w:rsidRDefault="00EA3193" w:rsidP="00247530">
      <w:pPr>
        <w:pStyle w:val="NoSpacing"/>
        <w:rPr>
          <w:rFonts w:ascii="Times New Roman" w:hAnsi="Times New Roman" w:cs="Times New Roman"/>
          <w:sz w:val="20"/>
          <w:szCs w:val="20"/>
        </w:rPr>
      </w:pPr>
      <w:r w:rsidRPr="00247530">
        <w:rPr>
          <w:rStyle w:val="FootnoteReference"/>
          <w:rFonts w:ascii="Times New Roman" w:hAnsi="Times New Roman" w:cs="Times New Roman"/>
          <w:sz w:val="20"/>
          <w:szCs w:val="20"/>
        </w:rPr>
        <w:footnoteRef/>
      </w:r>
      <w:r w:rsidRPr="00247530">
        <w:rPr>
          <w:rFonts w:ascii="Times New Roman" w:hAnsi="Times New Roman" w:cs="Times New Roman"/>
          <w:sz w:val="20"/>
          <w:szCs w:val="20"/>
        </w:rPr>
        <w:t xml:space="preserve"> The European Court of Human Rights (ECtHR) has found Turkey guilty in judgments of violating the European Convention on Human Rights, in the cases of </w:t>
      </w:r>
      <w:proofErr w:type="spellStart"/>
      <w:r w:rsidRPr="00247530">
        <w:rPr>
          <w:rFonts w:ascii="Times New Roman" w:hAnsi="Times New Roman" w:cs="Times New Roman"/>
          <w:sz w:val="20"/>
          <w:szCs w:val="20"/>
        </w:rPr>
        <w:t>Selahattin</w:t>
      </w:r>
      <w:proofErr w:type="spellEnd"/>
      <w:r w:rsidRPr="00247530">
        <w:rPr>
          <w:rFonts w:ascii="Times New Roman" w:hAnsi="Times New Roman" w:cs="Times New Roman"/>
          <w:sz w:val="20"/>
          <w:szCs w:val="20"/>
        </w:rPr>
        <w:t xml:space="preserve"> </w:t>
      </w:r>
      <w:proofErr w:type="spellStart"/>
      <w:r w:rsidRPr="00247530">
        <w:rPr>
          <w:rFonts w:ascii="Times New Roman" w:hAnsi="Times New Roman" w:cs="Times New Roman"/>
          <w:sz w:val="20"/>
          <w:szCs w:val="20"/>
        </w:rPr>
        <w:t>Demirtaş</w:t>
      </w:r>
      <w:proofErr w:type="spellEnd"/>
      <w:r w:rsidRPr="00247530">
        <w:rPr>
          <w:rFonts w:ascii="Times New Roman" w:hAnsi="Times New Roman" w:cs="Times New Roman"/>
          <w:sz w:val="20"/>
          <w:szCs w:val="20"/>
        </w:rPr>
        <w:t xml:space="preserve"> (former co-leader of the HDP) and Osman Kavala, a businessman and human rights defender.</w:t>
      </w:r>
    </w:p>
  </w:footnote>
  <w:footnote w:id="18">
    <w:p w14:paraId="020A6AA9" w14:textId="0BC0E54F" w:rsidR="00F24607" w:rsidRPr="00247530" w:rsidRDefault="00F24607" w:rsidP="00247530">
      <w:pPr>
        <w:pStyle w:val="NoSpacing"/>
        <w:rPr>
          <w:rFonts w:ascii="Times New Roman" w:hAnsi="Times New Roman" w:cs="Times New Roman"/>
          <w:sz w:val="20"/>
          <w:szCs w:val="20"/>
        </w:rPr>
      </w:pPr>
      <w:r w:rsidRPr="00247530">
        <w:rPr>
          <w:rStyle w:val="FootnoteReference"/>
          <w:rFonts w:ascii="Times New Roman" w:hAnsi="Times New Roman" w:cs="Times New Roman"/>
          <w:sz w:val="20"/>
          <w:szCs w:val="20"/>
        </w:rPr>
        <w:footnoteRef/>
      </w:r>
      <w:r w:rsidRPr="00247530">
        <w:rPr>
          <w:rFonts w:ascii="Times New Roman" w:hAnsi="Times New Roman" w:cs="Times New Roman"/>
          <w:sz w:val="20"/>
          <w:szCs w:val="20"/>
        </w:rPr>
        <w:t xml:space="preserve"> </w:t>
      </w:r>
      <w:r w:rsidR="008411A6" w:rsidRPr="008411A6">
        <w:rPr>
          <w:rFonts w:ascii="Times New Roman" w:hAnsi="Times New Roman" w:cs="Times New Roman"/>
          <w:sz w:val="20"/>
          <w:szCs w:val="20"/>
        </w:rPr>
        <w:t>European Commission</w:t>
      </w:r>
      <w:r w:rsidR="003C3A90">
        <w:rPr>
          <w:rFonts w:ascii="Times New Roman" w:hAnsi="Times New Roman" w:cs="Times New Roman"/>
          <w:sz w:val="20"/>
          <w:szCs w:val="20"/>
        </w:rPr>
        <w:t xml:space="preserve">, </w:t>
      </w:r>
      <w:r w:rsidR="008411A6" w:rsidRPr="00247530">
        <w:rPr>
          <w:rFonts w:ascii="Times New Roman" w:hAnsi="Times New Roman" w:cs="Times New Roman"/>
          <w:sz w:val="20"/>
          <w:szCs w:val="20"/>
        </w:rPr>
        <w:t>2014 Progress</w:t>
      </w:r>
      <w:r w:rsidRPr="00247530">
        <w:rPr>
          <w:rFonts w:ascii="Times New Roman" w:hAnsi="Times New Roman" w:cs="Times New Roman"/>
          <w:sz w:val="20"/>
          <w:szCs w:val="20"/>
        </w:rPr>
        <w:t xml:space="preserve"> Report, p. 52; </w:t>
      </w:r>
      <w:r w:rsidR="00F05F24" w:rsidRPr="00247530">
        <w:rPr>
          <w:rFonts w:ascii="Times New Roman" w:hAnsi="Times New Roman" w:cs="Times New Roman"/>
          <w:sz w:val="20"/>
          <w:szCs w:val="20"/>
        </w:rPr>
        <w:t>2015 Progress Report</w:t>
      </w:r>
      <w:r w:rsidRPr="00247530">
        <w:rPr>
          <w:rFonts w:ascii="Times New Roman" w:hAnsi="Times New Roman" w:cs="Times New Roman"/>
          <w:sz w:val="20"/>
          <w:szCs w:val="20"/>
        </w:rPr>
        <w:t>, p. 64.</w:t>
      </w:r>
    </w:p>
  </w:footnote>
  <w:footnote w:id="19">
    <w:p w14:paraId="7E7F771A" w14:textId="3E3118A3" w:rsidR="00F24607" w:rsidRPr="00247530" w:rsidRDefault="00F24607" w:rsidP="00247530">
      <w:pPr>
        <w:pStyle w:val="NoSpacing"/>
        <w:rPr>
          <w:rFonts w:ascii="Times New Roman" w:hAnsi="Times New Roman" w:cs="Times New Roman"/>
          <w:sz w:val="20"/>
          <w:szCs w:val="20"/>
        </w:rPr>
      </w:pPr>
      <w:r w:rsidRPr="00247530">
        <w:rPr>
          <w:rStyle w:val="FootnoteReference"/>
          <w:rFonts w:ascii="Times New Roman" w:hAnsi="Times New Roman" w:cs="Times New Roman"/>
          <w:sz w:val="20"/>
          <w:szCs w:val="20"/>
        </w:rPr>
        <w:footnoteRef/>
      </w:r>
      <w:r w:rsidRPr="00247530">
        <w:rPr>
          <w:rFonts w:ascii="Times New Roman" w:hAnsi="Times New Roman" w:cs="Times New Roman"/>
          <w:sz w:val="20"/>
          <w:szCs w:val="20"/>
        </w:rPr>
        <w:t xml:space="preserve"> </w:t>
      </w:r>
      <w:r w:rsidR="003C3A90" w:rsidRPr="003C3A90">
        <w:rPr>
          <w:rFonts w:ascii="Times New Roman" w:hAnsi="Times New Roman" w:cs="Times New Roman"/>
          <w:sz w:val="20"/>
          <w:szCs w:val="20"/>
        </w:rPr>
        <w:t>European Commission</w:t>
      </w:r>
      <w:r w:rsidR="003C3A90">
        <w:rPr>
          <w:rFonts w:ascii="Times New Roman" w:hAnsi="Times New Roman" w:cs="Times New Roman"/>
          <w:sz w:val="20"/>
          <w:szCs w:val="20"/>
        </w:rPr>
        <w:t xml:space="preserve">, </w:t>
      </w:r>
      <w:r w:rsidR="0025374F" w:rsidRPr="00247530">
        <w:rPr>
          <w:rFonts w:ascii="Times New Roman" w:hAnsi="Times New Roman" w:cs="Times New Roman"/>
          <w:sz w:val="20"/>
          <w:szCs w:val="20"/>
        </w:rPr>
        <w:t xml:space="preserve">2018 </w:t>
      </w:r>
      <w:r w:rsidR="002C7894">
        <w:rPr>
          <w:rFonts w:ascii="Times New Roman" w:hAnsi="Times New Roman" w:cs="Times New Roman"/>
          <w:sz w:val="20"/>
          <w:szCs w:val="20"/>
        </w:rPr>
        <w:t>Country Report Turkey</w:t>
      </w:r>
      <w:r w:rsidRPr="00247530">
        <w:rPr>
          <w:rFonts w:ascii="Times New Roman" w:hAnsi="Times New Roman" w:cs="Times New Roman"/>
          <w:sz w:val="20"/>
          <w:szCs w:val="20"/>
        </w:rPr>
        <w:t>, p. 4.</w:t>
      </w:r>
    </w:p>
  </w:footnote>
  <w:footnote w:id="20">
    <w:p w14:paraId="7B092C7C" w14:textId="58177083" w:rsidR="00F24607" w:rsidRPr="00495419" w:rsidRDefault="00F24607" w:rsidP="00247530">
      <w:pPr>
        <w:pStyle w:val="NoSpacing"/>
      </w:pPr>
      <w:r w:rsidRPr="00247530">
        <w:rPr>
          <w:rStyle w:val="FootnoteReference"/>
          <w:rFonts w:ascii="Times New Roman" w:hAnsi="Times New Roman" w:cs="Times New Roman"/>
          <w:sz w:val="20"/>
          <w:szCs w:val="20"/>
        </w:rPr>
        <w:footnoteRef/>
      </w:r>
      <w:r w:rsidRPr="00247530">
        <w:rPr>
          <w:rFonts w:ascii="Times New Roman" w:hAnsi="Times New Roman" w:cs="Times New Roman"/>
          <w:sz w:val="20"/>
          <w:szCs w:val="20"/>
        </w:rPr>
        <w:t xml:space="preserve"> </w:t>
      </w:r>
      <w:r w:rsidR="003C3A90" w:rsidRPr="003C3A90">
        <w:rPr>
          <w:rFonts w:ascii="Times New Roman" w:hAnsi="Times New Roman" w:cs="Times New Roman"/>
          <w:sz w:val="20"/>
          <w:szCs w:val="20"/>
        </w:rPr>
        <w:t>European Commission</w:t>
      </w:r>
      <w:r w:rsidR="003C3A90">
        <w:rPr>
          <w:rFonts w:ascii="Times New Roman" w:hAnsi="Times New Roman" w:cs="Times New Roman"/>
          <w:sz w:val="20"/>
          <w:szCs w:val="20"/>
        </w:rPr>
        <w:t xml:space="preserve">, </w:t>
      </w:r>
      <w:r w:rsidR="0025374F" w:rsidRPr="00247530">
        <w:rPr>
          <w:rFonts w:ascii="Times New Roman" w:hAnsi="Times New Roman" w:cs="Times New Roman"/>
          <w:sz w:val="20"/>
          <w:szCs w:val="20"/>
        </w:rPr>
        <w:t xml:space="preserve">2016 </w:t>
      </w:r>
      <w:r w:rsidR="002C7894">
        <w:rPr>
          <w:rFonts w:ascii="Times New Roman" w:hAnsi="Times New Roman" w:cs="Times New Roman"/>
          <w:sz w:val="20"/>
          <w:szCs w:val="20"/>
        </w:rPr>
        <w:t xml:space="preserve">Country </w:t>
      </w:r>
      <w:r w:rsidRPr="00247530">
        <w:rPr>
          <w:rFonts w:ascii="Times New Roman" w:hAnsi="Times New Roman" w:cs="Times New Roman"/>
          <w:sz w:val="20"/>
          <w:szCs w:val="20"/>
        </w:rPr>
        <w:t>Report, p. 12.</w:t>
      </w:r>
    </w:p>
  </w:footnote>
  <w:footnote w:id="21">
    <w:p w14:paraId="29FC7D9F" w14:textId="77777777" w:rsidR="00F24607" w:rsidRPr="00247530" w:rsidRDefault="00F24607" w:rsidP="00F24607">
      <w:pPr>
        <w:autoSpaceDE w:val="0"/>
        <w:autoSpaceDN w:val="0"/>
        <w:adjustRightInd w:val="0"/>
        <w:rPr>
          <w:rFonts w:ascii="Times New Roman" w:hAnsi="Times New Roman" w:cs="Times New Roman"/>
          <w:sz w:val="20"/>
          <w:szCs w:val="20"/>
        </w:rPr>
      </w:pPr>
      <w:r w:rsidRPr="00247530">
        <w:rPr>
          <w:rStyle w:val="FootnoteReference"/>
          <w:rFonts w:ascii="Times New Roman" w:hAnsi="Times New Roman" w:cs="Times New Roman"/>
          <w:sz w:val="20"/>
          <w:szCs w:val="20"/>
        </w:rPr>
        <w:footnoteRef/>
      </w:r>
      <w:r w:rsidRPr="00247530">
        <w:rPr>
          <w:rFonts w:ascii="Times New Roman" w:hAnsi="Times New Roman" w:cs="Times New Roman"/>
          <w:sz w:val="20"/>
          <w:szCs w:val="20"/>
        </w:rPr>
        <w:t xml:space="preserve"> </w:t>
      </w:r>
      <w:proofErr w:type="spellStart"/>
      <w:r w:rsidRPr="00247530">
        <w:rPr>
          <w:rFonts w:ascii="Times New Roman" w:hAnsi="Times New Roman" w:cs="Times New Roman"/>
          <w:sz w:val="20"/>
          <w:szCs w:val="20"/>
        </w:rPr>
        <w:t>Balkır</w:t>
      </w:r>
      <w:proofErr w:type="spellEnd"/>
      <w:r w:rsidRPr="00247530">
        <w:rPr>
          <w:rFonts w:ascii="Times New Roman" w:hAnsi="Times New Roman" w:cs="Times New Roman"/>
          <w:sz w:val="20"/>
          <w:szCs w:val="20"/>
        </w:rPr>
        <w:t xml:space="preserve"> and Aknur, “</w:t>
      </w:r>
      <w:r w:rsidRPr="00247530">
        <w:rPr>
          <w:rFonts w:ascii="Times New Roman" w:eastAsia="StoneSerif" w:hAnsi="Times New Roman" w:cs="Times New Roman"/>
          <w:sz w:val="20"/>
          <w:szCs w:val="20"/>
        </w:rPr>
        <w:t xml:space="preserve">Different Trajectories yet the Same Substance: Croatia and Turkey” </w:t>
      </w:r>
      <w:r w:rsidRPr="00247530">
        <w:rPr>
          <w:rFonts w:ascii="Times New Roman" w:hAnsi="Times New Roman" w:cs="Times New Roman"/>
          <w:sz w:val="20"/>
          <w:szCs w:val="20"/>
        </w:rPr>
        <w:t>p. 94</w:t>
      </w:r>
      <w:r w:rsidRPr="00247530">
        <w:rPr>
          <w:rFonts w:ascii="Times New Roman" w:eastAsia="StoneSerif" w:hAnsi="Times New Roman" w:cs="Times New Roman"/>
          <w:sz w:val="20"/>
          <w:szCs w:val="20"/>
        </w:rPr>
        <w:t>.</w:t>
      </w:r>
    </w:p>
  </w:footnote>
  <w:footnote w:id="22">
    <w:p w14:paraId="566BF7E1" w14:textId="60634BA7" w:rsidR="00F24607" w:rsidRPr="00247530" w:rsidRDefault="00F24607" w:rsidP="00F24607">
      <w:pPr>
        <w:rPr>
          <w:rFonts w:ascii="Times New Roman" w:hAnsi="Times New Roman" w:cs="Times New Roman"/>
          <w:sz w:val="20"/>
          <w:szCs w:val="20"/>
        </w:rPr>
      </w:pPr>
      <w:r w:rsidRPr="00247530">
        <w:rPr>
          <w:rStyle w:val="FootnoteReference"/>
          <w:rFonts w:ascii="Times New Roman" w:hAnsi="Times New Roman" w:cs="Times New Roman"/>
          <w:sz w:val="20"/>
          <w:szCs w:val="20"/>
        </w:rPr>
        <w:footnoteRef/>
      </w:r>
      <w:r w:rsidRPr="00247530">
        <w:rPr>
          <w:rFonts w:ascii="Times New Roman" w:hAnsi="Times New Roman" w:cs="Times New Roman"/>
          <w:sz w:val="20"/>
          <w:szCs w:val="20"/>
        </w:rPr>
        <w:t xml:space="preserve"> </w:t>
      </w:r>
      <w:r w:rsidR="0025374F" w:rsidRPr="00247530">
        <w:rPr>
          <w:rFonts w:ascii="Times New Roman" w:hAnsi="Times New Roman" w:cs="Times New Roman"/>
          <w:sz w:val="20"/>
          <w:szCs w:val="20"/>
        </w:rPr>
        <w:t xml:space="preserve">2016 </w:t>
      </w:r>
      <w:r w:rsidRPr="00247530">
        <w:rPr>
          <w:rFonts w:ascii="Times New Roman" w:hAnsi="Times New Roman" w:cs="Times New Roman"/>
          <w:sz w:val="20"/>
          <w:szCs w:val="20"/>
        </w:rPr>
        <w:t>Turkey Report, p. 13.</w:t>
      </w:r>
    </w:p>
  </w:footnote>
  <w:footnote w:id="23">
    <w:p w14:paraId="3F82669E" w14:textId="743DF3D3" w:rsidR="00F24607" w:rsidRPr="00247530" w:rsidRDefault="00F24607" w:rsidP="00F24607">
      <w:pPr>
        <w:rPr>
          <w:rFonts w:ascii="Times New Roman" w:hAnsi="Times New Roman" w:cs="Times New Roman"/>
          <w:sz w:val="20"/>
          <w:szCs w:val="20"/>
        </w:rPr>
      </w:pPr>
      <w:r w:rsidRPr="00247530">
        <w:rPr>
          <w:rStyle w:val="FootnoteReference"/>
          <w:rFonts w:ascii="Times New Roman" w:hAnsi="Times New Roman" w:cs="Times New Roman"/>
          <w:sz w:val="20"/>
          <w:szCs w:val="20"/>
        </w:rPr>
        <w:footnoteRef/>
      </w:r>
      <w:r w:rsidRPr="00247530">
        <w:rPr>
          <w:rFonts w:ascii="Times New Roman" w:hAnsi="Times New Roman" w:cs="Times New Roman"/>
          <w:sz w:val="20"/>
          <w:szCs w:val="20"/>
        </w:rPr>
        <w:t xml:space="preserve"> </w:t>
      </w:r>
      <w:r w:rsidR="00E9011D" w:rsidRPr="00E9011D">
        <w:rPr>
          <w:rFonts w:ascii="Times New Roman" w:hAnsi="Times New Roman" w:cs="Times New Roman"/>
          <w:sz w:val="20"/>
          <w:szCs w:val="20"/>
        </w:rPr>
        <w:t>European Commission</w:t>
      </w:r>
      <w:r w:rsidR="00E9011D">
        <w:rPr>
          <w:rFonts w:ascii="Times New Roman" w:hAnsi="Times New Roman" w:cs="Times New Roman"/>
          <w:sz w:val="20"/>
          <w:szCs w:val="20"/>
        </w:rPr>
        <w:t xml:space="preserve">, </w:t>
      </w:r>
      <w:r w:rsidR="0025374F" w:rsidRPr="00247530">
        <w:rPr>
          <w:rFonts w:ascii="Times New Roman" w:hAnsi="Times New Roman" w:cs="Times New Roman"/>
          <w:sz w:val="20"/>
          <w:szCs w:val="20"/>
        </w:rPr>
        <w:t xml:space="preserve">2018 </w:t>
      </w:r>
      <w:r w:rsidR="007B75B1" w:rsidRPr="007B75B1">
        <w:rPr>
          <w:rFonts w:ascii="Times New Roman" w:hAnsi="Times New Roman" w:cs="Times New Roman"/>
          <w:sz w:val="20"/>
          <w:szCs w:val="20"/>
        </w:rPr>
        <w:t>Country Report Turkey</w:t>
      </w:r>
      <w:r w:rsidRPr="00247530">
        <w:rPr>
          <w:rFonts w:ascii="Times New Roman" w:hAnsi="Times New Roman" w:cs="Times New Roman"/>
          <w:sz w:val="20"/>
          <w:szCs w:val="20"/>
        </w:rPr>
        <w:t>, p. 16.</w:t>
      </w:r>
    </w:p>
  </w:footnote>
  <w:footnote w:id="24">
    <w:p w14:paraId="33B17710" w14:textId="569B230D" w:rsidR="00236B56" w:rsidRPr="00247530" w:rsidRDefault="00236B56" w:rsidP="00495419">
      <w:pPr>
        <w:pStyle w:val="FootnoteText"/>
        <w:spacing w:after="0" w:line="240" w:lineRule="auto"/>
        <w:jc w:val="both"/>
        <w:rPr>
          <w:rFonts w:ascii="Times New Roman" w:hAnsi="Times New Roman" w:cs="Times New Roman"/>
          <w:lang w:val="en-US"/>
        </w:rPr>
      </w:pPr>
      <w:r w:rsidRPr="00247530">
        <w:rPr>
          <w:rStyle w:val="FootnoteReference"/>
          <w:rFonts w:ascii="Times New Roman" w:hAnsi="Times New Roman" w:cs="Times New Roman"/>
        </w:rPr>
        <w:footnoteRef/>
      </w:r>
      <w:r w:rsidRPr="00247530">
        <w:rPr>
          <w:rFonts w:ascii="Times New Roman" w:hAnsi="Times New Roman" w:cs="Times New Roman"/>
        </w:rPr>
        <w:t xml:space="preserve"> </w:t>
      </w:r>
      <w:r w:rsidR="00E9011D" w:rsidRPr="00E9011D">
        <w:rPr>
          <w:rFonts w:ascii="Times New Roman" w:hAnsi="Times New Roman" w:cs="Times New Roman"/>
          <w:lang w:val="en-US"/>
        </w:rPr>
        <w:t>European Commission</w:t>
      </w:r>
      <w:r w:rsidR="00E9011D">
        <w:rPr>
          <w:rFonts w:ascii="Times New Roman" w:hAnsi="Times New Roman" w:cs="Times New Roman"/>
          <w:lang w:val="en-US"/>
        </w:rPr>
        <w:t xml:space="preserve">, </w:t>
      </w:r>
      <w:r w:rsidR="0025374F" w:rsidRPr="00247530">
        <w:rPr>
          <w:rFonts w:ascii="Times New Roman" w:hAnsi="Times New Roman" w:cs="Times New Roman"/>
        </w:rPr>
        <w:t xml:space="preserve">2018 </w:t>
      </w:r>
      <w:r w:rsidR="007B75B1" w:rsidRPr="007B75B1">
        <w:rPr>
          <w:rFonts w:ascii="Times New Roman" w:hAnsi="Times New Roman" w:cs="Times New Roman"/>
          <w:lang w:val="en-US"/>
        </w:rPr>
        <w:t>Country Report Turkey</w:t>
      </w:r>
      <w:r w:rsidRPr="00247530">
        <w:rPr>
          <w:rFonts w:ascii="Times New Roman" w:hAnsi="Times New Roman" w:cs="Times New Roman"/>
        </w:rPr>
        <w:t>, p. 16.</w:t>
      </w:r>
      <w:r w:rsidR="00541E2E" w:rsidRPr="00247530">
        <w:rPr>
          <w:rFonts w:ascii="Times New Roman" w:hAnsi="Times New Roman" w:cs="Times New Roman"/>
        </w:rPr>
        <w:t xml:space="preserve"> “</w:t>
      </w:r>
      <w:r w:rsidRPr="00247530">
        <w:rPr>
          <w:rFonts w:ascii="Times New Roman" w:hAnsi="Times New Roman" w:cs="Times New Roman"/>
          <w:bCs/>
        </w:rPr>
        <w:t>In the aftermath of failed July 15 coup attempt the legal framework for civilian-military relations had undergone significant changes by making changes to the organizational and educational structure of the Turkish armed forces with the help of the 3</w:t>
      </w:r>
      <w:r w:rsidRPr="00247530">
        <w:rPr>
          <w:rFonts w:ascii="Times New Roman" w:hAnsi="Times New Roman" w:cs="Times New Roman"/>
          <w:bCs/>
          <w:vertAlign w:val="superscript"/>
        </w:rPr>
        <w:t>rd</w:t>
      </w:r>
      <w:r w:rsidRPr="00247530">
        <w:rPr>
          <w:rFonts w:ascii="Times New Roman" w:hAnsi="Times New Roman" w:cs="Times New Roman"/>
          <w:bCs/>
        </w:rPr>
        <w:t xml:space="preserve"> decree announced following the declaration of state of emergency on Jul 31, 2016. Finally, “the force commanders were attached to the Ministry of National </w:t>
      </w:r>
      <w:r w:rsidR="00495419" w:rsidRPr="00247530">
        <w:rPr>
          <w:rFonts w:ascii="Times New Roman" w:hAnsi="Times New Roman" w:cs="Times New Roman"/>
          <w:bCs/>
        </w:rPr>
        <w:t>Defence</w:t>
      </w:r>
      <w:r w:rsidRPr="00247530">
        <w:rPr>
          <w:rFonts w:ascii="Times New Roman" w:hAnsi="Times New Roman" w:cs="Times New Roman"/>
          <w:bCs/>
        </w:rPr>
        <w:t xml:space="preserve"> and the civilian executive was granted the power to give orders to top commanders without observing the chain of command. In addition, the decree also introduced changes to the composition of the Higher Military Council (YAŞ). The Prime Minister’s deputies and the ministers of justice, foreign affairs and interior were made members of the YAŞ. This increased the number of civilian members to ten, while the number of military members fell from 12 to four.”</w:t>
      </w:r>
    </w:p>
  </w:footnote>
  <w:footnote w:id="25">
    <w:p w14:paraId="4F66C775" w14:textId="04CC55F2" w:rsidR="003C3B27" w:rsidRPr="00247530" w:rsidRDefault="003C3B27" w:rsidP="00495419">
      <w:pPr>
        <w:rPr>
          <w:rFonts w:ascii="Times New Roman" w:hAnsi="Times New Roman" w:cs="Times New Roman"/>
          <w:sz w:val="20"/>
          <w:szCs w:val="20"/>
        </w:rPr>
      </w:pPr>
      <w:r w:rsidRPr="00247530">
        <w:rPr>
          <w:rFonts w:ascii="Times New Roman" w:hAnsi="Times New Roman" w:cs="Times New Roman"/>
          <w:bCs/>
          <w:sz w:val="20"/>
          <w:szCs w:val="20"/>
          <w:vertAlign w:val="superscript"/>
          <w:lang w:val="en-GB"/>
        </w:rPr>
        <w:footnoteRef/>
      </w:r>
      <w:r w:rsidRPr="00247530">
        <w:rPr>
          <w:rFonts w:ascii="Times New Roman" w:hAnsi="Times New Roman" w:cs="Times New Roman"/>
          <w:bCs/>
          <w:sz w:val="20"/>
          <w:szCs w:val="20"/>
          <w:lang w:val="en-GB"/>
        </w:rPr>
        <w:t xml:space="preserve"> </w:t>
      </w:r>
      <w:r w:rsidR="00E9011D" w:rsidRPr="00E9011D">
        <w:rPr>
          <w:rFonts w:ascii="Times New Roman" w:hAnsi="Times New Roman" w:cs="Times New Roman"/>
          <w:bCs/>
          <w:sz w:val="20"/>
          <w:szCs w:val="20"/>
        </w:rPr>
        <w:t>European Commission</w:t>
      </w:r>
      <w:r w:rsidR="00822325">
        <w:rPr>
          <w:rFonts w:ascii="Times New Roman" w:hAnsi="Times New Roman" w:cs="Times New Roman"/>
          <w:bCs/>
          <w:sz w:val="20"/>
          <w:szCs w:val="20"/>
          <w:lang w:val="en-GB"/>
        </w:rPr>
        <w:t xml:space="preserve">, </w:t>
      </w:r>
      <w:r w:rsidR="00495419" w:rsidRPr="00247530">
        <w:rPr>
          <w:rFonts w:ascii="Times New Roman" w:hAnsi="Times New Roman" w:cs="Times New Roman"/>
          <w:bCs/>
          <w:sz w:val="20"/>
          <w:szCs w:val="20"/>
          <w:lang w:val="en-GB"/>
        </w:rPr>
        <w:t xml:space="preserve">2016 </w:t>
      </w:r>
      <w:r w:rsidR="00D90061">
        <w:rPr>
          <w:rFonts w:ascii="Times New Roman" w:hAnsi="Times New Roman" w:cs="Times New Roman"/>
          <w:bCs/>
          <w:sz w:val="20"/>
          <w:szCs w:val="20"/>
          <w:lang w:val="en-GB"/>
        </w:rPr>
        <w:t>Country</w:t>
      </w:r>
      <w:r w:rsidR="00495419" w:rsidRPr="00247530">
        <w:rPr>
          <w:rFonts w:ascii="Times New Roman" w:hAnsi="Times New Roman" w:cs="Times New Roman"/>
          <w:bCs/>
          <w:sz w:val="20"/>
          <w:szCs w:val="20"/>
          <w:lang w:val="en-GB"/>
        </w:rPr>
        <w:t xml:space="preserve"> </w:t>
      </w:r>
      <w:r w:rsidRPr="00247530">
        <w:rPr>
          <w:rFonts w:ascii="Times New Roman" w:hAnsi="Times New Roman" w:cs="Times New Roman"/>
          <w:bCs/>
          <w:sz w:val="20"/>
          <w:szCs w:val="20"/>
          <w:lang w:val="en-GB"/>
        </w:rPr>
        <w:t>Report, p. 13.</w:t>
      </w:r>
    </w:p>
  </w:footnote>
  <w:footnote w:id="26">
    <w:p w14:paraId="1E51CB23" w14:textId="7C27D54D" w:rsidR="00F24607" w:rsidRPr="00247530" w:rsidRDefault="00F24607" w:rsidP="00F24607">
      <w:pPr>
        <w:rPr>
          <w:rFonts w:ascii="Times New Roman" w:hAnsi="Times New Roman" w:cs="Times New Roman"/>
          <w:sz w:val="20"/>
          <w:szCs w:val="20"/>
        </w:rPr>
      </w:pPr>
      <w:r w:rsidRPr="00247530">
        <w:rPr>
          <w:rStyle w:val="FootnoteReference"/>
          <w:rFonts w:ascii="Times New Roman" w:hAnsi="Times New Roman" w:cs="Times New Roman"/>
          <w:sz w:val="20"/>
          <w:szCs w:val="20"/>
        </w:rPr>
        <w:footnoteRef/>
      </w:r>
      <w:r w:rsidRPr="00247530">
        <w:rPr>
          <w:rFonts w:ascii="Times New Roman" w:hAnsi="Times New Roman" w:cs="Times New Roman"/>
          <w:sz w:val="20"/>
          <w:szCs w:val="20"/>
        </w:rPr>
        <w:t xml:space="preserve"> </w:t>
      </w:r>
      <w:r w:rsidRPr="00247530">
        <w:rPr>
          <w:rFonts w:ascii="Times New Roman" w:eastAsia="StoneSerif" w:hAnsi="Times New Roman" w:cs="Times New Roman"/>
          <w:color w:val="1F1C1B"/>
          <w:sz w:val="20"/>
          <w:szCs w:val="20"/>
        </w:rPr>
        <w:t xml:space="preserve"> </w:t>
      </w:r>
      <w:r w:rsidR="00822325" w:rsidRPr="00822325">
        <w:rPr>
          <w:rFonts w:ascii="Times New Roman" w:eastAsia="StoneSerif" w:hAnsi="Times New Roman" w:cs="Times New Roman"/>
          <w:color w:val="1F1C1B"/>
          <w:sz w:val="20"/>
          <w:szCs w:val="20"/>
        </w:rPr>
        <w:t>European Commission</w:t>
      </w:r>
      <w:r w:rsidR="00822325">
        <w:rPr>
          <w:rFonts w:ascii="Times New Roman" w:eastAsia="StoneSerif" w:hAnsi="Times New Roman" w:cs="Times New Roman"/>
          <w:color w:val="1F1C1B"/>
          <w:sz w:val="20"/>
          <w:szCs w:val="20"/>
        </w:rPr>
        <w:t xml:space="preserve">, </w:t>
      </w:r>
      <w:r w:rsidRPr="00247530">
        <w:rPr>
          <w:rFonts w:ascii="Times New Roman" w:eastAsia="StoneSerif" w:hAnsi="Times New Roman" w:cs="Times New Roman"/>
          <w:color w:val="1F1C1B"/>
          <w:sz w:val="20"/>
          <w:szCs w:val="20"/>
        </w:rPr>
        <w:t>2010</w:t>
      </w:r>
      <w:r w:rsidR="0035282D">
        <w:rPr>
          <w:rFonts w:ascii="Times New Roman" w:eastAsia="StoneSerif" w:hAnsi="Times New Roman" w:cs="Times New Roman"/>
          <w:color w:val="1F1C1B"/>
          <w:sz w:val="20"/>
          <w:szCs w:val="20"/>
        </w:rPr>
        <w:t xml:space="preserve"> </w:t>
      </w:r>
      <w:r w:rsidR="00D90061">
        <w:rPr>
          <w:rFonts w:ascii="Times New Roman" w:eastAsia="StoneSerif" w:hAnsi="Times New Roman" w:cs="Times New Roman"/>
          <w:color w:val="1F1C1B"/>
          <w:sz w:val="20"/>
          <w:szCs w:val="20"/>
        </w:rPr>
        <w:t>Progress</w:t>
      </w:r>
      <w:r w:rsidR="004619EF">
        <w:rPr>
          <w:rFonts w:ascii="Times New Roman" w:eastAsia="StoneSerif" w:hAnsi="Times New Roman" w:cs="Times New Roman"/>
          <w:color w:val="1F1C1B"/>
          <w:sz w:val="20"/>
          <w:szCs w:val="20"/>
        </w:rPr>
        <w:t xml:space="preserve"> Report, pp</w:t>
      </w:r>
      <w:r w:rsidR="00163EBF">
        <w:rPr>
          <w:rFonts w:ascii="Times New Roman" w:eastAsia="StoneSerif" w:hAnsi="Times New Roman" w:cs="Times New Roman"/>
          <w:color w:val="1F1C1B"/>
          <w:sz w:val="20"/>
          <w:szCs w:val="20"/>
        </w:rPr>
        <w:t>.</w:t>
      </w:r>
      <w:r w:rsidRPr="00247530">
        <w:rPr>
          <w:rFonts w:ascii="Times New Roman" w:eastAsia="StoneSerif" w:hAnsi="Times New Roman" w:cs="Times New Roman"/>
          <w:color w:val="1F1C1B"/>
          <w:sz w:val="20"/>
          <w:szCs w:val="20"/>
        </w:rPr>
        <w:t xml:space="preserve"> 18–19, 63</w:t>
      </w:r>
      <w:r w:rsidR="006C5FBE">
        <w:rPr>
          <w:rFonts w:ascii="Times New Roman" w:eastAsia="StoneSerif" w:hAnsi="Times New Roman" w:cs="Times New Roman"/>
          <w:color w:val="1F1C1B"/>
          <w:sz w:val="20"/>
          <w:szCs w:val="20"/>
        </w:rPr>
        <w:t>;</w:t>
      </w:r>
      <w:r w:rsidRPr="00247530">
        <w:rPr>
          <w:rFonts w:ascii="Times New Roman" w:eastAsia="StoneSerif" w:hAnsi="Times New Roman" w:cs="Times New Roman"/>
          <w:color w:val="1F1C1B"/>
          <w:sz w:val="20"/>
          <w:szCs w:val="20"/>
        </w:rPr>
        <w:t xml:space="preserve"> 2011</w:t>
      </w:r>
      <w:r w:rsidR="00D90061">
        <w:rPr>
          <w:rFonts w:ascii="Times New Roman" w:eastAsia="StoneSerif" w:hAnsi="Times New Roman" w:cs="Times New Roman"/>
          <w:color w:val="1F1C1B"/>
          <w:sz w:val="20"/>
          <w:szCs w:val="20"/>
        </w:rPr>
        <w:t xml:space="preserve"> Progress Report</w:t>
      </w:r>
      <w:r w:rsidR="006C5FBE">
        <w:rPr>
          <w:rFonts w:ascii="Times New Roman" w:eastAsia="StoneSerif" w:hAnsi="Times New Roman" w:cs="Times New Roman"/>
          <w:color w:val="1F1C1B"/>
          <w:sz w:val="20"/>
          <w:szCs w:val="20"/>
        </w:rPr>
        <w:t>, p.</w:t>
      </w:r>
      <w:r w:rsidRPr="00247530">
        <w:rPr>
          <w:rFonts w:ascii="Times New Roman" w:eastAsia="StoneSerif" w:hAnsi="Times New Roman" w:cs="Times New Roman"/>
          <w:color w:val="1F1C1B"/>
          <w:sz w:val="20"/>
          <w:szCs w:val="20"/>
        </w:rPr>
        <w:t xml:space="preserve"> 75</w:t>
      </w:r>
      <w:r w:rsidR="00D90061">
        <w:rPr>
          <w:rFonts w:ascii="Times New Roman" w:eastAsia="StoneSerif" w:hAnsi="Times New Roman" w:cs="Times New Roman"/>
          <w:color w:val="1F1C1B"/>
          <w:sz w:val="20"/>
          <w:szCs w:val="20"/>
        </w:rPr>
        <w:t>;</w:t>
      </w:r>
      <w:r w:rsidRPr="00247530">
        <w:rPr>
          <w:rFonts w:ascii="Times New Roman" w:eastAsia="StoneSerif" w:hAnsi="Times New Roman" w:cs="Times New Roman"/>
          <w:color w:val="1F1C1B"/>
          <w:sz w:val="20"/>
          <w:szCs w:val="20"/>
        </w:rPr>
        <w:t xml:space="preserve"> 2012</w:t>
      </w:r>
      <w:r w:rsidR="00D90061">
        <w:rPr>
          <w:rFonts w:ascii="Times New Roman" w:eastAsia="StoneSerif" w:hAnsi="Times New Roman" w:cs="Times New Roman"/>
          <w:color w:val="1F1C1B"/>
          <w:sz w:val="20"/>
          <w:szCs w:val="20"/>
        </w:rPr>
        <w:t xml:space="preserve"> Progress</w:t>
      </w:r>
      <w:r w:rsidR="006C5FBE">
        <w:rPr>
          <w:rFonts w:ascii="Times New Roman" w:eastAsia="StoneSerif" w:hAnsi="Times New Roman" w:cs="Times New Roman"/>
          <w:color w:val="1F1C1B"/>
          <w:sz w:val="20"/>
          <w:szCs w:val="20"/>
        </w:rPr>
        <w:t xml:space="preserve"> Report, p.18</w:t>
      </w:r>
    </w:p>
  </w:footnote>
  <w:footnote w:id="27">
    <w:p w14:paraId="42EAD1EF" w14:textId="7D60C460" w:rsidR="00F24607" w:rsidRDefault="00F24607" w:rsidP="00F24607">
      <w:pPr>
        <w:rPr>
          <w:rFonts w:ascii="Times New Roman" w:hAnsi="Times New Roman" w:cs="Times New Roman"/>
        </w:rPr>
      </w:pPr>
      <w:r w:rsidRPr="00247530">
        <w:rPr>
          <w:rStyle w:val="FootnoteReference"/>
          <w:rFonts w:ascii="Times New Roman" w:hAnsi="Times New Roman" w:cs="Times New Roman"/>
          <w:sz w:val="20"/>
          <w:szCs w:val="20"/>
        </w:rPr>
        <w:footnoteRef/>
      </w:r>
      <w:r w:rsidRPr="00247530">
        <w:rPr>
          <w:rFonts w:ascii="Times New Roman" w:hAnsi="Times New Roman" w:cs="Times New Roman"/>
          <w:sz w:val="20"/>
          <w:szCs w:val="20"/>
        </w:rPr>
        <w:t xml:space="preserve"> </w:t>
      </w:r>
      <w:bookmarkStart w:id="2" w:name="_Hlk103033525"/>
      <w:r w:rsidR="00822325" w:rsidRPr="00822325">
        <w:rPr>
          <w:rFonts w:ascii="Times New Roman" w:hAnsi="Times New Roman" w:cs="Times New Roman"/>
          <w:sz w:val="20"/>
          <w:szCs w:val="20"/>
        </w:rPr>
        <w:t>European Commission</w:t>
      </w:r>
      <w:r w:rsidR="00822325">
        <w:rPr>
          <w:rFonts w:ascii="Times New Roman" w:hAnsi="Times New Roman" w:cs="Times New Roman"/>
          <w:sz w:val="20"/>
          <w:szCs w:val="20"/>
        </w:rPr>
        <w:t xml:space="preserve">, </w:t>
      </w:r>
      <w:bookmarkEnd w:id="2"/>
      <w:r w:rsidR="006C5FBE">
        <w:rPr>
          <w:rFonts w:ascii="Times New Roman" w:eastAsia="StoneSerif" w:hAnsi="Times New Roman" w:cs="Times New Roman"/>
          <w:color w:val="1F1C1B"/>
          <w:sz w:val="20"/>
          <w:szCs w:val="20"/>
        </w:rPr>
        <w:t xml:space="preserve">1998 </w:t>
      </w:r>
      <w:r w:rsidR="007E3DF1">
        <w:rPr>
          <w:rFonts w:ascii="Times New Roman" w:eastAsia="StoneSerif" w:hAnsi="Times New Roman" w:cs="Times New Roman"/>
          <w:color w:val="1F1C1B"/>
          <w:sz w:val="20"/>
          <w:szCs w:val="20"/>
        </w:rPr>
        <w:t>Progress</w:t>
      </w:r>
      <w:r w:rsidR="00D01721">
        <w:rPr>
          <w:rFonts w:ascii="Times New Roman" w:eastAsia="StoneSerif" w:hAnsi="Times New Roman" w:cs="Times New Roman"/>
          <w:color w:val="1F1C1B"/>
          <w:sz w:val="20"/>
          <w:szCs w:val="20"/>
        </w:rPr>
        <w:t xml:space="preserve"> Report, pp.</w:t>
      </w:r>
      <w:r w:rsidRPr="00247530">
        <w:rPr>
          <w:rFonts w:ascii="Times New Roman" w:eastAsia="StoneSerif" w:hAnsi="Times New Roman" w:cs="Times New Roman"/>
          <w:color w:val="1F1C1B"/>
          <w:sz w:val="20"/>
          <w:szCs w:val="20"/>
        </w:rPr>
        <w:t>10, 14–15</w:t>
      </w:r>
      <w:r w:rsidR="00D01721">
        <w:rPr>
          <w:rFonts w:ascii="Times New Roman" w:eastAsia="StoneSerif" w:hAnsi="Times New Roman" w:cs="Times New Roman"/>
          <w:color w:val="1F1C1B"/>
          <w:sz w:val="20"/>
          <w:szCs w:val="20"/>
        </w:rPr>
        <w:t>;</w:t>
      </w:r>
      <w:r w:rsidRPr="00247530">
        <w:rPr>
          <w:rFonts w:ascii="Times New Roman" w:eastAsia="StoneSerif" w:hAnsi="Times New Roman" w:cs="Times New Roman"/>
          <w:color w:val="1F1C1B"/>
          <w:sz w:val="20"/>
          <w:szCs w:val="20"/>
        </w:rPr>
        <w:t xml:space="preserve"> </w:t>
      </w:r>
      <w:r w:rsidR="003313DC" w:rsidRPr="00247530">
        <w:rPr>
          <w:rFonts w:ascii="Times New Roman" w:eastAsia="StoneSerif" w:hAnsi="Times New Roman" w:cs="Times New Roman"/>
          <w:color w:val="1F1C1B"/>
          <w:sz w:val="20"/>
          <w:szCs w:val="20"/>
        </w:rPr>
        <w:t>1999</w:t>
      </w:r>
      <w:r w:rsidR="00141FE0">
        <w:rPr>
          <w:rFonts w:ascii="Times New Roman" w:eastAsia="StoneSerif" w:hAnsi="Times New Roman" w:cs="Times New Roman"/>
          <w:color w:val="1F1C1B"/>
          <w:sz w:val="20"/>
          <w:szCs w:val="20"/>
        </w:rPr>
        <w:t xml:space="preserve"> </w:t>
      </w:r>
      <w:bookmarkStart w:id="3" w:name="_Hlk103031747"/>
      <w:r w:rsidR="007E3DF1">
        <w:rPr>
          <w:rFonts w:ascii="Times New Roman" w:eastAsia="StoneSerif" w:hAnsi="Times New Roman" w:cs="Times New Roman"/>
          <w:color w:val="1F1C1B"/>
          <w:sz w:val="20"/>
          <w:szCs w:val="20"/>
        </w:rPr>
        <w:t>Progress</w:t>
      </w:r>
      <w:r w:rsidR="00141FE0">
        <w:rPr>
          <w:rFonts w:ascii="Times New Roman" w:eastAsia="StoneSerif" w:hAnsi="Times New Roman" w:cs="Times New Roman"/>
          <w:color w:val="1F1C1B"/>
          <w:sz w:val="20"/>
          <w:szCs w:val="20"/>
        </w:rPr>
        <w:t xml:space="preserve"> Report</w:t>
      </w:r>
      <w:bookmarkEnd w:id="3"/>
      <w:r w:rsidR="003313DC">
        <w:rPr>
          <w:rFonts w:ascii="Times New Roman" w:eastAsia="StoneSerif" w:hAnsi="Times New Roman" w:cs="Times New Roman"/>
          <w:color w:val="1F1C1B"/>
          <w:sz w:val="20"/>
          <w:szCs w:val="20"/>
        </w:rPr>
        <w:t>, pp.</w:t>
      </w:r>
      <w:r w:rsidRPr="00247530">
        <w:rPr>
          <w:rFonts w:ascii="Times New Roman" w:eastAsia="StoneSerif" w:hAnsi="Times New Roman" w:cs="Times New Roman"/>
          <w:color w:val="1F1C1B"/>
          <w:sz w:val="20"/>
          <w:szCs w:val="20"/>
        </w:rPr>
        <w:t xml:space="preserve"> 6, 10–11</w:t>
      </w:r>
      <w:r w:rsidR="003313DC">
        <w:rPr>
          <w:rFonts w:ascii="Times New Roman" w:eastAsia="StoneSerif" w:hAnsi="Times New Roman" w:cs="Times New Roman"/>
          <w:color w:val="1F1C1B"/>
          <w:sz w:val="20"/>
          <w:szCs w:val="20"/>
        </w:rPr>
        <w:t>;</w:t>
      </w:r>
      <w:r w:rsidRPr="00247530">
        <w:rPr>
          <w:rFonts w:ascii="Times New Roman" w:eastAsia="StoneSerif" w:hAnsi="Times New Roman" w:cs="Times New Roman"/>
          <w:color w:val="1F1C1B"/>
          <w:sz w:val="20"/>
          <w:szCs w:val="20"/>
        </w:rPr>
        <w:t xml:space="preserve"> 2010</w:t>
      </w:r>
      <w:r w:rsidR="00141FE0" w:rsidRPr="00141FE0">
        <w:rPr>
          <w:rFonts w:ascii="Times New Roman" w:eastAsia="StoneSerif" w:hAnsi="Times New Roman" w:cs="Times New Roman"/>
          <w:color w:val="1F1C1B"/>
          <w:sz w:val="20"/>
          <w:szCs w:val="20"/>
        </w:rPr>
        <w:t xml:space="preserve"> </w:t>
      </w:r>
      <w:r w:rsidR="00CD6903">
        <w:rPr>
          <w:rFonts w:ascii="Times New Roman" w:eastAsia="StoneSerif" w:hAnsi="Times New Roman" w:cs="Times New Roman"/>
          <w:color w:val="1F1C1B"/>
          <w:sz w:val="20"/>
          <w:szCs w:val="20"/>
        </w:rPr>
        <w:t>Progress</w:t>
      </w:r>
      <w:r w:rsidR="00141FE0" w:rsidRPr="00141FE0">
        <w:rPr>
          <w:rFonts w:ascii="Times New Roman" w:eastAsia="StoneSerif" w:hAnsi="Times New Roman" w:cs="Times New Roman"/>
          <w:color w:val="1F1C1B"/>
          <w:sz w:val="20"/>
          <w:szCs w:val="20"/>
        </w:rPr>
        <w:t xml:space="preserve"> Report</w:t>
      </w:r>
      <w:r w:rsidR="003313DC">
        <w:rPr>
          <w:rFonts w:ascii="Times New Roman" w:eastAsia="StoneSerif" w:hAnsi="Times New Roman" w:cs="Times New Roman"/>
          <w:color w:val="1F1C1B"/>
          <w:sz w:val="20"/>
          <w:szCs w:val="20"/>
        </w:rPr>
        <w:t>, pp.</w:t>
      </w:r>
      <w:r w:rsidRPr="00247530">
        <w:rPr>
          <w:rFonts w:ascii="Times New Roman" w:eastAsia="StoneSerif" w:hAnsi="Times New Roman" w:cs="Times New Roman"/>
          <w:color w:val="1F1C1B"/>
          <w:sz w:val="20"/>
          <w:szCs w:val="20"/>
        </w:rPr>
        <w:t xml:space="preserve"> 17, 35</w:t>
      </w:r>
      <w:r w:rsidR="007C27CE">
        <w:rPr>
          <w:rFonts w:ascii="Times New Roman" w:eastAsia="StoneSerif" w:hAnsi="Times New Roman" w:cs="Times New Roman"/>
          <w:color w:val="1F1C1B"/>
          <w:sz w:val="20"/>
          <w:szCs w:val="20"/>
        </w:rPr>
        <w:t>;</w:t>
      </w:r>
      <w:r w:rsidRPr="00247530">
        <w:rPr>
          <w:rFonts w:ascii="Times New Roman" w:eastAsia="StoneSerif" w:hAnsi="Times New Roman" w:cs="Times New Roman"/>
          <w:color w:val="1F1C1B"/>
          <w:sz w:val="20"/>
          <w:szCs w:val="20"/>
        </w:rPr>
        <w:t xml:space="preserve"> 2012</w:t>
      </w:r>
      <w:r w:rsidR="007C27CE">
        <w:rPr>
          <w:rFonts w:ascii="Times New Roman" w:eastAsia="StoneSerif" w:hAnsi="Times New Roman" w:cs="Times New Roman"/>
          <w:color w:val="1F1C1B"/>
          <w:sz w:val="20"/>
          <w:szCs w:val="20"/>
        </w:rPr>
        <w:t>,</w:t>
      </w:r>
      <w:r w:rsidR="00141FE0" w:rsidRPr="00141FE0">
        <w:rPr>
          <w:rFonts w:ascii="Times New Roman" w:eastAsia="StoneSerif" w:hAnsi="Times New Roman" w:cs="Times New Roman"/>
          <w:color w:val="1F1C1B"/>
          <w:sz w:val="20"/>
          <w:szCs w:val="20"/>
        </w:rPr>
        <w:t xml:space="preserve"> </w:t>
      </w:r>
      <w:r w:rsidR="00CD6903">
        <w:rPr>
          <w:rFonts w:ascii="Times New Roman" w:eastAsia="StoneSerif" w:hAnsi="Times New Roman" w:cs="Times New Roman"/>
          <w:color w:val="1F1C1B"/>
          <w:sz w:val="20"/>
          <w:szCs w:val="20"/>
        </w:rPr>
        <w:t>Progress</w:t>
      </w:r>
      <w:r w:rsidR="00141FE0" w:rsidRPr="00141FE0">
        <w:rPr>
          <w:rFonts w:ascii="Times New Roman" w:eastAsia="StoneSerif" w:hAnsi="Times New Roman" w:cs="Times New Roman"/>
          <w:color w:val="1F1C1B"/>
          <w:sz w:val="20"/>
          <w:szCs w:val="20"/>
        </w:rPr>
        <w:t xml:space="preserve"> Report</w:t>
      </w:r>
      <w:r w:rsidR="007C27CE">
        <w:rPr>
          <w:rFonts w:ascii="Times New Roman" w:eastAsia="StoneSerif" w:hAnsi="Times New Roman" w:cs="Times New Roman"/>
          <w:color w:val="1F1C1B"/>
          <w:sz w:val="20"/>
          <w:szCs w:val="20"/>
        </w:rPr>
        <w:t xml:space="preserve"> p.</w:t>
      </w:r>
      <w:r w:rsidRPr="00247530">
        <w:rPr>
          <w:rFonts w:ascii="Times New Roman" w:eastAsia="StoneSerif" w:hAnsi="Times New Roman" w:cs="Times New Roman"/>
          <w:color w:val="1F1C1B"/>
          <w:sz w:val="20"/>
          <w:szCs w:val="20"/>
        </w:rPr>
        <w:t>12.</w:t>
      </w:r>
    </w:p>
  </w:footnote>
  <w:footnote w:id="28">
    <w:p w14:paraId="45849DF5" w14:textId="7A3B937C" w:rsidR="00F24607" w:rsidRPr="009E7BD9" w:rsidRDefault="00F24607" w:rsidP="00F24607">
      <w:pPr>
        <w:rPr>
          <w:rFonts w:ascii="Times New Roman" w:hAnsi="Times New Roman" w:cs="Times New Roman"/>
          <w:sz w:val="20"/>
          <w:szCs w:val="20"/>
        </w:rPr>
      </w:pPr>
      <w:r w:rsidRPr="009E7BD9">
        <w:rPr>
          <w:rStyle w:val="FootnoteReference"/>
          <w:rFonts w:ascii="Times New Roman" w:hAnsi="Times New Roman" w:cs="Times New Roman"/>
          <w:sz w:val="20"/>
          <w:szCs w:val="20"/>
        </w:rPr>
        <w:footnoteRef/>
      </w:r>
      <w:r w:rsidRPr="009E7BD9">
        <w:rPr>
          <w:rFonts w:ascii="Times New Roman" w:hAnsi="Times New Roman" w:cs="Times New Roman"/>
          <w:sz w:val="20"/>
          <w:szCs w:val="20"/>
        </w:rPr>
        <w:t xml:space="preserve"> </w:t>
      </w:r>
      <w:r w:rsidR="001D6BD5" w:rsidRPr="001D6BD5">
        <w:rPr>
          <w:rFonts w:ascii="Times New Roman" w:hAnsi="Times New Roman" w:cs="Times New Roman"/>
          <w:sz w:val="20"/>
          <w:szCs w:val="20"/>
        </w:rPr>
        <w:t xml:space="preserve">European Commission, </w:t>
      </w:r>
      <w:r w:rsidR="00AA7AA2">
        <w:rPr>
          <w:rFonts w:ascii="Times New Roman" w:hAnsi="Times New Roman" w:cs="Times New Roman"/>
          <w:sz w:val="20"/>
          <w:szCs w:val="20"/>
        </w:rPr>
        <w:t xml:space="preserve">2018 </w:t>
      </w:r>
      <w:r w:rsidR="001B31F0">
        <w:rPr>
          <w:rFonts w:ascii="Times New Roman" w:hAnsi="Times New Roman" w:cs="Times New Roman"/>
          <w:sz w:val="20"/>
          <w:szCs w:val="20"/>
        </w:rPr>
        <w:t xml:space="preserve">Country </w:t>
      </w:r>
      <w:r w:rsidR="001B31F0" w:rsidRPr="009E7BD9">
        <w:rPr>
          <w:rFonts w:ascii="Times New Roman" w:hAnsi="Times New Roman" w:cs="Times New Roman"/>
          <w:sz w:val="20"/>
          <w:szCs w:val="20"/>
        </w:rPr>
        <w:t>Report</w:t>
      </w:r>
      <w:r w:rsidR="007E2037">
        <w:rPr>
          <w:rFonts w:ascii="Times New Roman" w:hAnsi="Times New Roman" w:cs="Times New Roman"/>
          <w:sz w:val="20"/>
          <w:szCs w:val="20"/>
        </w:rPr>
        <w:t xml:space="preserve"> Turkey</w:t>
      </w:r>
      <w:r w:rsidRPr="009E7BD9">
        <w:rPr>
          <w:rFonts w:ascii="Times New Roman" w:hAnsi="Times New Roman" w:cs="Times New Roman"/>
          <w:sz w:val="20"/>
          <w:szCs w:val="20"/>
        </w:rPr>
        <w:t>, pp. 15-16.</w:t>
      </w:r>
    </w:p>
  </w:footnote>
  <w:footnote w:id="29">
    <w:p w14:paraId="0BAC9B92" w14:textId="43B39AC3" w:rsidR="00F24607" w:rsidRPr="009E7BD9" w:rsidRDefault="00F24607" w:rsidP="00F24607">
      <w:pPr>
        <w:rPr>
          <w:rFonts w:ascii="Times New Roman" w:hAnsi="Times New Roman" w:cs="Times New Roman"/>
          <w:sz w:val="20"/>
          <w:szCs w:val="20"/>
        </w:rPr>
      </w:pPr>
      <w:r w:rsidRPr="009E7BD9">
        <w:rPr>
          <w:rStyle w:val="FootnoteReference"/>
          <w:rFonts w:ascii="Times New Roman" w:hAnsi="Times New Roman" w:cs="Times New Roman"/>
          <w:sz w:val="20"/>
          <w:szCs w:val="20"/>
        </w:rPr>
        <w:footnoteRef/>
      </w:r>
      <w:r w:rsidRPr="009E7BD9">
        <w:rPr>
          <w:rFonts w:ascii="Times New Roman" w:hAnsi="Times New Roman" w:cs="Times New Roman"/>
          <w:sz w:val="20"/>
          <w:szCs w:val="20"/>
        </w:rPr>
        <w:t xml:space="preserve"> </w:t>
      </w:r>
      <w:r w:rsidR="001D6BD5" w:rsidRPr="001D6BD5">
        <w:rPr>
          <w:rFonts w:ascii="Times New Roman" w:hAnsi="Times New Roman" w:cs="Times New Roman"/>
          <w:sz w:val="20"/>
          <w:szCs w:val="20"/>
        </w:rPr>
        <w:t xml:space="preserve">European Commission, </w:t>
      </w:r>
      <w:r w:rsidR="00D53E1B">
        <w:rPr>
          <w:rFonts w:ascii="Times New Roman" w:hAnsi="Times New Roman" w:cs="Times New Roman"/>
          <w:sz w:val="20"/>
          <w:szCs w:val="20"/>
        </w:rPr>
        <w:t xml:space="preserve">2016 </w:t>
      </w:r>
      <w:r w:rsidR="007E2037">
        <w:rPr>
          <w:rFonts w:ascii="Times New Roman" w:hAnsi="Times New Roman" w:cs="Times New Roman"/>
          <w:sz w:val="20"/>
          <w:szCs w:val="20"/>
        </w:rPr>
        <w:t xml:space="preserve">Country Report </w:t>
      </w:r>
      <w:r w:rsidR="001B31F0" w:rsidRPr="009E7BD9">
        <w:rPr>
          <w:rFonts w:ascii="Times New Roman" w:hAnsi="Times New Roman" w:cs="Times New Roman"/>
          <w:sz w:val="20"/>
          <w:szCs w:val="20"/>
        </w:rPr>
        <w:t>Turkey,</w:t>
      </w:r>
      <w:r w:rsidRPr="009E7BD9">
        <w:rPr>
          <w:rFonts w:ascii="Times New Roman" w:hAnsi="Times New Roman" w:cs="Times New Roman"/>
          <w:sz w:val="20"/>
          <w:szCs w:val="20"/>
        </w:rPr>
        <w:t xml:space="preserve"> p. 6.</w:t>
      </w:r>
    </w:p>
  </w:footnote>
  <w:footnote w:id="30">
    <w:p w14:paraId="77D8E22A" w14:textId="16ABD0CE" w:rsidR="00F24607" w:rsidRDefault="00F24607" w:rsidP="00F24607">
      <w:pPr>
        <w:rPr>
          <w:rFonts w:ascii="Times New Roman" w:hAnsi="Times New Roman" w:cs="Times New Roman"/>
        </w:rPr>
      </w:pPr>
      <w:r w:rsidRPr="009E7BD9">
        <w:rPr>
          <w:rStyle w:val="FootnoteReference"/>
          <w:rFonts w:ascii="Times New Roman" w:hAnsi="Times New Roman" w:cs="Times New Roman"/>
          <w:sz w:val="20"/>
          <w:szCs w:val="20"/>
        </w:rPr>
        <w:footnoteRef/>
      </w:r>
      <w:r w:rsidRPr="009E7BD9">
        <w:rPr>
          <w:rFonts w:ascii="Times New Roman" w:hAnsi="Times New Roman" w:cs="Times New Roman"/>
          <w:sz w:val="20"/>
          <w:szCs w:val="20"/>
        </w:rPr>
        <w:t xml:space="preserve"> </w:t>
      </w:r>
      <w:r w:rsidR="001D6BD5" w:rsidRPr="001D6BD5">
        <w:rPr>
          <w:rFonts w:ascii="Times New Roman" w:hAnsi="Times New Roman" w:cs="Times New Roman"/>
          <w:sz w:val="20"/>
          <w:szCs w:val="20"/>
        </w:rPr>
        <w:t xml:space="preserve">European Commission, </w:t>
      </w:r>
      <w:r w:rsidR="00D53E1B">
        <w:rPr>
          <w:rFonts w:ascii="Times New Roman" w:hAnsi="Times New Roman" w:cs="Times New Roman"/>
          <w:sz w:val="20"/>
          <w:szCs w:val="20"/>
        </w:rPr>
        <w:t xml:space="preserve">2019 </w:t>
      </w:r>
      <w:r w:rsidR="001B31F0">
        <w:rPr>
          <w:rFonts w:ascii="Times New Roman" w:hAnsi="Times New Roman" w:cs="Times New Roman"/>
          <w:sz w:val="20"/>
          <w:szCs w:val="20"/>
        </w:rPr>
        <w:t xml:space="preserve">Country Report </w:t>
      </w:r>
      <w:r w:rsidRPr="009E7BD9">
        <w:rPr>
          <w:rFonts w:ascii="Times New Roman" w:hAnsi="Times New Roman" w:cs="Times New Roman"/>
          <w:sz w:val="20"/>
          <w:szCs w:val="20"/>
        </w:rPr>
        <w:t>Turkey, p. 15.</w:t>
      </w:r>
    </w:p>
  </w:footnote>
  <w:footnote w:id="31">
    <w:p w14:paraId="58394772" w14:textId="69177720" w:rsidR="00C07346" w:rsidRPr="009E7BD9" w:rsidRDefault="00C07346" w:rsidP="00C07346">
      <w:pPr>
        <w:rPr>
          <w:rFonts w:ascii="Times New Roman" w:hAnsi="Times New Roman" w:cs="Times New Roman"/>
          <w:sz w:val="20"/>
          <w:szCs w:val="20"/>
        </w:rPr>
      </w:pPr>
      <w:r w:rsidRPr="009E7BD9">
        <w:rPr>
          <w:rStyle w:val="FootnoteReference"/>
          <w:rFonts w:ascii="Times New Roman" w:hAnsi="Times New Roman" w:cs="Times New Roman"/>
          <w:sz w:val="20"/>
          <w:szCs w:val="20"/>
        </w:rPr>
        <w:footnoteRef/>
      </w:r>
      <w:r w:rsidRPr="009E7BD9">
        <w:rPr>
          <w:rFonts w:ascii="Times New Roman" w:hAnsi="Times New Roman" w:cs="Times New Roman"/>
          <w:sz w:val="20"/>
          <w:szCs w:val="20"/>
        </w:rPr>
        <w:t xml:space="preserve"> </w:t>
      </w:r>
      <w:r w:rsidR="001D6BD5" w:rsidRPr="001D6BD5">
        <w:rPr>
          <w:rFonts w:ascii="Times New Roman" w:hAnsi="Times New Roman" w:cs="Times New Roman"/>
          <w:sz w:val="20"/>
          <w:szCs w:val="20"/>
        </w:rPr>
        <w:t xml:space="preserve">European Commission, </w:t>
      </w:r>
      <w:r w:rsidR="00D53E1B">
        <w:rPr>
          <w:rFonts w:ascii="Times New Roman" w:hAnsi="Times New Roman" w:cs="Times New Roman"/>
          <w:sz w:val="20"/>
          <w:szCs w:val="20"/>
        </w:rPr>
        <w:t xml:space="preserve">2019 </w:t>
      </w:r>
      <w:r w:rsidR="001B31F0">
        <w:rPr>
          <w:rFonts w:ascii="Times New Roman" w:hAnsi="Times New Roman" w:cs="Times New Roman"/>
          <w:sz w:val="20"/>
          <w:szCs w:val="20"/>
        </w:rPr>
        <w:t>Cou</w:t>
      </w:r>
      <w:r w:rsidR="0065467D">
        <w:rPr>
          <w:rFonts w:ascii="Times New Roman" w:hAnsi="Times New Roman" w:cs="Times New Roman"/>
          <w:sz w:val="20"/>
          <w:szCs w:val="20"/>
        </w:rPr>
        <w:t>ntry Report</w:t>
      </w:r>
      <w:r w:rsidR="0065467D" w:rsidRPr="009E7BD9">
        <w:rPr>
          <w:rFonts w:ascii="Times New Roman" w:hAnsi="Times New Roman" w:cs="Times New Roman"/>
          <w:sz w:val="20"/>
          <w:szCs w:val="20"/>
        </w:rPr>
        <w:t xml:space="preserve"> Turkey</w:t>
      </w:r>
      <w:r w:rsidR="0065467D">
        <w:rPr>
          <w:rFonts w:ascii="Times New Roman" w:hAnsi="Times New Roman" w:cs="Times New Roman"/>
          <w:sz w:val="20"/>
          <w:szCs w:val="20"/>
        </w:rPr>
        <w:t xml:space="preserve">, </w:t>
      </w:r>
      <w:r w:rsidR="0065467D" w:rsidRPr="009E7BD9">
        <w:rPr>
          <w:rFonts w:ascii="Times New Roman" w:hAnsi="Times New Roman" w:cs="Times New Roman"/>
          <w:sz w:val="20"/>
          <w:szCs w:val="20"/>
        </w:rPr>
        <w:t>p.</w:t>
      </w:r>
      <w:r w:rsidRPr="009E7BD9">
        <w:rPr>
          <w:rFonts w:ascii="Times New Roman" w:hAnsi="Times New Roman" w:cs="Times New Roman"/>
          <w:sz w:val="20"/>
          <w:szCs w:val="20"/>
        </w:rPr>
        <w:t xml:space="preserve"> 4.</w:t>
      </w:r>
    </w:p>
  </w:footnote>
  <w:footnote w:id="32">
    <w:p w14:paraId="73C174CF" w14:textId="5AA6D33E" w:rsidR="001A5B9B" w:rsidRPr="001A5B9B" w:rsidRDefault="001A5B9B" w:rsidP="002C736E">
      <w:pPr>
        <w:pStyle w:val="FootnoteText"/>
        <w:rPr>
          <w:lang w:val="en-US"/>
        </w:rPr>
      </w:pPr>
    </w:p>
  </w:footnote>
  <w:footnote w:id="33">
    <w:p w14:paraId="35984745" w14:textId="1B1458EC" w:rsidR="00247B2C" w:rsidRPr="00247530" w:rsidRDefault="00247B2C" w:rsidP="00247530">
      <w:pPr>
        <w:pStyle w:val="NoSpacing"/>
        <w:rPr>
          <w:rFonts w:ascii="Times New Roman" w:hAnsi="Times New Roman" w:cs="Times New Roman"/>
          <w:sz w:val="20"/>
          <w:szCs w:val="20"/>
        </w:rPr>
      </w:pPr>
      <w:r w:rsidRPr="00247530">
        <w:rPr>
          <w:rStyle w:val="FootnoteReference"/>
          <w:rFonts w:ascii="Times New Roman" w:hAnsi="Times New Roman" w:cs="Times New Roman"/>
          <w:sz w:val="20"/>
          <w:szCs w:val="20"/>
        </w:rPr>
        <w:footnoteRef/>
      </w:r>
      <w:r w:rsidRPr="00247530">
        <w:rPr>
          <w:rFonts w:ascii="Times New Roman" w:hAnsi="Times New Roman" w:cs="Times New Roman"/>
          <w:sz w:val="20"/>
          <w:szCs w:val="20"/>
        </w:rPr>
        <w:t xml:space="preserve"> </w:t>
      </w:r>
      <w:r w:rsidR="006139AE" w:rsidRPr="00247530">
        <w:rPr>
          <w:rFonts w:ascii="Times New Roman" w:hAnsi="Times New Roman" w:cs="Times New Roman"/>
          <w:sz w:val="20"/>
          <w:szCs w:val="20"/>
        </w:rPr>
        <w:t xml:space="preserve">Bertelsmann Stiftung, BTI 2022 Country Report — Turkey. </w:t>
      </w:r>
      <w:proofErr w:type="spellStart"/>
      <w:r w:rsidR="006139AE" w:rsidRPr="00247530">
        <w:rPr>
          <w:rFonts w:ascii="Times New Roman" w:hAnsi="Times New Roman" w:cs="Times New Roman"/>
          <w:sz w:val="20"/>
          <w:szCs w:val="20"/>
        </w:rPr>
        <w:t>Gütersloh</w:t>
      </w:r>
      <w:proofErr w:type="spellEnd"/>
      <w:r w:rsidR="006139AE" w:rsidRPr="00247530">
        <w:rPr>
          <w:rFonts w:ascii="Times New Roman" w:hAnsi="Times New Roman" w:cs="Times New Roman"/>
          <w:sz w:val="20"/>
          <w:szCs w:val="20"/>
        </w:rPr>
        <w:t>: Bertelsmann Stiftung, 2022.</w:t>
      </w:r>
    </w:p>
  </w:footnote>
  <w:footnote w:id="34">
    <w:p w14:paraId="7F194CBB" w14:textId="41465A2B" w:rsidR="00C408A4" w:rsidRPr="00247530" w:rsidRDefault="00F909B2" w:rsidP="00247530">
      <w:pPr>
        <w:pStyle w:val="NoSpacing"/>
        <w:rPr>
          <w:rFonts w:ascii="Times New Roman" w:hAnsi="Times New Roman" w:cs="Times New Roman"/>
          <w:sz w:val="20"/>
          <w:szCs w:val="20"/>
        </w:rPr>
      </w:pPr>
      <w:r w:rsidRPr="00247530">
        <w:rPr>
          <w:rStyle w:val="FootnoteReference"/>
          <w:rFonts w:ascii="Times New Roman" w:hAnsi="Times New Roman" w:cs="Times New Roman"/>
          <w:sz w:val="20"/>
          <w:szCs w:val="20"/>
        </w:rPr>
        <w:footnoteRef/>
      </w:r>
      <w:r w:rsidRPr="00247530">
        <w:rPr>
          <w:rFonts w:ascii="Times New Roman" w:hAnsi="Times New Roman" w:cs="Times New Roman"/>
          <w:sz w:val="20"/>
          <w:szCs w:val="20"/>
        </w:rPr>
        <w:t xml:space="preserve"> </w:t>
      </w:r>
      <w:r w:rsidR="00C408A4" w:rsidRPr="00247530">
        <w:rPr>
          <w:rFonts w:ascii="Times New Roman" w:hAnsi="Times New Roman" w:cs="Times New Roman"/>
          <w:sz w:val="20"/>
          <w:szCs w:val="20"/>
        </w:rPr>
        <w:t xml:space="preserve">Osman Kavala, a businessman and philanthropist was accused of orchestrating and financing nationwide anti-government protests that erupted. Later, he was accused of being part of the attempted coup in 2016. </w:t>
      </w:r>
    </w:p>
    <w:p w14:paraId="5C513FB9" w14:textId="08A1A1D7" w:rsidR="00F909B2" w:rsidRPr="00770144" w:rsidRDefault="00F909B2" w:rsidP="00C648D9">
      <w:pPr>
        <w:pStyle w:val="FootnoteText"/>
        <w:spacing w:after="0" w:line="240" w:lineRule="auto"/>
        <w:rPr>
          <w:rFonts w:ascii="Times New Roman" w:hAnsi="Times New Roman" w:cs="Times New Roman"/>
          <w:lang w:val="en-US"/>
        </w:rPr>
      </w:pPr>
    </w:p>
  </w:footnote>
  <w:footnote w:id="35">
    <w:p w14:paraId="3595F35B" w14:textId="1D5292A5" w:rsidR="00C648D9" w:rsidRPr="00770144" w:rsidRDefault="00C648D9" w:rsidP="00C648D9">
      <w:pPr>
        <w:pStyle w:val="FootnoteText"/>
        <w:spacing w:after="0" w:line="240" w:lineRule="auto"/>
        <w:rPr>
          <w:rFonts w:ascii="Times New Roman" w:hAnsi="Times New Roman" w:cs="Times New Roman"/>
          <w:lang w:val="en-US"/>
        </w:rPr>
      </w:pPr>
      <w:r w:rsidRPr="00770144">
        <w:rPr>
          <w:rStyle w:val="FootnoteReference"/>
          <w:rFonts w:ascii="Times New Roman" w:hAnsi="Times New Roman" w:cs="Times New Roman"/>
        </w:rPr>
        <w:footnoteRef/>
      </w:r>
      <w:r w:rsidRPr="00770144">
        <w:rPr>
          <w:rFonts w:ascii="Times New Roman" w:hAnsi="Times New Roman" w:cs="Times New Roman"/>
        </w:rPr>
        <w:t xml:space="preserve"> Fethullah Gulen is </w:t>
      </w:r>
      <w:r w:rsidRPr="00770144">
        <w:rPr>
          <w:rFonts w:ascii="Times New Roman" w:hAnsi="Times New Roman" w:cs="Times New Roman"/>
          <w:lang w:val="en-US"/>
        </w:rPr>
        <w:t xml:space="preserve">a powerful </w:t>
      </w:r>
      <w:r w:rsidR="00C73495">
        <w:rPr>
          <w:rFonts w:ascii="Times New Roman" w:hAnsi="Times New Roman" w:cs="Times New Roman"/>
          <w:lang w:val="en-US"/>
        </w:rPr>
        <w:t xml:space="preserve">Muslim cleric residing in </w:t>
      </w:r>
      <w:r w:rsidRPr="00770144">
        <w:rPr>
          <w:rFonts w:ascii="Times New Roman" w:hAnsi="Times New Roman" w:cs="Times New Roman"/>
          <w:lang w:val="en-US"/>
        </w:rPr>
        <w:t>US</w:t>
      </w:r>
      <w:r w:rsidR="0044134B">
        <w:rPr>
          <w:rFonts w:ascii="Times New Roman" w:hAnsi="Times New Roman" w:cs="Times New Roman"/>
          <w:lang w:val="en-US"/>
        </w:rPr>
        <w:t>.</w:t>
      </w:r>
    </w:p>
  </w:footnote>
  <w:footnote w:id="36">
    <w:p w14:paraId="7511E814" w14:textId="37C18499" w:rsidR="00703367" w:rsidRPr="00EC0593" w:rsidRDefault="00703367">
      <w:pPr>
        <w:pStyle w:val="FootnoteText"/>
        <w:rPr>
          <w:rFonts w:ascii="Times New Roman" w:hAnsi="Times New Roman" w:cs="Times New Roman"/>
          <w:lang w:val="en-US"/>
        </w:rPr>
      </w:pPr>
      <w:r w:rsidRPr="00EC0593">
        <w:rPr>
          <w:rStyle w:val="FootnoteReference"/>
          <w:rFonts w:ascii="Times New Roman" w:hAnsi="Times New Roman" w:cs="Times New Roman"/>
        </w:rPr>
        <w:footnoteRef/>
      </w:r>
      <w:r w:rsidRPr="00EC0593">
        <w:rPr>
          <w:rFonts w:ascii="Times New Roman" w:hAnsi="Times New Roman" w:cs="Times New Roman"/>
        </w:rPr>
        <w:t xml:space="preserve"> https://www.worldbank.org/en/country/turkey/overview#1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81573"/>
    <w:multiLevelType w:val="hybridMultilevel"/>
    <w:tmpl w:val="3ACC3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35355"/>
    <w:multiLevelType w:val="hybridMultilevel"/>
    <w:tmpl w:val="44169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70918"/>
    <w:multiLevelType w:val="hybridMultilevel"/>
    <w:tmpl w:val="3C4A58E2"/>
    <w:lvl w:ilvl="0" w:tplc="30D00180">
      <w:start w:val="1"/>
      <w:numFmt w:val="bullet"/>
      <w:lvlText w:val="•"/>
      <w:lvlJc w:val="left"/>
      <w:pPr>
        <w:tabs>
          <w:tab w:val="num" w:pos="720"/>
        </w:tabs>
        <w:ind w:left="720" w:hanging="360"/>
      </w:pPr>
      <w:rPr>
        <w:rFonts w:ascii="Arial" w:hAnsi="Arial" w:hint="default"/>
      </w:rPr>
    </w:lvl>
    <w:lvl w:ilvl="1" w:tplc="06787646" w:tentative="1">
      <w:start w:val="1"/>
      <w:numFmt w:val="bullet"/>
      <w:lvlText w:val="•"/>
      <w:lvlJc w:val="left"/>
      <w:pPr>
        <w:tabs>
          <w:tab w:val="num" w:pos="1440"/>
        </w:tabs>
        <w:ind w:left="1440" w:hanging="360"/>
      </w:pPr>
      <w:rPr>
        <w:rFonts w:ascii="Arial" w:hAnsi="Arial" w:hint="default"/>
      </w:rPr>
    </w:lvl>
    <w:lvl w:ilvl="2" w:tplc="BE1EF6B4" w:tentative="1">
      <w:start w:val="1"/>
      <w:numFmt w:val="bullet"/>
      <w:lvlText w:val="•"/>
      <w:lvlJc w:val="left"/>
      <w:pPr>
        <w:tabs>
          <w:tab w:val="num" w:pos="2160"/>
        </w:tabs>
        <w:ind w:left="2160" w:hanging="360"/>
      </w:pPr>
      <w:rPr>
        <w:rFonts w:ascii="Arial" w:hAnsi="Arial" w:hint="default"/>
      </w:rPr>
    </w:lvl>
    <w:lvl w:ilvl="3" w:tplc="E2D0EFAC" w:tentative="1">
      <w:start w:val="1"/>
      <w:numFmt w:val="bullet"/>
      <w:lvlText w:val="•"/>
      <w:lvlJc w:val="left"/>
      <w:pPr>
        <w:tabs>
          <w:tab w:val="num" w:pos="2880"/>
        </w:tabs>
        <w:ind w:left="2880" w:hanging="360"/>
      </w:pPr>
      <w:rPr>
        <w:rFonts w:ascii="Arial" w:hAnsi="Arial" w:hint="default"/>
      </w:rPr>
    </w:lvl>
    <w:lvl w:ilvl="4" w:tplc="3BA6A262" w:tentative="1">
      <w:start w:val="1"/>
      <w:numFmt w:val="bullet"/>
      <w:lvlText w:val="•"/>
      <w:lvlJc w:val="left"/>
      <w:pPr>
        <w:tabs>
          <w:tab w:val="num" w:pos="3600"/>
        </w:tabs>
        <w:ind w:left="3600" w:hanging="360"/>
      </w:pPr>
      <w:rPr>
        <w:rFonts w:ascii="Arial" w:hAnsi="Arial" w:hint="default"/>
      </w:rPr>
    </w:lvl>
    <w:lvl w:ilvl="5" w:tplc="0BF646B0" w:tentative="1">
      <w:start w:val="1"/>
      <w:numFmt w:val="bullet"/>
      <w:lvlText w:val="•"/>
      <w:lvlJc w:val="left"/>
      <w:pPr>
        <w:tabs>
          <w:tab w:val="num" w:pos="4320"/>
        </w:tabs>
        <w:ind w:left="4320" w:hanging="360"/>
      </w:pPr>
      <w:rPr>
        <w:rFonts w:ascii="Arial" w:hAnsi="Arial" w:hint="default"/>
      </w:rPr>
    </w:lvl>
    <w:lvl w:ilvl="6" w:tplc="5A2EE960" w:tentative="1">
      <w:start w:val="1"/>
      <w:numFmt w:val="bullet"/>
      <w:lvlText w:val="•"/>
      <w:lvlJc w:val="left"/>
      <w:pPr>
        <w:tabs>
          <w:tab w:val="num" w:pos="5040"/>
        </w:tabs>
        <w:ind w:left="5040" w:hanging="360"/>
      </w:pPr>
      <w:rPr>
        <w:rFonts w:ascii="Arial" w:hAnsi="Arial" w:hint="default"/>
      </w:rPr>
    </w:lvl>
    <w:lvl w:ilvl="7" w:tplc="8C4CA4AA" w:tentative="1">
      <w:start w:val="1"/>
      <w:numFmt w:val="bullet"/>
      <w:lvlText w:val="•"/>
      <w:lvlJc w:val="left"/>
      <w:pPr>
        <w:tabs>
          <w:tab w:val="num" w:pos="5760"/>
        </w:tabs>
        <w:ind w:left="5760" w:hanging="360"/>
      </w:pPr>
      <w:rPr>
        <w:rFonts w:ascii="Arial" w:hAnsi="Arial" w:hint="default"/>
      </w:rPr>
    </w:lvl>
    <w:lvl w:ilvl="8" w:tplc="96A495D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6487526"/>
    <w:multiLevelType w:val="hybridMultilevel"/>
    <w:tmpl w:val="293C56DC"/>
    <w:lvl w:ilvl="0" w:tplc="0409000B">
      <w:start w:val="1"/>
      <w:numFmt w:val="bullet"/>
      <w:lvlText w:val=""/>
      <w:lvlJc w:val="left"/>
      <w:pPr>
        <w:ind w:left="766" w:hanging="360"/>
      </w:pPr>
      <w:rPr>
        <w:rFonts w:ascii="Wingdings" w:hAnsi="Wingdings"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181B6F8B"/>
    <w:multiLevelType w:val="hybridMultilevel"/>
    <w:tmpl w:val="FED6E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384B32"/>
    <w:multiLevelType w:val="hybridMultilevel"/>
    <w:tmpl w:val="E7E6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EE1DB1"/>
    <w:multiLevelType w:val="hybridMultilevel"/>
    <w:tmpl w:val="A7F63A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8C2523"/>
    <w:multiLevelType w:val="hybridMultilevel"/>
    <w:tmpl w:val="A9B86AF2"/>
    <w:lvl w:ilvl="0" w:tplc="5A748A06">
      <w:start w:val="1"/>
      <w:numFmt w:val="decimal"/>
      <w:lvlText w:val="%1."/>
      <w:lvlJc w:val="left"/>
      <w:pPr>
        <w:ind w:left="540" w:hanging="360"/>
      </w:pPr>
      <w:rPr>
        <w:rFonts w:hint="default"/>
        <w:color w:val="00000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39547838"/>
    <w:multiLevelType w:val="hybridMultilevel"/>
    <w:tmpl w:val="7FDEE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FD5104"/>
    <w:multiLevelType w:val="hybridMultilevel"/>
    <w:tmpl w:val="60AE8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407268"/>
    <w:multiLevelType w:val="hybridMultilevel"/>
    <w:tmpl w:val="82D84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E10ADE"/>
    <w:multiLevelType w:val="hybridMultilevel"/>
    <w:tmpl w:val="BE14A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9F7186"/>
    <w:multiLevelType w:val="multilevel"/>
    <w:tmpl w:val="F6AE0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F52FAF"/>
    <w:multiLevelType w:val="multilevel"/>
    <w:tmpl w:val="0A223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CB7C40"/>
    <w:multiLevelType w:val="hybridMultilevel"/>
    <w:tmpl w:val="D81A0580"/>
    <w:lvl w:ilvl="0" w:tplc="4DFC281C">
      <w:start w:val="1"/>
      <w:numFmt w:val="bullet"/>
      <w:lvlText w:val="•"/>
      <w:lvlJc w:val="left"/>
      <w:pPr>
        <w:tabs>
          <w:tab w:val="num" w:pos="720"/>
        </w:tabs>
        <w:ind w:left="720" w:hanging="360"/>
      </w:pPr>
      <w:rPr>
        <w:rFonts w:ascii="Arial" w:hAnsi="Arial" w:hint="default"/>
      </w:rPr>
    </w:lvl>
    <w:lvl w:ilvl="1" w:tplc="43080B32" w:tentative="1">
      <w:start w:val="1"/>
      <w:numFmt w:val="bullet"/>
      <w:lvlText w:val="•"/>
      <w:lvlJc w:val="left"/>
      <w:pPr>
        <w:tabs>
          <w:tab w:val="num" w:pos="1440"/>
        </w:tabs>
        <w:ind w:left="1440" w:hanging="360"/>
      </w:pPr>
      <w:rPr>
        <w:rFonts w:ascii="Arial" w:hAnsi="Arial" w:hint="default"/>
      </w:rPr>
    </w:lvl>
    <w:lvl w:ilvl="2" w:tplc="CC6E1FFA" w:tentative="1">
      <w:start w:val="1"/>
      <w:numFmt w:val="bullet"/>
      <w:lvlText w:val="•"/>
      <w:lvlJc w:val="left"/>
      <w:pPr>
        <w:tabs>
          <w:tab w:val="num" w:pos="2160"/>
        </w:tabs>
        <w:ind w:left="2160" w:hanging="360"/>
      </w:pPr>
      <w:rPr>
        <w:rFonts w:ascii="Arial" w:hAnsi="Arial" w:hint="default"/>
      </w:rPr>
    </w:lvl>
    <w:lvl w:ilvl="3" w:tplc="39E446DE" w:tentative="1">
      <w:start w:val="1"/>
      <w:numFmt w:val="bullet"/>
      <w:lvlText w:val="•"/>
      <w:lvlJc w:val="left"/>
      <w:pPr>
        <w:tabs>
          <w:tab w:val="num" w:pos="2880"/>
        </w:tabs>
        <w:ind w:left="2880" w:hanging="360"/>
      </w:pPr>
      <w:rPr>
        <w:rFonts w:ascii="Arial" w:hAnsi="Arial" w:hint="default"/>
      </w:rPr>
    </w:lvl>
    <w:lvl w:ilvl="4" w:tplc="41FE077A" w:tentative="1">
      <w:start w:val="1"/>
      <w:numFmt w:val="bullet"/>
      <w:lvlText w:val="•"/>
      <w:lvlJc w:val="left"/>
      <w:pPr>
        <w:tabs>
          <w:tab w:val="num" w:pos="3600"/>
        </w:tabs>
        <w:ind w:left="3600" w:hanging="360"/>
      </w:pPr>
      <w:rPr>
        <w:rFonts w:ascii="Arial" w:hAnsi="Arial" w:hint="default"/>
      </w:rPr>
    </w:lvl>
    <w:lvl w:ilvl="5" w:tplc="4D063D00" w:tentative="1">
      <w:start w:val="1"/>
      <w:numFmt w:val="bullet"/>
      <w:lvlText w:val="•"/>
      <w:lvlJc w:val="left"/>
      <w:pPr>
        <w:tabs>
          <w:tab w:val="num" w:pos="4320"/>
        </w:tabs>
        <w:ind w:left="4320" w:hanging="360"/>
      </w:pPr>
      <w:rPr>
        <w:rFonts w:ascii="Arial" w:hAnsi="Arial" w:hint="default"/>
      </w:rPr>
    </w:lvl>
    <w:lvl w:ilvl="6" w:tplc="89D2A872" w:tentative="1">
      <w:start w:val="1"/>
      <w:numFmt w:val="bullet"/>
      <w:lvlText w:val="•"/>
      <w:lvlJc w:val="left"/>
      <w:pPr>
        <w:tabs>
          <w:tab w:val="num" w:pos="5040"/>
        </w:tabs>
        <w:ind w:left="5040" w:hanging="360"/>
      </w:pPr>
      <w:rPr>
        <w:rFonts w:ascii="Arial" w:hAnsi="Arial" w:hint="default"/>
      </w:rPr>
    </w:lvl>
    <w:lvl w:ilvl="7" w:tplc="B764F114" w:tentative="1">
      <w:start w:val="1"/>
      <w:numFmt w:val="bullet"/>
      <w:lvlText w:val="•"/>
      <w:lvlJc w:val="left"/>
      <w:pPr>
        <w:tabs>
          <w:tab w:val="num" w:pos="5760"/>
        </w:tabs>
        <w:ind w:left="5760" w:hanging="360"/>
      </w:pPr>
      <w:rPr>
        <w:rFonts w:ascii="Arial" w:hAnsi="Arial" w:hint="default"/>
      </w:rPr>
    </w:lvl>
    <w:lvl w:ilvl="8" w:tplc="2950372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C336A66"/>
    <w:multiLevelType w:val="hybridMultilevel"/>
    <w:tmpl w:val="B5ECCDAE"/>
    <w:lvl w:ilvl="0" w:tplc="6D249FC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D142097"/>
    <w:multiLevelType w:val="hybridMultilevel"/>
    <w:tmpl w:val="D49CD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53469A"/>
    <w:multiLevelType w:val="hybridMultilevel"/>
    <w:tmpl w:val="78A02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555AD7"/>
    <w:multiLevelType w:val="multilevel"/>
    <w:tmpl w:val="6D2ED584"/>
    <w:lvl w:ilvl="0">
      <w:start w:val="3"/>
      <w:numFmt w:val="decimal"/>
      <w:lvlText w:val="%1"/>
      <w:lvlJc w:val="left"/>
      <w:pPr>
        <w:ind w:left="360" w:hanging="360"/>
      </w:pPr>
      <w:rPr>
        <w:rFonts w:eastAsiaTheme="minorHAnsi" w:hint="default"/>
        <w:b w:val="0"/>
      </w:rPr>
    </w:lvl>
    <w:lvl w:ilvl="1">
      <w:start w:val="2"/>
      <w:numFmt w:val="decimal"/>
      <w:lvlText w:val="%1.%2"/>
      <w:lvlJc w:val="left"/>
      <w:pPr>
        <w:ind w:left="360" w:hanging="360"/>
      </w:pPr>
      <w:rPr>
        <w:rFonts w:eastAsiaTheme="minorHAnsi" w:hint="default"/>
        <w:b w:val="0"/>
      </w:rPr>
    </w:lvl>
    <w:lvl w:ilvl="2">
      <w:start w:val="1"/>
      <w:numFmt w:val="decimal"/>
      <w:lvlText w:val="%1.%2.%3"/>
      <w:lvlJc w:val="left"/>
      <w:pPr>
        <w:ind w:left="720" w:hanging="720"/>
      </w:pPr>
      <w:rPr>
        <w:rFonts w:eastAsiaTheme="minorHAnsi" w:hint="default"/>
        <w:b w:val="0"/>
      </w:rPr>
    </w:lvl>
    <w:lvl w:ilvl="3">
      <w:start w:val="1"/>
      <w:numFmt w:val="decimal"/>
      <w:lvlText w:val="%1.%2.%3.%4"/>
      <w:lvlJc w:val="left"/>
      <w:pPr>
        <w:ind w:left="720" w:hanging="720"/>
      </w:pPr>
      <w:rPr>
        <w:rFonts w:eastAsiaTheme="minorHAnsi" w:hint="default"/>
        <w:b w:val="0"/>
      </w:rPr>
    </w:lvl>
    <w:lvl w:ilvl="4">
      <w:start w:val="1"/>
      <w:numFmt w:val="decimal"/>
      <w:lvlText w:val="%1.%2.%3.%4.%5"/>
      <w:lvlJc w:val="left"/>
      <w:pPr>
        <w:ind w:left="1080" w:hanging="1080"/>
      </w:pPr>
      <w:rPr>
        <w:rFonts w:eastAsiaTheme="minorHAnsi" w:hint="default"/>
        <w:b w:val="0"/>
      </w:rPr>
    </w:lvl>
    <w:lvl w:ilvl="5">
      <w:start w:val="1"/>
      <w:numFmt w:val="decimal"/>
      <w:lvlText w:val="%1.%2.%3.%4.%5.%6"/>
      <w:lvlJc w:val="left"/>
      <w:pPr>
        <w:ind w:left="1080" w:hanging="1080"/>
      </w:pPr>
      <w:rPr>
        <w:rFonts w:eastAsiaTheme="minorHAnsi" w:hint="default"/>
        <w:b w:val="0"/>
      </w:rPr>
    </w:lvl>
    <w:lvl w:ilvl="6">
      <w:start w:val="1"/>
      <w:numFmt w:val="decimal"/>
      <w:lvlText w:val="%1.%2.%3.%4.%5.%6.%7"/>
      <w:lvlJc w:val="left"/>
      <w:pPr>
        <w:ind w:left="1440" w:hanging="1440"/>
      </w:pPr>
      <w:rPr>
        <w:rFonts w:eastAsiaTheme="minorHAnsi" w:hint="default"/>
        <w:b w:val="0"/>
      </w:rPr>
    </w:lvl>
    <w:lvl w:ilvl="7">
      <w:start w:val="1"/>
      <w:numFmt w:val="decimal"/>
      <w:lvlText w:val="%1.%2.%3.%4.%5.%6.%7.%8"/>
      <w:lvlJc w:val="left"/>
      <w:pPr>
        <w:ind w:left="1440" w:hanging="1440"/>
      </w:pPr>
      <w:rPr>
        <w:rFonts w:eastAsiaTheme="minorHAnsi" w:hint="default"/>
        <w:b w:val="0"/>
      </w:rPr>
    </w:lvl>
    <w:lvl w:ilvl="8">
      <w:start w:val="1"/>
      <w:numFmt w:val="decimal"/>
      <w:lvlText w:val="%1.%2.%3.%4.%5.%6.%7.%8.%9"/>
      <w:lvlJc w:val="left"/>
      <w:pPr>
        <w:ind w:left="1800" w:hanging="1800"/>
      </w:pPr>
      <w:rPr>
        <w:rFonts w:eastAsiaTheme="minorHAnsi" w:hint="default"/>
        <w:b w:val="0"/>
      </w:rPr>
    </w:lvl>
  </w:abstractNum>
  <w:abstractNum w:abstractNumId="19" w15:restartNumberingAfterBreak="0">
    <w:nsid w:val="6C484633"/>
    <w:multiLevelType w:val="hybridMultilevel"/>
    <w:tmpl w:val="881E5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C2738C"/>
    <w:multiLevelType w:val="hybridMultilevel"/>
    <w:tmpl w:val="0AF4AFD6"/>
    <w:lvl w:ilvl="0" w:tplc="1868A424">
      <w:start w:val="1"/>
      <w:numFmt w:val="bullet"/>
      <w:lvlText w:val="•"/>
      <w:lvlJc w:val="left"/>
      <w:pPr>
        <w:tabs>
          <w:tab w:val="num" w:pos="720"/>
        </w:tabs>
        <w:ind w:left="720" w:hanging="360"/>
      </w:pPr>
      <w:rPr>
        <w:rFonts w:ascii="Arial" w:hAnsi="Arial" w:hint="default"/>
      </w:rPr>
    </w:lvl>
    <w:lvl w:ilvl="1" w:tplc="9C0AB0B2" w:tentative="1">
      <w:start w:val="1"/>
      <w:numFmt w:val="bullet"/>
      <w:lvlText w:val="•"/>
      <w:lvlJc w:val="left"/>
      <w:pPr>
        <w:tabs>
          <w:tab w:val="num" w:pos="1440"/>
        </w:tabs>
        <w:ind w:left="1440" w:hanging="360"/>
      </w:pPr>
      <w:rPr>
        <w:rFonts w:ascii="Arial" w:hAnsi="Arial" w:hint="default"/>
      </w:rPr>
    </w:lvl>
    <w:lvl w:ilvl="2" w:tplc="1B18CBEE" w:tentative="1">
      <w:start w:val="1"/>
      <w:numFmt w:val="bullet"/>
      <w:lvlText w:val="•"/>
      <w:lvlJc w:val="left"/>
      <w:pPr>
        <w:tabs>
          <w:tab w:val="num" w:pos="2160"/>
        </w:tabs>
        <w:ind w:left="2160" w:hanging="360"/>
      </w:pPr>
      <w:rPr>
        <w:rFonts w:ascii="Arial" w:hAnsi="Arial" w:hint="default"/>
      </w:rPr>
    </w:lvl>
    <w:lvl w:ilvl="3" w:tplc="FA88EF24" w:tentative="1">
      <w:start w:val="1"/>
      <w:numFmt w:val="bullet"/>
      <w:lvlText w:val="•"/>
      <w:lvlJc w:val="left"/>
      <w:pPr>
        <w:tabs>
          <w:tab w:val="num" w:pos="2880"/>
        </w:tabs>
        <w:ind w:left="2880" w:hanging="360"/>
      </w:pPr>
      <w:rPr>
        <w:rFonts w:ascii="Arial" w:hAnsi="Arial" w:hint="default"/>
      </w:rPr>
    </w:lvl>
    <w:lvl w:ilvl="4" w:tplc="F3D49EB0" w:tentative="1">
      <w:start w:val="1"/>
      <w:numFmt w:val="bullet"/>
      <w:lvlText w:val="•"/>
      <w:lvlJc w:val="left"/>
      <w:pPr>
        <w:tabs>
          <w:tab w:val="num" w:pos="3600"/>
        </w:tabs>
        <w:ind w:left="3600" w:hanging="360"/>
      </w:pPr>
      <w:rPr>
        <w:rFonts w:ascii="Arial" w:hAnsi="Arial" w:hint="default"/>
      </w:rPr>
    </w:lvl>
    <w:lvl w:ilvl="5" w:tplc="5678BD32" w:tentative="1">
      <w:start w:val="1"/>
      <w:numFmt w:val="bullet"/>
      <w:lvlText w:val="•"/>
      <w:lvlJc w:val="left"/>
      <w:pPr>
        <w:tabs>
          <w:tab w:val="num" w:pos="4320"/>
        </w:tabs>
        <w:ind w:left="4320" w:hanging="360"/>
      </w:pPr>
      <w:rPr>
        <w:rFonts w:ascii="Arial" w:hAnsi="Arial" w:hint="default"/>
      </w:rPr>
    </w:lvl>
    <w:lvl w:ilvl="6" w:tplc="E17C05F6" w:tentative="1">
      <w:start w:val="1"/>
      <w:numFmt w:val="bullet"/>
      <w:lvlText w:val="•"/>
      <w:lvlJc w:val="left"/>
      <w:pPr>
        <w:tabs>
          <w:tab w:val="num" w:pos="5040"/>
        </w:tabs>
        <w:ind w:left="5040" w:hanging="360"/>
      </w:pPr>
      <w:rPr>
        <w:rFonts w:ascii="Arial" w:hAnsi="Arial" w:hint="default"/>
      </w:rPr>
    </w:lvl>
    <w:lvl w:ilvl="7" w:tplc="E75EBD16" w:tentative="1">
      <w:start w:val="1"/>
      <w:numFmt w:val="bullet"/>
      <w:lvlText w:val="•"/>
      <w:lvlJc w:val="left"/>
      <w:pPr>
        <w:tabs>
          <w:tab w:val="num" w:pos="5760"/>
        </w:tabs>
        <w:ind w:left="5760" w:hanging="360"/>
      </w:pPr>
      <w:rPr>
        <w:rFonts w:ascii="Arial" w:hAnsi="Arial" w:hint="default"/>
      </w:rPr>
    </w:lvl>
    <w:lvl w:ilvl="8" w:tplc="653C0AD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87B53E3"/>
    <w:multiLevelType w:val="multilevel"/>
    <w:tmpl w:val="EA64A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8"/>
  </w:num>
  <w:num w:numId="3">
    <w:abstractNumId w:val="21"/>
  </w:num>
  <w:num w:numId="4">
    <w:abstractNumId w:val="13"/>
  </w:num>
  <w:num w:numId="5">
    <w:abstractNumId w:val="19"/>
  </w:num>
  <w:num w:numId="6">
    <w:abstractNumId w:val="1"/>
  </w:num>
  <w:num w:numId="7">
    <w:abstractNumId w:val="11"/>
  </w:num>
  <w:num w:numId="8">
    <w:abstractNumId w:val="16"/>
  </w:num>
  <w:num w:numId="9">
    <w:abstractNumId w:val="8"/>
  </w:num>
  <w:num w:numId="10">
    <w:abstractNumId w:val="15"/>
  </w:num>
  <w:num w:numId="11">
    <w:abstractNumId w:val="17"/>
  </w:num>
  <w:num w:numId="12">
    <w:abstractNumId w:val="4"/>
  </w:num>
  <w:num w:numId="13">
    <w:abstractNumId w:val="0"/>
  </w:num>
  <w:num w:numId="14">
    <w:abstractNumId w:val="5"/>
  </w:num>
  <w:num w:numId="15">
    <w:abstractNumId w:val="3"/>
  </w:num>
  <w:num w:numId="16">
    <w:abstractNumId w:val="6"/>
  </w:num>
  <w:num w:numId="17">
    <w:abstractNumId w:val="9"/>
  </w:num>
  <w:num w:numId="18">
    <w:abstractNumId w:val="14"/>
  </w:num>
  <w:num w:numId="19">
    <w:abstractNumId w:val="20"/>
  </w:num>
  <w:num w:numId="20">
    <w:abstractNumId w:val="2"/>
  </w:num>
  <w:num w:numId="21">
    <w:abstractNumId w:val="1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F26"/>
    <w:rsid w:val="00000A34"/>
    <w:rsid w:val="00003B7D"/>
    <w:rsid w:val="00005961"/>
    <w:rsid w:val="00006BB4"/>
    <w:rsid w:val="00014341"/>
    <w:rsid w:val="00026441"/>
    <w:rsid w:val="00027967"/>
    <w:rsid w:val="000379C5"/>
    <w:rsid w:val="0004121B"/>
    <w:rsid w:val="00041D6E"/>
    <w:rsid w:val="000556DD"/>
    <w:rsid w:val="000610FD"/>
    <w:rsid w:val="00062E73"/>
    <w:rsid w:val="000702AE"/>
    <w:rsid w:val="00080E2E"/>
    <w:rsid w:val="00082C1C"/>
    <w:rsid w:val="00091123"/>
    <w:rsid w:val="00093211"/>
    <w:rsid w:val="0009437A"/>
    <w:rsid w:val="00097B23"/>
    <w:rsid w:val="000A0B29"/>
    <w:rsid w:val="000B61D9"/>
    <w:rsid w:val="000B6412"/>
    <w:rsid w:val="000C07A2"/>
    <w:rsid w:val="000C21F4"/>
    <w:rsid w:val="000C2709"/>
    <w:rsid w:val="000C422A"/>
    <w:rsid w:val="000C7D5B"/>
    <w:rsid w:val="000D3B51"/>
    <w:rsid w:val="000E1E83"/>
    <w:rsid w:val="000E2149"/>
    <w:rsid w:val="000E4E77"/>
    <w:rsid w:val="000F1D84"/>
    <w:rsid w:val="000F5B30"/>
    <w:rsid w:val="00100A96"/>
    <w:rsid w:val="00104FC4"/>
    <w:rsid w:val="001062B1"/>
    <w:rsid w:val="001074C8"/>
    <w:rsid w:val="0010768E"/>
    <w:rsid w:val="0011415B"/>
    <w:rsid w:val="0011633E"/>
    <w:rsid w:val="00126D63"/>
    <w:rsid w:val="0013187E"/>
    <w:rsid w:val="001346A4"/>
    <w:rsid w:val="00134FE4"/>
    <w:rsid w:val="00141FE0"/>
    <w:rsid w:val="00143991"/>
    <w:rsid w:val="00146CA1"/>
    <w:rsid w:val="001501C5"/>
    <w:rsid w:val="00150E4F"/>
    <w:rsid w:val="00151559"/>
    <w:rsid w:val="00151C68"/>
    <w:rsid w:val="001543F8"/>
    <w:rsid w:val="00154CCA"/>
    <w:rsid w:val="00154D50"/>
    <w:rsid w:val="00157CAF"/>
    <w:rsid w:val="00160003"/>
    <w:rsid w:val="00160E45"/>
    <w:rsid w:val="00160FF1"/>
    <w:rsid w:val="00161418"/>
    <w:rsid w:val="00161807"/>
    <w:rsid w:val="0016381E"/>
    <w:rsid w:val="00163E53"/>
    <w:rsid w:val="00163EBF"/>
    <w:rsid w:val="00165B4D"/>
    <w:rsid w:val="00166885"/>
    <w:rsid w:val="001678D8"/>
    <w:rsid w:val="0017222F"/>
    <w:rsid w:val="00173CBB"/>
    <w:rsid w:val="0018232D"/>
    <w:rsid w:val="001838EB"/>
    <w:rsid w:val="00183A75"/>
    <w:rsid w:val="00186486"/>
    <w:rsid w:val="00191DFA"/>
    <w:rsid w:val="00195BB8"/>
    <w:rsid w:val="001A5B9B"/>
    <w:rsid w:val="001A6075"/>
    <w:rsid w:val="001A7B6E"/>
    <w:rsid w:val="001B31F0"/>
    <w:rsid w:val="001B6ED2"/>
    <w:rsid w:val="001B76D6"/>
    <w:rsid w:val="001C04A5"/>
    <w:rsid w:val="001C102C"/>
    <w:rsid w:val="001C1F8F"/>
    <w:rsid w:val="001C3E77"/>
    <w:rsid w:val="001C433F"/>
    <w:rsid w:val="001D061A"/>
    <w:rsid w:val="001D228B"/>
    <w:rsid w:val="001D36D2"/>
    <w:rsid w:val="001D67C0"/>
    <w:rsid w:val="001D6BD5"/>
    <w:rsid w:val="001D6C84"/>
    <w:rsid w:val="001E1223"/>
    <w:rsid w:val="001E2773"/>
    <w:rsid w:val="001E2973"/>
    <w:rsid w:val="001E3E66"/>
    <w:rsid w:val="001E5D0F"/>
    <w:rsid w:val="001E60E1"/>
    <w:rsid w:val="001F206B"/>
    <w:rsid w:val="001F36CA"/>
    <w:rsid w:val="001F4E68"/>
    <w:rsid w:val="001F6080"/>
    <w:rsid w:val="001F76B6"/>
    <w:rsid w:val="00203237"/>
    <w:rsid w:val="00204BD9"/>
    <w:rsid w:val="0021026A"/>
    <w:rsid w:val="002157B0"/>
    <w:rsid w:val="00217027"/>
    <w:rsid w:val="00217680"/>
    <w:rsid w:val="00217B98"/>
    <w:rsid w:val="00217FCE"/>
    <w:rsid w:val="002211F2"/>
    <w:rsid w:val="002218A3"/>
    <w:rsid w:val="00225000"/>
    <w:rsid w:val="00233AEC"/>
    <w:rsid w:val="00233F7C"/>
    <w:rsid w:val="00236B56"/>
    <w:rsid w:val="00244BCB"/>
    <w:rsid w:val="002451ED"/>
    <w:rsid w:val="00247530"/>
    <w:rsid w:val="00247B2C"/>
    <w:rsid w:val="002536F2"/>
    <w:rsid w:val="0025374F"/>
    <w:rsid w:val="002538BF"/>
    <w:rsid w:val="00256689"/>
    <w:rsid w:val="00262DE6"/>
    <w:rsid w:val="00263C3F"/>
    <w:rsid w:val="0026798F"/>
    <w:rsid w:val="00267AD2"/>
    <w:rsid w:val="002701A7"/>
    <w:rsid w:val="00271570"/>
    <w:rsid w:val="00277C8D"/>
    <w:rsid w:val="00290F2F"/>
    <w:rsid w:val="00292E82"/>
    <w:rsid w:val="002959D0"/>
    <w:rsid w:val="00297602"/>
    <w:rsid w:val="002A1638"/>
    <w:rsid w:val="002A290B"/>
    <w:rsid w:val="002B367B"/>
    <w:rsid w:val="002C736E"/>
    <w:rsid w:val="002C7894"/>
    <w:rsid w:val="002D0755"/>
    <w:rsid w:val="002D2025"/>
    <w:rsid w:val="002D4695"/>
    <w:rsid w:val="002D6C27"/>
    <w:rsid w:val="002F1C6E"/>
    <w:rsid w:val="002F27D9"/>
    <w:rsid w:val="00300492"/>
    <w:rsid w:val="00304D18"/>
    <w:rsid w:val="00312B7A"/>
    <w:rsid w:val="00320137"/>
    <w:rsid w:val="00326589"/>
    <w:rsid w:val="00326B27"/>
    <w:rsid w:val="003271D4"/>
    <w:rsid w:val="003313DC"/>
    <w:rsid w:val="003315D8"/>
    <w:rsid w:val="003366D8"/>
    <w:rsid w:val="003372D0"/>
    <w:rsid w:val="00343D5C"/>
    <w:rsid w:val="0034592A"/>
    <w:rsid w:val="003466F5"/>
    <w:rsid w:val="00347C9D"/>
    <w:rsid w:val="0035282D"/>
    <w:rsid w:val="0035448F"/>
    <w:rsid w:val="00360724"/>
    <w:rsid w:val="00360F63"/>
    <w:rsid w:val="0036228B"/>
    <w:rsid w:val="00370E30"/>
    <w:rsid w:val="003714E6"/>
    <w:rsid w:val="0038044B"/>
    <w:rsid w:val="0038230D"/>
    <w:rsid w:val="00387C28"/>
    <w:rsid w:val="003914D3"/>
    <w:rsid w:val="00393262"/>
    <w:rsid w:val="00393FF5"/>
    <w:rsid w:val="003A2ED0"/>
    <w:rsid w:val="003A395D"/>
    <w:rsid w:val="003A6943"/>
    <w:rsid w:val="003B1235"/>
    <w:rsid w:val="003B5BB1"/>
    <w:rsid w:val="003B7BAB"/>
    <w:rsid w:val="003C2969"/>
    <w:rsid w:val="003C3A90"/>
    <w:rsid w:val="003C3B27"/>
    <w:rsid w:val="003C560D"/>
    <w:rsid w:val="003D350B"/>
    <w:rsid w:val="003E15E6"/>
    <w:rsid w:val="003E74EB"/>
    <w:rsid w:val="003F183B"/>
    <w:rsid w:val="003F7259"/>
    <w:rsid w:val="00400EBE"/>
    <w:rsid w:val="00401472"/>
    <w:rsid w:val="00412A36"/>
    <w:rsid w:val="004151A1"/>
    <w:rsid w:val="00433BC8"/>
    <w:rsid w:val="00433D41"/>
    <w:rsid w:val="00440823"/>
    <w:rsid w:val="0044134B"/>
    <w:rsid w:val="00441F79"/>
    <w:rsid w:val="00442D8E"/>
    <w:rsid w:val="00451C1B"/>
    <w:rsid w:val="004526C3"/>
    <w:rsid w:val="00453EF9"/>
    <w:rsid w:val="00455715"/>
    <w:rsid w:val="004619EF"/>
    <w:rsid w:val="00461B0A"/>
    <w:rsid w:val="00463259"/>
    <w:rsid w:val="00465614"/>
    <w:rsid w:val="004710CF"/>
    <w:rsid w:val="00473E25"/>
    <w:rsid w:val="004777A9"/>
    <w:rsid w:val="00483A2F"/>
    <w:rsid w:val="00486457"/>
    <w:rsid w:val="004865DD"/>
    <w:rsid w:val="00490A51"/>
    <w:rsid w:val="00491EB4"/>
    <w:rsid w:val="00493389"/>
    <w:rsid w:val="00495419"/>
    <w:rsid w:val="004A1069"/>
    <w:rsid w:val="004A319E"/>
    <w:rsid w:val="004A5705"/>
    <w:rsid w:val="004B7E4E"/>
    <w:rsid w:val="004C0D2B"/>
    <w:rsid w:val="004D44EC"/>
    <w:rsid w:val="004E56A0"/>
    <w:rsid w:val="004E570A"/>
    <w:rsid w:val="004F2C71"/>
    <w:rsid w:val="004F7119"/>
    <w:rsid w:val="00503B10"/>
    <w:rsid w:val="00503DFF"/>
    <w:rsid w:val="005071AB"/>
    <w:rsid w:val="005124A0"/>
    <w:rsid w:val="00512EEF"/>
    <w:rsid w:val="005130F0"/>
    <w:rsid w:val="00517559"/>
    <w:rsid w:val="00520D42"/>
    <w:rsid w:val="00520D5C"/>
    <w:rsid w:val="00525488"/>
    <w:rsid w:val="00525EFE"/>
    <w:rsid w:val="005306F7"/>
    <w:rsid w:val="005336C8"/>
    <w:rsid w:val="00534BA0"/>
    <w:rsid w:val="00540B9B"/>
    <w:rsid w:val="00540E54"/>
    <w:rsid w:val="00541E2E"/>
    <w:rsid w:val="00544362"/>
    <w:rsid w:val="00544B73"/>
    <w:rsid w:val="00554088"/>
    <w:rsid w:val="00557E13"/>
    <w:rsid w:val="00565291"/>
    <w:rsid w:val="00572D0F"/>
    <w:rsid w:val="00575527"/>
    <w:rsid w:val="005814E7"/>
    <w:rsid w:val="00582266"/>
    <w:rsid w:val="00582AC5"/>
    <w:rsid w:val="005851A8"/>
    <w:rsid w:val="0058550A"/>
    <w:rsid w:val="00585F60"/>
    <w:rsid w:val="005915BA"/>
    <w:rsid w:val="00592FA4"/>
    <w:rsid w:val="005A35C2"/>
    <w:rsid w:val="005B7626"/>
    <w:rsid w:val="005C2D00"/>
    <w:rsid w:val="005C7498"/>
    <w:rsid w:val="005D14AA"/>
    <w:rsid w:val="005D1983"/>
    <w:rsid w:val="005D7CA6"/>
    <w:rsid w:val="005E107E"/>
    <w:rsid w:val="005E36B6"/>
    <w:rsid w:val="005F1EAC"/>
    <w:rsid w:val="005F326C"/>
    <w:rsid w:val="005F5B14"/>
    <w:rsid w:val="00603F9B"/>
    <w:rsid w:val="00604381"/>
    <w:rsid w:val="006061E9"/>
    <w:rsid w:val="006074EE"/>
    <w:rsid w:val="00612BD5"/>
    <w:rsid w:val="006139AE"/>
    <w:rsid w:val="00615376"/>
    <w:rsid w:val="00624702"/>
    <w:rsid w:val="00624886"/>
    <w:rsid w:val="00626223"/>
    <w:rsid w:val="00627F57"/>
    <w:rsid w:val="00631DA3"/>
    <w:rsid w:val="0063271B"/>
    <w:rsid w:val="006346E4"/>
    <w:rsid w:val="00637B76"/>
    <w:rsid w:val="00642251"/>
    <w:rsid w:val="0064333C"/>
    <w:rsid w:val="00650ABF"/>
    <w:rsid w:val="0065467D"/>
    <w:rsid w:val="006559B5"/>
    <w:rsid w:val="00662E46"/>
    <w:rsid w:val="0066339A"/>
    <w:rsid w:val="00663E85"/>
    <w:rsid w:val="00665C63"/>
    <w:rsid w:val="0067133B"/>
    <w:rsid w:val="00673F19"/>
    <w:rsid w:val="00674611"/>
    <w:rsid w:val="006851BF"/>
    <w:rsid w:val="00694D4A"/>
    <w:rsid w:val="006A20C7"/>
    <w:rsid w:val="006A354B"/>
    <w:rsid w:val="006A3A11"/>
    <w:rsid w:val="006A628C"/>
    <w:rsid w:val="006A6316"/>
    <w:rsid w:val="006A7F6E"/>
    <w:rsid w:val="006B30F8"/>
    <w:rsid w:val="006B3DC7"/>
    <w:rsid w:val="006C2AD9"/>
    <w:rsid w:val="006C36A6"/>
    <w:rsid w:val="006C5FBE"/>
    <w:rsid w:val="006C61E2"/>
    <w:rsid w:val="006C63F1"/>
    <w:rsid w:val="006D555A"/>
    <w:rsid w:val="006D65C1"/>
    <w:rsid w:val="006E2010"/>
    <w:rsid w:val="006E2054"/>
    <w:rsid w:val="006E3551"/>
    <w:rsid w:val="006E5520"/>
    <w:rsid w:val="006F3946"/>
    <w:rsid w:val="006F444F"/>
    <w:rsid w:val="006F6530"/>
    <w:rsid w:val="00702EBA"/>
    <w:rsid w:val="00703367"/>
    <w:rsid w:val="0070759E"/>
    <w:rsid w:val="00710A07"/>
    <w:rsid w:val="00714BBB"/>
    <w:rsid w:val="007205B1"/>
    <w:rsid w:val="0072301D"/>
    <w:rsid w:val="00730873"/>
    <w:rsid w:val="00730F52"/>
    <w:rsid w:val="00735444"/>
    <w:rsid w:val="00752976"/>
    <w:rsid w:val="00753012"/>
    <w:rsid w:val="00753625"/>
    <w:rsid w:val="00757529"/>
    <w:rsid w:val="0076019C"/>
    <w:rsid w:val="00770144"/>
    <w:rsid w:val="00770645"/>
    <w:rsid w:val="00771BD7"/>
    <w:rsid w:val="007723EF"/>
    <w:rsid w:val="00776A8D"/>
    <w:rsid w:val="00783F66"/>
    <w:rsid w:val="00786017"/>
    <w:rsid w:val="0079113A"/>
    <w:rsid w:val="0079210E"/>
    <w:rsid w:val="0079594B"/>
    <w:rsid w:val="00797B1E"/>
    <w:rsid w:val="00797CD4"/>
    <w:rsid w:val="007A382D"/>
    <w:rsid w:val="007A4C74"/>
    <w:rsid w:val="007A516B"/>
    <w:rsid w:val="007A7392"/>
    <w:rsid w:val="007B0A49"/>
    <w:rsid w:val="007B2A23"/>
    <w:rsid w:val="007B2C4B"/>
    <w:rsid w:val="007B75B1"/>
    <w:rsid w:val="007C05D4"/>
    <w:rsid w:val="007C27CE"/>
    <w:rsid w:val="007C4D6C"/>
    <w:rsid w:val="007C5293"/>
    <w:rsid w:val="007D1FB8"/>
    <w:rsid w:val="007D472C"/>
    <w:rsid w:val="007D52A6"/>
    <w:rsid w:val="007D7B32"/>
    <w:rsid w:val="007E148C"/>
    <w:rsid w:val="007E2037"/>
    <w:rsid w:val="007E3DF1"/>
    <w:rsid w:val="007F2F06"/>
    <w:rsid w:val="007F53D4"/>
    <w:rsid w:val="007F5AA0"/>
    <w:rsid w:val="0080237E"/>
    <w:rsid w:val="00813825"/>
    <w:rsid w:val="008140E2"/>
    <w:rsid w:val="00814928"/>
    <w:rsid w:val="00820397"/>
    <w:rsid w:val="00822325"/>
    <w:rsid w:val="00823C88"/>
    <w:rsid w:val="00823CCD"/>
    <w:rsid w:val="00824E45"/>
    <w:rsid w:val="00826A0C"/>
    <w:rsid w:val="00827F1D"/>
    <w:rsid w:val="00831995"/>
    <w:rsid w:val="00833968"/>
    <w:rsid w:val="00834187"/>
    <w:rsid w:val="00834F26"/>
    <w:rsid w:val="00840AFC"/>
    <w:rsid w:val="008411A6"/>
    <w:rsid w:val="00847B8C"/>
    <w:rsid w:val="00854C8E"/>
    <w:rsid w:val="008550E0"/>
    <w:rsid w:val="008660C7"/>
    <w:rsid w:val="00872B3A"/>
    <w:rsid w:val="00874463"/>
    <w:rsid w:val="0088075C"/>
    <w:rsid w:val="00882A95"/>
    <w:rsid w:val="00882F0A"/>
    <w:rsid w:val="008843A0"/>
    <w:rsid w:val="00890349"/>
    <w:rsid w:val="0089261B"/>
    <w:rsid w:val="00896B54"/>
    <w:rsid w:val="008A1205"/>
    <w:rsid w:val="008A27FD"/>
    <w:rsid w:val="008A3051"/>
    <w:rsid w:val="008A3769"/>
    <w:rsid w:val="008A3AFA"/>
    <w:rsid w:val="008A68D9"/>
    <w:rsid w:val="008A7B68"/>
    <w:rsid w:val="008B0CA2"/>
    <w:rsid w:val="008B1F4E"/>
    <w:rsid w:val="008B30B5"/>
    <w:rsid w:val="008C2A2D"/>
    <w:rsid w:val="008C5E6D"/>
    <w:rsid w:val="008C5EED"/>
    <w:rsid w:val="008C6477"/>
    <w:rsid w:val="008D0A69"/>
    <w:rsid w:val="008E48E1"/>
    <w:rsid w:val="008E68F5"/>
    <w:rsid w:val="008F1FBF"/>
    <w:rsid w:val="008F5D3A"/>
    <w:rsid w:val="00900C9D"/>
    <w:rsid w:val="0090125A"/>
    <w:rsid w:val="00901BFD"/>
    <w:rsid w:val="0090761E"/>
    <w:rsid w:val="00910C04"/>
    <w:rsid w:val="00914504"/>
    <w:rsid w:val="0091488C"/>
    <w:rsid w:val="00916BB2"/>
    <w:rsid w:val="00921B7F"/>
    <w:rsid w:val="00923664"/>
    <w:rsid w:val="009406C5"/>
    <w:rsid w:val="00940ADE"/>
    <w:rsid w:val="00940FBD"/>
    <w:rsid w:val="00941CB4"/>
    <w:rsid w:val="0094563A"/>
    <w:rsid w:val="009476F2"/>
    <w:rsid w:val="00950FE8"/>
    <w:rsid w:val="00952551"/>
    <w:rsid w:val="00953488"/>
    <w:rsid w:val="009609BD"/>
    <w:rsid w:val="00962379"/>
    <w:rsid w:val="00964AC0"/>
    <w:rsid w:val="009654E7"/>
    <w:rsid w:val="00966338"/>
    <w:rsid w:val="00971BAC"/>
    <w:rsid w:val="00972943"/>
    <w:rsid w:val="0097398D"/>
    <w:rsid w:val="00985707"/>
    <w:rsid w:val="00986CE6"/>
    <w:rsid w:val="00990019"/>
    <w:rsid w:val="00990745"/>
    <w:rsid w:val="00991121"/>
    <w:rsid w:val="0099491D"/>
    <w:rsid w:val="00996872"/>
    <w:rsid w:val="00997695"/>
    <w:rsid w:val="00997767"/>
    <w:rsid w:val="009A3071"/>
    <w:rsid w:val="009A631C"/>
    <w:rsid w:val="009B14AB"/>
    <w:rsid w:val="009B1B1F"/>
    <w:rsid w:val="009B408A"/>
    <w:rsid w:val="009B4EA8"/>
    <w:rsid w:val="009B7C48"/>
    <w:rsid w:val="009C0792"/>
    <w:rsid w:val="009D218B"/>
    <w:rsid w:val="009D3C8D"/>
    <w:rsid w:val="009D5547"/>
    <w:rsid w:val="009E2C85"/>
    <w:rsid w:val="009E782D"/>
    <w:rsid w:val="009E7BD9"/>
    <w:rsid w:val="009F0C9C"/>
    <w:rsid w:val="009F1120"/>
    <w:rsid w:val="009F1F45"/>
    <w:rsid w:val="009F5E97"/>
    <w:rsid w:val="009F791A"/>
    <w:rsid w:val="009F7AB1"/>
    <w:rsid w:val="00A0053D"/>
    <w:rsid w:val="00A017AE"/>
    <w:rsid w:val="00A02EC4"/>
    <w:rsid w:val="00A04C82"/>
    <w:rsid w:val="00A04F0F"/>
    <w:rsid w:val="00A07121"/>
    <w:rsid w:val="00A1360C"/>
    <w:rsid w:val="00A171F7"/>
    <w:rsid w:val="00A21C4C"/>
    <w:rsid w:val="00A26E85"/>
    <w:rsid w:val="00A374F5"/>
    <w:rsid w:val="00A4144A"/>
    <w:rsid w:val="00A47AAA"/>
    <w:rsid w:val="00A51C4B"/>
    <w:rsid w:val="00A52E3E"/>
    <w:rsid w:val="00A53135"/>
    <w:rsid w:val="00A5607C"/>
    <w:rsid w:val="00A646F5"/>
    <w:rsid w:val="00A65E7F"/>
    <w:rsid w:val="00A6683B"/>
    <w:rsid w:val="00A67C30"/>
    <w:rsid w:val="00A70E2A"/>
    <w:rsid w:val="00A72835"/>
    <w:rsid w:val="00A73A25"/>
    <w:rsid w:val="00A746A4"/>
    <w:rsid w:val="00A750A5"/>
    <w:rsid w:val="00A83A66"/>
    <w:rsid w:val="00A86FE8"/>
    <w:rsid w:val="00A87F25"/>
    <w:rsid w:val="00A91413"/>
    <w:rsid w:val="00A9212A"/>
    <w:rsid w:val="00A92B22"/>
    <w:rsid w:val="00A9519F"/>
    <w:rsid w:val="00A95601"/>
    <w:rsid w:val="00AA3C89"/>
    <w:rsid w:val="00AA5CE6"/>
    <w:rsid w:val="00AA7AA2"/>
    <w:rsid w:val="00AB3FB9"/>
    <w:rsid w:val="00AB4983"/>
    <w:rsid w:val="00AB4EBA"/>
    <w:rsid w:val="00AB5B29"/>
    <w:rsid w:val="00AB7AEB"/>
    <w:rsid w:val="00AB7CD2"/>
    <w:rsid w:val="00AC10F4"/>
    <w:rsid w:val="00AC303A"/>
    <w:rsid w:val="00AC4044"/>
    <w:rsid w:val="00AC4336"/>
    <w:rsid w:val="00AC5CAF"/>
    <w:rsid w:val="00AC7354"/>
    <w:rsid w:val="00AD5EB1"/>
    <w:rsid w:val="00AE14D4"/>
    <w:rsid w:val="00AE1BE5"/>
    <w:rsid w:val="00AE3951"/>
    <w:rsid w:val="00AE6D5E"/>
    <w:rsid w:val="00AF0BB0"/>
    <w:rsid w:val="00AF0DF8"/>
    <w:rsid w:val="00AF3AFA"/>
    <w:rsid w:val="00AF5D46"/>
    <w:rsid w:val="00B051BC"/>
    <w:rsid w:val="00B1014D"/>
    <w:rsid w:val="00B12398"/>
    <w:rsid w:val="00B159DF"/>
    <w:rsid w:val="00B169D4"/>
    <w:rsid w:val="00B2378E"/>
    <w:rsid w:val="00B24242"/>
    <w:rsid w:val="00B25C7F"/>
    <w:rsid w:val="00B33390"/>
    <w:rsid w:val="00B34980"/>
    <w:rsid w:val="00B34BFA"/>
    <w:rsid w:val="00B35E9A"/>
    <w:rsid w:val="00B36756"/>
    <w:rsid w:val="00B4216C"/>
    <w:rsid w:val="00B4241D"/>
    <w:rsid w:val="00B44734"/>
    <w:rsid w:val="00B504E5"/>
    <w:rsid w:val="00B52003"/>
    <w:rsid w:val="00B5652E"/>
    <w:rsid w:val="00B6167C"/>
    <w:rsid w:val="00B61F80"/>
    <w:rsid w:val="00B641A3"/>
    <w:rsid w:val="00B64C7F"/>
    <w:rsid w:val="00B654E2"/>
    <w:rsid w:val="00B7003D"/>
    <w:rsid w:val="00B7207E"/>
    <w:rsid w:val="00B74FD3"/>
    <w:rsid w:val="00B860B4"/>
    <w:rsid w:val="00B90578"/>
    <w:rsid w:val="00BA0AC6"/>
    <w:rsid w:val="00BA3814"/>
    <w:rsid w:val="00BA7ED1"/>
    <w:rsid w:val="00BB0515"/>
    <w:rsid w:val="00BB25E5"/>
    <w:rsid w:val="00BB2DE6"/>
    <w:rsid w:val="00BB5FFB"/>
    <w:rsid w:val="00BC0A82"/>
    <w:rsid w:val="00BC5842"/>
    <w:rsid w:val="00BC7A98"/>
    <w:rsid w:val="00BD0979"/>
    <w:rsid w:val="00BD0E58"/>
    <w:rsid w:val="00BD1077"/>
    <w:rsid w:val="00BD2264"/>
    <w:rsid w:val="00BE0622"/>
    <w:rsid w:val="00BE47E0"/>
    <w:rsid w:val="00BE555A"/>
    <w:rsid w:val="00BF01CA"/>
    <w:rsid w:val="00BF3BD0"/>
    <w:rsid w:val="00C00180"/>
    <w:rsid w:val="00C02304"/>
    <w:rsid w:val="00C02C68"/>
    <w:rsid w:val="00C03E36"/>
    <w:rsid w:val="00C04DBC"/>
    <w:rsid w:val="00C07346"/>
    <w:rsid w:val="00C12B84"/>
    <w:rsid w:val="00C15EC0"/>
    <w:rsid w:val="00C21F89"/>
    <w:rsid w:val="00C328D0"/>
    <w:rsid w:val="00C35415"/>
    <w:rsid w:val="00C3559D"/>
    <w:rsid w:val="00C359FB"/>
    <w:rsid w:val="00C377CB"/>
    <w:rsid w:val="00C408A4"/>
    <w:rsid w:val="00C43665"/>
    <w:rsid w:val="00C50460"/>
    <w:rsid w:val="00C56E74"/>
    <w:rsid w:val="00C61DA6"/>
    <w:rsid w:val="00C63A72"/>
    <w:rsid w:val="00C648D9"/>
    <w:rsid w:val="00C664CD"/>
    <w:rsid w:val="00C70171"/>
    <w:rsid w:val="00C73495"/>
    <w:rsid w:val="00C73E90"/>
    <w:rsid w:val="00C74FCE"/>
    <w:rsid w:val="00C77711"/>
    <w:rsid w:val="00C802F4"/>
    <w:rsid w:val="00C82805"/>
    <w:rsid w:val="00C929F8"/>
    <w:rsid w:val="00CA56A5"/>
    <w:rsid w:val="00CA7D59"/>
    <w:rsid w:val="00CB2D5A"/>
    <w:rsid w:val="00CB6680"/>
    <w:rsid w:val="00CC2E1C"/>
    <w:rsid w:val="00CC493E"/>
    <w:rsid w:val="00CC6A5B"/>
    <w:rsid w:val="00CC7C37"/>
    <w:rsid w:val="00CD13F1"/>
    <w:rsid w:val="00CD6903"/>
    <w:rsid w:val="00CE4180"/>
    <w:rsid w:val="00CE62D1"/>
    <w:rsid w:val="00CF75F1"/>
    <w:rsid w:val="00D007B6"/>
    <w:rsid w:val="00D00C53"/>
    <w:rsid w:val="00D01243"/>
    <w:rsid w:val="00D01721"/>
    <w:rsid w:val="00D03E92"/>
    <w:rsid w:val="00D076DE"/>
    <w:rsid w:val="00D12B01"/>
    <w:rsid w:val="00D14FB6"/>
    <w:rsid w:val="00D151C0"/>
    <w:rsid w:val="00D24652"/>
    <w:rsid w:val="00D30DBC"/>
    <w:rsid w:val="00D33F1B"/>
    <w:rsid w:val="00D34BFF"/>
    <w:rsid w:val="00D356CB"/>
    <w:rsid w:val="00D35C35"/>
    <w:rsid w:val="00D36059"/>
    <w:rsid w:val="00D37A72"/>
    <w:rsid w:val="00D40370"/>
    <w:rsid w:val="00D40604"/>
    <w:rsid w:val="00D44FEB"/>
    <w:rsid w:val="00D53E1B"/>
    <w:rsid w:val="00D541B5"/>
    <w:rsid w:val="00D54E9A"/>
    <w:rsid w:val="00D6066C"/>
    <w:rsid w:val="00D61AFF"/>
    <w:rsid w:val="00D63B29"/>
    <w:rsid w:val="00D74791"/>
    <w:rsid w:val="00D74D63"/>
    <w:rsid w:val="00D7753A"/>
    <w:rsid w:val="00D8146C"/>
    <w:rsid w:val="00D82C07"/>
    <w:rsid w:val="00D8354C"/>
    <w:rsid w:val="00D847AF"/>
    <w:rsid w:val="00D85307"/>
    <w:rsid w:val="00D865C5"/>
    <w:rsid w:val="00D87DCF"/>
    <w:rsid w:val="00D90061"/>
    <w:rsid w:val="00D92B07"/>
    <w:rsid w:val="00D95A97"/>
    <w:rsid w:val="00D97E1C"/>
    <w:rsid w:val="00DA21C9"/>
    <w:rsid w:val="00DA24F2"/>
    <w:rsid w:val="00DB27EC"/>
    <w:rsid w:val="00DB5D14"/>
    <w:rsid w:val="00DC556D"/>
    <w:rsid w:val="00DC5CD6"/>
    <w:rsid w:val="00DE03BF"/>
    <w:rsid w:val="00DE0C9D"/>
    <w:rsid w:val="00DE1A29"/>
    <w:rsid w:val="00DE3A62"/>
    <w:rsid w:val="00DE55D5"/>
    <w:rsid w:val="00DE564E"/>
    <w:rsid w:val="00DF331C"/>
    <w:rsid w:val="00DF4D06"/>
    <w:rsid w:val="00E03645"/>
    <w:rsid w:val="00E166BD"/>
    <w:rsid w:val="00E17973"/>
    <w:rsid w:val="00E2473C"/>
    <w:rsid w:val="00E33128"/>
    <w:rsid w:val="00E339D0"/>
    <w:rsid w:val="00E35D86"/>
    <w:rsid w:val="00E43ED9"/>
    <w:rsid w:val="00E4534F"/>
    <w:rsid w:val="00E46DEB"/>
    <w:rsid w:val="00E53EA3"/>
    <w:rsid w:val="00E61472"/>
    <w:rsid w:val="00E652E9"/>
    <w:rsid w:val="00E71C26"/>
    <w:rsid w:val="00E71E7F"/>
    <w:rsid w:val="00E72EC6"/>
    <w:rsid w:val="00E77C4F"/>
    <w:rsid w:val="00E80C6E"/>
    <w:rsid w:val="00E843B4"/>
    <w:rsid w:val="00E847DC"/>
    <w:rsid w:val="00E85EB1"/>
    <w:rsid w:val="00E9011D"/>
    <w:rsid w:val="00E946C5"/>
    <w:rsid w:val="00E94BC2"/>
    <w:rsid w:val="00E966D8"/>
    <w:rsid w:val="00EA175F"/>
    <w:rsid w:val="00EA2A6E"/>
    <w:rsid w:val="00EA3193"/>
    <w:rsid w:val="00EA389A"/>
    <w:rsid w:val="00EA44D9"/>
    <w:rsid w:val="00EA4D36"/>
    <w:rsid w:val="00EA4F0E"/>
    <w:rsid w:val="00EB1DC4"/>
    <w:rsid w:val="00EB296F"/>
    <w:rsid w:val="00EB2B1F"/>
    <w:rsid w:val="00EB30E5"/>
    <w:rsid w:val="00EB4325"/>
    <w:rsid w:val="00EB4E24"/>
    <w:rsid w:val="00EC0089"/>
    <w:rsid w:val="00EC0593"/>
    <w:rsid w:val="00EC1B2A"/>
    <w:rsid w:val="00EC1B81"/>
    <w:rsid w:val="00EC5361"/>
    <w:rsid w:val="00EC6A9C"/>
    <w:rsid w:val="00ED66C5"/>
    <w:rsid w:val="00EF2167"/>
    <w:rsid w:val="00EF5927"/>
    <w:rsid w:val="00EF6A57"/>
    <w:rsid w:val="00F01641"/>
    <w:rsid w:val="00F01C08"/>
    <w:rsid w:val="00F02EA0"/>
    <w:rsid w:val="00F05F24"/>
    <w:rsid w:val="00F06087"/>
    <w:rsid w:val="00F12402"/>
    <w:rsid w:val="00F2072E"/>
    <w:rsid w:val="00F223B5"/>
    <w:rsid w:val="00F22501"/>
    <w:rsid w:val="00F230AD"/>
    <w:rsid w:val="00F2324E"/>
    <w:rsid w:val="00F24458"/>
    <w:rsid w:val="00F24607"/>
    <w:rsid w:val="00F27AB6"/>
    <w:rsid w:val="00F30571"/>
    <w:rsid w:val="00F30871"/>
    <w:rsid w:val="00F325A4"/>
    <w:rsid w:val="00F343B9"/>
    <w:rsid w:val="00F35392"/>
    <w:rsid w:val="00F3749A"/>
    <w:rsid w:val="00F37517"/>
    <w:rsid w:val="00F410AB"/>
    <w:rsid w:val="00F41829"/>
    <w:rsid w:val="00F41961"/>
    <w:rsid w:val="00F4344B"/>
    <w:rsid w:val="00F56D08"/>
    <w:rsid w:val="00F5707D"/>
    <w:rsid w:val="00F60E65"/>
    <w:rsid w:val="00F60ECA"/>
    <w:rsid w:val="00F65940"/>
    <w:rsid w:val="00F7110C"/>
    <w:rsid w:val="00F7438B"/>
    <w:rsid w:val="00F74F59"/>
    <w:rsid w:val="00F83E90"/>
    <w:rsid w:val="00F90858"/>
    <w:rsid w:val="00F909B2"/>
    <w:rsid w:val="00F912E3"/>
    <w:rsid w:val="00F94F76"/>
    <w:rsid w:val="00F95F06"/>
    <w:rsid w:val="00F97155"/>
    <w:rsid w:val="00FA2D8C"/>
    <w:rsid w:val="00FA5711"/>
    <w:rsid w:val="00FA5ED0"/>
    <w:rsid w:val="00FA781B"/>
    <w:rsid w:val="00FB528F"/>
    <w:rsid w:val="00FC19E8"/>
    <w:rsid w:val="00FC2806"/>
    <w:rsid w:val="00FD069A"/>
    <w:rsid w:val="00FD6746"/>
    <w:rsid w:val="00FE19DC"/>
    <w:rsid w:val="00FF2890"/>
    <w:rsid w:val="00FF5D01"/>
    <w:rsid w:val="00FF6250"/>
    <w:rsid w:val="00FF6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E9758"/>
  <w15:chartTrackingRefBased/>
  <w15:docId w15:val="{5E31304E-959C-5E4D-ACC8-38E348FF5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5C1"/>
  </w:style>
  <w:style w:type="paragraph" w:styleId="Heading3">
    <w:name w:val="heading 3"/>
    <w:basedOn w:val="Normal"/>
    <w:link w:val="Heading3Char"/>
    <w:uiPriority w:val="9"/>
    <w:qFormat/>
    <w:rsid w:val="00A87F25"/>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4F26"/>
    <w:pPr>
      <w:spacing w:before="100" w:beforeAutospacing="1" w:after="100" w:afterAutospacing="1"/>
    </w:pPr>
    <w:rPr>
      <w:rFonts w:ascii="Times New Roman" w:eastAsia="Times New Roman" w:hAnsi="Times New Roman" w:cs="Times New Roman"/>
    </w:rPr>
  </w:style>
  <w:style w:type="paragraph" w:styleId="FootnoteText">
    <w:name w:val="footnote text"/>
    <w:aliases w:val="Footnote Text Char1,Char Char1,Char Char,Char Char2 Char,Char Char Char,Footnote Text Char Char,Char Char1 Char,Char Char Char Char, Char,Char,Char Char2, Char Char"/>
    <w:basedOn w:val="Normal"/>
    <w:link w:val="FootnoteTextChar"/>
    <w:semiHidden/>
    <w:rsid w:val="00EC1B81"/>
    <w:pPr>
      <w:spacing w:after="200" w:line="276" w:lineRule="auto"/>
    </w:pPr>
    <w:rPr>
      <w:rFonts w:ascii="Calibri" w:eastAsia="Times New Roman" w:hAnsi="Calibri" w:cs="Calibri"/>
      <w:sz w:val="20"/>
      <w:szCs w:val="20"/>
      <w:lang w:val="en-GB"/>
    </w:rPr>
  </w:style>
  <w:style w:type="character" w:customStyle="1" w:styleId="FootnoteTextChar">
    <w:name w:val="Footnote Text Char"/>
    <w:aliases w:val="Footnote Text Char1 Char,Char Char1 Char1,Char Char Char1,Char Char2 Char Char,Char Char Char Char1,Footnote Text Char Char Char,Char Char1 Char Char,Char Char Char Char Char, Char Char1,Char Char3,Char Char2 Char1, Char Char Char"/>
    <w:basedOn w:val="DefaultParagraphFont"/>
    <w:link w:val="FootnoteText"/>
    <w:rsid w:val="00EC1B81"/>
    <w:rPr>
      <w:rFonts w:ascii="Calibri" w:eastAsia="Times New Roman" w:hAnsi="Calibri" w:cs="Calibri"/>
      <w:sz w:val="20"/>
      <w:szCs w:val="20"/>
      <w:lang w:val="en-GB"/>
    </w:rPr>
  </w:style>
  <w:style w:type="character" w:styleId="FootnoteReference">
    <w:name w:val="footnote reference"/>
    <w:basedOn w:val="DefaultParagraphFont"/>
    <w:uiPriority w:val="99"/>
    <w:semiHidden/>
    <w:rsid w:val="00EC1B81"/>
    <w:rPr>
      <w:vertAlign w:val="superscript"/>
    </w:rPr>
  </w:style>
  <w:style w:type="paragraph" w:styleId="ListParagraph">
    <w:name w:val="List Paragraph"/>
    <w:basedOn w:val="Normal"/>
    <w:uiPriority w:val="34"/>
    <w:qFormat/>
    <w:rsid w:val="00160E45"/>
    <w:pPr>
      <w:ind w:left="720"/>
      <w:contextualSpacing/>
    </w:pPr>
  </w:style>
  <w:style w:type="character" w:styleId="CommentReference">
    <w:name w:val="annotation reference"/>
    <w:basedOn w:val="DefaultParagraphFont"/>
    <w:semiHidden/>
    <w:unhideWhenUsed/>
    <w:rsid w:val="007F5AA0"/>
    <w:rPr>
      <w:sz w:val="16"/>
      <w:szCs w:val="16"/>
    </w:rPr>
  </w:style>
  <w:style w:type="paragraph" w:styleId="CommentText">
    <w:name w:val="annotation text"/>
    <w:basedOn w:val="Normal"/>
    <w:link w:val="CommentTextChar"/>
    <w:unhideWhenUsed/>
    <w:rsid w:val="007F5AA0"/>
    <w:rPr>
      <w:sz w:val="20"/>
      <w:szCs w:val="20"/>
    </w:rPr>
  </w:style>
  <w:style w:type="character" w:customStyle="1" w:styleId="CommentTextChar">
    <w:name w:val="Comment Text Char"/>
    <w:basedOn w:val="DefaultParagraphFont"/>
    <w:link w:val="CommentText"/>
    <w:uiPriority w:val="99"/>
    <w:semiHidden/>
    <w:rsid w:val="007F5AA0"/>
    <w:rPr>
      <w:sz w:val="20"/>
      <w:szCs w:val="20"/>
    </w:rPr>
  </w:style>
  <w:style w:type="paragraph" w:styleId="CommentSubject">
    <w:name w:val="annotation subject"/>
    <w:basedOn w:val="CommentText"/>
    <w:next w:val="CommentText"/>
    <w:link w:val="CommentSubjectChar"/>
    <w:uiPriority w:val="99"/>
    <w:semiHidden/>
    <w:unhideWhenUsed/>
    <w:rsid w:val="007F5AA0"/>
    <w:rPr>
      <w:b/>
      <w:bCs/>
    </w:rPr>
  </w:style>
  <w:style w:type="character" w:customStyle="1" w:styleId="CommentSubjectChar">
    <w:name w:val="Comment Subject Char"/>
    <w:basedOn w:val="CommentTextChar"/>
    <w:link w:val="CommentSubject"/>
    <w:uiPriority w:val="99"/>
    <w:semiHidden/>
    <w:rsid w:val="007F5AA0"/>
    <w:rPr>
      <w:b/>
      <w:bCs/>
      <w:sz w:val="20"/>
      <w:szCs w:val="20"/>
    </w:rPr>
  </w:style>
  <w:style w:type="character" w:customStyle="1" w:styleId="Heading3Char">
    <w:name w:val="Heading 3 Char"/>
    <w:basedOn w:val="DefaultParagraphFont"/>
    <w:link w:val="Heading3"/>
    <w:uiPriority w:val="9"/>
    <w:rsid w:val="00A87F25"/>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A87F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F25"/>
    <w:rPr>
      <w:rFonts w:ascii="Segoe UI" w:hAnsi="Segoe UI" w:cs="Segoe UI"/>
      <w:sz w:val="18"/>
      <w:szCs w:val="18"/>
    </w:rPr>
  </w:style>
  <w:style w:type="paragraph" w:customStyle="1" w:styleId="Default">
    <w:name w:val="Default"/>
    <w:rsid w:val="00A87F25"/>
    <w:pPr>
      <w:autoSpaceDE w:val="0"/>
      <w:autoSpaceDN w:val="0"/>
      <w:adjustRightInd w:val="0"/>
    </w:pPr>
    <w:rPr>
      <w:rFonts w:ascii="Times New Roman" w:eastAsia="Times New Roman" w:hAnsi="Times New Roman" w:cs="Times New Roman"/>
      <w:color w:val="000000"/>
      <w:lang w:val="tr-TR"/>
    </w:rPr>
  </w:style>
  <w:style w:type="character" w:styleId="Hyperlink">
    <w:name w:val="Hyperlink"/>
    <w:basedOn w:val="DefaultParagraphFont"/>
    <w:rsid w:val="00A87F25"/>
    <w:rPr>
      <w:color w:val="0000FF"/>
      <w:u w:val="single"/>
    </w:rPr>
  </w:style>
  <w:style w:type="character" w:customStyle="1" w:styleId="A3">
    <w:name w:val="A3"/>
    <w:rsid w:val="00A87F25"/>
    <w:rPr>
      <w:color w:val="000000"/>
      <w:sz w:val="22"/>
    </w:rPr>
  </w:style>
  <w:style w:type="character" w:styleId="HTMLCite">
    <w:name w:val="HTML Cite"/>
    <w:basedOn w:val="DefaultParagraphFont"/>
    <w:rsid w:val="00A87F25"/>
    <w:rPr>
      <w:i/>
    </w:rPr>
  </w:style>
  <w:style w:type="character" w:styleId="Strong">
    <w:name w:val="Strong"/>
    <w:basedOn w:val="DefaultParagraphFont"/>
    <w:qFormat/>
    <w:rsid w:val="00A87F25"/>
    <w:rPr>
      <w:b/>
    </w:rPr>
  </w:style>
  <w:style w:type="character" w:customStyle="1" w:styleId="CommentTextChar1">
    <w:name w:val="Comment Text Char1"/>
    <w:locked/>
    <w:rsid w:val="00A87F25"/>
    <w:rPr>
      <w:rFonts w:ascii="Calibri" w:eastAsia="Times New Roman" w:hAnsi="Calibri" w:cs="Times New Roman"/>
      <w:sz w:val="20"/>
      <w:szCs w:val="20"/>
      <w:lang w:val="en-GB"/>
    </w:rPr>
  </w:style>
  <w:style w:type="paragraph" w:customStyle="1" w:styleId="Listenabsatz1">
    <w:name w:val="Listenabsatz1"/>
    <w:basedOn w:val="Normal"/>
    <w:qFormat/>
    <w:rsid w:val="00A87F25"/>
    <w:pPr>
      <w:spacing w:after="200" w:line="276" w:lineRule="auto"/>
      <w:ind w:left="720"/>
      <w:contextualSpacing/>
    </w:pPr>
    <w:rPr>
      <w:rFonts w:ascii="Calibri" w:eastAsia="Times New Roman" w:hAnsi="Calibri" w:cs="Times New Roman"/>
      <w:sz w:val="22"/>
      <w:szCs w:val="22"/>
      <w:lang w:val="tr-TR"/>
    </w:rPr>
  </w:style>
  <w:style w:type="character" w:styleId="Emphasis">
    <w:name w:val="Emphasis"/>
    <w:basedOn w:val="DefaultParagraphFont"/>
    <w:qFormat/>
    <w:rsid w:val="00A87F25"/>
  </w:style>
  <w:style w:type="character" w:customStyle="1" w:styleId="UnresolvedMention1">
    <w:name w:val="Unresolved Mention1"/>
    <w:basedOn w:val="DefaultParagraphFont"/>
    <w:uiPriority w:val="99"/>
    <w:semiHidden/>
    <w:unhideWhenUsed/>
    <w:rsid w:val="00A87F25"/>
    <w:rPr>
      <w:color w:val="605E5C"/>
      <w:shd w:val="clear" w:color="auto" w:fill="E1DFDD"/>
    </w:rPr>
  </w:style>
  <w:style w:type="character" w:customStyle="1" w:styleId="ChapterChar">
    <w:name w:val="Chapter Char"/>
    <w:basedOn w:val="DefaultParagraphFont"/>
    <w:link w:val="Chapter"/>
    <w:locked/>
    <w:rsid w:val="00A87F25"/>
    <w:rPr>
      <w:rFonts w:ascii="Calibri" w:eastAsia="Calibri" w:hAnsi="Calibri"/>
    </w:rPr>
  </w:style>
  <w:style w:type="paragraph" w:customStyle="1" w:styleId="Chapter">
    <w:name w:val="Chapter"/>
    <w:basedOn w:val="Normal"/>
    <w:link w:val="ChapterChar"/>
    <w:rsid w:val="00A87F25"/>
    <w:pPr>
      <w:spacing w:line="360" w:lineRule="auto"/>
      <w:ind w:firstLine="706"/>
      <w:jc w:val="both"/>
    </w:pPr>
    <w:rPr>
      <w:rFonts w:ascii="Calibri" w:eastAsia="Calibri" w:hAnsi="Calibri"/>
    </w:rPr>
  </w:style>
  <w:style w:type="character" w:customStyle="1" w:styleId="st1">
    <w:name w:val="st1"/>
    <w:basedOn w:val="DefaultParagraphFont"/>
    <w:rsid w:val="00A87F25"/>
  </w:style>
  <w:style w:type="paragraph" w:styleId="Header">
    <w:name w:val="header"/>
    <w:basedOn w:val="Normal"/>
    <w:link w:val="HeaderChar"/>
    <w:uiPriority w:val="99"/>
    <w:unhideWhenUsed/>
    <w:rsid w:val="00A87F25"/>
    <w:pPr>
      <w:tabs>
        <w:tab w:val="center" w:pos="4680"/>
        <w:tab w:val="right" w:pos="9360"/>
      </w:tabs>
    </w:pPr>
    <w:rPr>
      <w:sz w:val="22"/>
      <w:szCs w:val="22"/>
    </w:rPr>
  </w:style>
  <w:style w:type="character" w:customStyle="1" w:styleId="HeaderChar">
    <w:name w:val="Header Char"/>
    <w:basedOn w:val="DefaultParagraphFont"/>
    <w:link w:val="Header"/>
    <w:uiPriority w:val="99"/>
    <w:rsid w:val="00A87F25"/>
    <w:rPr>
      <w:sz w:val="22"/>
      <w:szCs w:val="22"/>
    </w:rPr>
  </w:style>
  <w:style w:type="paragraph" w:styleId="Footer">
    <w:name w:val="footer"/>
    <w:basedOn w:val="Normal"/>
    <w:link w:val="FooterChar"/>
    <w:uiPriority w:val="99"/>
    <w:unhideWhenUsed/>
    <w:rsid w:val="00A87F25"/>
    <w:pPr>
      <w:tabs>
        <w:tab w:val="center" w:pos="4680"/>
        <w:tab w:val="right" w:pos="9360"/>
      </w:tabs>
    </w:pPr>
    <w:rPr>
      <w:sz w:val="22"/>
      <w:szCs w:val="22"/>
    </w:rPr>
  </w:style>
  <w:style w:type="character" w:customStyle="1" w:styleId="FooterChar">
    <w:name w:val="Footer Char"/>
    <w:basedOn w:val="DefaultParagraphFont"/>
    <w:link w:val="Footer"/>
    <w:uiPriority w:val="99"/>
    <w:rsid w:val="00A87F25"/>
    <w:rPr>
      <w:sz w:val="22"/>
      <w:szCs w:val="22"/>
    </w:rPr>
  </w:style>
  <w:style w:type="paragraph" w:styleId="BodyText2">
    <w:name w:val="Body Text 2"/>
    <w:basedOn w:val="Normal"/>
    <w:link w:val="BodyText2Char"/>
    <w:rsid w:val="00A87F25"/>
    <w:pPr>
      <w:tabs>
        <w:tab w:val="left" w:pos="720"/>
      </w:tabs>
      <w:suppressAutoHyphens/>
      <w:spacing w:line="280" w:lineRule="exact"/>
      <w:jc w:val="both"/>
    </w:pPr>
    <w:rPr>
      <w:rFonts w:ascii="Times New Roman" w:eastAsia="Times New Roman" w:hAnsi="Times New Roman" w:cs="Times New Roman"/>
      <w:spacing w:val="-2"/>
      <w:sz w:val="22"/>
      <w:szCs w:val="20"/>
      <w:lang w:val="en-AU"/>
    </w:rPr>
  </w:style>
  <w:style w:type="character" w:customStyle="1" w:styleId="BodyText2Char">
    <w:name w:val="Body Text 2 Char"/>
    <w:basedOn w:val="DefaultParagraphFont"/>
    <w:link w:val="BodyText2"/>
    <w:rsid w:val="00A87F25"/>
    <w:rPr>
      <w:rFonts w:ascii="Times New Roman" w:eastAsia="Times New Roman" w:hAnsi="Times New Roman" w:cs="Times New Roman"/>
      <w:spacing w:val="-2"/>
      <w:sz w:val="22"/>
      <w:szCs w:val="20"/>
      <w:lang w:val="en-AU"/>
    </w:rPr>
  </w:style>
  <w:style w:type="character" w:customStyle="1" w:styleId="st">
    <w:name w:val="st"/>
    <w:basedOn w:val="DefaultParagraphFont"/>
    <w:rsid w:val="00A87F25"/>
  </w:style>
  <w:style w:type="paragraph" w:customStyle="1" w:styleId="ThesisCharCharChar">
    <w:name w:val="Thesis Char Char Char"/>
    <w:basedOn w:val="Normal"/>
    <w:link w:val="ThesisCharCharCharChar"/>
    <w:rsid w:val="00A87F25"/>
    <w:pPr>
      <w:spacing w:line="360" w:lineRule="auto"/>
      <w:ind w:right="-245"/>
      <w:jc w:val="both"/>
    </w:pPr>
    <w:rPr>
      <w:rFonts w:ascii="Times New Roman" w:eastAsia="Times New Roman" w:hAnsi="Times New Roman" w:cs="Times New Roman"/>
      <w:lang w:eastAsia="tr-TR"/>
    </w:rPr>
  </w:style>
  <w:style w:type="character" w:customStyle="1" w:styleId="ThesisCharCharCharChar">
    <w:name w:val="Thesis Char Char Char Char"/>
    <w:basedOn w:val="DefaultParagraphFont"/>
    <w:link w:val="ThesisCharCharChar"/>
    <w:rsid w:val="00A87F25"/>
    <w:rPr>
      <w:rFonts w:ascii="Times New Roman" w:eastAsia="Times New Roman" w:hAnsi="Times New Roman" w:cs="Times New Roman"/>
      <w:lang w:eastAsia="tr-TR"/>
    </w:rPr>
  </w:style>
  <w:style w:type="paragraph" w:styleId="BodyText">
    <w:name w:val="Body Text"/>
    <w:basedOn w:val="Normal"/>
    <w:link w:val="BodyTextChar"/>
    <w:uiPriority w:val="99"/>
    <w:semiHidden/>
    <w:unhideWhenUsed/>
    <w:rsid w:val="00A87F25"/>
    <w:pPr>
      <w:spacing w:after="120" w:line="259" w:lineRule="auto"/>
    </w:pPr>
    <w:rPr>
      <w:sz w:val="22"/>
      <w:szCs w:val="22"/>
    </w:rPr>
  </w:style>
  <w:style w:type="character" w:customStyle="1" w:styleId="BodyTextChar">
    <w:name w:val="Body Text Char"/>
    <w:basedOn w:val="DefaultParagraphFont"/>
    <w:link w:val="BodyText"/>
    <w:uiPriority w:val="99"/>
    <w:semiHidden/>
    <w:rsid w:val="00A87F25"/>
    <w:rPr>
      <w:sz w:val="22"/>
      <w:szCs w:val="22"/>
    </w:rPr>
  </w:style>
  <w:style w:type="character" w:customStyle="1" w:styleId="A12">
    <w:name w:val="A12"/>
    <w:rsid w:val="00A87F25"/>
    <w:rPr>
      <w:rFonts w:cs="Minion Pro"/>
      <w:color w:val="000000"/>
      <w:sz w:val="12"/>
      <w:szCs w:val="12"/>
    </w:rPr>
  </w:style>
  <w:style w:type="table" w:styleId="TableGrid">
    <w:name w:val="Table Grid"/>
    <w:basedOn w:val="TableNormal"/>
    <w:uiPriority w:val="39"/>
    <w:rsid w:val="00A87F2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87F25"/>
    <w:rPr>
      <w:color w:val="954F72" w:themeColor="followedHyperlink"/>
      <w:u w:val="single"/>
    </w:rPr>
  </w:style>
  <w:style w:type="paragraph" w:styleId="Revision">
    <w:name w:val="Revision"/>
    <w:hidden/>
    <w:uiPriority w:val="99"/>
    <w:semiHidden/>
    <w:rsid w:val="009E7BD9"/>
  </w:style>
  <w:style w:type="character" w:styleId="UnresolvedMention">
    <w:name w:val="Unresolved Mention"/>
    <w:basedOn w:val="DefaultParagraphFont"/>
    <w:uiPriority w:val="99"/>
    <w:semiHidden/>
    <w:unhideWhenUsed/>
    <w:rsid w:val="006C61E2"/>
    <w:rPr>
      <w:color w:val="605E5C"/>
      <w:shd w:val="clear" w:color="auto" w:fill="E1DFDD"/>
    </w:rPr>
  </w:style>
  <w:style w:type="paragraph" w:styleId="EndnoteText">
    <w:name w:val="endnote text"/>
    <w:basedOn w:val="Normal"/>
    <w:link w:val="EndnoteTextChar"/>
    <w:uiPriority w:val="99"/>
    <w:semiHidden/>
    <w:unhideWhenUsed/>
    <w:rsid w:val="00247530"/>
    <w:rPr>
      <w:sz w:val="20"/>
      <w:szCs w:val="20"/>
    </w:rPr>
  </w:style>
  <w:style w:type="character" w:customStyle="1" w:styleId="EndnoteTextChar">
    <w:name w:val="Endnote Text Char"/>
    <w:basedOn w:val="DefaultParagraphFont"/>
    <w:link w:val="EndnoteText"/>
    <w:uiPriority w:val="99"/>
    <w:semiHidden/>
    <w:rsid w:val="00247530"/>
    <w:rPr>
      <w:sz w:val="20"/>
      <w:szCs w:val="20"/>
    </w:rPr>
  </w:style>
  <w:style w:type="character" w:styleId="EndnoteReference">
    <w:name w:val="endnote reference"/>
    <w:basedOn w:val="DefaultParagraphFont"/>
    <w:uiPriority w:val="99"/>
    <w:semiHidden/>
    <w:unhideWhenUsed/>
    <w:rsid w:val="00247530"/>
    <w:rPr>
      <w:vertAlign w:val="superscript"/>
    </w:rPr>
  </w:style>
  <w:style w:type="paragraph" w:styleId="NoSpacing">
    <w:name w:val="No Spacing"/>
    <w:uiPriority w:val="1"/>
    <w:qFormat/>
    <w:rsid w:val="00247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24902">
      <w:bodyDiv w:val="1"/>
      <w:marLeft w:val="0"/>
      <w:marRight w:val="0"/>
      <w:marTop w:val="0"/>
      <w:marBottom w:val="0"/>
      <w:divBdr>
        <w:top w:val="none" w:sz="0" w:space="0" w:color="auto"/>
        <w:left w:val="none" w:sz="0" w:space="0" w:color="auto"/>
        <w:bottom w:val="none" w:sz="0" w:space="0" w:color="auto"/>
        <w:right w:val="none" w:sz="0" w:space="0" w:color="auto"/>
      </w:divBdr>
    </w:div>
    <w:div w:id="257057877">
      <w:bodyDiv w:val="1"/>
      <w:marLeft w:val="0"/>
      <w:marRight w:val="0"/>
      <w:marTop w:val="0"/>
      <w:marBottom w:val="0"/>
      <w:divBdr>
        <w:top w:val="none" w:sz="0" w:space="0" w:color="auto"/>
        <w:left w:val="none" w:sz="0" w:space="0" w:color="auto"/>
        <w:bottom w:val="none" w:sz="0" w:space="0" w:color="auto"/>
        <w:right w:val="none" w:sz="0" w:space="0" w:color="auto"/>
      </w:divBdr>
      <w:divsChild>
        <w:div w:id="787745488">
          <w:marLeft w:val="0"/>
          <w:marRight w:val="0"/>
          <w:marTop w:val="0"/>
          <w:marBottom w:val="0"/>
          <w:divBdr>
            <w:top w:val="none" w:sz="0" w:space="0" w:color="auto"/>
            <w:left w:val="none" w:sz="0" w:space="0" w:color="auto"/>
            <w:bottom w:val="none" w:sz="0" w:space="0" w:color="auto"/>
            <w:right w:val="none" w:sz="0" w:space="0" w:color="auto"/>
          </w:divBdr>
          <w:divsChild>
            <w:div w:id="920333987">
              <w:marLeft w:val="0"/>
              <w:marRight w:val="0"/>
              <w:marTop w:val="0"/>
              <w:marBottom w:val="0"/>
              <w:divBdr>
                <w:top w:val="none" w:sz="0" w:space="0" w:color="auto"/>
                <w:left w:val="none" w:sz="0" w:space="0" w:color="auto"/>
                <w:bottom w:val="none" w:sz="0" w:space="0" w:color="auto"/>
                <w:right w:val="none" w:sz="0" w:space="0" w:color="auto"/>
              </w:divBdr>
            </w:div>
          </w:divsChild>
        </w:div>
        <w:div w:id="225605571">
          <w:marLeft w:val="0"/>
          <w:marRight w:val="0"/>
          <w:marTop w:val="0"/>
          <w:marBottom w:val="0"/>
          <w:divBdr>
            <w:top w:val="none" w:sz="0" w:space="0" w:color="auto"/>
            <w:left w:val="none" w:sz="0" w:space="0" w:color="auto"/>
            <w:bottom w:val="none" w:sz="0" w:space="0" w:color="auto"/>
            <w:right w:val="none" w:sz="0" w:space="0" w:color="auto"/>
          </w:divBdr>
          <w:divsChild>
            <w:div w:id="137824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254108">
      <w:bodyDiv w:val="1"/>
      <w:marLeft w:val="0"/>
      <w:marRight w:val="0"/>
      <w:marTop w:val="0"/>
      <w:marBottom w:val="0"/>
      <w:divBdr>
        <w:top w:val="none" w:sz="0" w:space="0" w:color="auto"/>
        <w:left w:val="none" w:sz="0" w:space="0" w:color="auto"/>
        <w:bottom w:val="none" w:sz="0" w:space="0" w:color="auto"/>
        <w:right w:val="none" w:sz="0" w:space="0" w:color="auto"/>
      </w:divBdr>
      <w:divsChild>
        <w:div w:id="1254777764">
          <w:marLeft w:val="360"/>
          <w:marRight w:val="0"/>
          <w:marTop w:val="200"/>
          <w:marBottom w:val="0"/>
          <w:divBdr>
            <w:top w:val="none" w:sz="0" w:space="0" w:color="auto"/>
            <w:left w:val="none" w:sz="0" w:space="0" w:color="auto"/>
            <w:bottom w:val="none" w:sz="0" w:space="0" w:color="auto"/>
            <w:right w:val="none" w:sz="0" w:space="0" w:color="auto"/>
          </w:divBdr>
        </w:div>
        <w:div w:id="861361936">
          <w:marLeft w:val="360"/>
          <w:marRight w:val="0"/>
          <w:marTop w:val="200"/>
          <w:marBottom w:val="0"/>
          <w:divBdr>
            <w:top w:val="none" w:sz="0" w:space="0" w:color="auto"/>
            <w:left w:val="none" w:sz="0" w:space="0" w:color="auto"/>
            <w:bottom w:val="none" w:sz="0" w:space="0" w:color="auto"/>
            <w:right w:val="none" w:sz="0" w:space="0" w:color="auto"/>
          </w:divBdr>
        </w:div>
        <w:div w:id="285937890">
          <w:marLeft w:val="360"/>
          <w:marRight w:val="0"/>
          <w:marTop w:val="200"/>
          <w:marBottom w:val="0"/>
          <w:divBdr>
            <w:top w:val="none" w:sz="0" w:space="0" w:color="auto"/>
            <w:left w:val="none" w:sz="0" w:space="0" w:color="auto"/>
            <w:bottom w:val="none" w:sz="0" w:space="0" w:color="auto"/>
            <w:right w:val="none" w:sz="0" w:space="0" w:color="auto"/>
          </w:divBdr>
        </w:div>
        <w:div w:id="874927875">
          <w:marLeft w:val="360"/>
          <w:marRight w:val="0"/>
          <w:marTop w:val="200"/>
          <w:marBottom w:val="0"/>
          <w:divBdr>
            <w:top w:val="none" w:sz="0" w:space="0" w:color="auto"/>
            <w:left w:val="none" w:sz="0" w:space="0" w:color="auto"/>
            <w:bottom w:val="none" w:sz="0" w:space="0" w:color="auto"/>
            <w:right w:val="none" w:sz="0" w:space="0" w:color="auto"/>
          </w:divBdr>
        </w:div>
      </w:divsChild>
    </w:div>
    <w:div w:id="639385712">
      <w:bodyDiv w:val="1"/>
      <w:marLeft w:val="0"/>
      <w:marRight w:val="0"/>
      <w:marTop w:val="0"/>
      <w:marBottom w:val="0"/>
      <w:divBdr>
        <w:top w:val="none" w:sz="0" w:space="0" w:color="auto"/>
        <w:left w:val="none" w:sz="0" w:space="0" w:color="auto"/>
        <w:bottom w:val="none" w:sz="0" w:space="0" w:color="auto"/>
        <w:right w:val="none" w:sz="0" w:space="0" w:color="auto"/>
      </w:divBdr>
    </w:div>
    <w:div w:id="713237391">
      <w:bodyDiv w:val="1"/>
      <w:marLeft w:val="0"/>
      <w:marRight w:val="0"/>
      <w:marTop w:val="0"/>
      <w:marBottom w:val="0"/>
      <w:divBdr>
        <w:top w:val="none" w:sz="0" w:space="0" w:color="auto"/>
        <w:left w:val="none" w:sz="0" w:space="0" w:color="auto"/>
        <w:bottom w:val="none" w:sz="0" w:space="0" w:color="auto"/>
        <w:right w:val="none" w:sz="0" w:space="0" w:color="auto"/>
      </w:divBdr>
    </w:div>
    <w:div w:id="867566042">
      <w:bodyDiv w:val="1"/>
      <w:marLeft w:val="0"/>
      <w:marRight w:val="0"/>
      <w:marTop w:val="0"/>
      <w:marBottom w:val="0"/>
      <w:divBdr>
        <w:top w:val="none" w:sz="0" w:space="0" w:color="auto"/>
        <w:left w:val="none" w:sz="0" w:space="0" w:color="auto"/>
        <w:bottom w:val="none" w:sz="0" w:space="0" w:color="auto"/>
        <w:right w:val="none" w:sz="0" w:space="0" w:color="auto"/>
      </w:divBdr>
      <w:divsChild>
        <w:div w:id="751777884">
          <w:marLeft w:val="0"/>
          <w:marRight w:val="0"/>
          <w:marTop w:val="0"/>
          <w:marBottom w:val="0"/>
          <w:divBdr>
            <w:top w:val="none" w:sz="0" w:space="0" w:color="auto"/>
            <w:left w:val="none" w:sz="0" w:space="0" w:color="auto"/>
            <w:bottom w:val="none" w:sz="0" w:space="0" w:color="auto"/>
            <w:right w:val="none" w:sz="0" w:space="0" w:color="auto"/>
          </w:divBdr>
          <w:divsChild>
            <w:div w:id="2039430616">
              <w:marLeft w:val="0"/>
              <w:marRight w:val="0"/>
              <w:marTop w:val="0"/>
              <w:marBottom w:val="0"/>
              <w:divBdr>
                <w:top w:val="none" w:sz="0" w:space="0" w:color="auto"/>
                <w:left w:val="none" w:sz="0" w:space="0" w:color="auto"/>
                <w:bottom w:val="none" w:sz="0" w:space="0" w:color="auto"/>
                <w:right w:val="none" w:sz="0" w:space="0" w:color="auto"/>
              </w:divBdr>
            </w:div>
          </w:divsChild>
        </w:div>
        <w:div w:id="1244411160">
          <w:marLeft w:val="0"/>
          <w:marRight w:val="0"/>
          <w:marTop w:val="0"/>
          <w:marBottom w:val="0"/>
          <w:divBdr>
            <w:top w:val="none" w:sz="0" w:space="0" w:color="auto"/>
            <w:left w:val="none" w:sz="0" w:space="0" w:color="auto"/>
            <w:bottom w:val="none" w:sz="0" w:space="0" w:color="auto"/>
            <w:right w:val="none" w:sz="0" w:space="0" w:color="auto"/>
          </w:divBdr>
          <w:divsChild>
            <w:div w:id="902911307">
              <w:marLeft w:val="0"/>
              <w:marRight w:val="0"/>
              <w:marTop w:val="0"/>
              <w:marBottom w:val="0"/>
              <w:divBdr>
                <w:top w:val="none" w:sz="0" w:space="0" w:color="auto"/>
                <w:left w:val="none" w:sz="0" w:space="0" w:color="auto"/>
                <w:bottom w:val="none" w:sz="0" w:space="0" w:color="auto"/>
                <w:right w:val="none" w:sz="0" w:space="0" w:color="auto"/>
              </w:divBdr>
            </w:div>
          </w:divsChild>
        </w:div>
        <w:div w:id="226232166">
          <w:marLeft w:val="0"/>
          <w:marRight w:val="0"/>
          <w:marTop w:val="0"/>
          <w:marBottom w:val="0"/>
          <w:divBdr>
            <w:top w:val="none" w:sz="0" w:space="0" w:color="auto"/>
            <w:left w:val="none" w:sz="0" w:space="0" w:color="auto"/>
            <w:bottom w:val="none" w:sz="0" w:space="0" w:color="auto"/>
            <w:right w:val="none" w:sz="0" w:space="0" w:color="auto"/>
          </w:divBdr>
          <w:divsChild>
            <w:div w:id="2036728025">
              <w:marLeft w:val="0"/>
              <w:marRight w:val="0"/>
              <w:marTop w:val="0"/>
              <w:marBottom w:val="0"/>
              <w:divBdr>
                <w:top w:val="none" w:sz="0" w:space="0" w:color="auto"/>
                <w:left w:val="none" w:sz="0" w:space="0" w:color="auto"/>
                <w:bottom w:val="none" w:sz="0" w:space="0" w:color="auto"/>
                <w:right w:val="none" w:sz="0" w:space="0" w:color="auto"/>
              </w:divBdr>
            </w:div>
          </w:divsChild>
        </w:div>
        <w:div w:id="918028396">
          <w:marLeft w:val="0"/>
          <w:marRight w:val="0"/>
          <w:marTop w:val="0"/>
          <w:marBottom w:val="0"/>
          <w:divBdr>
            <w:top w:val="none" w:sz="0" w:space="0" w:color="auto"/>
            <w:left w:val="none" w:sz="0" w:space="0" w:color="auto"/>
            <w:bottom w:val="none" w:sz="0" w:space="0" w:color="auto"/>
            <w:right w:val="none" w:sz="0" w:space="0" w:color="auto"/>
          </w:divBdr>
          <w:divsChild>
            <w:div w:id="134119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86619">
      <w:bodyDiv w:val="1"/>
      <w:marLeft w:val="0"/>
      <w:marRight w:val="0"/>
      <w:marTop w:val="0"/>
      <w:marBottom w:val="0"/>
      <w:divBdr>
        <w:top w:val="none" w:sz="0" w:space="0" w:color="auto"/>
        <w:left w:val="none" w:sz="0" w:space="0" w:color="auto"/>
        <w:bottom w:val="none" w:sz="0" w:space="0" w:color="auto"/>
        <w:right w:val="none" w:sz="0" w:space="0" w:color="auto"/>
      </w:divBdr>
    </w:div>
    <w:div w:id="1002393639">
      <w:bodyDiv w:val="1"/>
      <w:marLeft w:val="0"/>
      <w:marRight w:val="0"/>
      <w:marTop w:val="0"/>
      <w:marBottom w:val="0"/>
      <w:divBdr>
        <w:top w:val="none" w:sz="0" w:space="0" w:color="auto"/>
        <w:left w:val="none" w:sz="0" w:space="0" w:color="auto"/>
        <w:bottom w:val="none" w:sz="0" w:space="0" w:color="auto"/>
        <w:right w:val="none" w:sz="0" w:space="0" w:color="auto"/>
      </w:divBdr>
      <w:divsChild>
        <w:div w:id="2132286048">
          <w:marLeft w:val="0"/>
          <w:marRight w:val="0"/>
          <w:marTop w:val="0"/>
          <w:marBottom w:val="0"/>
          <w:divBdr>
            <w:top w:val="none" w:sz="0" w:space="0" w:color="auto"/>
            <w:left w:val="none" w:sz="0" w:space="0" w:color="auto"/>
            <w:bottom w:val="none" w:sz="0" w:space="0" w:color="auto"/>
            <w:right w:val="none" w:sz="0" w:space="0" w:color="auto"/>
          </w:divBdr>
          <w:divsChild>
            <w:div w:id="1069959170">
              <w:marLeft w:val="0"/>
              <w:marRight w:val="0"/>
              <w:marTop w:val="0"/>
              <w:marBottom w:val="0"/>
              <w:divBdr>
                <w:top w:val="none" w:sz="0" w:space="0" w:color="auto"/>
                <w:left w:val="none" w:sz="0" w:space="0" w:color="auto"/>
                <w:bottom w:val="none" w:sz="0" w:space="0" w:color="auto"/>
                <w:right w:val="none" w:sz="0" w:space="0" w:color="auto"/>
              </w:divBdr>
              <w:divsChild>
                <w:div w:id="1705982074">
                  <w:marLeft w:val="0"/>
                  <w:marRight w:val="0"/>
                  <w:marTop w:val="0"/>
                  <w:marBottom w:val="0"/>
                  <w:divBdr>
                    <w:top w:val="none" w:sz="0" w:space="0" w:color="auto"/>
                    <w:left w:val="none" w:sz="0" w:space="0" w:color="auto"/>
                    <w:bottom w:val="none" w:sz="0" w:space="0" w:color="auto"/>
                    <w:right w:val="none" w:sz="0" w:space="0" w:color="auto"/>
                  </w:divBdr>
                  <w:divsChild>
                    <w:div w:id="563417382">
                      <w:marLeft w:val="0"/>
                      <w:marRight w:val="0"/>
                      <w:marTop w:val="0"/>
                      <w:marBottom w:val="0"/>
                      <w:divBdr>
                        <w:top w:val="none" w:sz="0" w:space="0" w:color="auto"/>
                        <w:left w:val="none" w:sz="0" w:space="0" w:color="auto"/>
                        <w:bottom w:val="none" w:sz="0" w:space="0" w:color="auto"/>
                        <w:right w:val="none" w:sz="0" w:space="0" w:color="auto"/>
                      </w:divBdr>
                      <w:divsChild>
                        <w:div w:id="1938369627">
                          <w:marLeft w:val="0"/>
                          <w:marRight w:val="0"/>
                          <w:marTop w:val="0"/>
                          <w:marBottom w:val="0"/>
                          <w:divBdr>
                            <w:top w:val="none" w:sz="0" w:space="0" w:color="auto"/>
                            <w:left w:val="none" w:sz="0" w:space="0" w:color="auto"/>
                            <w:bottom w:val="none" w:sz="0" w:space="0" w:color="auto"/>
                            <w:right w:val="none" w:sz="0" w:space="0" w:color="auto"/>
                          </w:divBdr>
                          <w:divsChild>
                            <w:div w:id="97845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0975292">
      <w:bodyDiv w:val="1"/>
      <w:marLeft w:val="0"/>
      <w:marRight w:val="0"/>
      <w:marTop w:val="0"/>
      <w:marBottom w:val="0"/>
      <w:divBdr>
        <w:top w:val="none" w:sz="0" w:space="0" w:color="auto"/>
        <w:left w:val="none" w:sz="0" w:space="0" w:color="auto"/>
        <w:bottom w:val="none" w:sz="0" w:space="0" w:color="auto"/>
        <w:right w:val="none" w:sz="0" w:space="0" w:color="auto"/>
      </w:divBdr>
      <w:divsChild>
        <w:div w:id="557320681">
          <w:marLeft w:val="0"/>
          <w:marRight w:val="0"/>
          <w:marTop w:val="0"/>
          <w:marBottom w:val="0"/>
          <w:divBdr>
            <w:top w:val="none" w:sz="0" w:space="0" w:color="auto"/>
            <w:left w:val="none" w:sz="0" w:space="0" w:color="auto"/>
            <w:bottom w:val="none" w:sz="0" w:space="0" w:color="auto"/>
            <w:right w:val="none" w:sz="0" w:space="0" w:color="auto"/>
          </w:divBdr>
          <w:divsChild>
            <w:div w:id="1419205576">
              <w:marLeft w:val="0"/>
              <w:marRight w:val="0"/>
              <w:marTop w:val="0"/>
              <w:marBottom w:val="0"/>
              <w:divBdr>
                <w:top w:val="none" w:sz="0" w:space="0" w:color="auto"/>
                <w:left w:val="none" w:sz="0" w:space="0" w:color="auto"/>
                <w:bottom w:val="none" w:sz="0" w:space="0" w:color="auto"/>
                <w:right w:val="none" w:sz="0" w:space="0" w:color="auto"/>
              </w:divBdr>
            </w:div>
          </w:divsChild>
        </w:div>
        <w:div w:id="1951207723">
          <w:marLeft w:val="0"/>
          <w:marRight w:val="0"/>
          <w:marTop w:val="0"/>
          <w:marBottom w:val="0"/>
          <w:divBdr>
            <w:top w:val="none" w:sz="0" w:space="0" w:color="auto"/>
            <w:left w:val="none" w:sz="0" w:space="0" w:color="auto"/>
            <w:bottom w:val="none" w:sz="0" w:space="0" w:color="auto"/>
            <w:right w:val="none" w:sz="0" w:space="0" w:color="auto"/>
          </w:divBdr>
          <w:divsChild>
            <w:div w:id="67981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59554">
      <w:bodyDiv w:val="1"/>
      <w:marLeft w:val="0"/>
      <w:marRight w:val="0"/>
      <w:marTop w:val="0"/>
      <w:marBottom w:val="0"/>
      <w:divBdr>
        <w:top w:val="none" w:sz="0" w:space="0" w:color="auto"/>
        <w:left w:val="none" w:sz="0" w:space="0" w:color="auto"/>
        <w:bottom w:val="none" w:sz="0" w:space="0" w:color="auto"/>
        <w:right w:val="none" w:sz="0" w:space="0" w:color="auto"/>
      </w:divBdr>
      <w:divsChild>
        <w:div w:id="305817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8977612">
              <w:marLeft w:val="0"/>
              <w:marRight w:val="0"/>
              <w:marTop w:val="0"/>
              <w:marBottom w:val="0"/>
              <w:divBdr>
                <w:top w:val="none" w:sz="0" w:space="0" w:color="auto"/>
                <w:left w:val="none" w:sz="0" w:space="0" w:color="auto"/>
                <w:bottom w:val="none" w:sz="0" w:space="0" w:color="auto"/>
                <w:right w:val="none" w:sz="0" w:space="0" w:color="auto"/>
              </w:divBdr>
              <w:divsChild>
                <w:div w:id="472337702">
                  <w:marLeft w:val="0"/>
                  <w:marRight w:val="0"/>
                  <w:marTop w:val="0"/>
                  <w:marBottom w:val="0"/>
                  <w:divBdr>
                    <w:top w:val="none" w:sz="0" w:space="0" w:color="auto"/>
                    <w:left w:val="none" w:sz="0" w:space="0" w:color="auto"/>
                    <w:bottom w:val="none" w:sz="0" w:space="0" w:color="auto"/>
                    <w:right w:val="none" w:sz="0" w:space="0" w:color="auto"/>
                  </w:divBdr>
                  <w:divsChild>
                    <w:div w:id="1868911279">
                      <w:marLeft w:val="0"/>
                      <w:marRight w:val="0"/>
                      <w:marTop w:val="0"/>
                      <w:marBottom w:val="0"/>
                      <w:divBdr>
                        <w:top w:val="none" w:sz="0" w:space="0" w:color="auto"/>
                        <w:left w:val="none" w:sz="0" w:space="0" w:color="auto"/>
                        <w:bottom w:val="none" w:sz="0" w:space="0" w:color="auto"/>
                        <w:right w:val="none" w:sz="0" w:space="0" w:color="auto"/>
                      </w:divBdr>
                      <w:divsChild>
                        <w:div w:id="46022374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19973681">
                              <w:marLeft w:val="0"/>
                              <w:marRight w:val="0"/>
                              <w:marTop w:val="0"/>
                              <w:marBottom w:val="0"/>
                              <w:divBdr>
                                <w:top w:val="none" w:sz="0" w:space="0" w:color="auto"/>
                                <w:left w:val="none" w:sz="0" w:space="0" w:color="auto"/>
                                <w:bottom w:val="none" w:sz="0" w:space="0" w:color="auto"/>
                                <w:right w:val="none" w:sz="0" w:space="0" w:color="auto"/>
                              </w:divBdr>
                              <w:divsChild>
                                <w:div w:id="1153108700">
                                  <w:marLeft w:val="0"/>
                                  <w:marRight w:val="0"/>
                                  <w:marTop w:val="0"/>
                                  <w:marBottom w:val="0"/>
                                  <w:divBdr>
                                    <w:top w:val="none" w:sz="0" w:space="0" w:color="auto"/>
                                    <w:left w:val="none" w:sz="0" w:space="0" w:color="auto"/>
                                    <w:bottom w:val="none" w:sz="0" w:space="0" w:color="auto"/>
                                    <w:right w:val="none" w:sz="0" w:space="0" w:color="auto"/>
                                  </w:divBdr>
                                  <w:divsChild>
                                    <w:div w:id="834958402">
                                      <w:marLeft w:val="0"/>
                                      <w:marRight w:val="0"/>
                                      <w:marTop w:val="0"/>
                                      <w:marBottom w:val="0"/>
                                      <w:divBdr>
                                        <w:top w:val="none" w:sz="0" w:space="0" w:color="auto"/>
                                        <w:left w:val="none" w:sz="0" w:space="0" w:color="auto"/>
                                        <w:bottom w:val="none" w:sz="0" w:space="0" w:color="auto"/>
                                        <w:right w:val="none" w:sz="0" w:space="0" w:color="auto"/>
                                      </w:divBdr>
                                      <w:divsChild>
                                        <w:div w:id="652220482">
                                          <w:marLeft w:val="0"/>
                                          <w:marRight w:val="0"/>
                                          <w:marTop w:val="0"/>
                                          <w:marBottom w:val="0"/>
                                          <w:divBdr>
                                            <w:top w:val="none" w:sz="0" w:space="0" w:color="auto"/>
                                            <w:left w:val="none" w:sz="0" w:space="0" w:color="auto"/>
                                            <w:bottom w:val="none" w:sz="0" w:space="0" w:color="auto"/>
                                            <w:right w:val="none" w:sz="0" w:space="0" w:color="auto"/>
                                          </w:divBdr>
                                          <w:divsChild>
                                            <w:div w:id="747506293">
                                              <w:marLeft w:val="0"/>
                                              <w:marRight w:val="0"/>
                                              <w:marTop w:val="0"/>
                                              <w:marBottom w:val="0"/>
                                              <w:divBdr>
                                                <w:top w:val="none" w:sz="0" w:space="0" w:color="auto"/>
                                                <w:left w:val="none" w:sz="0" w:space="0" w:color="auto"/>
                                                <w:bottom w:val="none" w:sz="0" w:space="0" w:color="auto"/>
                                                <w:right w:val="none" w:sz="0" w:space="0" w:color="auto"/>
                                              </w:divBdr>
                                              <w:divsChild>
                                                <w:div w:id="28726896">
                                                  <w:marLeft w:val="0"/>
                                                  <w:marRight w:val="0"/>
                                                  <w:marTop w:val="0"/>
                                                  <w:marBottom w:val="0"/>
                                                  <w:divBdr>
                                                    <w:top w:val="none" w:sz="0" w:space="0" w:color="auto"/>
                                                    <w:left w:val="none" w:sz="0" w:space="0" w:color="auto"/>
                                                    <w:bottom w:val="none" w:sz="0" w:space="0" w:color="auto"/>
                                                    <w:right w:val="none" w:sz="0" w:space="0" w:color="auto"/>
                                                  </w:divBdr>
                                                  <w:divsChild>
                                                    <w:div w:id="2021156888">
                                                      <w:marLeft w:val="0"/>
                                                      <w:marRight w:val="0"/>
                                                      <w:marTop w:val="0"/>
                                                      <w:marBottom w:val="0"/>
                                                      <w:divBdr>
                                                        <w:top w:val="none" w:sz="0" w:space="0" w:color="auto"/>
                                                        <w:left w:val="none" w:sz="0" w:space="0" w:color="auto"/>
                                                        <w:bottom w:val="none" w:sz="0" w:space="0" w:color="auto"/>
                                                        <w:right w:val="none" w:sz="0" w:space="0" w:color="auto"/>
                                                      </w:divBdr>
                                                      <w:divsChild>
                                                        <w:div w:id="300504730">
                                                          <w:marLeft w:val="0"/>
                                                          <w:marRight w:val="0"/>
                                                          <w:marTop w:val="0"/>
                                                          <w:marBottom w:val="0"/>
                                                          <w:divBdr>
                                                            <w:top w:val="none" w:sz="0" w:space="0" w:color="auto"/>
                                                            <w:left w:val="none" w:sz="0" w:space="0" w:color="auto"/>
                                                            <w:bottom w:val="none" w:sz="0" w:space="0" w:color="auto"/>
                                                            <w:right w:val="none" w:sz="0" w:space="0" w:color="auto"/>
                                                          </w:divBdr>
                                                          <w:divsChild>
                                                            <w:div w:id="1139687252">
                                                              <w:marLeft w:val="0"/>
                                                              <w:marRight w:val="0"/>
                                                              <w:marTop w:val="280"/>
                                                              <w:marBottom w:val="150"/>
                                                              <w:divBdr>
                                                                <w:top w:val="none" w:sz="0" w:space="0" w:color="auto"/>
                                                                <w:left w:val="none" w:sz="0" w:space="0" w:color="auto"/>
                                                                <w:bottom w:val="none" w:sz="0" w:space="0" w:color="auto"/>
                                                                <w:right w:val="none" w:sz="0" w:space="0" w:color="auto"/>
                                                              </w:divBdr>
                                                              <w:divsChild>
                                                                <w:div w:id="68474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3834758">
      <w:bodyDiv w:val="1"/>
      <w:marLeft w:val="0"/>
      <w:marRight w:val="0"/>
      <w:marTop w:val="0"/>
      <w:marBottom w:val="0"/>
      <w:divBdr>
        <w:top w:val="none" w:sz="0" w:space="0" w:color="auto"/>
        <w:left w:val="none" w:sz="0" w:space="0" w:color="auto"/>
        <w:bottom w:val="none" w:sz="0" w:space="0" w:color="auto"/>
        <w:right w:val="none" w:sz="0" w:space="0" w:color="auto"/>
      </w:divBdr>
      <w:divsChild>
        <w:div w:id="1479690225">
          <w:marLeft w:val="360"/>
          <w:marRight w:val="0"/>
          <w:marTop w:val="200"/>
          <w:marBottom w:val="0"/>
          <w:divBdr>
            <w:top w:val="none" w:sz="0" w:space="0" w:color="auto"/>
            <w:left w:val="none" w:sz="0" w:space="0" w:color="auto"/>
            <w:bottom w:val="none" w:sz="0" w:space="0" w:color="auto"/>
            <w:right w:val="none" w:sz="0" w:space="0" w:color="auto"/>
          </w:divBdr>
        </w:div>
        <w:div w:id="1104303242">
          <w:marLeft w:val="360"/>
          <w:marRight w:val="0"/>
          <w:marTop w:val="200"/>
          <w:marBottom w:val="0"/>
          <w:divBdr>
            <w:top w:val="none" w:sz="0" w:space="0" w:color="auto"/>
            <w:left w:val="none" w:sz="0" w:space="0" w:color="auto"/>
            <w:bottom w:val="none" w:sz="0" w:space="0" w:color="auto"/>
            <w:right w:val="none" w:sz="0" w:space="0" w:color="auto"/>
          </w:divBdr>
        </w:div>
      </w:divsChild>
    </w:div>
    <w:div w:id="2137871058">
      <w:bodyDiv w:val="1"/>
      <w:marLeft w:val="0"/>
      <w:marRight w:val="0"/>
      <w:marTop w:val="0"/>
      <w:marBottom w:val="0"/>
      <w:divBdr>
        <w:top w:val="none" w:sz="0" w:space="0" w:color="auto"/>
        <w:left w:val="none" w:sz="0" w:space="0" w:color="auto"/>
        <w:bottom w:val="none" w:sz="0" w:space="0" w:color="auto"/>
        <w:right w:val="none" w:sz="0" w:space="0" w:color="auto"/>
      </w:divBdr>
      <w:divsChild>
        <w:div w:id="739983006">
          <w:marLeft w:val="360"/>
          <w:marRight w:val="0"/>
          <w:marTop w:val="200"/>
          <w:marBottom w:val="0"/>
          <w:divBdr>
            <w:top w:val="none" w:sz="0" w:space="0" w:color="auto"/>
            <w:left w:val="none" w:sz="0" w:space="0" w:color="auto"/>
            <w:bottom w:val="none" w:sz="0" w:space="0" w:color="auto"/>
            <w:right w:val="none" w:sz="0" w:space="0" w:color="auto"/>
          </w:divBdr>
        </w:div>
        <w:div w:id="117115042">
          <w:marLeft w:val="360"/>
          <w:marRight w:val="0"/>
          <w:marTop w:val="200"/>
          <w:marBottom w:val="0"/>
          <w:divBdr>
            <w:top w:val="none" w:sz="0" w:space="0" w:color="auto"/>
            <w:left w:val="none" w:sz="0" w:space="0" w:color="auto"/>
            <w:bottom w:val="none" w:sz="0" w:space="0" w:color="auto"/>
            <w:right w:val="none" w:sz="0" w:space="0" w:color="auto"/>
          </w:divBdr>
        </w:div>
        <w:div w:id="185757280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2016_Turkish_coup_d%27%C3%A9tat_attemp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avrupa.us13.list-manage.com/track/click?u=c61f738fc613e3d0bd0b8edaf&amp;id=1d077b94e7&amp;e=d5eaa3a02f" TargetMode="External"/><Relationship Id="rId1" Type="http://schemas.openxmlformats.org/officeDocument/2006/relationships/hyperlink" Target="mailto:cbalkir@fi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00388-8F3C-4011-A307-C6512012C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15</Pages>
  <Words>7581</Words>
  <Characters>43215</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Digdem Soyaltin</dc:creator>
  <cp:keywords/>
  <dc:description/>
  <cp:lastModifiedBy>Canan BALKIR</cp:lastModifiedBy>
  <cp:revision>139</cp:revision>
  <dcterms:created xsi:type="dcterms:W3CDTF">2022-05-05T23:33:00Z</dcterms:created>
  <dcterms:modified xsi:type="dcterms:W3CDTF">2022-05-10T17:32:00Z</dcterms:modified>
</cp:coreProperties>
</file>