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4902" w14:textId="3A5C4BD9" w:rsidR="003C1E3A" w:rsidRPr="00954C29" w:rsidRDefault="003A5208" w:rsidP="00580D5D">
      <w:pPr>
        <w:pStyle w:val="Bezodstpw"/>
        <w:spacing w:line="360" w:lineRule="auto"/>
        <w:jc w:val="both"/>
        <w:rPr>
          <w:rFonts w:ascii="Times New Roman" w:hAnsi="Times New Roman" w:cs="Times New Roman"/>
          <w:b/>
          <w:bCs/>
          <w:sz w:val="24"/>
          <w:szCs w:val="24"/>
          <w:lang w:val="en-GB"/>
        </w:rPr>
      </w:pPr>
      <w:r w:rsidRPr="00954C29">
        <w:rPr>
          <w:rFonts w:ascii="Times New Roman" w:hAnsi="Times New Roman" w:cs="Times New Roman"/>
          <w:b/>
          <w:bCs/>
          <w:sz w:val="24"/>
          <w:szCs w:val="24"/>
          <w:lang w:val="en-GB"/>
        </w:rPr>
        <w:t>Magdalena Matusiak-Frącczak, PhD</w:t>
      </w:r>
    </w:p>
    <w:p w14:paraId="01D6A9D0" w14:textId="20716864" w:rsidR="003A5208" w:rsidRPr="00954C29" w:rsidRDefault="003A5208" w:rsidP="00580D5D">
      <w:pPr>
        <w:pStyle w:val="Bezodstpw"/>
        <w:spacing w:line="360" w:lineRule="auto"/>
        <w:jc w:val="both"/>
        <w:rPr>
          <w:rFonts w:ascii="Times New Roman" w:hAnsi="Times New Roman" w:cs="Times New Roman"/>
          <w:b/>
          <w:bCs/>
          <w:sz w:val="24"/>
          <w:szCs w:val="24"/>
          <w:lang w:val="en-GB"/>
        </w:rPr>
      </w:pPr>
      <w:r w:rsidRPr="00954C29">
        <w:rPr>
          <w:rFonts w:ascii="Times New Roman" w:hAnsi="Times New Roman" w:cs="Times New Roman"/>
          <w:b/>
          <w:bCs/>
          <w:sz w:val="24"/>
          <w:szCs w:val="24"/>
          <w:lang w:val="en-GB"/>
        </w:rPr>
        <w:t>Assistant Professor</w:t>
      </w:r>
    </w:p>
    <w:p w14:paraId="39BE84D8" w14:textId="3EDA4960" w:rsidR="003A5208" w:rsidRPr="00954C29" w:rsidRDefault="003A5208" w:rsidP="00580D5D">
      <w:pPr>
        <w:pStyle w:val="Bezodstpw"/>
        <w:spacing w:line="360" w:lineRule="auto"/>
        <w:jc w:val="both"/>
        <w:rPr>
          <w:rFonts w:ascii="Times New Roman" w:hAnsi="Times New Roman" w:cs="Times New Roman"/>
          <w:b/>
          <w:bCs/>
          <w:sz w:val="24"/>
          <w:szCs w:val="24"/>
          <w:lang w:val="en-GB"/>
        </w:rPr>
      </w:pPr>
      <w:r w:rsidRPr="00954C29">
        <w:rPr>
          <w:rFonts w:ascii="Times New Roman" w:hAnsi="Times New Roman" w:cs="Times New Roman"/>
          <w:b/>
          <w:bCs/>
          <w:sz w:val="24"/>
          <w:szCs w:val="24"/>
          <w:lang w:val="en-GB"/>
        </w:rPr>
        <w:t>University of Lodz (Poland)</w:t>
      </w:r>
    </w:p>
    <w:p w14:paraId="573DC2B0" w14:textId="7762B978" w:rsidR="003A5208" w:rsidRPr="00954C29" w:rsidRDefault="003A5208" w:rsidP="003A5208">
      <w:pPr>
        <w:pStyle w:val="Bezodstpw"/>
        <w:jc w:val="both"/>
        <w:rPr>
          <w:rFonts w:ascii="Times New Roman" w:hAnsi="Times New Roman" w:cs="Times New Roman"/>
          <w:b/>
          <w:bCs/>
          <w:sz w:val="24"/>
          <w:szCs w:val="24"/>
          <w:lang w:val="en-GB"/>
        </w:rPr>
      </w:pPr>
    </w:p>
    <w:p w14:paraId="79051E1B" w14:textId="5FB2575A" w:rsidR="003A5208" w:rsidRPr="00954C29" w:rsidRDefault="003A5208" w:rsidP="00821280">
      <w:pPr>
        <w:pStyle w:val="Bezodstpw"/>
        <w:spacing w:line="360" w:lineRule="auto"/>
        <w:jc w:val="both"/>
        <w:rPr>
          <w:rFonts w:ascii="Times New Roman" w:hAnsi="Times New Roman" w:cs="Times New Roman"/>
          <w:b/>
          <w:bCs/>
          <w:sz w:val="24"/>
          <w:szCs w:val="24"/>
          <w:lang w:val="en-GB"/>
        </w:rPr>
      </w:pPr>
      <w:r w:rsidRPr="00954C29">
        <w:rPr>
          <w:rFonts w:ascii="Times New Roman" w:hAnsi="Times New Roman" w:cs="Times New Roman"/>
          <w:b/>
          <w:bCs/>
          <w:sz w:val="24"/>
          <w:szCs w:val="24"/>
          <w:lang w:val="en-GB"/>
        </w:rPr>
        <w:t>A general regime of conditionality for the protection of the Union budget and its legality</w:t>
      </w:r>
    </w:p>
    <w:p w14:paraId="14B78F6D" w14:textId="5D940D5B" w:rsidR="00821280" w:rsidRPr="00954C29" w:rsidRDefault="00821280" w:rsidP="00821280">
      <w:pPr>
        <w:pStyle w:val="Bezodstpw"/>
        <w:spacing w:line="360" w:lineRule="auto"/>
        <w:jc w:val="both"/>
        <w:rPr>
          <w:rFonts w:ascii="Times New Roman" w:hAnsi="Times New Roman" w:cs="Times New Roman"/>
          <w:i/>
          <w:iCs/>
          <w:sz w:val="24"/>
          <w:szCs w:val="24"/>
          <w:lang w:val="en-GB"/>
        </w:rPr>
      </w:pPr>
      <w:r w:rsidRPr="00954C29">
        <w:rPr>
          <w:rFonts w:ascii="Times New Roman" w:hAnsi="Times New Roman" w:cs="Times New Roman"/>
          <w:i/>
          <w:iCs/>
          <w:sz w:val="24"/>
          <w:szCs w:val="24"/>
          <w:lang w:val="en-GB"/>
        </w:rPr>
        <w:t>(draft paper)</w:t>
      </w:r>
    </w:p>
    <w:p w14:paraId="5E9A0CDE" w14:textId="77777777" w:rsidR="00821280" w:rsidRPr="00954C29" w:rsidRDefault="00821280" w:rsidP="00821280">
      <w:pPr>
        <w:pStyle w:val="Bezodstpw"/>
        <w:spacing w:line="360" w:lineRule="auto"/>
        <w:jc w:val="both"/>
        <w:rPr>
          <w:rFonts w:ascii="Times New Roman" w:hAnsi="Times New Roman" w:cs="Times New Roman"/>
          <w:i/>
          <w:iCs/>
          <w:sz w:val="24"/>
          <w:szCs w:val="24"/>
          <w:lang w:val="en-GB"/>
        </w:rPr>
      </w:pPr>
    </w:p>
    <w:p w14:paraId="53C36492" w14:textId="3F16089C" w:rsidR="009B2BA1" w:rsidRPr="00954C29" w:rsidRDefault="009B2BA1" w:rsidP="009B2BA1">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Respect for human dignity, freedom, democracy, equality, the rule of law and respect for human rights, including the rights of persons belonging to minorities, as enshrined in Article 2 TEU are values common to the EU Member States. The rule of law requires that public authorities, at the EU and at national level, act within the constraints set out by law, in accordance with the values of democracy and the respect for fundamental rights as stipulated in the Charter of Fundamental Rights of the EU and other applicable instruments, and especially under the control of independent and impartial courts. Once a Member State joins the Union, it confirms that it recognizes and shares the very set of values as described above, among which the rule of law is of a particular importance. The respect for these values is a basic obligation of a Member State.</w:t>
      </w:r>
    </w:p>
    <w:p w14:paraId="3C964C40" w14:textId="691C427C" w:rsidR="009B2BA1" w:rsidRPr="00954C29" w:rsidRDefault="009B2BA1" w:rsidP="009B2BA1">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 xml:space="preserve">To this respect the EU created a mechanism of determination of a violation of Article 2 TEU values. The first version of this procedure was inserted into the Treaties due to the situation in Austria, after the far-right party of Jörg Haider – </w:t>
      </w:r>
      <w:r w:rsidRPr="00954C29">
        <w:rPr>
          <w:rFonts w:ascii="Times New Roman" w:hAnsi="Times New Roman" w:cs="Times New Roman"/>
          <w:i/>
          <w:iCs/>
          <w:sz w:val="24"/>
          <w:szCs w:val="24"/>
          <w:lang w:val="en-GB"/>
        </w:rPr>
        <w:t xml:space="preserve">Freiheitliche Partei Österreich </w:t>
      </w:r>
      <w:r w:rsidRPr="00954C29">
        <w:rPr>
          <w:rFonts w:ascii="Times New Roman" w:hAnsi="Times New Roman" w:cs="Times New Roman"/>
          <w:sz w:val="24"/>
          <w:szCs w:val="24"/>
          <w:lang w:val="en-GB"/>
        </w:rPr>
        <w:t>won the election and presented views contrary to the basic democratic principles.</w:t>
      </w:r>
    </w:p>
    <w:p w14:paraId="7C2F7505" w14:textId="3C972893" w:rsidR="009B2BA1" w:rsidRPr="00954C29" w:rsidRDefault="009B2BA1" w:rsidP="009B2BA1">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Currently,</w:t>
      </w:r>
      <w:r w:rsidR="004E08CB" w:rsidRPr="00954C29">
        <w:rPr>
          <w:rFonts w:ascii="Times New Roman" w:hAnsi="Times New Roman" w:cs="Times New Roman"/>
          <w:sz w:val="24"/>
          <w:szCs w:val="24"/>
          <w:lang w:val="en-GB"/>
        </w:rPr>
        <w:t xml:space="preserve"> in the first stage of the procedure,</w:t>
      </w:r>
      <w:r w:rsidRPr="00954C29">
        <w:rPr>
          <w:rFonts w:ascii="Times New Roman" w:hAnsi="Times New Roman" w:cs="Times New Roman"/>
          <w:sz w:val="24"/>
          <w:szCs w:val="24"/>
          <w:lang w:val="en-GB"/>
        </w:rPr>
        <w:t xml:space="preserve"> on a reasoned proposal by one third of the Member States, by the European Parliament or by the European Commission, the Council, acting by a majority of four fifths of its members after obtaining the consent of the European Parliament, may determine that there is a clear risk of a serious breach by a Member State of the mentioned values. Before making such a determination, the Council shall hear the Member State in question and may address recommendations to it, acting in accordance with the same procedure</w:t>
      </w:r>
      <w:r w:rsidR="004E08CB" w:rsidRPr="00954C29">
        <w:rPr>
          <w:rFonts w:ascii="Times New Roman" w:hAnsi="Times New Roman" w:cs="Times New Roman"/>
          <w:sz w:val="24"/>
          <w:szCs w:val="24"/>
          <w:lang w:val="en-GB"/>
        </w:rPr>
        <w:t xml:space="preserve"> (Article 7(1) TEU). If the Member State at stake continues acting contrary to the values of Article 2 TEU, the European Council, acting by unanimity on a proposal by one third of the Member States or by the Commission and after obtaining the consent of the European Parliament, may determine the existence of a serious and persistent breach by a Member State of the values referred to in Article 2, after inviting the Member State in question to submit its observations (Article 7(2) TEU). Once this determination has been made, the Council, acting by a qualified majority, may decide to suspend certain of the rights deriving from the application </w:t>
      </w:r>
      <w:r w:rsidR="004E08CB" w:rsidRPr="00954C29">
        <w:rPr>
          <w:rFonts w:ascii="Times New Roman" w:hAnsi="Times New Roman" w:cs="Times New Roman"/>
          <w:sz w:val="24"/>
          <w:szCs w:val="24"/>
          <w:lang w:val="en-GB"/>
        </w:rPr>
        <w:lastRenderedPageBreak/>
        <w:t>of the Treaties to the Member State in question, including the voting rights of the representative of the government of that Member State in the Council. In doing so, the Council shall take into account the possible consequences of such a suspension on the rights and obligations of natural and legal persons (Article 7(3) TEU).</w:t>
      </w:r>
    </w:p>
    <w:p w14:paraId="63A4FABB" w14:textId="77777777" w:rsidR="005D65DB" w:rsidRPr="00954C29" w:rsidRDefault="006C706D" w:rsidP="00371B14">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procedure of Article 7 TEU was initiated by the European Commission against Poland in 2017</w:t>
      </w:r>
      <w:r w:rsidR="005D65DB" w:rsidRPr="00954C29">
        <w:rPr>
          <w:rStyle w:val="Odwoanieprzypisudolnego"/>
          <w:rFonts w:ascii="Times New Roman" w:hAnsi="Times New Roman" w:cs="Times New Roman"/>
          <w:sz w:val="24"/>
          <w:szCs w:val="24"/>
          <w:lang w:val="en-GB"/>
        </w:rPr>
        <w:footnoteReference w:id="1"/>
      </w:r>
      <w:r w:rsidR="005D65DB" w:rsidRPr="00954C29">
        <w:rPr>
          <w:rFonts w:ascii="Times New Roman" w:hAnsi="Times New Roman" w:cs="Times New Roman"/>
          <w:sz w:val="24"/>
          <w:szCs w:val="24"/>
          <w:lang w:val="en-GB"/>
        </w:rPr>
        <w:t xml:space="preserve"> raising the following concerns:</w:t>
      </w:r>
      <w:r w:rsidRPr="00954C29">
        <w:rPr>
          <w:rFonts w:ascii="Times New Roman" w:hAnsi="Times New Roman" w:cs="Times New Roman"/>
          <w:sz w:val="24"/>
          <w:szCs w:val="24"/>
          <w:lang w:val="en-GB"/>
        </w:rPr>
        <w:t xml:space="preserve"> </w:t>
      </w:r>
    </w:p>
    <w:p w14:paraId="19D023C0" w14:textId="34C9748F" w:rsidR="005D65DB" w:rsidRPr="00954C29" w:rsidRDefault="005D65DB" w:rsidP="005D65DB">
      <w:pPr>
        <w:pStyle w:val="Bezodstpw"/>
        <w:numPr>
          <w:ilvl w:val="0"/>
          <w:numId w:val="2"/>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lack of an independent and legitimate constitutional review;</w:t>
      </w:r>
    </w:p>
    <w:p w14:paraId="432A5663" w14:textId="34478373" w:rsidR="005D65DB" w:rsidRPr="00954C29" w:rsidRDefault="005D65DB" w:rsidP="005D65DB">
      <w:pPr>
        <w:pStyle w:val="Bezodstpw"/>
        <w:numPr>
          <w:ilvl w:val="0"/>
          <w:numId w:val="2"/>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adoption by the Polish Parliament of new legislation relating to the Polish judiciary which raises grave concerns as regards judicial independence and increases significantly the systemic threat to the rule of law in Poland:</w:t>
      </w:r>
    </w:p>
    <w:p w14:paraId="003B2484" w14:textId="65BD4467" w:rsidR="005D65DB" w:rsidRPr="00954C29" w:rsidRDefault="005D65DB" w:rsidP="005D65DB">
      <w:pPr>
        <w:pStyle w:val="Bezodstpw"/>
        <w:numPr>
          <w:ilvl w:val="1"/>
          <w:numId w:val="2"/>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law on the Supreme Court; approved by the Senate on 15 December 2017;</w:t>
      </w:r>
    </w:p>
    <w:p w14:paraId="0337B9AA" w14:textId="6058E084" w:rsidR="005D65DB" w:rsidRPr="00954C29" w:rsidRDefault="005D65DB" w:rsidP="005D65DB">
      <w:pPr>
        <w:pStyle w:val="Bezodstpw"/>
        <w:numPr>
          <w:ilvl w:val="1"/>
          <w:numId w:val="2"/>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law amending the law on the Ordinary Courts Organisation ('law on Ordinary Courts Organisation'); published in the Polish Official Journal on 28 July 2017 and in force since 12 August 2017;</w:t>
      </w:r>
    </w:p>
    <w:p w14:paraId="3460B466" w14:textId="482FA18E" w:rsidR="005D65DB" w:rsidRPr="00954C29" w:rsidRDefault="005D65DB" w:rsidP="005D65DB">
      <w:pPr>
        <w:pStyle w:val="Bezodstpw"/>
        <w:numPr>
          <w:ilvl w:val="1"/>
          <w:numId w:val="2"/>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law amending the law on the National Council for the Judiciary and certain other laws ('law on the National Council for the Judiciary'); approved by the Senate on 15 December 2017;</w:t>
      </w:r>
    </w:p>
    <w:p w14:paraId="7E860370" w14:textId="0BA05EE8" w:rsidR="005D65DB" w:rsidRPr="00954C29" w:rsidRDefault="007F70FB" w:rsidP="005D65DB">
      <w:pPr>
        <w:pStyle w:val="Bezodstpw"/>
        <w:numPr>
          <w:ilvl w:val="1"/>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5D65DB" w:rsidRPr="00954C29">
        <w:rPr>
          <w:rFonts w:ascii="Times New Roman" w:hAnsi="Times New Roman" w:cs="Times New Roman"/>
          <w:sz w:val="24"/>
          <w:szCs w:val="24"/>
          <w:lang w:val="en-GB"/>
        </w:rPr>
        <w:t>he law amending the law on the National School of Judiciary and Public Prosecution, the law on Ordinary Courts Organisation and certain other laws ('law on the National School of Judiciary'); published in the Polish Official Journal on 13 June 2017 and in force since 20 June 2017.</w:t>
      </w:r>
    </w:p>
    <w:p w14:paraId="7EF0ACE7" w14:textId="7178B79E" w:rsidR="003F5FBE" w:rsidRDefault="006C706D" w:rsidP="003F5FBE">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European Parliament supported the Commission in these steps in 2018</w:t>
      </w:r>
      <w:r w:rsidRPr="00954C29">
        <w:rPr>
          <w:rStyle w:val="Odwoanieprzypisudolnego"/>
          <w:rFonts w:ascii="Times New Roman" w:hAnsi="Times New Roman" w:cs="Times New Roman"/>
          <w:sz w:val="24"/>
          <w:szCs w:val="24"/>
          <w:lang w:val="en-GB"/>
        </w:rPr>
        <w:footnoteReference w:id="2"/>
      </w:r>
      <w:r w:rsidRPr="00954C29">
        <w:rPr>
          <w:rFonts w:ascii="Times New Roman" w:hAnsi="Times New Roman" w:cs="Times New Roman"/>
          <w:sz w:val="24"/>
          <w:szCs w:val="24"/>
          <w:lang w:val="en-GB"/>
        </w:rPr>
        <w:t>. Afterwards, the European Parliament triggered the application of Article 7 TEU procedure also against Hungary</w:t>
      </w:r>
      <w:r w:rsidRPr="00954C29">
        <w:rPr>
          <w:rStyle w:val="Odwoanieprzypisudolnego"/>
          <w:rFonts w:ascii="Times New Roman" w:hAnsi="Times New Roman" w:cs="Times New Roman"/>
          <w:sz w:val="24"/>
          <w:szCs w:val="24"/>
          <w:lang w:val="en-GB"/>
        </w:rPr>
        <w:footnoteReference w:id="3"/>
      </w:r>
      <w:r w:rsidR="005D65DB" w:rsidRPr="00954C29">
        <w:rPr>
          <w:rFonts w:ascii="Times New Roman" w:hAnsi="Times New Roman" w:cs="Times New Roman"/>
          <w:sz w:val="24"/>
          <w:szCs w:val="24"/>
          <w:lang w:val="en-GB"/>
        </w:rPr>
        <w:t xml:space="preserve"> pointing at the following issues: the functioning of the constitutional and electoral system, the independence of the judiciary and of other institutions and the rights of judges, </w:t>
      </w:r>
      <w:r w:rsidR="00D66351" w:rsidRPr="00954C29">
        <w:rPr>
          <w:rFonts w:ascii="Times New Roman" w:hAnsi="Times New Roman" w:cs="Times New Roman"/>
          <w:sz w:val="24"/>
          <w:szCs w:val="24"/>
          <w:lang w:val="en-GB"/>
        </w:rPr>
        <w:t xml:space="preserve">corruption and conflicts of interest, privacy and data protection, freedom of expression, academic freedom, freedom of religion, freedom of association, the right to equal treatment, the </w:t>
      </w:r>
      <w:r w:rsidR="00D66351" w:rsidRPr="00954C29">
        <w:rPr>
          <w:rFonts w:ascii="Times New Roman" w:hAnsi="Times New Roman" w:cs="Times New Roman"/>
          <w:sz w:val="24"/>
          <w:szCs w:val="24"/>
          <w:lang w:val="en-GB"/>
        </w:rPr>
        <w:lastRenderedPageBreak/>
        <w:t>rights of persons belonging to minorities, including Roma and Jews, and protection against hateful statements against such minorities, the fundamental rights of migrants, asylum seekers and refugees, economic and social rights.</w:t>
      </w:r>
      <w:r w:rsidR="003F5FBE">
        <w:rPr>
          <w:rFonts w:ascii="Times New Roman" w:hAnsi="Times New Roman" w:cs="Times New Roman"/>
          <w:sz w:val="24"/>
          <w:szCs w:val="24"/>
          <w:lang w:val="en-GB"/>
        </w:rPr>
        <w:t xml:space="preserve"> Hungary started an action against the Parliament’s resolution before the CJEU, but the Court dismissed the application</w:t>
      </w:r>
      <w:r w:rsidR="003F5FBE">
        <w:rPr>
          <w:rStyle w:val="Odwoanieprzypisudolnego"/>
          <w:rFonts w:ascii="Times New Roman" w:hAnsi="Times New Roman" w:cs="Times New Roman"/>
          <w:sz w:val="24"/>
          <w:szCs w:val="24"/>
          <w:lang w:val="en-GB"/>
        </w:rPr>
        <w:footnoteReference w:id="4"/>
      </w:r>
      <w:r w:rsidR="003F5FBE">
        <w:rPr>
          <w:rFonts w:ascii="Times New Roman" w:hAnsi="Times New Roman" w:cs="Times New Roman"/>
          <w:sz w:val="24"/>
          <w:szCs w:val="24"/>
          <w:lang w:val="en-GB"/>
        </w:rPr>
        <w:t>.</w:t>
      </w:r>
    </w:p>
    <w:p w14:paraId="02A18090" w14:textId="09EE0A96" w:rsidR="002C0315" w:rsidRPr="00954C29" w:rsidRDefault="002C0315" w:rsidP="00371B14">
      <w:pPr>
        <w:pStyle w:val="Bezodstpw"/>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However, as it is now obvious, Article 7 TEU mechanism is helpless or even useless</w:t>
      </w:r>
      <w:r>
        <w:rPr>
          <w:rStyle w:val="Odwoanieprzypisudolnego"/>
          <w:rFonts w:ascii="Times New Roman" w:hAnsi="Times New Roman" w:cs="Times New Roman"/>
          <w:sz w:val="24"/>
          <w:szCs w:val="24"/>
          <w:lang w:val="en-GB"/>
        </w:rPr>
        <w:footnoteReference w:id="5"/>
      </w:r>
      <w:r>
        <w:rPr>
          <w:rFonts w:ascii="Times New Roman" w:hAnsi="Times New Roman" w:cs="Times New Roman"/>
          <w:sz w:val="24"/>
          <w:szCs w:val="24"/>
          <w:lang w:val="en-GB"/>
        </w:rPr>
        <w:t xml:space="preserve"> when more than one member state violate the rule of law, as at some point it requires unanimity. There is no chances to reach a unanimous decision required by Article 79(2) TEU, as Poland will block a decision regarding Hungary and the reverse.</w:t>
      </w:r>
    </w:p>
    <w:p w14:paraId="6E16B3FF" w14:textId="211D79E1" w:rsidR="0071171A" w:rsidRPr="00954C29" w:rsidRDefault="00557812" w:rsidP="00371B14">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 xml:space="preserve">Another way of achieving compliance of a member state actions with the </w:t>
      </w:r>
      <w:r w:rsidR="000D6CD2">
        <w:rPr>
          <w:rFonts w:ascii="Times New Roman" w:hAnsi="Times New Roman" w:cs="Times New Roman"/>
          <w:sz w:val="24"/>
          <w:szCs w:val="24"/>
          <w:lang w:val="en-GB"/>
        </w:rPr>
        <w:t>principles of Article 2 TEU</w:t>
      </w:r>
      <w:r w:rsidRPr="00954C29">
        <w:rPr>
          <w:rFonts w:ascii="Times New Roman" w:hAnsi="Times New Roman" w:cs="Times New Roman"/>
          <w:sz w:val="24"/>
          <w:szCs w:val="24"/>
          <w:lang w:val="en-GB"/>
        </w:rPr>
        <w:t xml:space="preserve">, including </w:t>
      </w:r>
      <w:r w:rsidR="00C52540" w:rsidRPr="00954C29">
        <w:rPr>
          <w:rFonts w:ascii="Times New Roman" w:hAnsi="Times New Roman" w:cs="Times New Roman"/>
          <w:sz w:val="24"/>
          <w:szCs w:val="24"/>
          <w:lang w:val="en-GB"/>
        </w:rPr>
        <w:t>the compliance with the rule of law, is the procedure of Article 258 TFEU and then of Article 260 TFEU. In this case if the Commission considers that a Member State has failed to fulfil an obligation under the Treaties, it shall deliver a reasoned opinion on the matter after giving the State concerned the opportunity to submit its observations, and afterwards the State concerned does not comply with the opinion within the period laid down by the Commission, the latter may bring the matter before the CJEU. Then, if the state does not comply with the judgment of the CJEU, the Court may impose a lump sum or penalty payment on the Member State.</w:t>
      </w:r>
    </w:p>
    <w:p w14:paraId="073D2DF0" w14:textId="0F0213F4" w:rsidR="00C52540" w:rsidRDefault="00C52540" w:rsidP="00371B14">
      <w:pPr>
        <w:pStyle w:val="Bezodstpw"/>
        <w:spacing w:line="360" w:lineRule="auto"/>
        <w:ind w:firstLine="709"/>
        <w:jc w:val="both"/>
        <w:rPr>
          <w:rFonts w:ascii="Times New Roman" w:hAnsi="Times New Roman" w:cs="Times New Roman"/>
          <w:sz w:val="24"/>
          <w:szCs w:val="24"/>
          <w:lang w:val="en-US"/>
        </w:rPr>
      </w:pPr>
      <w:r w:rsidRPr="00954C29">
        <w:rPr>
          <w:rFonts w:ascii="Times New Roman" w:hAnsi="Times New Roman" w:cs="Times New Roman"/>
          <w:sz w:val="24"/>
          <w:szCs w:val="24"/>
          <w:lang w:val="en-GB"/>
        </w:rPr>
        <w:t xml:space="preserve">Such procedure has been initiated against Poland because of the disciplinary regime for judges that violates the division of powers and does not comply with the rule of law. </w:t>
      </w:r>
      <w:r w:rsidR="00954C29" w:rsidRPr="00954C29">
        <w:rPr>
          <w:rFonts w:ascii="Times New Roman" w:hAnsi="Times New Roman" w:cs="Times New Roman"/>
          <w:sz w:val="24"/>
          <w:szCs w:val="24"/>
          <w:lang w:val="en-GB"/>
        </w:rPr>
        <w:t>On 14 July 2021 the Vice-President of the CJEU issued an order</w:t>
      </w:r>
      <w:r w:rsidR="00954C29">
        <w:rPr>
          <w:rStyle w:val="Odwoanieprzypisudolnego"/>
          <w:rFonts w:ascii="Times New Roman" w:hAnsi="Times New Roman" w:cs="Times New Roman"/>
          <w:sz w:val="24"/>
          <w:szCs w:val="24"/>
          <w:lang w:val="en-GB"/>
        </w:rPr>
        <w:footnoteReference w:id="6"/>
      </w:r>
      <w:r w:rsidR="00954C29" w:rsidRPr="00954C29">
        <w:rPr>
          <w:rFonts w:ascii="Times New Roman" w:hAnsi="Times New Roman" w:cs="Times New Roman"/>
          <w:sz w:val="24"/>
          <w:szCs w:val="24"/>
          <w:lang w:val="en-GB"/>
        </w:rPr>
        <w:t xml:space="preserve"> obliging Poland to suspend numerous provisions of the Law on the Supreme Court and the Law relating to the organisation of the ordinary courts</w:t>
      </w:r>
      <w:r w:rsidR="00954C29">
        <w:rPr>
          <w:rFonts w:ascii="Times New Roman" w:hAnsi="Times New Roman" w:cs="Times New Roman"/>
          <w:sz w:val="24"/>
          <w:szCs w:val="24"/>
          <w:lang w:val="en-GB"/>
        </w:rPr>
        <w:t xml:space="preserve"> that provided for jurisdiction of a bogus Disciplinary Chamber of the Supreme Court in judges’ disciplinary cases in Poland. As Poland did not comply with the order, on 27 October 2021 the Vice-President of the Court delivered another order</w:t>
      </w:r>
      <w:r w:rsidR="00954C29">
        <w:rPr>
          <w:rStyle w:val="Odwoanieprzypisudolnego"/>
          <w:rFonts w:ascii="Times New Roman" w:hAnsi="Times New Roman" w:cs="Times New Roman"/>
          <w:sz w:val="24"/>
          <w:szCs w:val="24"/>
          <w:lang w:val="en-GB"/>
        </w:rPr>
        <w:footnoteReference w:id="7"/>
      </w:r>
      <w:r w:rsidR="00954C29">
        <w:rPr>
          <w:rFonts w:ascii="Times New Roman" w:hAnsi="Times New Roman" w:cs="Times New Roman"/>
          <w:sz w:val="24"/>
          <w:szCs w:val="24"/>
          <w:lang w:val="en-GB"/>
        </w:rPr>
        <w:t xml:space="preserve"> obliging Poland to</w:t>
      </w:r>
      <w:r w:rsidR="00954C29" w:rsidRPr="00954C29">
        <w:rPr>
          <w:rFonts w:ascii="Times New Roman" w:hAnsi="Times New Roman" w:cs="Times New Roman"/>
          <w:sz w:val="24"/>
          <w:szCs w:val="24"/>
          <w:lang w:val="en-GB"/>
        </w:rPr>
        <w:t xml:space="preserve"> </w:t>
      </w:r>
      <w:r w:rsidR="00954C29" w:rsidRPr="00954C29">
        <w:rPr>
          <w:rFonts w:ascii="Times New Roman" w:hAnsi="Times New Roman" w:cs="Times New Roman"/>
          <w:sz w:val="24"/>
          <w:szCs w:val="24"/>
          <w:lang w:val="en-US"/>
        </w:rPr>
        <w:t>pay the European Commission a periodic penalty payment of EUR 1 000 000 per day, from the date on which the present order is notified to the Republic of Poland and until such time as that Member State complies with the obligations arising from the order of the Vice-President of the Court of 14 July 2021</w:t>
      </w:r>
      <w:r w:rsidR="00954C29">
        <w:rPr>
          <w:rFonts w:ascii="Times New Roman" w:hAnsi="Times New Roman" w:cs="Times New Roman"/>
          <w:sz w:val="24"/>
          <w:szCs w:val="24"/>
          <w:lang w:val="en-US"/>
        </w:rPr>
        <w:t xml:space="preserve">, </w:t>
      </w:r>
      <w:r w:rsidR="00954C29" w:rsidRPr="00954C29">
        <w:rPr>
          <w:rFonts w:ascii="Times New Roman" w:hAnsi="Times New Roman" w:cs="Times New Roman"/>
          <w:sz w:val="24"/>
          <w:szCs w:val="24"/>
          <w:lang w:val="en-US"/>
        </w:rPr>
        <w:t>or, if it fails to do so, until the date of delivery of the judgment closing the proceedings in Case C</w:t>
      </w:r>
      <w:r w:rsidR="00954C29" w:rsidRPr="00954C29">
        <w:rPr>
          <w:rFonts w:ascii="Times New Roman" w:hAnsi="Times New Roman" w:cs="Times New Roman"/>
          <w:sz w:val="24"/>
          <w:szCs w:val="24"/>
          <w:lang w:val="en-US"/>
        </w:rPr>
        <w:noBreakHyphen/>
        <w:t>204/21</w:t>
      </w:r>
      <w:r w:rsidR="00954C29">
        <w:rPr>
          <w:rFonts w:ascii="Times New Roman" w:hAnsi="Times New Roman" w:cs="Times New Roman"/>
          <w:sz w:val="24"/>
          <w:szCs w:val="24"/>
          <w:lang w:val="en-US"/>
        </w:rPr>
        <w:t xml:space="preserve">. By now, the total sum of this penalty in the case of Poland </w:t>
      </w:r>
      <w:r w:rsidR="00954C29">
        <w:rPr>
          <w:rFonts w:ascii="Times New Roman" w:hAnsi="Times New Roman" w:cs="Times New Roman"/>
          <w:sz w:val="24"/>
          <w:szCs w:val="24"/>
          <w:lang w:val="en-US"/>
        </w:rPr>
        <w:lastRenderedPageBreak/>
        <w:t>surpasses EUR 500 000 000, however recently</w:t>
      </w:r>
      <w:r w:rsidR="00B81895">
        <w:rPr>
          <w:rFonts w:ascii="Times New Roman" w:hAnsi="Times New Roman" w:cs="Times New Roman"/>
          <w:sz w:val="24"/>
          <w:szCs w:val="24"/>
          <w:lang w:val="en-US"/>
        </w:rPr>
        <w:t xml:space="preserve"> on 21 April 2023</w:t>
      </w:r>
      <w:r w:rsidR="00954C29">
        <w:rPr>
          <w:rFonts w:ascii="Times New Roman" w:hAnsi="Times New Roman" w:cs="Times New Roman"/>
          <w:sz w:val="24"/>
          <w:szCs w:val="24"/>
          <w:lang w:val="en-US"/>
        </w:rPr>
        <w:t>, due to changes in the Polish legislation, the Vice-President of the Court reduced the periodic penalty payment to EUR 500 000 per day</w:t>
      </w:r>
      <w:r w:rsidR="00954C29">
        <w:rPr>
          <w:rStyle w:val="Odwoanieprzypisudolnego"/>
          <w:rFonts w:ascii="Times New Roman" w:hAnsi="Times New Roman" w:cs="Times New Roman"/>
          <w:sz w:val="24"/>
          <w:szCs w:val="24"/>
          <w:lang w:val="en-US"/>
        </w:rPr>
        <w:footnoteReference w:id="8"/>
      </w:r>
      <w:r w:rsidR="00954C29">
        <w:rPr>
          <w:rFonts w:ascii="Times New Roman" w:hAnsi="Times New Roman" w:cs="Times New Roman"/>
          <w:sz w:val="24"/>
          <w:szCs w:val="24"/>
          <w:lang w:val="en-US"/>
        </w:rPr>
        <w:t>.</w:t>
      </w:r>
    </w:p>
    <w:p w14:paraId="7A0897F7" w14:textId="67CBA91F" w:rsidR="000E4FC1" w:rsidRPr="000E4FC1" w:rsidRDefault="000E4FC1" w:rsidP="00371B14">
      <w:pPr>
        <w:pStyle w:val="Bezodstpw"/>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another proceedings in case C-619/18 the CJEU declared that </w:t>
      </w:r>
      <w:r w:rsidRPr="000E4FC1">
        <w:rPr>
          <w:rFonts w:ascii="Times New Roman" w:hAnsi="Times New Roman" w:cs="Times New Roman"/>
          <w:sz w:val="24"/>
          <w:szCs w:val="24"/>
          <w:lang w:val="en-US"/>
        </w:rPr>
        <w:t>by providing that the measure consisting in lowering the retirement age of the judges of the Supreme Court</w:t>
      </w:r>
      <w:r>
        <w:rPr>
          <w:rFonts w:ascii="Times New Roman" w:hAnsi="Times New Roman" w:cs="Times New Roman"/>
          <w:sz w:val="24"/>
          <w:szCs w:val="24"/>
          <w:lang w:val="en-US"/>
        </w:rPr>
        <w:t xml:space="preserve"> </w:t>
      </w:r>
      <w:r w:rsidRPr="000E4FC1">
        <w:rPr>
          <w:rFonts w:ascii="Times New Roman" w:hAnsi="Times New Roman" w:cs="Times New Roman"/>
          <w:sz w:val="24"/>
          <w:szCs w:val="24"/>
          <w:lang w:val="en-US"/>
        </w:rPr>
        <w:t>is to apply to judges in post who were appointed to that court before 3 April 2018 and</w:t>
      </w:r>
      <w:r>
        <w:rPr>
          <w:rFonts w:ascii="Times New Roman" w:hAnsi="Times New Roman" w:cs="Times New Roman"/>
          <w:sz w:val="24"/>
          <w:szCs w:val="24"/>
          <w:lang w:val="en-US"/>
        </w:rPr>
        <w:t xml:space="preserve"> </w:t>
      </w:r>
      <w:r w:rsidRPr="000E4FC1">
        <w:rPr>
          <w:rFonts w:ascii="Times New Roman" w:hAnsi="Times New Roman" w:cs="Times New Roman"/>
          <w:sz w:val="24"/>
          <w:szCs w:val="24"/>
          <w:lang w:val="en-US"/>
        </w:rPr>
        <w:t>by granting the President of the Republic the discretion to extend the period of judicial activity of judges of that court beyond the newly fixed retirement age, Poland has failed to fulfil its obligations under the second subparagraph of Article 19(1) TEU</w:t>
      </w:r>
      <w:r>
        <w:rPr>
          <w:rStyle w:val="Odwoanieprzypisudolnego"/>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To that regard the CJEU added in case C-192/18 that </w:t>
      </w:r>
      <w:r w:rsidRPr="000E4FC1">
        <w:rPr>
          <w:rFonts w:ascii="Times New Roman" w:hAnsi="Times New Roman" w:cs="Times New Roman"/>
          <w:sz w:val="24"/>
          <w:szCs w:val="24"/>
          <w:lang w:val="en-US"/>
        </w:rPr>
        <w:t>in establishing, by Article 13(1) to (3) of the Law amending the Law on the system of ordinary courts and certain other laws of 12 July 2017, a different retirement age for men and women who are judges in the ordinary Polish courts and the Supreme Court</w:t>
      </w:r>
      <w:r>
        <w:rPr>
          <w:rFonts w:ascii="Times New Roman" w:hAnsi="Times New Roman" w:cs="Times New Roman"/>
          <w:sz w:val="24"/>
          <w:szCs w:val="24"/>
          <w:lang w:val="en-US"/>
        </w:rPr>
        <w:t xml:space="preserve"> </w:t>
      </w:r>
      <w:r w:rsidRPr="000E4FC1">
        <w:rPr>
          <w:rFonts w:ascii="Times New Roman" w:hAnsi="Times New Roman" w:cs="Times New Roman"/>
          <w:sz w:val="24"/>
          <w:szCs w:val="24"/>
          <w:lang w:val="en-US"/>
        </w:rPr>
        <w:t>or are public prosecutors in Poland, Poland has failed to fulfil its obligations under Article 157 TFEU and Articles 5(a) and 9(1)(f) of Directive 2006/54/EC of the European Parliament and of the Council of 5 July 2006 on the implementation of the principle of equal opportunities and equal treatment of men and women in matters of employment and occupation</w:t>
      </w:r>
      <w:r>
        <w:rPr>
          <w:rFonts w:ascii="Times New Roman" w:hAnsi="Times New Roman" w:cs="Times New Roman"/>
          <w:sz w:val="24"/>
          <w:szCs w:val="24"/>
          <w:lang w:val="en-US"/>
        </w:rPr>
        <w:t xml:space="preserve">. Moreover, </w:t>
      </w:r>
      <w:r w:rsidRPr="000E4FC1">
        <w:rPr>
          <w:rFonts w:ascii="Times New Roman" w:hAnsi="Times New Roman" w:cs="Times New Roman"/>
          <w:sz w:val="24"/>
          <w:szCs w:val="24"/>
          <w:lang w:val="en-US"/>
        </w:rPr>
        <w:t>in granting, pursuant to Article 1(26)(b) and (c) of the Law amending the Law on the system of ordinary courts and certain other laws of 12 July 2017, the Minister for Justice the right to decide whether or not to authorise judges of the ordinary Polish courts to continue to carry out their duties beyond the new retirement age of those judges, as lowered by Article 13(1) of that law, Poland has failed to fulfil its obligations under the second subparagraph of Article 19(1) TEU</w:t>
      </w:r>
      <w:r>
        <w:rPr>
          <w:rStyle w:val="Odwoanieprzypisudolnego"/>
          <w:rFonts w:ascii="Times New Roman" w:hAnsi="Times New Roman" w:cs="Times New Roman"/>
          <w:sz w:val="24"/>
          <w:szCs w:val="24"/>
          <w:lang w:val="en-US"/>
        </w:rPr>
        <w:footnoteReference w:id="10"/>
      </w:r>
      <w:r>
        <w:rPr>
          <w:rFonts w:ascii="Times New Roman" w:hAnsi="Times New Roman" w:cs="Times New Roman"/>
          <w:sz w:val="24"/>
          <w:szCs w:val="24"/>
          <w:lang w:val="en-US"/>
        </w:rPr>
        <w:t>.</w:t>
      </w:r>
      <w:r w:rsidR="00D2000B">
        <w:rPr>
          <w:rFonts w:ascii="Times New Roman" w:hAnsi="Times New Roman" w:cs="Times New Roman"/>
          <w:sz w:val="24"/>
          <w:szCs w:val="24"/>
          <w:lang w:val="en-US"/>
        </w:rPr>
        <w:t xml:space="preserve"> Finally, in case C-791/19 the Court declared that by numerous changes in judges’ disciplinary proceedings Poland has failed </w:t>
      </w:r>
      <w:r w:rsidR="00D2000B" w:rsidRPr="000E4FC1">
        <w:rPr>
          <w:rFonts w:ascii="Times New Roman" w:hAnsi="Times New Roman" w:cs="Times New Roman"/>
          <w:sz w:val="24"/>
          <w:szCs w:val="24"/>
          <w:lang w:val="en-US"/>
        </w:rPr>
        <w:t>to fulfil its obligations under the second subparagraph of Article 19(1) TEU</w:t>
      </w:r>
      <w:r w:rsidR="00D2000B">
        <w:rPr>
          <w:rStyle w:val="Odwoanieprzypisudolnego"/>
          <w:rFonts w:ascii="Times New Roman" w:hAnsi="Times New Roman" w:cs="Times New Roman"/>
          <w:sz w:val="24"/>
          <w:szCs w:val="24"/>
          <w:lang w:val="en-US"/>
        </w:rPr>
        <w:footnoteReference w:id="11"/>
      </w:r>
      <w:r w:rsidR="00D2000B">
        <w:rPr>
          <w:rFonts w:ascii="Times New Roman" w:hAnsi="Times New Roman" w:cs="Times New Roman"/>
          <w:sz w:val="24"/>
          <w:szCs w:val="24"/>
          <w:lang w:val="en-US"/>
        </w:rPr>
        <w:t>.</w:t>
      </w:r>
    </w:p>
    <w:p w14:paraId="6113652A" w14:textId="7DFE3E48" w:rsidR="006C706D" w:rsidRPr="00954C29" w:rsidRDefault="006C706D" w:rsidP="00371B14">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 xml:space="preserve">The Court of Justice of the EU confirmed </w:t>
      </w:r>
      <w:r w:rsidR="00D2000B">
        <w:rPr>
          <w:rFonts w:ascii="Times New Roman" w:hAnsi="Times New Roman" w:cs="Times New Roman"/>
          <w:sz w:val="24"/>
          <w:szCs w:val="24"/>
          <w:lang w:val="en-GB"/>
        </w:rPr>
        <w:t>also in other</w:t>
      </w:r>
      <w:r w:rsidRPr="00954C29">
        <w:rPr>
          <w:rFonts w:ascii="Times New Roman" w:hAnsi="Times New Roman" w:cs="Times New Roman"/>
          <w:sz w:val="24"/>
          <w:szCs w:val="24"/>
          <w:lang w:val="en-GB"/>
        </w:rPr>
        <w:t xml:space="preserve"> </w:t>
      </w:r>
      <w:r w:rsidR="0071171A" w:rsidRPr="00954C29">
        <w:rPr>
          <w:rFonts w:ascii="Times New Roman" w:hAnsi="Times New Roman" w:cs="Times New Roman"/>
          <w:sz w:val="24"/>
          <w:szCs w:val="24"/>
          <w:lang w:val="en-GB"/>
        </w:rPr>
        <w:t>decisions</w:t>
      </w:r>
      <w:r w:rsidRPr="00954C29">
        <w:rPr>
          <w:rFonts w:ascii="Times New Roman" w:hAnsi="Times New Roman" w:cs="Times New Roman"/>
          <w:sz w:val="24"/>
          <w:szCs w:val="24"/>
          <w:lang w:val="en-GB"/>
        </w:rPr>
        <w:t xml:space="preserve"> </w:t>
      </w:r>
      <w:r w:rsidR="005837B9" w:rsidRPr="00954C29">
        <w:rPr>
          <w:rFonts w:ascii="Times New Roman" w:hAnsi="Times New Roman" w:cs="Times New Roman"/>
          <w:sz w:val="24"/>
          <w:szCs w:val="24"/>
          <w:lang w:val="en-GB"/>
        </w:rPr>
        <w:t xml:space="preserve">the importance of Article 19(1) TEU for the functioning of the entire European Union and clarified the meaning of the right to a fair trial. It emphasized that the Union is based on the assumption of mutual trust existing between the EU Member States that the values enshrined in Article 2 TEU are recognised by them. Due to this assumption, when implementing EU law, the Member States </w:t>
      </w:r>
      <w:r w:rsidR="005837B9" w:rsidRPr="00954C29">
        <w:rPr>
          <w:rFonts w:ascii="Times New Roman" w:hAnsi="Times New Roman" w:cs="Times New Roman"/>
          <w:sz w:val="24"/>
          <w:szCs w:val="24"/>
          <w:lang w:val="en-GB"/>
        </w:rPr>
        <w:lastRenderedPageBreak/>
        <w:t>may be required to presume that fundamental rights have been observed by the other Member States, so that not only may they not demand a higher level of national protection of fundamental rights from another Member State than that provided by EU law, but also, save in exceptional cases, they may not check whether that other Member State has actually, in a specific case, observed the fundamental rights guaranteed by the European Union</w:t>
      </w:r>
      <w:r w:rsidR="005837B9" w:rsidRPr="00954C29">
        <w:rPr>
          <w:rStyle w:val="Odwoanieprzypisudolnego"/>
          <w:rFonts w:ascii="Times New Roman" w:hAnsi="Times New Roman" w:cs="Times New Roman"/>
          <w:sz w:val="24"/>
          <w:szCs w:val="24"/>
          <w:lang w:val="en-GB"/>
        </w:rPr>
        <w:footnoteReference w:id="12"/>
      </w:r>
      <w:r w:rsidR="005837B9" w:rsidRPr="00954C29">
        <w:rPr>
          <w:rFonts w:ascii="Times New Roman" w:hAnsi="Times New Roman" w:cs="Times New Roman"/>
          <w:sz w:val="24"/>
          <w:szCs w:val="24"/>
          <w:lang w:val="en-GB"/>
        </w:rPr>
        <w:t>.</w:t>
      </w:r>
    </w:p>
    <w:p w14:paraId="7C553DB9" w14:textId="77777777" w:rsidR="00665325" w:rsidRPr="00954C29" w:rsidRDefault="005837B9" w:rsidP="00665325">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European Union is a union based on the rule of law in which individuals have the right to challenge before the courts the legality of any decision or other national measure relating to the application to them of an EU act. That is why the requirement of judicial independence forms part of the essence of the fundamental right to a fair trial, a right which is of cardinal importance as a guarantee that all the rights which individuals derive from EU law will be protected and that the values, so the very existence of effective judicial review designed to ensure compliance with EU law is of the essence of the rule of law</w:t>
      </w:r>
      <w:r w:rsidR="00665325" w:rsidRPr="00954C29">
        <w:rPr>
          <w:rFonts w:ascii="Times New Roman" w:hAnsi="Times New Roman" w:cs="Times New Roman"/>
          <w:sz w:val="24"/>
          <w:szCs w:val="24"/>
          <w:lang w:val="en-GB"/>
        </w:rPr>
        <w:t>. Therefore, every Member State must ensure that the bodies which, as ‘courts or tribunals’ within the meaning of EU law, come within its judicial system in the fields covered by EU law meet the requirements of effective judicial protection. The most basic requirement is the access to an independent tribunal</w:t>
      </w:r>
      <w:r w:rsidRPr="00954C29">
        <w:rPr>
          <w:rStyle w:val="Odwoanieprzypisudolnego"/>
          <w:rFonts w:ascii="Times New Roman" w:hAnsi="Times New Roman" w:cs="Times New Roman"/>
          <w:sz w:val="24"/>
          <w:szCs w:val="24"/>
          <w:lang w:val="en-GB"/>
        </w:rPr>
        <w:footnoteReference w:id="13"/>
      </w:r>
      <w:r w:rsidRPr="00954C29">
        <w:rPr>
          <w:rFonts w:ascii="Times New Roman" w:hAnsi="Times New Roman" w:cs="Times New Roman"/>
          <w:sz w:val="24"/>
          <w:szCs w:val="24"/>
          <w:lang w:val="en-GB"/>
        </w:rPr>
        <w:t>.</w:t>
      </w:r>
    </w:p>
    <w:p w14:paraId="437F7227" w14:textId="775D85C3" w:rsidR="00665325" w:rsidRPr="00954C29" w:rsidRDefault="00665325" w:rsidP="00665325">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On numerous occasions it was confirmed by the Court of Justice of the European Union and by the European Court of Human Rights that the current shape of the Polish judiciary raises serious doubts regarding its independence. These doubts concerned the election process of the judges to the Polish Constitutional Tribunal, as well as the procedure of appointing judges in which the bogus National Council of Judiciary takes part</w:t>
      </w:r>
      <w:r w:rsidRPr="00954C29">
        <w:rPr>
          <w:rStyle w:val="Odwoanieprzypisudolnego"/>
          <w:rFonts w:ascii="Times New Roman" w:hAnsi="Times New Roman" w:cs="Times New Roman"/>
          <w:sz w:val="24"/>
          <w:szCs w:val="24"/>
          <w:lang w:val="en-GB"/>
        </w:rPr>
        <w:footnoteReference w:id="14"/>
      </w:r>
      <w:r w:rsidRPr="00954C29">
        <w:rPr>
          <w:rFonts w:ascii="Times New Roman" w:hAnsi="Times New Roman" w:cs="Times New Roman"/>
          <w:sz w:val="24"/>
          <w:szCs w:val="24"/>
          <w:lang w:val="en-GB"/>
        </w:rPr>
        <w:t>.</w:t>
      </w:r>
      <w:r w:rsidR="00D726B9">
        <w:rPr>
          <w:rFonts w:ascii="Times New Roman" w:hAnsi="Times New Roman" w:cs="Times New Roman"/>
          <w:sz w:val="24"/>
          <w:szCs w:val="24"/>
          <w:lang w:val="en-GB"/>
        </w:rPr>
        <w:t xml:space="preserve"> Until 2023 Poland did not comply with any of the above mentioned rulings</w:t>
      </w:r>
      <w:r w:rsidR="00D726B9">
        <w:rPr>
          <w:rStyle w:val="Odwoanieprzypisudolnego"/>
          <w:rFonts w:ascii="Times New Roman" w:hAnsi="Times New Roman" w:cs="Times New Roman"/>
          <w:sz w:val="24"/>
          <w:szCs w:val="24"/>
          <w:lang w:val="en-GB"/>
        </w:rPr>
        <w:footnoteReference w:id="15"/>
      </w:r>
      <w:r w:rsidR="00D726B9">
        <w:rPr>
          <w:rFonts w:ascii="Times New Roman" w:hAnsi="Times New Roman" w:cs="Times New Roman"/>
          <w:sz w:val="24"/>
          <w:szCs w:val="24"/>
          <w:lang w:val="en-GB"/>
        </w:rPr>
        <w:t xml:space="preserve"> and as it has been mentioned above, it has done so only recently due to periodic penalty payment and lack of access to selected EU funds.</w:t>
      </w:r>
    </w:p>
    <w:p w14:paraId="74CC274C" w14:textId="1CDB1978" w:rsidR="009B2BA1" w:rsidRPr="00954C29" w:rsidRDefault="007F70FB" w:rsidP="009B2BA1">
      <w:pPr>
        <w:pStyle w:val="Bezodstpw"/>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Because of</w:t>
      </w:r>
      <w:r w:rsidR="00622AC7" w:rsidRPr="00954C29">
        <w:rPr>
          <w:rFonts w:ascii="Times New Roman" w:hAnsi="Times New Roman" w:cs="Times New Roman"/>
          <w:sz w:val="24"/>
          <w:szCs w:val="24"/>
          <w:lang w:val="en-GB"/>
        </w:rPr>
        <w:t xml:space="preserve"> the situation in Hungary and Poland, t</w:t>
      </w:r>
      <w:r w:rsidR="009B2BA1" w:rsidRPr="00954C29">
        <w:rPr>
          <w:rFonts w:ascii="Times New Roman" w:hAnsi="Times New Roman" w:cs="Times New Roman"/>
          <w:sz w:val="24"/>
          <w:szCs w:val="24"/>
          <w:lang w:val="en-GB"/>
        </w:rPr>
        <w:t>he EU needed to adopt to the new political and legal reality. As the course of the events proves, the mechanism provided for in art. 7 TEU, due to formal constraints, does not constitute and effective protection for the EU core values and the EU funds.</w:t>
      </w:r>
      <w:r w:rsidR="00622AC7" w:rsidRPr="00954C29">
        <w:rPr>
          <w:rFonts w:ascii="Times New Roman" w:hAnsi="Times New Roman" w:cs="Times New Roman"/>
          <w:sz w:val="24"/>
          <w:szCs w:val="24"/>
          <w:lang w:val="en-GB"/>
        </w:rPr>
        <w:t xml:space="preserve"> The Council is reluctant to adopt the necessary decisions and as </w:t>
      </w:r>
      <w:r w:rsidR="00622AC7" w:rsidRPr="00954C29">
        <w:rPr>
          <w:rFonts w:ascii="Times New Roman" w:hAnsi="Times New Roman" w:cs="Times New Roman"/>
          <w:sz w:val="24"/>
          <w:szCs w:val="24"/>
          <w:lang w:val="en-GB"/>
        </w:rPr>
        <w:lastRenderedPageBreak/>
        <w:t>there are two States that disregard Article 2 TEU principles it is doubtful, whether the unanimity within the European Council will be reached.</w:t>
      </w:r>
    </w:p>
    <w:p w14:paraId="0AE21F5B" w14:textId="1C6CD8AD" w:rsidR="0071171A" w:rsidRPr="00954C29" w:rsidRDefault="0071171A" w:rsidP="0071171A">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It has to be reminded that the EU Member States, including Hungary and Poland</w:t>
      </w:r>
      <w:r w:rsidR="007F70FB">
        <w:rPr>
          <w:rFonts w:ascii="Times New Roman" w:hAnsi="Times New Roman" w:cs="Times New Roman"/>
          <w:sz w:val="24"/>
          <w:szCs w:val="24"/>
          <w:lang w:val="en-GB"/>
        </w:rPr>
        <w:t>,</w:t>
      </w:r>
      <w:r w:rsidRPr="00954C29">
        <w:rPr>
          <w:rFonts w:ascii="Times New Roman" w:hAnsi="Times New Roman" w:cs="Times New Roman"/>
          <w:sz w:val="24"/>
          <w:szCs w:val="24"/>
          <w:lang w:val="en-GB"/>
        </w:rPr>
        <w:t xml:space="preserve"> are beneficiaries of the EU budget and they participate in the management and allocation of the EU funds. </w:t>
      </w:r>
      <w:r w:rsidR="00B81895">
        <w:rPr>
          <w:rFonts w:ascii="Times New Roman" w:hAnsi="Times New Roman" w:cs="Times New Roman"/>
          <w:sz w:val="24"/>
          <w:szCs w:val="24"/>
          <w:lang w:val="en-GB"/>
        </w:rPr>
        <w:t>That is why a suspension or deprivation of funds could be presumably an effective motivator for member states to restore the rule of law</w:t>
      </w:r>
      <w:r w:rsidR="00B81895">
        <w:rPr>
          <w:rStyle w:val="Odwoanieprzypisudolnego"/>
          <w:rFonts w:ascii="Times New Roman" w:hAnsi="Times New Roman" w:cs="Times New Roman"/>
          <w:sz w:val="24"/>
          <w:szCs w:val="24"/>
          <w:lang w:val="en-GB"/>
        </w:rPr>
        <w:footnoteReference w:id="16"/>
      </w:r>
      <w:r w:rsidR="002C0315">
        <w:rPr>
          <w:rFonts w:ascii="Times New Roman" w:hAnsi="Times New Roman" w:cs="Times New Roman"/>
          <w:sz w:val="24"/>
          <w:szCs w:val="24"/>
          <w:lang w:val="en-GB"/>
        </w:rPr>
        <w:t xml:space="preserve"> that is nowadays under attack and in deep crisis in the EU</w:t>
      </w:r>
      <w:r w:rsidR="002C0315">
        <w:rPr>
          <w:rStyle w:val="Odwoanieprzypisudolnego"/>
          <w:rFonts w:ascii="Times New Roman" w:hAnsi="Times New Roman" w:cs="Times New Roman"/>
          <w:sz w:val="24"/>
          <w:szCs w:val="24"/>
          <w:lang w:val="en-GB"/>
        </w:rPr>
        <w:footnoteReference w:id="17"/>
      </w:r>
      <w:r w:rsidR="002C0315">
        <w:rPr>
          <w:rFonts w:ascii="Times New Roman" w:hAnsi="Times New Roman" w:cs="Times New Roman"/>
          <w:sz w:val="24"/>
          <w:szCs w:val="24"/>
          <w:lang w:val="en-GB"/>
        </w:rPr>
        <w:t xml:space="preserve"> what poses a threat to the entire Union</w:t>
      </w:r>
      <w:r w:rsidR="002C0315">
        <w:rPr>
          <w:rStyle w:val="Odwoanieprzypisudolnego"/>
          <w:rFonts w:ascii="Times New Roman" w:hAnsi="Times New Roman" w:cs="Times New Roman"/>
          <w:sz w:val="24"/>
          <w:szCs w:val="24"/>
          <w:lang w:val="en-GB"/>
        </w:rPr>
        <w:footnoteReference w:id="18"/>
      </w:r>
      <w:r w:rsidR="00B81895">
        <w:rPr>
          <w:rFonts w:ascii="Times New Roman" w:hAnsi="Times New Roman" w:cs="Times New Roman"/>
          <w:sz w:val="24"/>
          <w:szCs w:val="24"/>
          <w:lang w:val="en-GB"/>
        </w:rPr>
        <w:t xml:space="preserve">. </w:t>
      </w:r>
      <w:r w:rsidRPr="00954C29">
        <w:rPr>
          <w:rFonts w:ascii="Times New Roman" w:hAnsi="Times New Roman" w:cs="Times New Roman"/>
          <w:sz w:val="24"/>
          <w:szCs w:val="24"/>
          <w:lang w:val="en-GB"/>
        </w:rPr>
        <w:t>The EU funds should be protected from cases of fraud, tax evasion, corruption, conflict of interest or other breaches of the law. This aim can only be achieved if there exist at national level both independent and effective investigative authorities and independent and impartial courts, what is emphasized by Article 19(1) TEU.</w:t>
      </w:r>
    </w:p>
    <w:p w14:paraId="6D7E0BC7" w14:textId="71DBF517" w:rsidR="00345ABD" w:rsidRPr="00954C29" w:rsidRDefault="009B2BA1" w:rsidP="00A760FD">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That is why on 16 Dec</w:t>
      </w:r>
      <w:r w:rsidR="007F70FB">
        <w:rPr>
          <w:rFonts w:ascii="Times New Roman" w:hAnsi="Times New Roman" w:cs="Times New Roman"/>
          <w:sz w:val="24"/>
          <w:szCs w:val="24"/>
          <w:lang w:val="en-GB"/>
        </w:rPr>
        <w:t>ember</w:t>
      </w:r>
      <w:r w:rsidRPr="00954C29">
        <w:rPr>
          <w:rFonts w:ascii="Times New Roman" w:hAnsi="Times New Roman" w:cs="Times New Roman"/>
          <w:sz w:val="24"/>
          <w:szCs w:val="24"/>
          <w:lang w:val="en-GB"/>
        </w:rPr>
        <w:t xml:space="preserve"> 2020 the EU adopted the regulation no. 2020/2092 on a general regime of conditionality for the protection of the Union budget</w:t>
      </w:r>
      <w:r w:rsidR="00345ABD" w:rsidRPr="00954C29">
        <w:rPr>
          <w:rStyle w:val="Odwoanieprzypisudolnego"/>
          <w:rFonts w:ascii="Times New Roman" w:hAnsi="Times New Roman" w:cs="Times New Roman"/>
          <w:sz w:val="24"/>
          <w:szCs w:val="24"/>
          <w:lang w:val="en-GB"/>
        </w:rPr>
        <w:footnoteReference w:id="19"/>
      </w:r>
      <w:r w:rsidRPr="00954C29">
        <w:rPr>
          <w:rFonts w:ascii="Times New Roman" w:hAnsi="Times New Roman" w:cs="Times New Roman"/>
          <w:sz w:val="24"/>
          <w:szCs w:val="24"/>
          <w:lang w:val="en-GB"/>
        </w:rPr>
        <w:t xml:space="preserve">. </w:t>
      </w:r>
      <w:r w:rsidR="00A760FD" w:rsidRPr="00954C29">
        <w:rPr>
          <w:rFonts w:ascii="Times New Roman" w:hAnsi="Times New Roman" w:cs="Times New Roman"/>
          <w:sz w:val="24"/>
          <w:szCs w:val="24"/>
          <w:lang w:val="en-GB"/>
        </w:rPr>
        <w:t>I</w:t>
      </w:r>
      <w:r w:rsidRPr="00954C29">
        <w:rPr>
          <w:rFonts w:ascii="Times New Roman" w:hAnsi="Times New Roman" w:cs="Times New Roman"/>
          <w:sz w:val="24"/>
          <w:szCs w:val="24"/>
          <w:lang w:val="en-GB"/>
        </w:rPr>
        <w:t xml:space="preserve">n the legislative process the text of the regulation has been substantially modified, to achieve a consensus between all EU Member States. </w:t>
      </w:r>
      <w:r w:rsidR="00622AC7" w:rsidRPr="00954C29">
        <w:rPr>
          <w:rFonts w:ascii="Times New Roman" w:hAnsi="Times New Roman" w:cs="Times New Roman"/>
          <w:sz w:val="24"/>
          <w:szCs w:val="24"/>
          <w:lang w:val="en-GB"/>
        </w:rPr>
        <w:t>A new multiannual financial framework for 2021-2027 and related acts were to be adopted until 3</w:t>
      </w:r>
      <w:r w:rsidR="007F70FB">
        <w:rPr>
          <w:rFonts w:ascii="Times New Roman" w:hAnsi="Times New Roman" w:cs="Times New Roman"/>
          <w:sz w:val="24"/>
          <w:szCs w:val="24"/>
          <w:lang w:val="en-GB"/>
        </w:rPr>
        <w:t>1</w:t>
      </w:r>
      <w:r w:rsidR="00622AC7" w:rsidRPr="00954C29">
        <w:rPr>
          <w:rFonts w:ascii="Times New Roman" w:hAnsi="Times New Roman" w:cs="Times New Roman"/>
          <w:sz w:val="24"/>
          <w:szCs w:val="24"/>
          <w:lang w:val="en-GB"/>
        </w:rPr>
        <w:t xml:space="preserve"> Dec</w:t>
      </w:r>
      <w:r w:rsidR="007F70FB">
        <w:rPr>
          <w:rFonts w:ascii="Times New Roman" w:hAnsi="Times New Roman" w:cs="Times New Roman"/>
          <w:sz w:val="24"/>
          <w:szCs w:val="24"/>
          <w:lang w:val="en-GB"/>
        </w:rPr>
        <w:t>ember</w:t>
      </w:r>
      <w:r w:rsidR="00622AC7" w:rsidRPr="00954C29">
        <w:rPr>
          <w:rFonts w:ascii="Times New Roman" w:hAnsi="Times New Roman" w:cs="Times New Roman"/>
          <w:sz w:val="24"/>
          <w:szCs w:val="24"/>
          <w:lang w:val="en-GB"/>
        </w:rPr>
        <w:t xml:space="preserve"> 2020</w:t>
      </w:r>
      <w:r w:rsidR="00622AC7" w:rsidRPr="00954C29">
        <w:rPr>
          <w:rStyle w:val="Odwoanieprzypisudolnego"/>
          <w:rFonts w:ascii="Times New Roman" w:hAnsi="Times New Roman" w:cs="Times New Roman"/>
          <w:sz w:val="24"/>
          <w:szCs w:val="24"/>
          <w:lang w:val="en-GB"/>
        </w:rPr>
        <w:footnoteReference w:id="20"/>
      </w:r>
      <w:r w:rsidR="00622AC7" w:rsidRPr="00954C29">
        <w:rPr>
          <w:rFonts w:ascii="Times New Roman" w:hAnsi="Times New Roman" w:cs="Times New Roman"/>
          <w:sz w:val="24"/>
          <w:szCs w:val="24"/>
          <w:lang w:val="en-GB"/>
        </w:rPr>
        <w:t xml:space="preserve"> and the political dialogue within the EU was intense until the legal acts took the form that could be approved by the governments of Hungary and Poland. </w:t>
      </w:r>
      <w:r w:rsidR="00345ABD" w:rsidRPr="00954C29">
        <w:rPr>
          <w:rFonts w:ascii="Times New Roman" w:hAnsi="Times New Roman" w:cs="Times New Roman"/>
          <w:sz w:val="24"/>
          <w:szCs w:val="24"/>
          <w:lang w:val="en-GB"/>
        </w:rPr>
        <w:t>The elaboration of the regulation on the regime of conditionality lasted for 2 years, as the initial proposal was presented by the Commission on 2</w:t>
      </w:r>
      <w:r w:rsidR="007F70FB">
        <w:rPr>
          <w:rFonts w:ascii="Times New Roman" w:hAnsi="Times New Roman" w:cs="Times New Roman"/>
          <w:sz w:val="24"/>
          <w:szCs w:val="24"/>
          <w:vertAlign w:val="superscript"/>
          <w:lang w:val="en-GB"/>
        </w:rPr>
        <w:t xml:space="preserve"> </w:t>
      </w:r>
      <w:r w:rsidR="00345ABD" w:rsidRPr="00954C29">
        <w:rPr>
          <w:rFonts w:ascii="Times New Roman" w:hAnsi="Times New Roman" w:cs="Times New Roman"/>
          <w:sz w:val="24"/>
          <w:szCs w:val="24"/>
          <w:lang w:val="en-GB"/>
        </w:rPr>
        <w:t>May 2018</w:t>
      </w:r>
      <w:r w:rsidR="00345ABD" w:rsidRPr="00954C29">
        <w:rPr>
          <w:rStyle w:val="Odwoanieprzypisudolnego"/>
          <w:rFonts w:ascii="Times New Roman" w:hAnsi="Times New Roman" w:cs="Times New Roman"/>
          <w:sz w:val="24"/>
          <w:szCs w:val="24"/>
          <w:lang w:val="en-GB"/>
        </w:rPr>
        <w:footnoteReference w:id="21"/>
      </w:r>
      <w:r w:rsidR="00B24218">
        <w:rPr>
          <w:rFonts w:ascii="Times New Roman" w:hAnsi="Times New Roman" w:cs="Times New Roman"/>
          <w:sz w:val="24"/>
          <w:szCs w:val="24"/>
          <w:lang w:val="en-GB"/>
        </w:rPr>
        <w:t xml:space="preserve"> and the opposition of Hungary and Poland to this regulation put on hold legislative works on the EU budget and a recovery package. Finally the regulation no. 2020/2092 was adopted by qualified majority and both mentioned states voted against it</w:t>
      </w:r>
      <w:r w:rsidR="00B24218">
        <w:rPr>
          <w:rStyle w:val="Odwoanieprzypisudolnego"/>
          <w:rFonts w:ascii="Times New Roman" w:hAnsi="Times New Roman" w:cs="Times New Roman"/>
          <w:sz w:val="24"/>
          <w:szCs w:val="24"/>
          <w:lang w:val="en-GB"/>
        </w:rPr>
        <w:footnoteReference w:id="22"/>
      </w:r>
      <w:r w:rsidR="00B24218">
        <w:rPr>
          <w:rFonts w:ascii="Times New Roman" w:hAnsi="Times New Roman" w:cs="Times New Roman"/>
          <w:sz w:val="24"/>
          <w:szCs w:val="24"/>
          <w:lang w:val="en-GB"/>
        </w:rPr>
        <w:t>.</w:t>
      </w:r>
    </w:p>
    <w:p w14:paraId="4E94E3F8" w14:textId="1AF7C7A7" w:rsidR="00F651F7" w:rsidRPr="00954C29" w:rsidRDefault="00345ABD" w:rsidP="00345ABD">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lastRenderedPageBreak/>
        <w:t>Even the title of the regulation was changed, as the notion “generalised deficiency as regards the rule of law</w:t>
      </w:r>
      <w:r w:rsidR="00677B19" w:rsidRPr="00954C29">
        <w:rPr>
          <w:rStyle w:val="Odwoanieprzypisudolnego"/>
          <w:rFonts w:ascii="Times New Roman" w:hAnsi="Times New Roman" w:cs="Times New Roman"/>
          <w:sz w:val="24"/>
          <w:szCs w:val="24"/>
          <w:lang w:val="en-GB"/>
        </w:rPr>
        <w:footnoteReference w:id="23"/>
      </w:r>
      <w:r w:rsidR="00677B19" w:rsidRPr="00954C29">
        <w:rPr>
          <w:rFonts w:ascii="Times New Roman" w:hAnsi="Times New Roman" w:cs="Times New Roman"/>
          <w:sz w:val="24"/>
          <w:szCs w:val="24"/>
          <w:lang w:val="en-GB"/>
        </w:rPr>
        <w:t>”</w:t>
      </w:r>
      <w:r w:rsidRPr="00954C29">
        <w:rPr>
          <w:rFonts w:ascii="Times New Roman" w:hAnsi="Times New Roman" w:cs="Times New Roman"/>
          <w:sz w:val="24"/>
          <w:szCs w:val="24"/>
          <w:lang w:val="en-GB"/>
        </w:rPr>
        <w:t xml:space="preserve"> was replaced with “general regime of conditionality for the protection of the Union budget”. This change was then followed in the entire text of the act, as it served to emphasize the separation of the regulation from the Article 7 TEU regime.</w:t>
      </w:r>
    </w:p>
    <w:p w14:paraId="7FF50F03" w14:textId="68455669" w:rsidR="00345ABD" w:rsidRPr="00954C29" w:rsidRDefault="00F651F7" w:rsidP="00345ABD">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regulation defined the rule of law as including the principles of legality implying a transparent, accountable, democratic and pluralistic law-making process; legal certainty; prohibition of arbitrariness of the executive powers; effective judicial protection, including access to justice, by independent and impartial courts, also as regards fundamental rights; separation of powers; and non-discrimination and equality before the law. The rule of law shall be understood having regard to the other Union values and principles enshrined in Article 2 TEU</w:t>
      </w:r>
      <w:r w:rsidR="00345ABD" w:rsidRPr="00954C29">
        <w:rPr>
          <w:rFonts w:ascii="Times New Roman" w:hAnsi="Times New Roman" w:cs="Times New Roman"/>
          <w:sz w:val="24"/>
          <w:szCs w:val="24"/>
          <w:lang w:val="en-GB"/>
        </w:rPr>
        <w:t xml:space="preserve"> </w:t>
      </w:r>
      <w:r w:rsidRPr="00954C29">
        <w:rPr>
          <w:rFonts w:ascii="Times New Roman" w:hAnsi="Times New Roman" w:cs="Times New Roman"/>
          <w:sz w:val="24"/>
          <w:szCs w:val="24"/>
          <w:lang w:val="en-GB"/>
        </w:rPr>
        <w:t>(Article 2(a)). Article 3 described indicatives of breaches of the principles of the rule of law, whereas Article 4 provided for very strict condition for the adoption of the measures enshrined in the regulation.</w:t>
      </w:r>
    </w:p>
    <w:p w14:paraId="4710D781" w14:textId="04B6F666" w:rsidR="00F651F7" w:rsidRPr="00954C29" w:rsidRDefault="009C7D6D" w:rsidP="00345ABD">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Article 5(1) enumerated the measures that can be applied, when the EU budget is endangered. At the same time, according to Article 5 (2), the affected Member State is obliged to implement the programme or fund affected by the measure, especially it should realize its obligations towards final recipients or beneficiaries, including the obligation to make due payments and the applicable sector-specific or financial rules.</w:t>
      </w:r>
    </w:p>
    <w:p w14:paraId="7A175A87" w14:textId="6A0E2938" w:rsidR="009C7D6D" w:rsidRPr="00954C29" w:rsidRDefault="009C7D6D" w:rsidP="00345ABD">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measures shall be proportionate. They shall be determined in light of the actual or potential impact of the breaches of the principles of the rule of law on the sound financial management of the Union budget or the financial interests of the Union. The nature, duration, gravity and scope of the breaches of the principles of the rule of law shall be duly taken into account. The measures shall, insofar as possible, target the Union actions affected by the breaches (Article 5(3)</w:t>
      </w:r>
      <w:r w:rsidR="006745A1" w:rsidRPr="00954C29">
        <w:rPr>
          <w:rFonts w:ascii="Times New Roman" w:hAnsi="Times New Roman" w:cs="Times New Roman"/>
          <w:sz w:val="24"/>
          <w:szCs w:val="24"/>
          <w:lang w:val="en-GB"/>
        </w:rPr>
        <w:t>)</w:t>
      </w:r>
      <w:r w:rsidRPr="00954C29">
        <w:rPr>
          <w:rFonts w:ascii="Times New Roman" w:hAnsi="Times New Roman" w:cs="Times New Roman"/>
          <w:sz w:val="24"/>
          <w:szCs w:val="24"/>
          <w:lang w:val="en-GB"/>
        </w:rPr>
        <w:t>.</w:t>
      </w:r>
    </w:p>
    <w:p w14:paraId="3BF219F0" w14:textId="5B108313" w:rsidR="006745A1" w:rsidRPr="00954C29" w:rsidRDefault="006745A1" w:rsidP="00345ABD">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 xml:space="preserve">In the first stage of the proceedings the Commission enters into a dialogue with the Member State concerned and in its written notification it sets out the factual elements and specific grounds on which it based its findings. If the response of the Member State is not satisfactory the Commission submits the proposal of measures to be applied to the Council. The decision of the Council is taken by a qualified majority, contrary to Article 7(2) TEU decision that requires unanimity. The possibility of voting by a qualified majority causes that the </w:t>
      </w:r>
      <w:r w:rsidRPr="00954C29">
        <w:rPr>
          <w:rFonts w:ascii="Times New Roman" w:hAnsi="Times New Roman" w:cs="Times New Roman"/>
          <w:sz w:val="24"/>
          <w:szCs w:val="24"/>
          <w:lang w:val="en-GB"/>
        </w:rPr>
        <w:lastRenderedPageBreak/>
        <w:t xml:space="preserve">measures of the regulation </w:t>
      </w:r>
      <w:r w:rsidR="00141B9F" w:rsidRPr="00954C29">
        <w:rPr>
          <w:rFonts w:ascii="Times New Roman" w:hAnsi="Times New Roman" w:cs="Times New Roman"/>
          <w:sz w:val="24"/>
          <w:szCs w:val="24"/>
          <w:lang w:val="en-GB"/>
        </w:rPr>
        <w:t xml:space="preserve">no. </w:t>
      </w:r>
      <w:r w:rsidRPr="00954C29">
        <w:rPr>
          <w:rFonts w:ascii="Times New Roman" w:hAnsi="Times New Roman" w:cs="Times New Roman"/>
          <w:sz w:val="24"/>
          <w:szCs w:val="24"/>
          <w:lang w:val="en-GB"/>
        </w:rPr>
        <w:t>2020/2092 seem to be more effective and more probable to be adopted than the Article 7(2) TEU measures.</w:t>
      </w:r>
    </w:p>
    <w:p w14:paraId="0673FDBE" w14:textId="4A4B5EA1" w:rsidR="00141B9F" w:rsidRPr="00954C29" w:rsidRDefault="00141B9F" w:rsidP="00345ABD">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In its conclusions of 11 December 2020</w:t>
      </w:r>
      <w:r w:rsidRPr="00954C29">
        <w:rPr>
          <w:rStyle w:val="Odwoanieprzypisudolnego"/>
          <w:rFonts w:ascii="Times New Roman" w:hAnsi="Times New Roman" w:cs="Times New Roman"/>
          <w:sz w:val="24"/>
          <w:szCs w:val="24"/>
          <w:lang w:val="en-GB"/>
        </w:rPr>
        <w:footnoteReference w:id="24"/>
      </w:r>
      <w:r w:rsidRPr="00954C29">
        <w:rPr>
          <w:rFonts w:ascii="Times New Roman" w:hAnsi="Times New Roman" w:cs="Times New Roman"/>
          <w:sz w:val="24"/>
          <w:szCs w:val="24"/>
          <w:lang w:val="en-GB"/>
        </w:rPr>
        <w:t>, the European Council emphasized that the regulation no. 2020/2092 is to be applied in full respect of the national identities of member states inherent in their fundamental political and constitutional structures, of the principle of conferral, of the principles of objectivity, non-discrimination and equal treatment of member states. The Commission should develop and adopt guidelines in close consultation with member states, and if any action for annulment of the regulation no. 2020/2092 would be introduced, the Commission should finalize the guidelines after the judgment of the CJEU.</w:t>
      </w:r>
    </w:p>
    <w:p w14:paraId="015CBEB3" w14:textId="76487EEF" w:rsidR="00BB464B" w:rsidRPr="00954C29" w:rsidRDefault="00A760FD" w:rsidP="00BB464B">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At the beginning of 2021 the European Commission</w:t>
      </w:r>
      <w:r w:rsidR="005163F4" w:rsidRPr="00954C29">
        <w:rPr>
          <w:rFonts w:ascii="Times New Roman" w:hAnsi="Times New Roman" w:cs="Times New Roman"/>
          <w:sz w:val="24"/>
          <w:szCs w:val="24"/>
          <w:lang w:val="en-GB"/>
        </w:rPr>
        <w:t>, due to the conclusions of the European Council,</w:t>
      </w:r>
      <w:r w:rsidRPr="00954C29">
        <w:rPr>
          <w:rFonts w:ascii="Times New Roman" w:hAnsi="Times New Roman" w:cs="Times New Roman"/>
          <w:sz w:val="24"/>
          <w:szCs w:val="24"/>
          <w:lang w:val="en-GB"/>
        </w:rPr>
        <w:t xml:space="preserve"> was reluctant in applying the provisions of the regulation no. 2020/2092. That is why the European Parliament reacted and needed to remind the Commission that it should act completely independently and that a general regime of conditionality for the protection of the Union budget shall apply from 1 January 2021. Moreover, the applicability of this </w:t>
      </w:r>
      <w:r w:rsidR="007F70FB">
        <w:rPr>
          <w:rFonts w:ascii="Times New Roman" w:hAnsi="Times New Roman" w:cs="Times New Roman"/>
          <w:sz w:val="24"/>
          <w:szCs w:val="24"/>
          <w:lang w:val="en-GB"/>
        </w:rPr>
        <w:t>r</w:t>
      </w:r>
      <w:r w:rsidRPr="00954C29">
        <w:rPr>
          <w:rFonts w:ascii="Times New Roman" w:hAnsi="Times New Roman" w:cs="Times New Roman"/>
          <w:sz w:val="24"/>
          <w:szCs w:val="24"/>
          <w:lang w:val="en-GB"/>
        </w:rPr>
        <w:t>egulation cannot be subject to adoption of any guidelines, as the text agreed is sufficiently clear, and no implementing instruments are foreseen. If a member state or states (here: Hungary and Poland) put into question the validity of the regulation no. 2020/2092, they should do so in the relevant proceedings before the CJEU</w:t>
      </w:r>
      <w:r w:rsidR="00141B9F" w:rsidRPr="00954C29">
        <w:rPr>
          <w:rFonts w:ascii="Times New Roman" w:hAnsi="Times New Roman" w:cs="Times New Roman"/>
          <w:sz w:val="24"/>
          <w:szCs w:val="24"/>
          <w:lang w:val="en-GB"/>
        </w:rPr>
        <w:t>. The Parliament criticized the European Council because of the above mentioned conclusions. It reminded, that the European Council shall not exercise legislative functions (Article 15 (1) TEU)</w:t>
      </w:r>
      <w:r w:rsidR="005163F4" w:rsidRPr="00954C29">
        <w:rPr>
          <w:rFonts w:ascii="Times New Roman" w:hAnsi="Times New Roman" w:cs="Times New Roman"/>
          <w:sz w:val="24"/>
          <w:szCs w:val="24"/>
          <w:lang w:val="en-GB"/>
        </w:rPr>
        <w:t>, so its political declaration cannot be deemed to represent an interpretation of legislation as interpretation is vested with the European Court of Justice. That is why the conclusions of the European Council cannot be made binding on the Commission in applying legal acts</w:t>
      </w:r>
      <w:r w:rsidRPr="00954C29">
        <w:rPr>
          <w:rStyle w:val="Odwoanieprzypisudolnego"/>
          <w:rFonts w:ascii="Times New Roman" w:hAnsi="Times New Roman" w:cs="Times New Roman"/>
          <w:sz w:val="24"/>
          <w:szCs w:val="24"/>
          <w:lang w:val="en-GB"/>
        </w:rPr>
        <w:footnoteReference w:id="25"/>
      </w:r>
      <w:r w:rsidRPr="00954C29">
        <w:rPr>
          <w:rFonts w:ascii="Times New Roman" w:hAnsi="Times New Roman" w:cs="Times New Roman"/>
          <w:sz w:val="24"/>
          <w:szCs w:val="24"/>
          <w:lang w:val="en-GB"/>
        </w:rPr>
        <w:t>.</w:t>
      </w:r>
      <w:r w:rsidR="00BB464B" w:rsidRPr="00954C29">
        <w:rPr>
          <w:rFonts w:ascii="Times New Roman" w:hAnsi="Times New Roman" w:cs="Times New Roman"/>
          <w:sz w:val="24"/>
          <w:szCs w:val="24"/>
          <w:lang w:val="en-GB"/>
        </w:rPr>
        <w:t xml:space="preserve"> </w:t>
      </w:r>
      <w:r w:rsidR="0091263C" w:rsidRPr="00954C29">
        <w:rPr>
          <w:rFonts w:ascii="Times New Roman" w:hAnsi="Times New Roman" w:cs="Times New Roman"/>
          <w:sz w:val="24"/>
          <w:szCs w:val="24"/>
          <w:lang w:val="en-GB"/>
        </w:rPr>
        <w:t>Nevertheless, the European Council conclusions in fact froze the application of the regulation no. 2020/2092</w:t>
      </w:r>
      <w:r w:rsidR="0091263C" w:rsidRPr="00954C29">
        <w:rPr>
          <w:rStyle w:val="Odwoanieprzypisudolnego"/>
          <w:rFonts w:ascii="Times New Roman" w:hAnsi="Times New Roman" w:cs="Times New Roman"/>
          <w:sz w:val="24"/>
          <w:szCs w:val="24"/>
          <w:lang w:val="en-GB"/>
        </w:rPr>
        <w:footnoteReference w:id="26"/>
      </w:r>
      <w:r w:rsidR="0091263C" w:rsidRPr="00954C29">
        <w:rPr>
          <w:rFonts w:ascii="Times New Roman" w:hAnsi="Times New Roman" w:cs="Times New Roman"/>
          <w:sz w:val="24"/>
          <w:szCs w:val="24"/>
          <w:lang w:val="en-GB"/>
        </w:rPr>
        <w:t>.</w:t>
      </w:r>
    </w:p>
    <w:p w14:paraId="16DB46E6" w14:textId="6E8624EB" w:rsidR="005163F4" w:rsidRPr="00954C29" w:rsidRDefault="00BB464B" w:rsidP="00BB464B">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situation became more tense after the Polish Constitutional Tribunal questioned the principle of primacy of the European Union law</w:t>
      </w:r>
      <w:r w:rsidRPr="00954C29">
        <w:rPr>
          <w:rStyle w:val="Odwoanieprzypisudolnego"/>
          <w:rFonts w:ascii="Times New Roman" w:hAnsi="Times New Roman" w:cs="Times New Roman"/>
          <w:sz w:val="24"/>
          <w:szCs w:val="24"/>
          <w:lang w:val="en-GB"/>
        </w:rPr>
        <w:footnoteReference w:id="27"/>
      </w:r>
      <w:r w:rsidRPr="00954C29">
        <w:rPr>
          <w:rFonts w:ascii="Times New Roman" w:hAnsi="Times New Roman" w:cs="Times New Roman"/>
          <w:sz w:val="24"/>
          <w:szCs w:val="24"/>
          <w:lang w:val="en-GB"/>
        </w:rPr>
        <w:t xml:space="preserve">. Afterwards, the European Parliament reacted </w:t>
      </w:r>
      <w:r w:rsidRPr="00954C29">
        <w:rPr>
          <w:rFonts w:ascii="Times New Roman" w:hAnsi="Times New Roman" w:cs="Times New Roman"/>
          <w:sz w:val="24"/>
          <w:szCs w:val="24"/>
          <w:lang w:val="en-GB"/>
        </w:rPr>
        <w:lastRenderedPageBreak/>
        <w:t xml:space="preserve">immediately </w:t>
      </w:r>
      <w:r w:rsidR="00580D5D" w:rsidRPr="00954C29">
        <w:rPr>
          <w:rFonts w:ascii="Times New Roman" w:hAnsi="Times New Roman" w:cs="Times New Roman"/>
          <w:sz w:val="24"/>
          <w:szCs w:val="24"/>
          <w:lang w:val="en-GB"/>
        </w:rPr>
        <w:t>with a resolution of 21 October 2021</w:t>
      </w:r>
      <w:r w:rsidR="00580D5D" w:rsidRPr="00954C29">
        <w:rPr>
          <w:rStyle w:val="Odwoanieprzypisudolnego"/>
          <w:rFonts w:ascii="Times New Roman" w:hAnsi="Times New Roman" w:cs="Times New Roman"/>
          <w:sz w:val="24"/>
          <w:szCs w:val="24"/>
          <w:lang w:val="en-GB"/>
        </w:rPr>
        <w:footnoteReference w:id="28"/>
      </w:r>
      <w:r w:rsidR="00580D5D" w:rsidRPr="00954C29">
        <w:rPr>
          <w:rFonts w:ascii="Times New Roman" w:hAnsi="Times New Roman" w:cs="Times New Roman"/>
          <w:sz w:val="24"/>
          <w:szCs w:val="24"/>
          <w:lang w:val="en-GB"/>
        </w:rPr>
        <w:t>. In this resolution the Parliament called the Commission and the Council to take urgent and coordinated action by:</w:t>
      </w:r>
    </w:p>
    <w:p w14:paraId="4CFF7772" w14:textId="3214EB8A" w:rsidR="00580D5D" w:rsidRPr="00954C29" w:rsidRDefault="00580D5D" w:rsidP="00580D5D">
      <w:pPr>
        <w:pStyle w:val="Bezodstpw"/>
        <w:numPr>
          <w:ilvl w:val="0"/>
          <w:numId w:val="3"/>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launching infringement procedures in relation to the legislation on the illegitimate ‘Constitutional Tribunal’, its unlawful composition and its role in preventing compliance with the judgments of the CJEU, and asking the CJEU to impose interim measures as well as launching infringement proceedings in relation to the Extraordinary Control and Public Affairs Chamber of the Supreme Court, the National Council of the Judiciary and the State Prosecution Services of Poland;</w:t>
      </w:r>
    </w:p>
    <w:p w14:paraId="051A00E3" w14:textId="243BC183" w:rsidR="00580D5D" w:rsidRPr="00954C29" w:rsidRDefault="00580D5D" w:rsidP="00580D5D">
      <w:pPr>
        <w:pStyle w:val="Bezodstpw"/>
        <w:numPr>
          <w:ilvl w:val="0"/>
          <w:numId w:val="3"/>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triggering the procedure provided for in Article 6(1) of the Rule of Law Conditionality Regulation for Poland, on the part of the Commission, while recalling that Article 5 of the regulation protects access to funding for final recipients and beneficiaries and directing the Commission to do its utmost to ensure that payments are made;</w:t>
      </w:r>
    </w:p>
    <w:p w14:paraId="555D3F1C" w14:textId="4217773E" w:rsidR="00580D5D" w:rsidRPr="00954C29" w:rsidRDefault="00580D5D" w:rsidP="00580D5D">
      <w:pPr>
        <w:pStyle w:val="Bezodstpw"/>
        <w:numPr>
          <w:ilvl w:val="0"/>
          <w:numId w:val="3"/>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refraining from approving the draft recovery and resilience plan of Poland until the Government of Poland implements the judgments of the CJEU and international courts fully and properly, and ensuring that the assessment of the plan guarantees compliance with the relevant country-specific recommendations, in particular on safeguarding judicial independence;</w:t>
      </w:r>
    </w:p>
    <w:p w14:paraId="38A62869" w14:textId="74822566" w:rsidR="00580D5D" w:rsidRPr="00954C29" w:rsidRDefault="00580D5D" w:rsidP="00580D5D">
      <w:pPr>
        <w:pStyle w:val="Bezodstpw"/>
        <w:numPr>
          <w:ilvl w:val="0"/>
          <w:numId w:val="3"/>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adopting unambiguous recommendations, which does not require unanimity, to address breaches of the rule of law by Poland, with a clear timeline, and declaring that there is a clear risk of a serious breach of the rule of law by Poland, in accordance with the procedure laid down in Article 7(1) TEU, on the part of the Council, and expanding the scope of this procedure to cover fundamental rights and democracy;</w:t>
      </w:r>
    </w:p>
    <w:p w14:paraId="52909DB1" w14:textId="54F80215" w:rsidR="00580D5D" w:rsidRPr="00954C29" w:rsidRDefault="00580D5D" w:rsidP="00580D5D">
      <w:pPr>
        <w:pStyle w:val="Bezodstpw"/>
        <w:numPr>
          <w:ilvl w:val="0"/>
          <w:numId w:val="3"/>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using their powers, including interrupting or suspending payments or making financial corrections where necessary, in accordance with the applicable Common Provisions Regulation, given the risk of serious deficiencies in the effective functioning of the control systems in Poland due to the lack of judicial independence that puts at risk the legality and regularity of expenditure;</w:t>
      </w:r>
    </w:p>
    <w:p w14:paraId="1CF38E2B" w14:textId="38AF1C5A" w:rsidR="00580D5D" w:rsidRPr="00954C29" w:rsidRDefault="00580D5D" w:rsidP="00580D5D">
      <w:pPr>
        <w:pStyle w:val="Bezodstpw"/>
        <w:numPr>
          <w:ilvl w:val="0"/>
          <w:numId w:val="3"/>
        </w:numPr>
        <w:spacing w:line="360" w:lineRule="auto"/>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 xml:space="preserve">discussing the rule of law crisis in Poland in the presence of the President of the European Parliament and taking a clear position, issuing a joint declaration in the strongest possible terms on the matter signed by the EU heads of state and government at their upcoming </w:t>
      </w:r>
      <w:r w:rsidRPr="00954C29">
        <w:rPr>
          <w:rFonts w:ascii="Times New Roman" w:hAnsi="Times New Roman" w:cs="Times New Roman"/>
          <w:sz w:val="24"/>
          <w:szCs w:val="24"/>
          <w:lang w:val="en-GB"/>
        </w:rPr>
        <w:lastRenderedPageBreak/>
        <w:t>summit on 21-22 October 2021, and having an urgent follow-up at the next General Affairs Council.</w:t>
      </w:r>
    </w:p>
    <w:p w14:paraId="2717247E" w14:textId="1F2B6B9A" w:rsidR="003A5208" w:rsidRPr="00954C29" w:rsidRDefault="005163F4" w:rsidP="00622AC7">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As it was mentioned before, d</w:t>
      </w:r>
      <w:r w:rsidR="009B2BA1" w:rsidRPr="00954C29">
        <w:rPr>
          <w:rFonts w:ascii="Times New Roman" w:hAnsi="Times New Roman" w:cs="Times New Roman"/>
          <w:sz w:val="24"/>
          <w:szCs w:val="24"/>
          <w:lang w:val="en-GB"/>
        </w:rPr>
        <w:t xml:space="preserve">espite </w:t>
      </w:r>
      <w:r w:rsidR="00A760FD" w:rsidRPr="00954C29">
        <w:rPr>
          <w:rFonts w:ascii="Times New Roman" w:hAnsi="Times New Roman" w:cs="Times New Roman"/>
          <w:sz w:val="24"/>
          <w:szCs w:val="24"/>
          <w:lang w:val="en-GB"/>
        </w:rPr>
        <w:t>numerous changes to the text of the regulation no. 2020/2092 during the legislative process</w:t>
      </w:r>
      <w:r w:rsidR="009B2BA1" w:rsidRPr="00954C29">
        <w:rPr>
          <w:rFonts w:ascii="Times New Roman" w:hAnsi="Times New Roman" w:cs="Times New Roman"/>
          <w:sz w:val="24"/>
          <w:szCs w:val="24"/>
          <w:lang w:val="en-GB"/>
        </w:rPr>
        <w:t>, Hungary and Poland were raising doubts about the legality of this regulation. They claimed, i.a. that the regulation lacked a legal basis and that it had been adopted to omit very strict exigencies of art. 7 TEU, but also that the regulation poses a threat to sovereignty</w:t>
      </w:r>
      <w:r w:rsidR="00DB7EC7" w:rsidRPr="00954C29">
        <w:rPr>
          <w:rFonts w:ascii="Times New Roman" w:hAnsi="Times New Roman" w:cs="Times New Roman"/>
          <w:sz w:val="24"/>
          <w:szCs w:val="24"/>
          <w:lang w:val="en-GB"/>
        </w:rPr>
        <w:t xml:space="preserve"> and equality</w:t>
      </w:r>
      <w:r w:rsidR="009B2BA1" w:rsidRPr="00954C29">
        <w:rPr>
          <w:rFonts w:ascii="Times New Roman" w:hAnsi="Times New Roman" w:cs="Times New Roman"/>
          <w:sz w:val="24"/>
          <w:szCs w:val="24"/>
          <w:lang w:val="en-GB"/>
        </w:rPr>
        <w:t xml:space="preserve"> of the Member States</w:t>
      </w:r>
      <w:r w:rsidR="00DB7EC7" w:rsidRPr="00954C29">
        <w:rPr>
          <w:rFonts w:ascii="Times New Roman" w:hAnsi="Times New Roman" w:cs="Times New Roman"/>
          <w:sz w:val="24"/>
          <w:szCs w:val="24"/>
          <w:lang w:val="en-GB"/>
        </w:rPr>
        <w:t xml:space="preserve"> and violates the principle of legal certainty</w:t>
      </w:r>
      <w:r w:rsidR="009B2BA1" w:rsidRPr="00954C29">
        <w:rPr>
          <w:rFonts w:ascii="Times New Roman" w:hAnsi="Times New Roman" w:cs="Times New Roman"/>
          <w:sz w:val="24"/>
          <w:szCs w:val="24"/>
          <w:lang w:val="en-GB"/>
        </w:rPr>
        <w:t>.</w:t>
      </w:r>
      <w:r w:rsidR="00DB7EC7" w:rsidRPr="00954C29">
        <w:rPr>
          <w:rFonts w:ascii="Times New Roman" w:hAnsi="Times New Roman" w:cs="Times New Roman"/>
          <w:sz w:val="24"/>
          <w:szCs w:val="24"/>
          <w:lang w:val="en-GB"/>
        </w:rPr>
        <w:t xml:space="preserve"> In two judgments of 16 February 2022</w:t>
      </w:r>
      <w:r w:rsidR="00DB7EC7" w:rsidRPr="00954C29">
        <w:rPr>
          <w:rStyle w:val="Odwoanieprzypisudolnego"/>
          <w:rFonts w:ascii="Times New Roman" w:hAnsi="Times New Roman" w:cs="Times New Roman"/>
          <w:sz w:val="24"/>
          <w:szCs w:val="24"/>
          <w:lang w:val="en-GB"/>
        </w:rPr>
        <w:footnoteReference w:id="29"/>
      </w:r>
      <w:r w:rsidR="00DB7EC7" w:rsidRPr="00954C29">
        <w:rPr>
          <w:rFonts w:ascii="Times New Roman" w:hAnsi="Times New Roman" w:cs="Times New Roman"/>
          <w:sz w:val="24"/>
          <w:szCs w:val="24"/>
          <w:lang w:val="en-GB"/>
        </w:rPr>
        <w:t xml:space="preserve"> the Court of Justice rejected the Hungarian and Polish arguments.</w:t>
      </w:r>
    </w:p>
    <w:p w14:paraId="7A340B2D" w14:textId="363E6258" w:rsidR="00194128" w:rsidRPr="00954C29" w:rsidRDefault="00DB7EC7"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Regards the argument that the EU lacked the competence to adopt the regulation</w:t>
      </w:r>
      <w:r w:rsidR="00A760FD" w:rsidRPr="00954C29">
        <w:rPr>
          <w:rFonts w:ascii="Times New Roman" w:hAnsi="Times New Roman" w:cs="Times New Roman"/>
          <w:sz w:val="24"/>
          <w:szCs w:val="24"/>
          <w:lang w:val="en-GB"/>
        </w:rPr>
        <w:t xml:space="preserve"> no.</w:t>
      </w:r>
      <w:r w:rsidRPr="00954C29">
        <w:rPr>
          <w:rFonts w:ascii="Times New Roman" w:hAnsi="Times New Roman" w:cs="Times New Roman"/>
          <w:sz w:val="24"/>
          <w:szCs w:val="24"/>
          <w:lang w:val="en-GB"/>
        </w:rPr>
        <w:t xml:space="preserve"> 2020/2092 the Co</w:t>
      </w:r>
      <w:r w:rsidR="00B81895">
        <w:rPr>
          <w:rFonts w:ascii="Times New Roman" w:hAnsi="Times New Roman" w:cs="Times New Roman"/>
          <w:sz w:val="24"/>
          <w:szCs w:val="24"/>
          <w:lang w:val="en-GB"/>
        </w:rPr>
        <w:t xml:space="preserve">urt of </w:t>
      </w:r>
      <w:r w:rsidRPr="00954C29">
        <w:rPr>
          <w:rFonts w:ascii="Times New Roman" w:hAnsi="Times New Roman" w:cs="Times New Roman"/>
          <w:sz w:val="24"/>
          <w:szCs w:val="24"/>
          <w:lang w:val="en-GB"/>
        </w:rPr>
        <w:t>J</w:t>
      </w:r>
      <w:r w:rsidR="00B81895">
        <w:rPr>
          <w:rFonts w:ascii="Times New Roman" w:hAnsi="Times New Roman" w:cs="Times New Roman"/>
          <w:sz w:val="24"/>
          <w:szCs w:val="24"/>
          <w:lang w:val="en-GB"/>
        </w:rPr>
        <w:t>ustice</w:t>
      </w:r>
      <w:r w:rsidRPr="00954C29">
        <w:rPr>
          <w:rFonts w:ascii="Times New Roman" w:hAnsi="Times New Roman" w:cs="Times New Roman"/>
          <w:sz w:val="24"/>
          <w:szCs w:val="24"/>
          <w:lang w:val="en-GB"/>
        </w:rPr>
        <w:t xml:space="preserve"> referred to the Article 322(1)(a) TFEU, according to which the European Parliament and the Council, acting in accordance with the ordinary legislative procedure, and after consulting the Court of Auditors, shall adopt by means of regulations the financial rules which determine in particular the procedure to be adopted for establishing and implementing the budget and for presenting and auditing accounts and concluded that these rules cover not only the rules which define how expenditure shown in the budget is to be implemented as such but also, in particular, the rules which determine the control and audit obligations on the Member States when the Commission implements the budget in cooperation with them, and the resulting responsibilities. Moreover, they are intended to ensure observance of the principle of sound financial management, including by the Member States, when implementing the Union budget</w:t>
      </w:r>
      <w:r w:rsidR="00CD1F46" w:rsidRPr="00954C29">
        <w:rPr>
          <w:rStyle w:val="Odwoanieprzypisudolnego"/>
          <w:rFonts w:ascii="Times New Roman" w:hAnsi="Times New Roman" w:cs="Times New Roman"/>
          <w:sz w:val="24"/>
          <w:szCs w:val="24"/>
          <w:lang w:val="en-GB"/>
        </w:rPr>
        <w:footnoteReference w:id="30"/>
      </w:r>
      <w:r w:rsidRPr="00954C29">
        <w:rPr>
          <w:rFonts w:ascii="Times New Roman" w:hAnsi="Times New Roman" w:cs="Times New Roman"/>
          <w:sz w:val="24"/>
          <w:szCs w:val="24"/>
          <w:lang w:val="en-GB"/>
        </w:rPr>
        <w:t>.</w:t>
      </w:r>
    </w:p>
    <w:p w14:paraId="55DD0484" w14:textId="535376AD" w:rsidR="00194128" w:rsidRPr="00954C29" w:rsidRDefault="00194128"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Court emphasized that the purpose of the contested regulation is to protect the Union budget from effects resulting from breaches of the principles of the rule of law in a Member State in a sufficiently direct way, and not to penalise those breaches as such and this aim is in line with the requirement that the Union budget be implemented in accordance with the principle of sound financial management, laid down in particular in Article 310(5) TFEU</w:t>
      </w:r>
      <w:r w:rsidR="00CD1F46" w:rsidRPr="00954C29">
        <w:rPr>
          <w:rStyle w:val="Odwoanieprzypisudolnego"/>
          <w:rFonts w:ascii="Times New Roman" w:hAnsi="Times New Roman" w:cs="Times New Roman"/>
          <w:sz w:val="24"/>
          <w:szCs w:val="24"/>
          <w:lang w:val="en-GB"/>
        </w:rPr>
        <w:footnoteReference w:id="31"/>
      </w:r>
      <w:r w:rsidRPr="00954C29">
        <w:rPr>
          <w:rFonts w:ascii="Times New Roman" w:hAnsi="Times New Roman" w:cs="Times New Roman"/>
          <w:sz w:val="24"/>
          <w:szCs w:val="24"/>
          <w:lang w:val="en-GB"/>
        </w:rPr>
        <w:t>.</w:t>
      </w:r>
    </w:p>
    <w:p w14:paraId="31061BB0" w14:textId="6B2A9580" w:rsidR="00194128" w:rsidRPr="00954C29" w:rsidRDefault="00194128"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 xml:space="preserve">The values of Article 2 TEU define the very identity of the European Union and the EU must be able to defend them. The EU budget itself is one of principal instruments permitting </w:t>
      </w:r>
      <w:r w:rsidRPr="00954C29">
        <w:rPr>
          <w:rFonts w:ascii="Times New Roman" w:hAnsi="Times New Roman" w:cs="Times New Roman"/>
          <w:sz w:val="24"/>
          <w:szCs w:val="24"/>
          <w:lang w:val="en-GB"/>
        </w:rPr>
        <w:lastRenderedPageBreak/>
        <w:t>realisation of values enshrined in Article 2 TEU.</w:t>
      </w:r>
      <w:r w:rsidR="00F961FF" w:rsidRPr="00954C29">
        <w:rPr>
          <w:rFonts w:ascii="Times New Roman" w:hAnsi="Times New Roman" w:cs="Times New Roman"/>
          <w:sz w:val="24"/>
          <w:szCs w:val="24"/>
          <w:lang w:val="en-GB"/>
        </w:rPr>
        <w:t xml:space="preserve"> The Court indicated that there is a clear relationship between respect for the value of the rule of law and the efficient implementation of the Union budget, in accordance with the principles of sound financial management, and the protection of the financial interests of the Union, which are liable to be seriously compromised by breaches of the principles of the rule of law committed in a Member State, since those breaches may result in the lack of guarantees that expenditure covered by the Union budget satisfies all the financing conditions laid down by EU law and therefore meets the objectives pursued by the European Union when it finances such expenditure.</w:t>
      </w:r>
      <w:r w:rsidR="00006ABA" w:rsidRPr="00954C29">
        <w:rPr>
          <w:rFonts w:ascii="Times New Roman" w:hAnsi="Times New Roman" w:cs="Times New Roman"/>
          <w:sz w:val="24"/>
          <w:szCs w:val="24"/>
          <w:lang w:val="en-GB"/>
        </w:rPr>
        <w:t xml:space="preserve"> In particular, the absence of effective judicial review </w:t>
      </w:r>
      <w:r w:rsidR="002B3320" w:rsidRPr="00954C29">
        <w:rPr>
          <w:rFonts w:ascii="Times New Roman" w:hAnsi="Times New Roman" w:cs="Times New Roman"/>
          <w:sz w:val="24"/>
          <w:szCs w:val="24"/>
          <w:lang w:val="en-GB"/>
        </w:rPr>
        <w:t>poses a threat to the EU budget</w:t>
      </w:r>
      <w:r w:rsidR="00CD1F46" w:rsidRPr="00954C29">
        <w:rPr>
          <w:rStyle w:val="Odwoanieprzypisudolnego"/>
          <w:rFonts w:ascii="Times New Roman" w:hAnsi="Times New Roman" w:cs="Times New Roman"/>
          <w:sz w:val="24"/>
          <w:szCs w:val="24"/>
          <w:lang w:val="en-GB"/>
        </w:rPr>
        <w:footnoteReference w:id="32"/>
      </w:r>
      <w:r w:rsidR="002B3320" w:rsidRPr="00954C29">
        <w:rPr>
          <w:rFonts w:ascii="Times New Roman" w:hAnsi="Times New Roman" w:cs="Times New Roman"/>
          <w:sz w:val="24"/>
          <w:szCs w:val="24"/>
          <w:lang w:val="en-GB"/>
        </w:rPr>
        <w:t>.</w:t>
      </w:r>
    </w:p>
    <w:p w14:paraId="4B82CB7C" w14:textId="51769229" w:rsidR="002B3320" w:rsidRPr="00954C29" w:rsidRDefault="002B3320"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Court paid attention to the fact that the regulation 2020/2092 allows the EU institutions to examine situations in the Member States only in so far as they are relevant to the sound financial management of the Union budget or the protection of the financial interests of the Union and appropriate measures can be adopted under that regulation only where it is established that such situations involve a breach of one of the principles of the rule of law which affects or seriously risks affecting that sound financial management or the protection of those financial interests of the Union in a sufficiently direct way. Therefore, this regulation does not cover other situations in which the EU law can be applied and can have effects for the Member State concerned</w:t>
      </w:r>
      <w:r w:rsidR="00CD1F46" w:rsidRPr="00954C29">
        <w:rPr>
          <w:rStyle w:val="Odwoanieprzypisudolnego"/>
          <w:rFonts w:ascii="Times New Roman" w:hAnsi="Times New Roman" w:cs="Times New Roman"/>
          <w:sz w:val="24"/>
          <w:szCs w:val="24"/>
          <w:lang w:val="en-GB"/>
        </w:rPr>
        <w:footnoteReference w:id="33"/>
      </w:r>
      <w:r w:rsidRPr="00954C29">
        <w:rPr>
          <w:rFonts w:ascii="Times New Roman" w:hAnsi="Times New Roman" w:cs="Times New Roman"/>
          <w:sz w:val="24"/>
          <w:szCs w:val="24"/>
          <w:lang w:val="en-GB"/>
        </w:rPr>
        <w:t>.</w:t>
      </w:r>
      <w:r w:rsidR="003C3D21">
        <w:rPr>
          <w:rFonts w:ascii="Times New Roman" w:hAnsi="Times New Roman" w:cs="Times New Roman"/>
          <w:sz w:val="24"/>
          <w:szCs w:val="24"/>
          <w:lang w:val="en-GB"/>
        </w:rPr>
        <w:t xml:space="preserve"> On the other hand, a breach does not have to be actual, a mere potential effect is sufficient to trigger the application of the regulation</w:t>
      </w:r>
      <w:r w:rsidR="003C3D21">
        <w:rPr>
          <w:rStyle w:val="Odwoanieprzypisudolnego"/>
          <w:rFonts w:ascii="Times New Roman" w:hAnsi="Times New Roman" w:cs="Times New Roman"/>
          <w:sz w:val="24"/>
          <w:szCs w:val="24"/>
          <w:lang w:val="en-GB"/>
        </w:rPr>
        <w:footnoteReference w:id="34"/>
      </w:r>
      <w:r w:rsidR="003C3D21">
        <w:rPr>
          <w:rFonts w:ascii="Times New Roman" w:hAnsi="Times New Roman" w:cs="Times New Roman"/>
          <w:sz w:val="24"/>
          <w:szCs w:val="24"/>
          <w:lang w:val="en-GB"/>
        </w:rPr>
        <w:t>.</w:t>
      </w:r>
    </w:p>
    <w:p w14:paraId="59BB02A1" w14:textId="1AA77873" w:rsidR="002B3320" w:rsidRPr="00954C29" w:rsidRDefault="002B3320"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In addition, the provisions of the regulation 2020/2092 do not circumvent Article 7 TEU. Nevertheless, the rule of law in the European Union can be protected not only by the Article 7 procedure.</w:t>
      </w:r>
      <w:r w:rsidRPr="00954C29">
        <w:rPr>
          <w:lang w:val="en-GB"/>
        </w:rPr>
        <w:t xml:space="preserve"> </w:t>
      </w:r>
      <w:r w:rsidRPr="00954C29">
        <w:rPr>
          <w:rFonts w:ascii="Times New Roman" w:hAnsi="Times New Roman" w:cs="Times New Roman"/>
          <w:sz w:val="24"/>
          <w:szCs w:val="24"/>
          <w:lang w:val="en-GB"/>
        </w:rPr>
        <w:t xml:space="preserve">The EU legislature cannot establish a procedure parallel to that laid down by that provision, having the same subject matter, pursuing the same objective and allowing the adoption of identical measures, while providing for the involvement of different institutions or for different material and procedural conditions from those laid down by that provision. On the other hand it is permissible to establish other procedures relating to the Article 2 TEU values </w:t>
      </w:r>
      <w:r w:rsidR="00155C30" w:rsidRPr="00954C29">
        <w:rPr>
          <w:rFonts w:ascii="Times New Roman" w:hAnsi="Times New Roman" w:cs="Times New Roman"/>
          <w:sz w:val="24"/>
          <w:szCs w:val="24"/>
          <w:lang w:val="en-GB"/>
        </w:rPr>
        <w:lastRenderedPageBreak/>
        <w:t>provided that those procedures are different, in terms of both their aim and their subject matter, from the procedure laid down in Article 7 TEU</w:t>
      </w:r>
      <w:r w:rsidR="00CD1F46" w:rsidRPr="00954C29">
        <w:rPr>
          <w:rStyle w:val="Odwoanieprzypisudolnego"/>
          <w:rFonts w:ascii="Times New Roman" w:hAnsi="Times New Roman" w:cs="Times New Roman"/>
          <w:sz w:val="24"/>
          <w:szCs w:val="24"/>
          <w:lang w:val="en-GB"/>
        </w:rPr>
        <w:footnoteReference w:id="35"/>
      </w:r>
      <w:r w:rsidR="00155C30" w:rsidRPr="00954C29">
        <w:rPr>
          <w:rFonts w:ascii="Times New Roman" w:hAnsi="Times New Roman" w:cs="Times New Roman"/>
          <w:sz w:val="24"/>
          <w:szCs w:val="24"/>
          <w:lang w:val="en-GB"/>
        </w:rPr>
        <w:t>.</w:t>
      </w:r>
    </w:p>
    <w:p w14:paraId="1BFFB5D6" w14:textId="767AF866" w:rsidR="00155C30" w:rsidRPr="00954C29" w:rsidRDefault="00155C30"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The procedures of Article 7 TEU and of the regulation 2020/2092 have different purposes and various scopes of their applicability. The procedure of Article 7 TEU covers all values of Article 2 TEU, whereas the regulation 2020/2092 focuses on the rule of law solely. As a result, each of the procedures provides for its unique measures to be undertaken in case of a violation</w:t>
      </w:r>
      <w:r w:rsidR="00CD1F46" w:rsidRPr="00954C29">
        <w:rPr>
          <w:rStyle w:val="Odwoanieprzypisudolnego"/>
          <w:rFonts w:ascii="Times New Roman" w:hAnsi="Times New Roman" w:cs="Times New Roman"/>
          <w:sz w:val="24"/>
          <w:szCs w:val="24"/>
          <w:lang w:val="en-GB"/>
        </w:rPr>
        <w:footnoteReference w:id="36"/>
      </w:r>
      <w:r w:rsidRPr="00954C29">
        <w:rPr>
          <w:rFonts w:ascii="Times New Roman" w:hAnsi="Times New Roman" w:cs="Times New Roman"/>
          <w:sz w:val="24"/>
          <w:szCs w:val="24"/>
          <w:lang w:val="en-GB"/>
        </w:rPr>
        <w:t>.</w:t>
      </w:r>
    </w:p>
    <w:p w14:paraId="085B4548" w14:textId="37079E0B" w:rsidR="00155C30" w:rsidRPr="00954C29" w:rsidRDefault="00155C30"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Regarding the alleged violation of legal certainty, Hungary and Poland raised that the concept of the ‘rule of law’ is too general, it lacks a precise definition and therefore cannot be given a uniform interpretation. The rules of the EU law should be clear and precise and their application should be foreseeable to those subject to the law. This requirement neither precludes the EU from having recourse to an abstract legal notion, nor as requiring that such an abstract norm refer to the various specific hypotheses in which it applies, given that all those hypotheses could not be determined in advance by the legislature. The mere fact that a law confers a discretion on the authorities responsible for implementing it is not in itself inconsistent with the requirement of foreseeability, provided that the scope of the discretion and the manner of its exercise are indicated with sufficient clarity, having regard to the legitimate aim in question, to give adequate protection against arbitrary interference</w:t>
      </w:r>
      <w:r w:rsidR="00CD1F46" w:rsidRPr="00954C29">
        <w:rPr>
          <w:rStyle w:val="Odwoanieprzypisudolnego"/>
          <w:rFonts w:ascii="Times New Roman" w:hAnsi="Times New Roman" w:cs="Times New Roman"/>
          <w:sz w:val="24"/>
          <w:szCs w:val="24"/>
          <w:lang w:val="en-GB"/>
        </w:rPr>
        <w:footnoteReference w:id="37"/>
      </w:r>
      <w:r w:rsidRPr="00954C29">
        <w:rPr>
          <w:rFonts w:ascii="Times New Roman" w:hAnsi="Times New Roman" w:cs="Times New Roman"/>
          <w:sz w:val="24"/>
          <w:szCs w:val="24"/>
          <w:lang w:val="en-GB"/>
        </w:rPr>
        <w:t>.</w:t>
      </w:r>
    </w:p>
    <w:p w14:paraId="11904BBB" w14:textId="0095C052" w:rsidR="00D07A8A" w:rsidRPr="00954C29" w:rsidRDefault="00D07A8A" w:rsidP="00194128">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 xml:space="preserve">The text of the regulation 2020/2092 refers to principles, forming part of the rule of law, that have been the subject of extensive case-law of the CJEU. Moreover, these very principles have their source in common values which are also recognised and applied by the Member States in their own legal systems. In application of the provisions of the regulation 2020/2092 the Commission and the Council are subject to procedural requirements and they must adopt an evidence-based approach and respect the principles of objectivity, non-discrimination and equal treatment of Member States. In addition, the regulation does not allow arbitrary penalties to be imposed in uncertain or unproven situations, as the EU institutions are obliged to impose penalties with the full respect of the principle of proportionality. </w:t>
      </w:r>
      <w:r w:rsidR="008A2AD3" w:rsidRPr="00954C29">
        <w:rPr>
          <w:rFonts w:ascii="Times New Roman" w:hAnsi="Times New Roman" w:cs="Times New Roman"/>
          <w:sz w:val="24"/>
          <w:szCs w:val="24"/>
          <w:lang w:val="en-GB"/>
        </w:rPr>
        <w:t xml:space="preserve">The sources, on which the institutions are to form their decisions, should be objective, impartial and fair, should respect the principles of objectivity, non-discrimination and equality of Member States. </w:t>
      </w:r>
      <w:r w:rsidRPr="00954C29">
        <w:rPr>
          <w:rFonts w:ascii="Times New Roman" w:hAnsi="Times New Roman" w:cs="Times New Roman"/>
          <w:sz w:val="24"/>
          <w:szCs w:val="24"/>
          <w:lang w:val="en-GB"/>
        </w:rPr>
        <w:t xml:space="preserve">It can be </w:t>
      </w:r>
      <w:r w:rsidRPr="00954C29">
        <w:rPr>
          <w:rFonts w:ascii="Times New Roman" w:hAnsi="Times New Roman" w:cs="Times New Roman"/>
          <w:sz w:val="24"/>
          <w:szCs w:val="24"/>
          <w:lang w:val="en-GB"/>
        </w:rPr>
        <w:lastRenderedPageBreak/>
        <w:t>therefore concluded, that all aspects of the application of the regulation are completely foreseeable</w:t>
      </w:r>
      <w:r w:rsidR="00CD1F46" w:rsidRPr="00954C29">
        <w:rPr>
          <w:rStyle w:val="Odwoanieprzypisudolnego"/>
          <w:rFonts w:ascii="Times New Roman" w:hAnsi="Times New Roman" w:cs="Times New Roman"/>
          <w:sz w:val="24"/>
          <w:szCs w:val="24"/>
          <w:lang w:val="en-GB"/>
        </w:rPr>
        <w:footnoteReference w:id="38"/>
      </w:r>
      <w:r w:rsidRPr="00954C29">
        <w:rPr>
          <w:rFonts w:ascii="Times New Roman" w:hAnsi="Times New Roman" w:cs="Times New Roman"/>
          <w:sz w:val="24"/>
          <w:szCs w:val="24"/>
          <w:lang w:val="en-GB"/>
        </w:rPr>
        <w:t xml:space="preserve">. </w:t>
      </w:r>
    </w:p>
    <w:p w14:paraId="70FA55AC" w14:textId="25994DEE" w:rsidR="00A43B09" w:rsidRPr="00954C29" w:rsidRDefault="0030588D" w:rsidP="00A43B09">
      <w:pPr>
        <w:pStyle w:val="Bezodstpw"/>
        <w:spacing w:line="360" w:lineRule="auto"/>
        <w:ind w:firstLine="709"/>
        <w:jc w:val="both"/>
        <w:rPr>
          <w:rFonts w:ascii="Times New Roman" w:hAnsi="Times New Roman" w:cs="Times New Roman"/>
          <w:sz w:val="24"/>
          <w:szCs w:val="24"/>
          <w:lang w:val="en-GB"/>
        </w:rPr>
      </w:pPr>
      <w:r w:rsidRPr="00954C29">
        <w:rPr>
          <w:rFonts w:ascii="Times New Roman" w:hAnsi="Times New Roman" w:cs="Times New Roman"/>
          <w:sz w:val="24"/>
          <w:szCs w:val="24"/>
          <w:lang w:val="en-GB"/>
        </w:rPr>
        <w:t>Poland raised in its application to the CJEU that the contested regulation violates the principle of equality of the EU Member States and it does not respect national identities of the Member States. To this regard the Court once again referred to Article 2 TEU obligations of the Member States and emphasized that obligation to observe those principles constitutes an obligation as to the result to be achieved on the part of the Member States, which flows directly from their membership of the European Union, pursuant to Article 2 TEU, which no Member State may disregard and which the contested regulation merely implements as regards action by the national authorities relating to expenditure covered by the Union budget</w:t>
      </w:r>
      <w:r w:rsidR="00EB71CB" w:rsidRPr="00954C29">
        <w:rPr>
          <w:rFonts w:ascii="Times New Roman" w:hAnsi="Times New Roman" w:cs="Times New Roman"/>
          <w:sz w:val="24"/>
          <w:szCs w:val="24"/>
          <w:lang w:val="en-GB"/>
        </w:rPr>
        <w:t>. As the European Union respects the national identities of Member States, inherent in their fundamental structures, political and constitutional, it is for its institutions to take account of the characteristics of the constitutional and legal systems of those Member States, when they verify whether the Member States satisfy the obligations as to the result to be achieved which arise directly from their membership of the European Union, pursuant to Article 2 TEU. Therefore Poland could not claim that it did not have specific and precise knowledge of the obligations as to the result to be achieved binding on it due to its accession to the European Union, in terms of respect for the value of the rule of law. Those principles of the rule of law, as developed in the case-law of the Court on the basis of the EU Treaties, are recognised and specified in the legal order of the European Union and have their source in common values which are also recognised and applied by the Member States in their own legal systems. For the very same reasons the contested regulation did not violate the principle of legal certainty</w:t>
      </w:r>
      <w:r w:rsidRPr="00954C29">
        <w:rPr>
          <w:rStyle w:val="Odwoanieprzypisudolnego"/>
          <w:rFonts w:ascii="Times New Roman" w:hAnsi="Times New Roman" w:cs="Times New Roman"/>
          <w:sz w:val="24"/>
          <w:szCs w:val="24"/>
          <w:lang w:val="en-GB"/>
        </w:rPr>
        <w:footnoteReference w:id="39"/>
      </w:r>
      <w:r w:rsidRPr="00954C29">
        <w:rPr>
          <w:rFonts w:ascii="Times New Roman" w:hAnsi="Times New Roman" w:cs="Times New Roman"/>
          <w:sz w:val="24"/>
          <w:szCs w:val="24"/>
          <w:lang w:val="en-GB"/>
        </w:rPr>
        <w:t>.</w:t>
      </w:r>
    </w:p>
    <w:p w14:paraId="6970587D" w14:textId="56BF0DE1" w:rsidR="00A43B09" w:rsidRPr="00CE7C46" w:rsidRDefault="00A43B09" w:rsidP="00A43B09">
      <w:pPr>
        <w:pStyle w:val="Bezodstpw"/>
        <w:spacing w:line="360" w:lineRule="auto"/>
        <w:ind w:firstLine="709"/>
        <w:jc w:val="both"/>
        <w:rPr>
          <w:rFonts w:ascii="Times New Roman" w:hAnsi="Times New Roman" w:cs="Times New Roman"/>
          <w:color w:val="000000"/>
          <w:sz w:val="24"/>
          <w:szCs w:val="24"/>
          <w:lang w:val="en-US"/>
        </w:rPr>
      </w:pPr>
      <w:r w:rsidRPr="00954C29">
        <w:rPr>
          <w:rFonts w:ascii="Times New Roman" w:hAnsi="Times New Roman" w:cs="Times New Roman"/>
          <w:sz w:val="24"/>
          <w:szCs w:val="24"/>
          <w:lang w:val="en-GB"/>
        </w:rPr>
        <w:t>Briefly after the judgments were delivered, the Commission adopted the necessary guidelines on 2 March 2022</w:t>
      </w:r>
      <w:r w:rsidRPr="00954C29">
        <w:rPr>
          <w:rStyle w:val="Odwoanieprzypisudolnego"/>
          <w:rFonts w:ascii="Times New Roman" w:hAnsi="Times New Roman" w:cs="Times New Roman"/>
          <w:sz w:val="24"/>
          <w:szCs w:val="24"/>
          <w:lang w:val="en-GB"/>
        </w:rPr>
        <w:footnoteReference w:id="40"/>
      </w:r>
      <w:r w:rsidRPr="00954C29">
        <w:rPr>
          <w:rFonts w:ascii="Times New Roman" w:hAnsi="Times New Roman" w:cs="Times New Roman"/>
          <w:sz w:val="24"/>
          <w:szCs w:val="24"/>
          <w:lang w:val="en-GB"/>
        </w:rPr>
        <w:t xml:space="preserve">. The European Commission decided that it </w:t>
      </w:r>
      <w:r w:rsidRPr="00954C29">
        <w:rPr>
          <w:rFonts w:ascii="Times New Roman" w:hAnsi="Times New Roman" w:cs="Times New Roman"/>
          <w:color w:val="000000"/>
          <w:sz w:val="24"/>
          <w:szCs w:val="24"/>
          <w:lang w:val="en-GB"/>
        </w:rPr>
        <w:t>will carry out a thorough qualitative assessment on a case-by-case basis based on actual facts or evidence. A  mere finding that a breach of the principles of the rule of law exists is not sufficient to trigger the application of the regulation no</w:t>
      </w:r>
      <w:r w:rsidR="00821280" w:rsidRPr="00954C29">
        <w:rPr>
          <w:rFonts w:ascii="Times New Roman" w:hAnsi="Times New Roman" w:cs="Times New Roman"/>
          <w:color w:val="000000"/>
          <w:sz w:val="24"/>
          <w:szCs w:val="24"/>
          <w:lang w:val="en-GB"/>
        </w:rPr>
        <w:t>.</w:t>
      </w:r>
      <w:r w:rsidRPr="00954C29">
        <w:rPr>
          <w:rFonts w:ascii="Times New Roman" w:hAnsi="Times New Roman" w:cs="Times New Roman"/>
          <w:color w:val="000000"/>
          <w:sz w:val="24"/>
          <w:szCs w:val="24"/>
          <w:lang w:val="en-GB"/>
        </w:rPr>
        <w:t xml:space="preserve"> 2020/2092. In addition to that the Commission will have to confirm that the violation itself affects or seriously risks affecting the sound financial </w:t>
      </w:r>
      <w:r w:rsidRPr="00954C29">
        <w:rPr>
          <w:rFonts w:ascii="Times New Roman" w:hAnsi="Times New Roman" w:cs="Times New Roman"/>
          <w:color w:val="000000"/>
          <w:sz w:val="24"/>
          <w:szCs w:val="24"/>
          <w:lang w:val="en-GB"/>
        </w:rPr>
        <w:lastRenderedPageBreak/>
        <w:t>management of the EU budget or the financial interests of the Union. The link between the violation and the risk to the sound management of the Union budget should be direct and real, and not merely hypothetical, too uncertain or too vague.</w:t>
      </w:r>
      <w:r w:rsidR="00CE7C46">
        <w:rPr>
          <w:rFonts w:ascii="Times New Roman" w:hAnsi="Times New Roman" w:cs="Times New Roman"/>
          <w:color w:val="000000"/>
          <w:sz w:val="24"/>
          <w:szCs w:val="24"/>
          <w:lang w:val="en-GB"/>
        </w:rPr>
        <w:t xml:space="preserve"> </w:t>
      </w:r>
      <w:r w:rsidR="00CE7C46" w:rsidRPr="00CE7C46">
        <w:rPr>
          <w:rFonts w:ascii="Times New Roman" w:hAnsi="Times New Roman" w:cs="Times New Roman"/>
          <w:sz w:val="24"/>
          <w:szCs w:val="24"/>
          <w:lang w:val="en-US"/>
        </w:rPr>
        <w:t>The Commission will initiate the procedure where it has reasonable grounds to consider</w:t>
      </w:r>
      <w:r w:rsidR="00CE7C46">
        <w:rPr>
          <w:rFonts w:ascii="Times New Roman" w:hAnsi="Times New Roman" w:cs="Times New Roman"/>
          <w:sz w:val="24"/>
          <w:szCs w:val="24"/>
          <w:lang w:val="en-US"/>
        </w:rPr>
        <w:t xml:space="preserve"> </w:t>
      </w:r>
      <w:r w:rsidR="00CE7C46" w:rsidRPr="00CE7C46">
        <w:rPr>
          <w:rFonts w:ascii="Times New Roman" w:hAnsi="Times New Roman" w:cs="Times New Roman"/>
          <w:sz w:val="24"/>
          <w:szCs w:val="24"/>
          <w:lang w:val="en-US"/>
        </w:rPr>
        <w:t>that</w:t>
      </w:r>
      <w:r w:rsidR="00CE7C46" w:rsidRPr="00CE7C46">
        <w:rPr>
          <w:rFonts w:ascii="Times New Roman" w:hAnsi="Times New Roman" w:cs="Times New Roman"/>
          <w:b/>
          <w:bCs/>
          <w:sz w:val="24"/>
          <w:szCs w:val="24"/>
          <w:lang w:val="en-US"/>
        </w:rPr>
        <w:t xml:space="preserve"> </w:t>
      </w:r>
      <w:r w:rsidR="00CE7C46" w:rsidRPr="00CE7C46">
        <w:rPr>
          <w:rStyle w:val="Pogrubienie"/>
          <w:rFonts w:ascii="Times New Roman" w:hAnsi="Times New Roman" w:cs="Times New Roman"/>
          <w:b w:val="0"/>
          <w:bCs w:val="0"/>
          <w:sz w:val="24"/>
          <w:szCs w:val="24"/>
          <w:lang w:val="en-US"/>
        </w:rPr>
        <w:t>at least one of the rule of law principles referred to in the conditionality regulation has been breached</w:t>
      </w:r>
      <w:r w:rsidR="00CE7C46" w:rsidRPr="00CE7C46">
        <w:rPr>
          <w:rStyle w:val="Pogrubienie"/>
          <w:rFonts w:ascii="Times New Roman" w:hAnsi="Times New Roman" w:cs="Times New Roman"/>
          <w:b w:val="0"/>
          <w:bCs w:val="0"/>
          <w:sz w:val="24"/>
          <w:szCs w:val="24"/>
          <w:lang w:val="en-US"/>
        </w:rPr>
        <w:t xml:space="preserve">, </w:t>
      </w:r>
      <w:r w:rsidR="00CE7C46" w:rsidRPr="00CE7C46">
        <w:rPr>
          <w:rFonts w:ascii="Times New Roman" w:hAnsi="Times New Roman" w:cs="Times New Roman"/>
          <w:sz w:val="24"/>
          <w:szCs w:val="24"/>
          <w:lang w:val="en-US"/>
        </w:rPr>
        <w:t>the</w:t>
      </w:r>
      <w:r w:rsidR="00CE7C46" w:rsidRPr="00CE7C46">
        <w:rPr>
          <w:rFonts w:ascii="Times New Roman" w:hAnsi="Times New Roman" w:cs="Times New Roman"/>
          <w:b/>
          <w:bCs/>
          <w:sz w:val="24"/>
          <w:szCs w:val="24"/>
          <w:lang w:val="en-US"/>
        </w:rPr>
        <w:t xml:space="preserve"> </w:t>
      </w:r>
      <w:r w:rsidR="00CE7C46" w:rsidRPr="00CE7C46">
        <w:rPr>
          <w:rStyle w:val="Pogrubienie"/>
          <w:rFonts w:ascii="Times New Roman" w:hAnsi="Times New Roman" w:cs="Times New Roman"/>
          <w:b w:val="0"/>
          <w:bCs w:val="0"/>
          <w:sz w:val="24"/>
          <w:szCs w:val="24"/>
          <w:lang w:val="en-US"/>
        </w:rPr>
        <w:t>breach concerns situations or conducts of public authorities or can be attributed to them</w:t>
      </w:r>
      <w:r w:rsidR="00CE7C46" w:rsidRPr="00CE7C46">
        <w:rPr>
          <w:rStyle w:val="Pogrubienie"/>
          <w:rFonts w:ascii="Times New Roman" w:hAnsi="Times New Roman" w:cs="Times New Roman"/>
          <w:b w:val="0"/>
          <w:bCs w:val="0"/>
          <w:sz w:val="24"/>
          <w:szCs w:val="24"/>
          <w:lang w:val="en-US"/>
        </w:rPr>
        <w:t xml:space="preserve"> and </w:t>
      </w:r>
      <w:r w:rsidR="00CE7C46" w:rsidRPr="00CE7C46">
        <w:rPr>
          <w:rFonts w:ascii="Times New Roman" w:hAnsi="Times New Roman" w:cs="Times New Roman"/>
          <w:sz w:val="24"/>
          <w:szCs w:val="24"/>
          <w:lang w:val="en-US"/>
        </w:rPr>
        <w:t>the</w:t>
      </w:r>
      <w:r w:rsidR="00CE7C46" w:rsidRPr="00CE7C46">
        <w:rPr>
          <w:rFonts w:ascii="Times New Roman" w:hAnsi="Times New Roman" w:cs="Times New Roman"/>
          <w:b/>
          <w:bCs/>
          <w:sz w:val="24"/>
          <w:szCs w:val="24"/>
          <w:lang w:val="en-US"/>
        </w:rPr>
        <w:t xml:space="preserve"> </w:t>
      </w:r>
      <w:r w:rsidR="00CE7C46" w:rsidRPr="00CE7C46">
        <w:rPr>
          <w:rStyle w:val="Pogrubienie"/>
          <w:rFonts w:ascii="Times New Roman" w:hAnsi="Times New Roman" w:cs="Times New Roman"/>
          <w:b w:val="0"/>
          <w:bCs w:val="0"/>
          <w:sz w:val="24"/>
          <w:szCs w:val="24"/>
          <w:lang w:val="en-US"/>
        </w:rPr>
        <w:t>breach affects or risks seriously affecting the sound financial management of the EU budget or the protection of the EU's financial interests</w:t>
      </w:r>
      <w:r w:rsidR="00CE7C46" w:rsidRPr="00CE7C46">
        <w:rPr>
          <w:rStyle w:val="Pogrubienie"/>
          <w:rFonts w:ascii="Times New Roman" w:hAnsi="Times New Roman" w:cs="Times New Roman"/>
          <w:b w:val="0"/>
          <w:bCs w:val="0"/>
          <w:sz w:val="24"/>
          <w:szCs w:val="24"/>
          <w:lang w:val="en-US"/>
        </w:rPr>
        <w:t xml:space="preserve"> and there is </w:t>
      </w:r>
      <w:r w:rsidR="00CE7C46" w:rsidRPr="00CE7C46">
        <w:rPr>
          <w:rFonts w:ascii="Times New Roman" w:hAnsi="Times New Roman" w:cs="Times New Roman"/>
          <w:sz w:val="24"/>
          <w:szCs w:val="24"/>
          <w:lang w:val="en-US"/>
        </w:rPr>
        <w:t xml:space="preserve">a </w:t>
      </w:r>
      <w:r w:rsidR="00CE7C46" w:rsidRPr="00CE7C46">
        <w:rPr>
          <w:rStyle w:val="Pogrubienie"/>
          <w:rFonts w:ascii="Times New Roman" w:hAnsi="Times New Roman" w:cs="Times New Roman"/>
          <w:b w:val="0"/>
          <w:bCs w:val="0"/>
          <w:sz w:val="24"/>
          <w:szCs w:val="24"/>
          <w:lang w:val="en-US"/>
        </w:rPr>
        <w:t>sufficiently direct relation</w:t>
      </w:r>
      <w:r w:rsidR="00CE7C46" w:rsidRPr="00CE7C46">
        <w:rPr>
          <w:rFonts w:ascii="Times New Roman" w:hAnsi="Times New Roman" w:cs="Times New Roman"/>
          <w:b/>
          <w:bCs/>
          <w:sz w:val="24"/>
          <w:szCs w:val="24"/>
          <w:lang w:val="en-US"/>
        </w:rPr>
        <w:t xml:space="preserve"> </w:t>
      </w:r>
      <w:r w:rsidR="00CE7C46" w:rsidRPr="00CE7C46">
        <w:rPr>
          <w:rFonts w:ascii="Times New Roman" w:hAnsi="Times New Roman" w:cs="Times New Roman"/>
          <w:sz w:val="24"/>
          <w:szCs w:val="24"/>
          <w:lang w:val="en-US"/>
        </w:rPr>
        <w:t>between the breach and its effects</w:t>
      </w:r>
      <w:r w:rsidR="00CE7C46">
        <w:rPr>
          <w:rStyle w:val="Odwoanieprzypisudolnego"/>
          <w:rFonts w:ascii="Times New Roman" w:hAnsi="Times New Roman" w:cs="Times New Roman"/>
          <w:sz w:val="24"/>
          <w:szCs w:val="24"/>
          <w:lang w:val="en-US"/>
        </w:rPr>
        <w:footnoteReference w:id="41"/>
      </w:r>
      <w:r w:rsidR="00CE7C46" w:rsidRPr="00CE7C46">
        <w:rPr>
          <w:rFonts w:ascii="Times New Roman" w:hAnsi="Times New Roman" w:cs="Times New Roman"/>
          <w:sz w:val="24"/>
          <w:szCs w:val="24"/>
          <w:lang w:val="en-US"/>
        </w:rPr>
        <w:t>.</w:t>
      </w:r>
    </w:p>
    <w:p w14:paraId="3629BED5" w14:textId="659978C2" w:rsidR="00A43B09" w:rsidRPr="00954C29" w:rsidRDefault="00821280" w:rsidP="00821280">
      <w:pPr>
        <w:pStyle w:val="Bezodstpw"/>
        <w:spacing w:line="360" w:lineRule="auto"/>
        <w:ind w:firstLine="709"/>
        <w:jc w:val="both"/>
        <w:rPr>
          <w:rStyle w:val="Pogrubienie"/>
          <w:rFonts w:ascii="Times New Roman" w:hAnsi="Times New Roman" w:cs="Times New Roman"/>
          <w:b w:val="0"/>
          <w:bCs w:val="0"/>
          <w:sz w:val="24"/>
          <w:szCs w:val="24"/>
          <w:lang w:val="en-GB"/>
        </w:rPr>
      </w:pPr>
      <w:r w:rsidRPr="00954C29">
        <w:rPr>
          <w:rFonts w:ascii="Times New Roman" w:hAnsi="Times New Roman" w:cs="Times New Roman"/>
          <w:color w:val="000000"/>
          <w:sz w:val="24"/>
          <w:szCs w:val="24"/>
          <w:lang w:val="en-GB"/>
        </w:rPr>
        <w:t xml:space="preserve">The European Commission proposed budget protection measures under the regulation no. 2020/2092 on 18 September 2022 against Hungary. In 2022 the Hungarian authorities presented a set of measures to remedy the breaches of the rule of law, yet the Commission did not found these measures adequate. According to the Commission, adequate measures </w:t>
      </w:r>
      <w:r w:rsidRPr="00954C29">
        <w:rPr>
          <w:rFonts w:ascii="Times New Roman" w:hAnsi="Times New Roman" w:cs="Times New Roman"/>
          <w:sz w:val="24"/>
          <w:szCs w:val="24"/>
          <w:lang w:val="en-GB"/>
        </w:rPr>
        <w:t xml:space="preserve">would need to put an end to the breaches of the principles of rule of law and/or to the risks they create for the EU budget and the Union's financial interests. Due to this fact the Commission proposed that </w:t>
      </w:r>
      <w:r w:rsidRPr="00954C29">
        <w:rPr>
          <w:rStyle w:val="Pogrubienie"/>
          <w:rFonts w:ascii="Times New Roman" w:hAnsi="Times New Roman" w:cs="Times New Roman"/>
          <w:b w:val="0"/>
          <w:bCs w:val="0"/>
          <w:sz w:val="24"/>
          <w:szCs w:val="24"/>
          <w:lang w:val="en-GB"/>
        </w:rPr>
        <w:t>65% of the commitments for three operational programmes under cohesion policy should be suspended</w:t>
      </w:r>
      <w:r w:rsidRPr="00954C29">
        <w:rPr>
          <w:rFonts w:ascii="Times New Roman" w:hAnsi="Times New Roman" w:cs="Times New Roman"/>
          <w:sz w:val="24"/>
          <w:szCs w:val="24"/>
          <w:lang w:val="en-GB"/>
        </w:rPr>
        <w:t xml:space="preserve">. Moreover a prohibition to </w:t>
      </w:r>
      <w:r w:rsidRPr="00954C29">
        <w:rPr>
          <w:rStyle w:val="Pogrubienie"/>
          <w:rFonts w:ascii="Times New Roman" w:hAnsi="Times New Roman" w:cs="Times New Roman"/>
          <w:b w:val="0"/>
          <w:bCs w:val="0"/>
          <w:sz w:val="24"/>
          <w:szCs w:val="24"/>
          <w:lang w:val="en-GB"/>
        </w:rPr>
        <w:t>enter into legal commitments</w:t>
      </w:r>
      <w:r w:rsidRPr="00954C29">
        <w:rPr>
          <w:rFonts w:ascii="Times New Roman" w:hAnsi="Times New Roman" w:cs="Times New Roman"/>
          <w:sz w:val="24"/>
          <w:szCs w:val="24"/>
          <w:lang w:val="en-GB"/>
        </w:rPr>
        <w:t xml:space="preserve"> with the public interest trusts </w:t>
      </w:r>
      <w:r w:rsidRPr="00954C29">
        <w:rPr>
          <w:rStyle w:val="Pogrubienie"/>
          <w:rFonts w:ascii="Times New Roman" w:hAnsi="Times New Roman" w:cs="Times New Roman"/>
          <w:b w:val="0"/>
          <w:bCs w:val="0"/>
          <w:sz w:val="24"/>
          <w:szCs w:val="24"/>
          <w:lang w:val="en-GB"/>
        </w:rPr>
        <w:t>for programs implemented in direct and indirect management should be adopted</w:t>
      </w:r>
      <w:r w:rsidRPr="00954C29">
        <w:rPr>
          <w:rStyle w:val="Odwoanieprzypisudolnego"/>
          <w:rFonts w:ascii="Times New Roman" w:hAnsi="Times New Roman" w:cs="Times New Roman"/>
          <w:sz w:val="24"/>
          <w:szCs w:val="24"/>
          <w:lang w:val="en-GB"/>
        </w:rPr>
        <w:footnoteReference w:id="42"/>
      </w:r>
      <w:r w:rsidRPr="00954C29">
        <w:rPr>
          <w:rStyle w:val="Pogrubienie"/>
          <w:rFonts w:ascii="Times New Roman" w:hAnsi="Times New Roman" w:cs="Times New Roman"/>
          <w:b w:val="0"/>
          <w:bCs w:val="0"/>
          <w:sz w:val="24"/>
          <w:szCs w:val="24"/>
          <w:lang w:val="en-GB"/>
        </w:rPr>
        <w:t>.</w:t>
      </w:r>
      <w:r w:rsidR="00376BD0" w:rsidRPr="00954C29">
        <w:rPr>
          <w:rStyle w:val="Pogrubienie"/>
          <w:rFonts w:ascii="Times New Roman" w:hAnsi="Times New Roman" w:cs="Times New Roman"/>
          <w:b w:val="0"/>
          <w:bCs w:val="0"/>
          <w:sz w:val="24"/>
          <w:szCs w:val="24"/>
          <w:lang w:val="en-GB"/>
        </w:rPr>
        <w:t xml:space="preserve"> By 30 November 2022 r. Hungary implemented merely 17 remedial measures and according to the Commission it had not progressed enough in order to be granted its Recovery and Resilience funds</w:t>
      </w:r>
      <w:r w:rsidR="00376BD0" w:rsidRPr="00954C29">
        <w:rPr>
          <w:rStyle w:val="Odwoanieprzypisudolnego"/>
          <w:rFonts w:ascii="Times New Roman" w:hAnsi="Times New Roman" w:cs="Times New Roman"/>
          <w:sz w:val="24"/>
          <w:szCs w:val="24"/>
          <w:lang w:val="en-GB"/>
        </w:rPr>
        <w:footnoteReference w:id="43"/>
      </w:r>
      <w:r w:rsidR="00376BD0" w:rsidRPr="00954C29">
        <w:rPr>
          <w:rStyle w:val="Pogrubienie"/>
          <w:rFonts w:ascii="Times New Roman" w:hAnsi="Times New Roman" w:cs="Times New Roman"/>
          <w:b w:val="0"/>
          <w:bCs w:val="0"/>
          <w:sz w:val="24"/>
          <w:szCs w:val="24"/>
          <w:lang w:val="en-GB"/>
        </w:rPr>
        <w:t>.</w:t>
      </w:r>
    </w:p>
    <w:p w14:paraId="7A4613B7" w14:textId="714FD3A6" w:rsidR="00376BD0" w:rsidRDefault="00376BD0" w:rsidP="00821280">
      <w:pPr>
        <w:pStyle w:val="Bezodstpw"/>
        <w:spacing w:line="360" w:lineRule="auto"/>
        <w:ind w:firstLine="709"/>
        <w:jc w:val="both"/>
        <w:rPr>
          <w:rFonts w:ascii="Times New Roman" w:hAnsi="Times New Roman" w:cs="Times New Roman"/>
          <w:sz w:val="24"/>
          <w:szCs w:val="24"/>
          <w:lang w:val="en-GB"/>
        </w:rPr>
      </w:pPr>
      <w:r w:rsidRPr="00954C29">
        <w:rPr>
          <w:rStyle w:val="Pogrubienie"/>
          <w:rFonts w:ascii="Times New Roman" w:hAnsi="Times New Roman" w:cs="Times New Roman"/>
          <w:b w:val="0"/>
          <w:bCs w:val="0"/>
          <w:sz w:val="24"/>
          <w:szCs w:val="24"/>
          <w:lang w:val="en-GB"/>
        </w:rPr>
        <w:t>On 15 December 2022 the Council adopted the implementing decision</w:t>
      </w:r>
      <w:r w:rsidRPr="00954C29">
        <w:rPr>
          <w:rStyle w:val="Odwoanieprzypisudolnego"/>
          <w:rFonts w:ascii="Times New Roman" w:hAnsi="Times New Roman" w:cs="Times New Roman"/>
          <w:sz w:val="24"/>
          <w:szCs w:val="24"/>
          <w:lang w:val="en-GB"/>
        </w:rPr>
        <w:footnoteReference w:id="44"/>
      </w:r>
      <w:r w:rsidRPr="00954C29">
        <w:rPr>
          <w:rStyle w:val="Pogrubienie"/>
          <w:rFonts w:ascii="Times New Roman" w:hAnsi="Times New Roman" w:cs="Times New Roman"/>
          <w:b w:val="0"/>
          <w:bCs w:val="0"/>
          <w:sz w:val="24"/>
          <w:szCs w:val="24"/>
          <w:lang w:val="en-GB"/>
        </w:rPr>
        <w:t xml:space="preserve">. It decided that </w:t>
      </w:r>
      <w:r w:rsidRPr="00954C29">
        <w:rPr>
          <w:rFonts w:ascii="Times New Roman" w:hAnsi="Times New Roman" w:cs="Times New Roman"/>
          <w:sz w:val="24"/>
          <w:szCs w:val="24"/>
          <w:lang w:val="en-GB"/>
        </w:rPr>
        <w:t>55 % of the budgetary commitments under the following operational programmes in Cohesion Policy, once approved, shall be suspended: Environmental and Energy Efficiency Operational Programme Plus, Integrated Transport Operational Programme Plus and Territorial and Settlement Development Operational Programme Plus (Article 2(1)).</w:t>
      </w:r>
      <w:r w:rsidR="00285F29" w:rsidRPr="00954C29">
        <w:rPr>
          <w:rFonts w:ascii="Times New Roman" w:hAnsi="Times New Roman" w:cs="Times New Roman"/>
          <w:sz w:val="24"/>
          <w:szCs w:val="24"/>
          <w:lang w:val="en-GB"/>
        </w:rPr>
        <w:t xml:space="preserve"> Moreover, no legal commitments shall be entered into with any Hungarian public interest trust established on the </w:t>
      </w:r>
      <w:r w:rsidR="00285F29" w:rsidRPr="00954C29">
        <w:rPr>
          <w:rFonts w:ascii="Times New Roman" w:hAnsi="Times New Roman" w:cs="Times New Roman"/>
          <w:sz w:val="24"/>
          <w:szCs w:val="24"/>
          <w:lang w:val="en-GB"/>
        </w:rPr>
        <w:lastRenderedPageBreak/>
        <w:t>basis of the Hungarian Act IX of 2021 or any entity maintained by such a public interest trust (Article 2(2)).</w:t>
      </w:r>
    </w:p>
    <w:p w14:paraId="70723605" w14:textId="7B615488" w:rsidR="00F76E3C" w:rsidRPr="00954C29" w:rsidRDefault="00F76E3C" w:rsidP="00821280">
      <w:pPr>
        <w:pStyle w:val="Bezodstpw"/>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By now, no measures on the basis of the regulation no. 2020/2092 have been adopted nor even suggested against Poland. One of the reasons is probably the Polish participation in help to the Ukraine because of the Russian invasion</w:t>
      </w:r>
      <w:r>
        <w:rPr>
          <w:rStyle w:val="Odwoanieprzypisudolnego"/>
          <w:rFonts w:ascii="Times New Roman" w:hAnsi="Times New Roman" w:cs="Times New Roman"/>
          <w:sz w:val="24"/>
          <w:szCs w:val="24"/>
          <w:lang w:val="en-GB"/>
        </w:rPr>
        <w:footnoteReference w:id="45"/>
      </w:r>
      <w:r>
        <w:rPr>
          <w:rFonts w:ascii="Times New Roman" w:hAnsi="Times New Roman" w:cs="Times New Roman"/>
          <w:sz w:val="24"/>
          <w:szCs w:val="24"/>
          <w:lang w:val="en-GB"/>
        </w:rPr>
        <w:t>.</w:t>
      </w:r>
    </w:p>
    <w:p w14:paraId="41A20A44" w14:textId="2231B018" w:rsidR="0091263C" w:rsidRDefault="007F70FB" w:rsidP="0091263C">
      <w:pPr>
        <w:pStyle w:val="Bezodstpw"/>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To sum up, t</w:t>
      </w:r>
      <w:r w:rsidR="0091263C" w:rsidRPr="00954C29">
        <w:rPr>
          <w:rFonts w:ascii="Times New Roman" w:hAnsi="Times New Roman" w:cs="Times New Roman"/>
          <w:sz w:val="24"/>
          <w:szCs w:val="24"/>
          <w:lang w:val="en-GB"/>
        </w:rPr>
        <w:t>he adopted regulation and its application scheme are considered to be less ambitious than the original proposal, yet it is still a significant step in strengthening the rule of law in the European Union</w:t>
      </w:r>
      <w:r w:rsidR="0091263C" w:rsidRPr="00954C29">
        <w:rPr>
          <w:rStyle w:val="Odwoanieprzypisudolnego"/>
          <w:rFonts w:ascii="Times New Roman" w:hAnsi="Times New Roman" w:cs="Times New Roman"/>
          <w:sz w:val="24"/>
          <w:szCs w:val="24"/>
          <w:lang w:val="en-GB"/>
        </w:rPr>
        <w:footnoteReference w:id="46"/>
      </w:r>
      <w:r w:rsidR="0091263C" w:rsidRPr="00954C29">
        <w:rPr>
          <w:rFonts w:ascii="Times New Roman" w:hAnsi="Times New Roman" w:cs="Times New Roman"/>
          <w:sz w:val="24"/>
          <w:szCs w:val="24"/>
          <w:lang w:val="en-GB"/>
        </w:rPr>
        <w:t>.</w:t>
      </w:r>
      <w:r w:rsidR="00677B19" w:rsidRPr="00954C29">
        <w:rPr>
          <w:rFonts w:ascii="Times New Roman" w:hAnsi="Times New Roman" w:cs="Times New Roman"/>
          <w:sz w:val="24"/>
          <w:szCs w:val="24"/>
          <w:lang w:val="en-GB"/>
        </w:rPr>
        <w:t xml:space="preserve"> However, taking into consideration a possible collision with Article 7 TEU, the text of the regulation no. 2020/2092 could not be formulated differently, because otherwise it would be quashed by the Court of Justice of the European Union.</w:t>
      </w:r>
    </w:p>
    <w:p w14:paraId="0EBABC8E" w14:textId="2149C010" w:rsidR="00C65442" w:rsidRDefault="00C65442" w:rsidP="0091263C">
      <w:pPr>
        <w:pStyle w:val="Bezodstpw"/>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GB"/>
        </w:rPr>
        <w:t>On the other hand some authors indicate, that the regulation no. 2020/2092 strengthened the protection in relation to original draft, as the draft required a general deficiency as regards the rule of law to launch the provisions of the regulation whereas in the final text even a single breach of the law of law may be sufficient to this aim</w:t>
      </w:r>
      <w:r>
        <w:rPr>
          <w:rStyle w:val="Odwoanieprzypisudolnego"/>
          <w:rFonts w:ascii="Times New Roman" w:hAnsi="Times New Roman" w:cs="Times New Roman"/>
          <w:sz w:val="24"/>
          <w:szCs w:val="24"/>
          <w:lang w:val="en-GB"/>
        </w:rPr>
        <w:footnoteReference w:id="47"/>
      </w:r>
      <w:r>
        <w:rPr>
          <w:rFonts w:ascii="Times New Roman" w:hAnsi="Times New Roman" w:cs="Times New Roman"/>
          <w:sz w:val="24"/>
          <w:szCs w:val="24"/>
          <w:lang w:val="en-GB"/>
        </w:rPr>
        <w:t>.</w:t>
      </w:r>
      <w:r w:rsidR="00B24218">
        <w:rPr>
          <w:rFonts w:ascii="Times New Roman" w:hAnsi="Times New Roman" w:cs="Times New Roman"/>
          <w:sz w:val="24"/>
          <w:szCs w:val="24"/>
          <w:lang w:val="en-GB"/>
        </w:rPr>
        <w:t xml:space="preserve"> This view is supported by the text of the motives of the regulation: (15) </w:t>
      </w:r>
      <w:r w:rsidR="00B24218" w:rsidRPr="00B24218">
        <w:rPr>
          <w:rFonts w:ascii="Times New Roman" w:hAnsi="Times New Roman" w:cs="Times New Roman"/>
          <w:sz w:val="24"/>
          <w:szCs w:val="24"/>
          <w:lang w:val="en-US"/>
        </w:rPr>
        <w:t>Breaches of the principles of the rule of law, in particular those that affect the proper functioning of public authorities and effective judicial review, can seriously harm the financial interests of the Union. This is the case for individual breaches of the principles of the rule of law and even more so for breaches that are widespread or due to recurrent practices or omissions by public authorities, or to general measures adopted by such authorities</w:t>
      </w:r>
      <w:r w:rsidR="00B24218">
        <w:rPr>
          <w:rFonts w:ascii="Times New Roman" w:hAnsi="Times New Roman" w:cs="Times New Roman"/>
          <w:sz w:val="24"/>
          <w:szCs w:val="24"/>
          <w:lang w:val="en-US"/>
        </w:rPr>
        <w:t>.</w:t>
      </w:r>
    </w:p>
    <w:p w14:paraId="3596D7AE" w14:textId="6073B0B4" w:rsidR="007F70FB" w:rsidRPr="00B24218" w:rsidRDefault="007F70FB" w:rsidP="0091263C">
      <w:pPr>
        <w:pStyle w:val="Bezodstpw"/>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US"/>
        </w:rPr>
        <w:t>Nevertheless, what is problematic is the application of the regulation no. 2020/2092. Until now it was put into effect once in reference to Hungary. Yet, both Hungary and Poland (and recently even Romania) are reluctant in bringing end to violations of the rule of law. Other EU law instruments seem even more ineffective as the procedure of Article 7 TEU is impossible to finalize and these states do not comply with the CJEU’s judgments delivered under Article 258 TFEU.</w:t>
      </w:r>
    </w:p>
    <w:sectPr w:rsidR="007F70FB" w:rsidRPr="00B242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9006" w14:textId="77777777" w:rsidR="00BF0EFF" w:rsidRDefault="00BF0EFF" w:rsidP="006C706D">
      <w:pPr>
        <w:spacing w:after="0" w:line="240" w:lineRule="auto"/>
      </w:pPr>
      <w:r>
        <w:separator/>
      </w:r>
    </w:p>
  </w:endnote>
  <w:endnote w:type="continuationSeparator" w:id="0">
    <w:p w14:paraId="40053D5A" w14:textId="77777777" w:rsidR="00BF0EFF" w:rsidRDefault="00BF0EFF" w:rsidP="006C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A1D4" w14:textId="77777777" w:rsidR="00BF0EFF" w:rsidRDefault="00BF0EFF" w:rsidP="006C706D">
      <w:pPr>
        <w:spacing w:after="0" w:line="240" w:lineRule="auto"/>
      </w:pPr>
      <w:r>
        <w:separator/>
      </w:r>
    </w:p>
  </w:footnote>
  <w:footnote w:type="continuationSeparator" w:id="0">
    <w:p w14:paraId="7725758A" w14:textId="77777777" w:rsidR="00BF0EFF" w:rsidRDefault="00BF0EFF" w:rsidP="006C706D">
      <w:pPr>
        <w:spacing w:after="0" w:line="240" w:lineRule="auto"/>
      </w:pPr>
      <w:r>
        <w:continuationSeparator/>
      </w:r>
    </w:p>
  </w:footnote>
  <w:footnote w:id="1">
    <w:p w14:paraId="4E79FA54" w14:textId="1B1B4DD2" w:rsidR="005D65DB" w:rsidRPr="005D65DB" w:rsidRDefault="005D65DB" w:rsidP="005D65DB">
      <w:pPr>
        <w:pStyle w:val="Tekstprzypisudolnego"/>
        <w:jc w:val="both"/>
        <w:rPr>
          <w:rFonts w:ascii="Times New Roman" w:hAnsi="Times New Roman" w:cs="Times New Roman"/>
          <w:lang w:val="en-US"/>
        </w:rPr>
      </w:pPr>
      <w:r w:rsidRPr="005D65DB">
        <w:rPr>
          <w:rStyle w:val="Odwoanieprzypisudolnego"/>
          <w:rFonts w:ascii="Times New Roman" w:hAnsi="Times New Roman" w:cs="Times New Roman"/>
        </w:rPr>
        <w:footnoteRef/>
      </w:r>
      <w:r w:rsidRPr="005D65DB">
        <w:rPr>
          <w:rFonts w:ascii="Times New Roman" w:hAnsi="Times New Roman" w:cs="Times New Roman"/>
          <w:lang w:val="en-US"/>
        </w:rPr>
        <w:t xml:space="preserve"> </w:t>
      </w:r>
      <w:r>
        <w:rPr>
          <w:rFonts w:ascii="Times New Roman" w:hAnsi="Times New Roman" w:cs="Times New Roman"/>
          <w:lang w:val="en-US"/>
        </w:rPr>
        <w:t xml:space="preserve">European Commission, proposal of 20 December 2017 for a Council decision </w:t>
      </w:r>
      <w:r w:rsidRPr="005D65DB">
        <w:rPr>
          <w:rFonts w:ascii="Times New Roman" w:hAnsi="Times New Roman" w:cs="Times New Roman"/>
          <w:lang w:val="en-US"/>
        </w:rPr>
        <w:t>on the determination of a clear risk of a serious breach by the Republic of Poland of the rule of law</w:t>
      </w:r>
      <w:r>
        <w:rPr>
          <w:rFonts w:ascii="Times New Roman" w:hAnsi="Times New Roman" w:cs="Times New Roman"/>
          <w:lang w:val="en-US"/>
        </w:rPr>
        <w:t xml:space="preserve">, </w:t>
      </w:r>
      <w:r w:rsidRPr="005D65DB">
        <w:rPr>
          <w:rFonts w:ascii="Times New Roman" w:hAnsi="Times New Roman" w:cs="Times New Roman"/>
          <w:lang w:val="en-US"/>
        </w:rPr>
        <w:t>COM(2017) 835 final 2017/0360(NLE)</w:t>
      </w:r>
      <w:r>
        <w:rPr>
          <w:rFonts w:ascii="Times New Roman" w:hAnsi="Times New Roman" w:cs="Times New Roman"/>
          <w:lang w:val="en-US"/>
        </w:rPr>
        <w:t xml:space="preserve">, </w:t>
      </w:r>
      <w:hyperlink r:id="rId1" w:history="1">
        <w:r w:rsidRPr="00E81E48">
          <w:rPr>
            <w:rStyle w:val="Hipercze"/>
            <w:rFonts w:ascii="Times New Roman" w:hAnsi="Times New Roman" w:cs="Times New Roman"/>
            <w:lang w:val="en-US"/>
          </w:rPr>
          <w:t>https://eur-lex.europa.eu/legal-content/EN/TXT/?uri=CELEX%3A52017PC0835</w:t>
        </w:r>
      </w:hyperlink>
      <w:r>
        <w:rPr>
          <w:rFonts w:ascii="Times New Roman" w:hAnsi="Times New Roman" w:cs="Times New Roman"/>
          <w:lang w:val="en-US"/>
        </w:rPr>
        <w:t>, accessed: 2023-04-22.</w:t>
      </w:r>
    </w:p>
  </w:footnote>
  <w:footnote w:id="2">
    <w:p w14:paraId="1421469F" w14:textId="40B3805D" w:rsidR="006C706D" w:rsidRPr="00CD1F46" w:rsidRDefault="006C706D"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European Parliament, resolution of 1 March 2018 on the Commission’s decision to activate Article 7(1) TEU as regards the situation in Poland (2018/2541(RSP)), </w:t>
      </w:r>
      <w:hyperlink r:id="rId2" w:history="1">
        <w:r w:rsidRPr="00CD1F46">
          <w:rPr>
            <w:rStyle w:val="Hipercze"/>
            <w:rFonts w:ascii="Times New Roman" w:hAnsi="Times New Roman" w:cs="Times New Roman"/>
            <w:lang w:val="en-US"/>
          </w:rPr>
          <w:t>https://www.europarl.europa.eu/doceo/document/TA-8-2018-0055_EN.html</w:t>
        </w:r>
      </w:hyperlink>
      <w:r w:rsidRPr="00CD1F46">
        <w:rPr>
          <w:rFonts w:ascii="Times New Roman" w:hAnsi="Times New Roman" w:cs="Times New Roman"/>
          <w:lang w:val="en-US"/>
        </w:rPr>
        <w:t>, accessed: 2023-03-04.</w:t>
      </w:r>
    </w:p>
  </w:footnote>
  <w:footnote w:id="3">
    <w:p w14:paraId="4C6A4F0C" w14:textId="5A53B69D" w:rsidR="006C706D" w:rsidRPr="00CD1F46" w:rsidRDefault="006C706D"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European Parliament, resolution of 12 September 2018 on a proposal calling on the Council to determine, pursuant to Article 7(1) of the Treaty on European Union, the existence of a clear risk of a serious breach by Hungary of the values on which the Union is founded (2017/2131(INL)), </w:t>
      </w:r>
      <w:hyperlink r:id="rId3" w:history="1">
        <w:r w:rsidRPr="00CD1F46">
          <w:rPr>
            <w:rStyle w:val="Hipercze"/>
            <w:rFonts w:ascii="Times New Roman" w:hAnsi="Times New Roman" w:cs="Times New Roman"/>
            <w:lang w:val="en-US"/>
          </w:rPr>
          <w:t>https://www.europarl.europa.eu/doceo/document/TA-8-2018-0340_EN.html</w:t>
        </w:r>
      </w:hyperlink>
      <w:r w:rsidRPr="00CD1F46">
        <w:rPr>
          <w:rFonts w:ascii="Times New Roman" w:hAnsi="Times New Roman" w:cs="Times New Roman"/>
          <w:lang w:val="en-US"/>
        </w:rPr>
        <w:t>, accessed: 2023-03-04.</w:t>
      </w:r>
    </w:p>
  </w:footnote>
  <w:footnote w:id="4">
    <w:p w14:paraId="3AD387F9" w14:textId="09C0BDB6" w:rsidR="003F5FBE" w:rsidRPr="003F5FBE" w:rsidRDefault="003F5FBE" w:rsidP="003F5FBE">
      <w:pPr>
        <w:pStyle w:val="Tekstprzypisudolnego"/>
        <w:jc w:val="both"/>
        <w:rPr>
          <w:rFonts w:ascii="Times New Roman" w:hAnsi="Times New Roman" w:cs="Times New Roman"/>
          <w:lang w:val="en-US"/>
        </w:rPr>
      </w:pPr>
      <w:r w:rsidRPr="003F5FBE">
        <w:rPr>
          <w:rStyle w:val="Odwoanieprzypisudolnego"/>
          <w:rFonts w:ascii="Times New Roman" w:hAnsi="Times New Roman" w:cs="Times New Roman"/>
        </w:rPr>
        <w:footnoteRef/>
      </w:r>
      <w:r w:rsidRPr="003F5FBE">
        <w:rPr>
          <w:rFonts w:ascii="Times New Roman" w:hAnsi="Times New Roman" w:cs="Times New Roman"/>
          <w:lang w:val="en-US"/>
        </w:rPr>
        <w:t xml:space="preserve"> CJEU, C-650/18 </w:t>
      </w:r>
      <w:r w:rsidRPr="003F5FBE">
        <w:rPr>
          <w:rFonts w:ascii="Times New Roman" w:hAnsi="Times New Roman" w:cs="Times New Roman"/>
          <w:i/>
          <w:iCs/>
          <w:lang w:val="en-US"/>
        </w:rPr>
        <w:t>Hungary v. European Parliam</w:t>
      </w:r>
      <w:r>
        <w:rPr>
          <w:rFonts w:ascii="Times New Roman" w:hAnsi="Times New Roman" w:cs="Times New Roman"/>
          <w:i/>
          <w:iCs/>
          <w:lang w:val="en-US"/>
        </w:rPr>
        <w:t xml:space="preserve">ent, </w:t>
      </w:r>
      <w:r>
        <w:rPr>
          <w:rFonts w:ascii="Times New Roman" w:hAnsi="Times New Roman" w:cs="Times New Roman"/>
          <w:lang w:val="en-US"/>
        </w:rPr>
        <w:t>judgment of 3 June 2021, ECLI:EU:C:2021:426.</w:t>
      </w:r>
    </w:p>
  </w:footnote>
  <w:footnote w:id="5">
    <w:p w14:paraId="193CDC75" w14:textId="624F9B2A" w:rsidR="002C0315" w:rsidRPr="002C0315" w:rsidRDefault="002C0315" w:rsidP="002C0315">
      <w:pPr>
        <w:pStyle w:val="Tekstprzypisudolnego"/>
        <w:jc w:val="both"/>
        <w:rPr>
          <w:rFonts w:ascii="Times New Roman" w:hAnsi="Times New Roman" w:cs="Times New Roman"/>
          <w:lang w:val="en-US"/>
        </w:rPr>
      </w:pPr>
      <w:r w:rsidRPr="002C0315">
        <w:rPr>
          <w:rStyle w:val="Odwoanieprzypisudolnego"/>
          <w:rFonts w:ascii="Times New Roman" w:hAnsi="Times New Roman" w:cs="Times New Roman"/>
        </w:rPr>
        <w:footnoteRef/>
      </w:r>
      <w:r w:rsidRPr="002C0315">
        <w:rPr>
          <w:rFonts w:ascii="Times New Roman" w:hAnsi="Times New Roman" w:cs="Times New Roman"/>
          <w:lang w:val="en-US"/>
        </w:rPr>
        <w:t xml:space="preserve"> </w:t>
      </w:r>
      <w:r>
        <w:rPr>
          <w:rFonts w:ascii="Times New Roman" w:hAnsi="Times New Roman" w:cs="Times New Roman"/>
          <w:lang w:val="en-US"/>
        </w:rPr>
        <w:t xml:space="preserve">Beatrice Monciunskaite, </w:t>
      </w:r>
      <w:r>
        <w:rPr>
          <w:rFonts w:ascii="Times New Roman" w:hAnsi="Times New Roman" w:cs="Times New Roman"/>
          <w:i/>
          <w:iCs/>
          <w:lang w:val="en-US"/>
        </w:rPr>
        <w:t xml:space="preserve">To Live and to Learn: The EU Commission’s Failure to Recognise Rule of Law Deficiencies in Lithuania, </w:t>
      </w:r>
      <w:r>
        <w:rPr>
          <w:rFonts w:ascii="Times New Roman" w:hAnsi="Times New Roman" w:cs="Times New Roman"/>
          <w:lang w:val="en-US"/>
        </w:rPr>
        <w:t>Hague Journal on the Rule of Law 2022, no. 14, p.</w:t>
      </w:r>
      <w:r>
        <w:rPr>
          <w:rFonts w:ascii="Times New Roman" w:hAnsi="Times New Roman" w:cs="Times New Roman"/>
          <w:lang w:val="en-US"/>
        </w:rPr>
        <w:t xml:space="preserve"> 50</w:t>
      </w:r>
      <w:r w:rsidR="00880061">
        <w:rPr>
          <w:rFonts w:ascii="Times New Roman" w:hAnsi="Times New Roman" w:cs="Times New Roman"/>
          <w:lang w:val="en-US"/>
        </w:rPr>
        <w:t>, 52</w:t>
      </w:r>
      <w:r>
        <w:rPr>
          <w:rFonts w:ascii="Times New Roman" w:hAnsi="Times New Roman" w:cs="Times New Roman"/>
          <w:lang w:val="en-US"/>
        </w:rPr>
        <w:t>.</w:t>
      </w:r>
    </w:p>
  </w:footnote>
  <w:footnote w:id="6">
    <w:p w14:paraId="49A747FF" w14:textId="2BD2C773" w:rsidR="00954C29" w:rsidRPr="00954C29" w:rsidRDefault="00954C29" w:rsidP="00954C29">
      <w:pPr>
        <w:pStyle w:val="Tekstprzypisudolnego"/>
        <w:jc w:val="both"/>
        <w:rPr>
          <w:rFonts w:ascii="Times New Roman" w:hAnsi="Times New Roman" w:cs="Times New Roman"/>
          <w:lang w:val="en-US"/>
        </w:rPr>
      </w:pPr>
      <w:r w:rsidRPr="00954C29">
        <w:rPr>
          <w:rStyle w:val="Odwoanieprzypisudolnego"/>
          <w:rFonts w:ascii="Times New Roman" w:hAnsi="Times New Roman" w:cs="Times New Roman"/>
        </w:rPr>
        <w:footnoteRef/>
      </w:r>
      <w:r w:rsidRPr="00954C29">
        <w:rPr>
          <w:rFonts w:ascii="Times New Roman" w:hAnsi="Times New Roman" w:cs="Times New Roman"/>
          <w:lang w:val="en-US"/>
        </w:rPr>
        <w:t xml:space="preserve"> CJEU, C-204/21 R </w:t>
      </w:r>
      <w:r w:rsidRPr="00954C29">
        <w:rPr>
          <w:rFonts w:ascii="Times New Roman" w:hAnsi="Times New Roman" w:cs="Times New Roman"/>
          <w:i/>
          <w:iCs/>
          <w:lang w:val="en-US"/>
        </w:rPr>
        <w:t>European Commiss</w:t>
      </w:r>
      <w:r>
        <w:rPr>
          <w:rFonts w:ascii="Times New Roman" w:hAnsi="Times New Roman" w:cs="Times New Roman"/>
          <w:i/>
          <w:iCs/>
          <w:lang w:val="en-US"/>
        </w:rPr>
        <w:t xml:space="preserve">ion v. Poland, </w:t>
      </w:r>
      <w:r>
        <w:rPr>
          <w:rFonts w:ascii="Times New Roman" w:hAnsi="Times New Roman" w:cs="Times New Roman"/>
          <w:lang w:val="en-US"/>
        </w:rPr>
        <w:t xml:space="preserve">order of the Vice-President of the Court of 14 July 2021, </w:t>
      </w:r>
      <w:r w:rsidRPr="00954C29">
        <w:rPr>
          <w:rStyle w:val="outputecli"/>
          <w:rFonts w:ascii="Times New Roman" w:hAnsi="Times New Roman" w:cs="Times New Roman"/>
          <w:lang w:val="en-US"/>
        </w:rPr>
        <w:t>ECLI:EU:C:2021:593</w:t>
      </w:r>
      <w:r>
        <w:rPr>
          <w:rStyle w:val="outputecli"/>
          <w:rFonts w:ascii="Times New Roman" w:hAnsi="Times New Roman" w:cs="Times New Roman"/>
          <w:lang w:val="en-US"/>
        </w:rPr>
        <w:t>.</w:t>
      </w:r>
    </w:p>
  </w:footnote>
  <w:footnote w:id="7">
    <w:p w14:paraId="3044510C" w14:textId="75B7E5F4" w:rsidR="00954C29" w:rsidRPr="00954C29" w:rsidRDefault="00954C29" w:rsidP="00954C29">
      <w:pPr>
        <w:pStyle w:val="Tekstprzypisudolnego"/>
        <w:jc w:val="both"/>
        <w:rPr>
          <w:rFonts w:ascii="Times New Roman" w:hAnsi="Times New Roman" w:cs="Times New Roman"/>
          <w:lang w:val="en-US"/>
        </w:rPr>
      </w:pPr>
      <w:r w:rsidRPr="00954C29">
        <w:rPr>
          <w:rStyle w:val="Odwoanieprzypisudolnego"/>
          <w:rFonts w:ascii="Times New Roman" w:hAnsi="Times New Roman" w:cs="Times New Roman"/>
        </w:rPr>
        <w:footnoteRef/>
      </w:r>
      <w:r w:rsidRPr="00954C29">
        <w:rPr>
          <w:rFonts w:ascii="Times New Roman" w:hAnsi="Times New Roman" w:cs="Times New Roman"/>
          <w:lang w:val="en-US"/>
        </w:rPr>
        <w:t xml:space="preserve"> CJEU, C-204/21 R </w:t>
      </w:r>
      <w:r w:rsidRPr="00954C29">
        <w:rPr>
          <w:rFonts w:ascii="Times New Roman" w:hAnsi="Times New Roman" w:cs="Times New Roman"/>
          <w:i/>
          <w:iCs/>
          <w:lang w:val="en-US"/>
        </w:rPr>
        <w:t>European Commiss</w:t>
      </w:r>
      <w:r>
        <w:rPr>
          <w:rFonts w:ascii="Times New Roman" w:hAnsi="Times New Roman" w:cs="Times New Roman"/>
          <w:i/>
          <w:iCs/>
          <w:lang w:val="en-US"/>
        </w:rPr>
        <w:t xml:space="preserve">ion v. Poland, </w:t>
      </w:r>
      <w:r>
        <w:rPr>
          <w:rFonts w:ascii="Times New Roman" w:hAnsi="Times New Roman" w:cs="Times New Roman"/>
          <w:lang w:val="en-US"/>
        </w:rPr>
        <w:t xml:space="preserve">order of the Vice-President of the Court of 27 October 2021, </w:t>
      </w:r>
      <w:r w:rsidRPr="00954C29">
        <w:rPr>
          <w:rStyle w:val="outputecli"/>
          <w:rFonts w:ascii="Times New Roman" w:hAnsi="Times New Roman" w:cs="Times New Roman"/>
          <w:lang w:val="en-US"/>
        </w:rPr>
        <w:t>ECLI:EU:C:2021:</w:t>
      </w:r>
      <w:r>
        <w:rPr>
          <w:rStyle w:val="outputecli"/>
          <w:rFonts w:ascii="Times New Roman" w:hAnsi="Times New Roman" w:cs="Times New Roman"/>
          <w:lang w:val="en-US"/>
        </w:rPr>
        <w:t>878</w:t>
      </w:r>
    </w:p>
  </w:footnote>
  <w:footnote w:id="8">
    <w:p w14:paraId="4AC6E05C" w14:textId="392A1608" w:rsidR="00954C29" w:rsidRPr="00B81895" w:rsidRDefault="00954C29" w:rsidP="00954C29">
      <w:pPr>
        <w:pStyle w:val="Tekstprzypisudolnego"/>
        <w:jc w:val="both"/>
        <w:rPr>
          <w:rFonts w:ascii="Times New Roman" w:hAnsi="Times New Roman" w:cs="Times New Roman"/>
        </w:rPr>
      </w:pPr>
      <w:r w:rsidRPr="00954C29">
        <w:rPr>
          <w:rStyle w:val="Odwoanieprzypisudolnego"/>
          <w:rFonts w:ascii="Times New Roman" w:hAnsi="Times New Roman" w:cs="Times New Roman"/>
        </w:rPr>
        <w:footnoteRef/>
      </w:r>
      <w:r w:rsidRPr="00B81895">
        <w:rPr>
          <w:rFonts w:ascii="Times New Roman" w:hAnsi="Times New Roman" w:cs="Times New Roman"/>
        </w:rPr>
        <w:t xml:space="preserve"> </w:t>
      </w:r>
      <w:r w:rsidR="00B81895" w:rsidRPr="00B81895">
        <w:rPr>
          <w:rFonts w:ascii="Times New Roman" w:hAnsi="Times New Roman" w:cs="Times New Roman"/>
        </w:rPr>
        <w:t xml:space="preserve">Magdalena Gałczyńska, </w:t>
      </w:r>
      <w:r w:rsidR="00B81895" w:rsidRPr="00B81895">
        <w:rPr>
          <w:rFonts w:ascii="Times New Roman" w:hAnsi="Times New Roman" w:cs="Times New Roman"/>
          <w:i/>
          <w:iCs/>
        </w:rPr>
        <w:t>TSUE obniża k</w:t>
      </w:r>
      <w:r w:rsidR="00B81895">
        <w:rPr>
          <w:rFonts w:ascii="Times New Roman" w:hAnsi="Times New Roman" w:cs="Times New Roman"/>
          <w:i/>
          <w:iCs/>
        </w:rPr>
        <w:t xml:space="preserve">arę dzienną dla Polski. „Jestem zaskoczony”, </w:t>
      </w:r>
      <w:hyperlink r:id="rId4" w:history="1">
        <w:r w:rsidR="00B81895" w:rsidRPr="00D86E71">
          <w:rPr>
            <w:rStyle w:val="Hipercze"/>
            <w:rFonts w:ascii="Times New Roman" w:hAnsi="Times New Roman" w:cs="Times New Roman"/>
          </w:rPr>
          <w:t>https://wiadomosci.onet.pl/tylko-w-onecie/tsue-obniza-kare-dzienna-dla-polski-jestem-zaskoczony/9564kdk</w:t>
        </w:r>
      </w:hyperlink>
      <w:r w:rsidR="00B81895">
        <w:rPr>
          <w:rFonts w:ascii="Times New Roman" w:hAnsi="Times New Roman" w:cs="Times New Roman"/>
        </w:rPr>
        <w:t>, accessed: 2023-04-22.</w:t>
      </w:r>
    </w:p>
  </w:footnote>
  <w:footnote w:id="9">
    <w:p w14:paraId="01D441C6" w14:textId="306820E4" w:rsidR="000E4FC1" w:rsidRPr="000E4FC1" w:rsidRDefault="000E4FC1" w:rsidP="000E4FC1">
      <w:pPr>
        <w:pStyle w:val="Tekstprzypisudolnego"/>
        <w:jc w:val="both"/>
        <w:rPr>
          <w:rFonts w:ascii="Times New Roman" w:hAnsi="Times New Roman" w:cs="Times New Roman"/>
          <w:lang w:val="en-US"/>
        </w:rPr>
      </w:pPr>
      <w:r w:rsidRPr="000E4FC1">
        <w:rPr>
          <w:rStyle w:val="Odwoanieprzypisudolnego"/>
          <w:rFonts w:ascii="Times New Roman" w:hAnsi="Times New Roman" w:cs="Times New Roman"/>
        </w:rPr>
        <w:footnoteRef/>
      </w:r>
      <w:r w:rsidRPr="000E4FC1">
        <w:rPr>
          <w:rFonts w:ascii="Times New Roman" w:hAnsi="Times New Roman" w:cs="Times New Roman"/>
          <w:lang w:val="en-US"/>
        </w:rPr>
        <w:t xml:space="preserve"> </w:t>
      </w:r>
      <w:r>
        <w:rPr>
          <w:rFonts w:ascii="Times New Roman" w:hAnsi="Times New Roman" w:cs="Times New Roman"/>
          <w:lang w:val="en-US"/>
        </w:rPr>
        <w:t xml:space="preserve">CJEU, C-619/18 </w:t>
      </w:r>
      <w:r>
        <w:rPr>
          <w:rFonts w:ascii="Times New Roman" w:hAnsi="Times New Roman" w:cs="Times New Roman"/>
          <w:i/>
          <w:iCs/>
          <w:lang w:val="en-US"/>
        </w:rPr>
        <w:t xml:space="preserve">European Commission v. Poland, </w:t>
      </w:r>
      <w:r>
        <w:rPr>
          <w:rFonts w:ascii="Times New Roman" w:hAnsi="Times New Roman" w:cs="Times New Roman"/>
          <w:lang w:val="en-US"/>
        </w:rPr>
        <w:t>judgment of 24 June 2019, ECLI:EU:C:2019:325.</w:t>
      </w:r>
    </w:p>
  </w:footnote>
  <w:footnote w:id="10">
    <w:p w14:paraId="35D919E8" w14:textId="41687BDA" w:rsidR="000E4FC1" w:rsidRPr="000E4FC1" w:rsidRDefault="000E4FC1" w:rsidP="000E4FC1">
      <w:pPr>
        <w:pStyle w:val="Tekstprzypisudolnego"/>
        <w:jc w:val="both"/>
        <w:rPr>
          <w:rFonts w:ascii="Times New Roman" w:hAnsi="Times New Roman" w:cs="Times New Roman"/>
          <w:lang w:val="en-US"/>
        </w:rPr>
      </w:pPr>
      <w:r w:rsidRPr="000E4FC1">
        <w:rPr>
          <w:rStyle w:val="Odwoanieprzypisudolnego"/>
          <w:rFonts w:ascii="Times New Roman" w:hAnsi="Times New Roman" w:cs="Times New Roman"/>
        </w:rPr>
        <w:footnoteRef/>
      </w:r>
      <w:r w:rsidRPr="000E4FC1">
        <w:rPr>
          <w:rFonts w:ascii="Times New Roman" w:hAnsi="Times New Roman" w:cs="Times New Roman"/>
          <w:lang w:val="en-US"/>
        </w:rPr>
        <w:t xml:space="preserve"> </w:t>
      </w:r>
      <w:r>
        <w:rPr>
          <w:rFonts w:ascii="Times New Roman" w:hAnsi="Times New Roman" w:cs="Times New Roman"/>
          <w:lang w:val="en-US"/>
        </w:rPr>
        <w:t xml:space="preserve">CJEU, C-192/18 </w:t>
      </w:r>
      <w:r>
        <w:rPr>
          <w:rFonts w:ascii="Times New Roman" w:hAnsi="Times New Roman" w:cs="Times New Roman"/>
          <w:i/>
          <w:iCs/>
          <w:lang w:val="en-US"/>
        </w:rPr>
        <w:t xml:space="preserve">European Commission v. Poland, </w:t>
      </w:r>
      <w:r>
        <w:rPr>
          <w:rFonts w:ascii="Times New Roman" w:hAnsi="Times New Roman" w:cs="Times New Roman"/>
          <w:lang w:val="en-US"/>
        </w:rPr>
        <w:t>judgment of 5 November 2019, ECLI:EU:C:2019:924.</w:t>
      </w:r>
    </w:p>
  </w:footnote>
  <w:footnote w:id="11">
    <w:p w14:paraId="0B23EAEC" w14:textId="0FA0FBA8" w:rsidR="00D2000B" w:rsidRPr="00D2000B" w:rsidRDefault="00D2000B" w:rsidP="00D2000B">
      <w:pPr>
        <w:pStyle w:val="Tekstprzypisudolnego"/>
        <w:jc w:val="both"/>
        <w:rPr>
          <w:rFonts w:ascii="Times New Roman" w:hAnsi="Times New Roman" w:cs="Times New Roman"/>
          <w:lang w:val="en-US"/>
        </w:rPr>
      </w:pPr>
      <w:r w:rsidRPr="00D2000B">
        <w:rPr>
          <w:rStyle w:val="Odwoanieprzypisudolnego"/>
          <w:rFonts w:ascii="Times New Roman" w:hAnsi="Times New Roman" w:cs="Times New Roman"/>
        </w:rPr>
        <w:footnoteRef/>
      </w:r>
      <w:r w:rsidRPr="00D2000B">
        <w:rPr>
          <w:rFonts w:ascii="Times New Roman" w:hAnsi="Times New Roman" w:cs="Times New Roman"/>
          <w:lang w:val="en-US"/>
        </w:rPr>
        <w:t xml:space="preserve"> </w:t>
      </w:r>
      <w:r>
        <w:rPr>
          <w:rFonts w:ascii="Times New Roman" w:hAnsi="Times New Roman" w:cs="Times New Roman"/>
          <w:lang w:val="en-US"/>
        </w:rPr>
        <w:t>CJEU, C-</w:t>
      </w:r>
      <w:r>
        <w:rPr>
          <w:rFonts w:ascii="Times New Roman" w:hAnsi="Times New Roman" w:cs="Times New Roman"/>
          <w:lang w:val="en-US"/>
        </w:rPr>
        <w:t xml:space="preserve">791/19 </w:t>
      </w:r>
      <w:r>
        <w:rPr>
          <w:rFonts w:ascii="Times New Roman" w:hAnsi="Times New Roman" w:cs="Times New Roman"/>
          <w:i/>
          <w:iCs/>
          <w:lang w:val="en-US"/>
        </w:rPr>
        <w:t xml:space="preserve">European Commission v. Poland, </w:t>
      </w:r>
      <w:r>
        <w:rPr>
          <w:rFonts w:ascii="Times New Roman" w:hAnsi="Times New Roman" w:cs="Times New Roman"/>
          <w:lang w:val="en-US"/>
        </w:rPr>
        <w:t xml:space="preserve">judgment of </w:t>
      </w:r>
      <w:r>
        <w:rPr>
          <w:rFonts w:ascii="Times New Roman" w:hAnsi="Times New Roman" w:cs="Times New Roman"/>
          <w:lang w:val="en-US"/>
        </w:rPr>
        <w:t>15 July 2021</w:t>
      </w:r>
      <w:r>
        <w:rPr>
          <w:rFonts w:ascii="Times New Roman" w:hAnsi="Times New Roman" w:cs="Times New Roman"/>
          <w:lang w:val="en-US"/>
        </w:rPr>
        <w:t>, ECLI:EU:C:20</w:t>
      </w:r>
      <w:r>
        <w:rPr>
          <w:rFonts w:ascii="Times New Roman" w:hAnsi="Times New Roman" w:cs="Times New Roman"/>
          <w:lang w:val="en-US"/>
        </w:rPr>
        <w:t>21</w:t>
      </w:r>
      <w:r>
        <w:rPr>
          <w:rFonts w:ascii="Times New Roman" w:hAnsi="Times New Roman" w:cs="Times New Roman"/>
          <w:lang w:val="en-US"/>
        </w:rPr>
        <w:t>:</w:t>
      </w:r>
      <w:r>
        <w:rPr>
          <w:rFonts w:ascii="Times New Roman" w:hAnsi="Times New Roman" w:cs="Times New Roman"/>
          <w:lang w:val="en-US"/>
        </w:rPr>
        <w:t>596.</w:t>
      </w:r>
    </w:p>
  </w:footnote>
  <w:footnote w:id="12">
    <w:p w14:paraId="44ADCDEE" w14:textId="460E2074" w:rsidR="005837B9" w:rsidRPr="00CD1F46" w:rsidRDefault="005837B9"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CJEU, 2/13 (</w:t>
      </w:r>
      <w:r w:rsidRPr="00CD1F46">
        <w:rPr>
          <w:rFonts w:ascii="Times New Roman" w:hAnsi="Times New Roman" w:cs="Times New Roman"/>
          <w:i/>
          <w:iCs/>
          <w:lang w:val="en-US"/>
        </w:rPr>
        <w:t>Accession of the European Union to the ECHR</w:t>
      </w:r>
      <w:r w:rsidRPr="00CD1F46">
        <w:rPr>
          <w:rFonts w:ascii="Times New Roman" w:hAnsi="Times New Roman" w:cs="Times New Roman"/>
          <w:lang w:val="en-US"/>
        </w:rPr>
        <w:t>), opinion of 18.12.2014, ECLI:EU:C:2014:2454.</w:t>
      </w:r>
    </w:p>
  </w:footnote>
  <w:footnote w:id="13">
    <w:p w14:paraId="7877ECEE" w14:textId="2B67BD22" w:rsidR="005837B9" w:rsidRPr="00CD1F46" w:rsidRDefault="005837B9"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CJEU, C-64/16 </w:t>
      </w:r>
      <w:r w:rsidRPr="00CD1F46">
        <w:rPr>
          <w:rFonts w:ascii="Times New Roman" w:hAnsi="Times New Roman" w:cs="Times New Roman"/>
          <w:i/>
          <w:iCs/>
          <w:lang w:val="en-US"/>
        </w:rPr>
        <w:t xml:space="preserve">Associação Sindical dos Juízes Portugueses, </w:t>
      </w:r>
      <w:r w:rsidRPr="00CD1F46">
        <w:rPr>
          <w:rFonts w:ascii="Times New Roman" w:hAnsi="Times New Roman" w:cs="Times New Roman"/>
          <w:lang w:val="en-US"/>
        </w:rPr>
        <w:t>judgment of 27.2.2018, ECLI:EU:C:2018:117</w:t>
      </w:r>
      <w:r w:rsidR="00665325" w:rsidRPr="00CD1F46">
        <w:rPr>
          <w:rFonts w:ascii="Times New Roman" w:hAnsi="Times New Roman" w:cs="Times New Roman"/>
          <w:lang w:val="en-US"/>
        </w:rPr>
        <w:t xml:space="preserve">; C-216/18 PPU </w:t>
      </w:r>
      <w:r w:rsidR="00665325" w:rsidRPr="00CD1F46">
        <w:rPr>
          <w:rFonts w:ascii="Times New Roman" w:hAnsi="Times New Roman" w:cs="Times New Roman"/>
          <w:i/>
          <w:iCs/>
          <w:lang w:val="en-US"/>
        </w:rPr>
        <w:t xml:space="preserve">LM, </w:t>
      </w:r>
      <w:r w:rsidR="00665325" w:rsidRPr="00CD1F46">
        <w:rPr>
          <w:rFonts w:ascii="Times New Roman" w:hAnsi="Times New Roman" w:cs="Times New Roman"/>
          <w:lang w:val="en-US"/>
        </w:rPr>
        <w:t xml:space="preserve">judgment of 25.7.2018, </w:t>
      </w:r>
      <w:r w:rsidR="00665325" w:rsidRPr="00CD1F46">
        <w:rPr>
          <w:rStyle w:val="outputecli"/>
          <w:rFonts w:ascii="Times New Roman" w:hAnsi="Times New Roman" w:cs="Times New Roman"/>
          <w:lang w:val="en-US"/>
        </w:rPr>
        <w:t>ECLI:EU:C:2018:586.</w:t>
      </w:r>
    </w:p>
  </w:footnote>
  <w:footnote w:id="14">
    <w:p w14:paraId="080DF75F" w14:textId="17DF5DC9" w:rsidR="00665325" w:rsidRPr="00CD1F46" w:rsidRDefault="00665325" w:rsidP="00CD1F46">
      <w:pPr>
        <w:pStyle w:val="Tekstprzypisudolnego"/>
        <w:jc w:val="both"/>
        <w:rPr>
          <w:rFonts w:ascii="Times New Roman" w:hAnsi="Times New Roman" w:cs="Times New Roman"/>
        </w:rPr>
      </w:pPr>
      <w:r w:rsidRPr="00CD1F46">
        <w:rPr>
          <w:rStyle w:val="Odwoanieprzypisudolnego"/>
          <w:rFonts w:ascii="Times New Roman" w:hAnsi="Times New Roman" w:cs="Times New Roman"/>
        </w:rPr>
        <w:footnoteRef/>
      </w:r>
      <w:r w:rsidRPr="00CD1F46">
        <w:rPr>
          <w:rFonts w:ascii="Times New Roman" w:hAnsi="Times New Roman" w:cs="Times New Roman"/>
        </w:rPr>
        <w:t xml:space="preserve"> CJEU, C</w:t>
      </w:r>
      <w:r w:rsidRPr="00CD1F46">
        <w:rPr>
          <w:rFonts w:ascii="Times New Roman" w:hAnsi="Times New Roman" w:cs="Times New Roman"/>
        </w:rPr>
        <w:noBreakHyphen/>
        <w:t>585/18, C</w:t>
      </w:r>
      <w:r w:rsidRPr="00CD1F46">
        <w:rPr>
          <w:rFonts w:ascii="Times New Roman" w:hAnsi="Times New Roman" w:cs="Times New Roman"/>
        </w:rPr>
        <w:noBreakHyphen/>
        <w:t>624/18 and C</w:t>
      </w:r>
      <w:r w:rsidRPr="00CD1F46">
        <w:rPr>
          <w:rFonts w:ascii="Times New Roman" w:hAnsi="Times New Roman" w:cs="Times New Roman"/>
        </w:rPr>
        <w:noBreakHyphen/>
        <w:t xml:space="preserve">625/18 </w:t>
      </w:r>
      <w:r w:rsidRPr="00CD1F46">
        <w:rPr>
          <w:rFonts w:ascii="Times New Roman" w:hAnsi="Times New Roman" w:cs="Times New Roman"/>
          <w:i/>
          <w:iCs/>
        </w:rPr>
        <w:t xml:space="preserve">Krajowa Rada Sądownictwa i Sąd Najwyższy, </w:t>
      </w:r>
      <w:r w:rsidRPr="00CD1F46">
        <w:rPr>
          <w:rFonts w:ascii="Times New Roman" w:hAnsi="Times New Roman" w:cs="Times New Roman"/>
        </w:rPr>
        <w:t xml:space="preserve">judgment of 19.11.2019, </w:t>
      </w:r>
      <w:r w:rsidRPr="00CD1F46">
        <w:rPr>
          <w:rStyle w:val="outputecli"/>
          <w:rFonts w:ascii="Times New Roman" w:hAnsi="Times New Roman" w:cs="Times New Roman"/>
        </w:rPr>
        <w:t xml:space="preserve">ECLI:EU:C:2019:982; </w:t>
      </w:r>
      <w:r w:rsidRPr="00CD1F46">
        <w:rPr>
          <w:rFonts w:ascii="Times New Roman" w:hAnsi="Times New Roman" w:cs="Times New Roman"/>
        </w:rPr>
        <w:t>C</w:t>
      </w:r>
      <w:r w:rsidRPr="00CD1F46">
        <w:rPr>
          <w:rFonts w:ascii="Times New Roman" w:hAnsi="Times New Roman" w:cs="Times New Roman"/>
        </w:rPr>
        <w:noBreakHyphen/>
        <w:t>354/20 PPU i C</w:t>
      </w:r>
      <w:r w:rsidRPr="00CD1F46">
        <w:rPr>
          <w:rFonts w:ascii="Times New Roman" w:hAnsi="Times New Roman" w:cs="Times New Roman"/>
        </w:rPr>
        <w:noBreakHyphen/>
        <w:t xml:space="preserve">412/20 PPU </w:t>
      </w:r>
      <w:r w:rsidRPr="00CD1F46">
        <w:rPr>
          <w:rFonts w:ascii="Times New Roman" w:hAnsi="Times New Roman" w:cs="Times New Roman"/>
          <w:i/>
          <w:iCs/>
        </w:rPr>
        <w:t xml:space="preserve">L and P, </w:t>
      </w:r>
      <w:r w:rsidRPr="00CD1F46">
        <w:rPr>
          <w:rFonts w:ascii="Times New Roman" w:hAnsi="Times New Roman" w:cs="Times New Roman"/>
        </w:rPr>
        <w:t xml:space="preserve">judgment of 17.12.2000, </w:t>
      </w:r>
      <w:r w:rsidRPr="00CD1F46">
        <w:rPr>
          <w:rStyle w:val="outputecli"/>
          <w:rFonts w:ascii="Times New Roman" w:hAnsi="Times New Roman" w:cs="Times New Roman"/>
        </w:rPr>
        <w:t xml:space="preserve">ECLI:EU:C:2020:1033. ECtHR, </w:t>
      </w:r>
      <w:r w:rsidRPr="00CD1F46">
        <w:rPr>
          <w:rFonts w:ascii="Times New Roman" w:hAnsi="Times New Roman" w:cs="Times New Roman"/>
          <w:i/>
          <w:iCs/>
        </w:rPr>
        <w:t xml:space="preserve">Xero Flor sp. z o.o. v. Poland, </w:t>
      </w:r>
      <w:r w:rsidRPr="00CD1F46">
        <w:rPr>
          <w:rFonts w:ascii="Times New Roman" w:hAnsi="Times New Roman" w:cs="Times New Roman"/>
        </w:rPr>
        <w:t xml:space="preserve">app. no. 4907/18, judgment of 7.5.2021; </w:t>
      </w:r>
      <w:r w:rsidRPr="00CD1F46">
        <w:rPr>
          <w:rFonts w:ascii="Times New Roman" w:hAnsi="Times New Roman" w:cs="Times New Roman"/>
          <w:i/>
          <w:iCs/>
        </w:rPr>
        <w:t xml:space="preserve">Reczkowicz v. Poland, </w:t>
      </w:r>
      <w:r w:rsidRPr="00CD1F46">
        <w:rPr>
          <w:rFonts w:ascii="Times New Roman" w:hAnsi="Times New Roman" w:cs="Times New Roman"/>
        </w:rPr>
        <w:t xml:space="preserve">app. no. 43447/19, judgment of 22.7.2021; </w:t>
      </w:r>
      <w:r w:rsidR="00CC19AA" w:rsidRPr="00CD1F46">
        <w:rPr>
          <w:rFonts w:ascii="Times New Roman" w:hAnsi="Times New Roman" w:cs="Times New Roman"/>
          <w:i/>
          <w:iCs/>
        </w:rPr>
        <w:t xml:space="preserve">Dolińska-Ficek and Ozimek v. Poland, </w:t>
      </w:r>
      <w:r w:rsidR="00CC19AA" w:rsidRPr="00CD1F46">
        <w:rPr>
          <w:rFonts w:ascii="Times New Roman" w:hAnsi="Times New Roman" w:cs="Times New Roman"/>
        </w:rPr>
        <w:t xml:space="preserve">app. nos. 49868/19, 57511/19, judgment of 8.11.2021; </w:t>
      </w:r>
      <w:r w:rsidR="00CC19AA" w:rsidRPr="00CD1F46">
        <w:rPr>
          <w:rFonts w:ascii="Times New Roman" w:hAnsi="Times New Roman" w:cs="Times New Roman"/>
          <w:i/>
          <w:iCs/>
        </w:rPr>
        <w:t xml:space="preserve">Juszczyszyn v. Poland, </w:t>
      </w:r>
      <w:r w:rsidR="00CC19AA" w:rsidRPr="00CD1F46">
        <w:rPr>
          <w:rFonts w:ascii="Times New Roman" w:hAnsi="Times New Roman" w:cs="Times New Roman"/>
        </w:rPr>
        <w:t>app. no. 35599/20, judgment of 6.10.2022.</w:t>
      </w:r>
    </w:p>
  </w:footnote>
  <w:footnote w:id="15">
    <w:p w14:paraId="436F07E5" w14:textId="674F6ACB" w:rsidR="00D726B9" w:rsidRPr="00D726B9" w:rsidRDefault="00D726B9" w:rsidP="00D726B9">
      <w:pPr>
        <w:pStyle w:val="Tekstprzypisudolnego"/>
        <w:jc w:val="both"/>
        <w:rPr>
          <w:rFonts w:ascii="Times New Roman" w:hAnsi="Times New Roman" w:cs="Times New Roman"/>
          <w:lang w:val="en-US"/>
        </w:rPr>
      </w:pPr>
      <w:r w:rsidRPr="00D726B9">
        <w:rPr>
          <w:rStyle w:val="Odwoanieprzypisudolnego"/>
          <w:rFonts w:ascii="Times New Roman" w:hAnsi="Times New Roman" w:cs="Times New Roman"/>
        </w:rPr>
        <w:footnoteRef/>
      </w:r>
      <w:r w:rsidRPr="00D726B9">
        <w:rPr>
          <w:rFonts w:ascii="Times New Roman" w:hAnsi="Times New Roman" w:cs="Times New Roman"/>
          <w:lang w:val="en-US"/>
        </w:rPr>
        <w:t xml:space="preserve"> </w:t>
      </w:r>
      <w:r>
        <w:rPr>
          <w:rFonts w:ascii="Times New Roman" w:hAnsi="Times New Roman" w:cs="Times New Roman"/>
          <w:lang w:val="en-US"/>
        </w:rPr>
        <w:t xml:space="preserve">Eric Maurice, </w:t>
      </w:r>
      <w:r>
        <w:rPr>
          <w:rFonts w:ascii="Times New Roman" w:hAnsi="Times New Roman" w:cs="Times New Roman"/>
          <w:i/>
          <w:iCs/>
          <w:lang w:val="en-US"/>
        </w:rPr>
        <w:t xml:space="preserve">Rule of law: the uncertain gamble on conditionality, </w:t>
      </w:r>
      <w:r>
        <w:rPr>
          <w:rFonts w:ascii="Times New Roman" w:hAnsi="Times New Roman" w:cs="Times New Roman"/>
          <w:lang w:val="en-US"/>
        </w:rPr>
        <w:t>European Issues 14 March 2023, no. 660, p. 1.</w:t>
      </w:r>
    </w:p>
  </w:footnote>
  <w:footnote w:id="16">
    <w:p w14:paraId="412A2BE1" w14:textId="2BCEABA1" w:rsidR="00B81895" w:rsidRPr="00D726B9" w:rsidRDefault="00B81895" w:rsidP="00B81895">
      <w:pPr>
        <w:pStyle w:val="Tekstprzypisudolnego"/>
        <w:jc w:val="both"/>
        <w:rPr>
          <w:rFonts w:ascii="Times New Roman" w:hAnsi="Times New Roman" w:cs="Times New Roman"/>
          <w:lang w:val="en-US"/>
        </w:rPr>
      </w:pPr>
      <w:r w:rsidRPr="00B81895">
        <w:rPr>
          <w:rStyle w:val="Odwoanieprzypisudolnego"/>
          <w:rFonts w:ascii="Times New Roman" w:hAnsi="Times New Roman" w:cs="Times New Roman"/>
        </w:rPr>
        <w:footnoteRef/>
      </w:r>
      <w:r w:rsidRPr="00B81895">
        <w:rPr>
          <w:rFonts w:ascii="Times New Roman" w:hAnsi="Times New Roman" w:cs="Times New Roman"/>
          <w:lang w:val="en-US"/>
        </w:rPr>
        <w:t xml:space="preserve"> </w:t>
      </w:r>
      <w:r>
        <w:rPr>
          <w:rFonts w:ascii="Times New Roman" w:hAnsi="Times New Roman" w:cs="Times New Roman"/>
          <w:lang w:val="en-US"/>
        </w:rPr>
        <w:t xml:space="preserve">Justyna Łacny, </w:t>
      </w:r>
      <w:r>
        <w:rPr>
          <w:rFonts w:ascii="Times New Roman" w:hAnsi="Times New Roman" w:cs="Times New Roman"/>
          <w:i/>
          <w:iCs/>
          <w:lang w:val="en-US"/>
        </w:rPr>
        <w:t xml:space="preserve">The Rule of Law Conditionality Under Regulation No 2020/2092 – is it all About the Money?, </w:t>
      </w:r>
      <w:r>
        <w:rPr>
          <w:rFonts w:ascii="Times New Roman" w:hAnsi="Times New Roman" w:cs="Times New Roman"/>
          <w:lang w:val="en-US"/>
        </w:rPr>
        <w:t>Hague Journal on the Rule of Law 2021, No. 13, p. 82.</w:t>
      </w:r>
      <w:r w:rsidR="00D726B9">
        <w:rPr>
          <w:rFonts w:ascii="Times New Roman" w:hAnsi="Times New Roman" w:cs="Times New Roman"/>
          <w:lang w:val="en-US"/>
        </w:rPr>
        <w:t xml:space="preserve"> Andi Hoxhaj, </w:t>
      </w:r>
      <w:r w:rsidR="00D726B9">
        <w:rPr>
          <w:rFonts w:ascii="Times New Roman" w:hAnsi="Times New Roman" w:cs="Times New Roman"/>
          <w:i/>
          <w:iCs/>
          <w:lang w:val="en-US"/>
        </w:rPr>
        <w:t xml:space="preserve">The CJEU validates in C-156/21 and C-157/21 the rule of law conditionality regulation regime to protect the EU budget, </w:t>
      </w:r>
      <w:r w:rsidR="00D726B9">
        <w:rPr>
          <w:rFonts w:ascii="Times New Roman" w:hAnsi="Times New Roman" w:cs="Times New Roman"/>
          <w:lang w:val="en-US"/>
        </w:rPr>
        <w:t>Nordic Journal of European Law 2022, no. 1, p. 141.</w:t>
      </w:r>
    </w:p>
  </w:footnote>
  <w:footnote w:id="17">
    <w:p w14:paraId="5BA57763" w14:textId="6516A9E4" w:rsidR="002C0315" w:rsidRPr="002C0315" w:rsidRDefault="002C0315" w:rsidP="002C0315">
      <w:pPr>
        <w:pStyle w:val="Tekstprzypisudolnego"/>
        <w:jc w:val="both"/>
        <w:rPr>
          <w:rFonts w:ascii="Times New Roman" w:hAnsi="Times New Roman" w:cs="Times New Roman"/>
          <w:lang w:val="es-ES_tradnl"/>
        </w:rPr>
      </w:pPr>
      <w:r w:rsidRPr="002C0315">
        <w:rPr>
          <w:rStyle w:val="Odwoanieprzypisudolnego"/>
          <w:rFonts w:ascii="Times New Roman" w:hAnsi="Times New Roman" w:cs="Times New Roman"/>
        </w:rPr>
        <w:footnoteRef/>
      </w:r>
      <w:r w:rsidRPr="002C0315">
        <w:rPr>
          <w:rFonts w:ascii="Times New Roman" w:hAnsi="Times New Roman" w:cs="Times New Roman"/>
          <w:lang w:val="en-US"/>
        </w:rPr>
        <w:t xml:space="preserve"> </w:t>
      </w:r>
      <w:r>
        <w:rPr>
          <w:rFonts w:ascii="Times New Roman" w:hAnsi="Times New Roman" w:cs="Times New Roman"/>
          <w:lang w:val="en-US"/>
        </w:rPr>
        <w:t xml:space="preserve">Dimitris Liakopoulos, </w:t>
      </w:r>
      <w:r>
        <w:rPr>
          <w:rFonts w:ascii="Times New Roman" w:hAnsi="Times New Roman" w:cs="Times New Roman"/>
          <w:i/>
          <w:iCs/>
          <w:lang w:val="en-US"/>
        </w:rPr>
        <w:t xml:space="preserve">The rule of law conditionality. </w:t>
      </w:r>
      <w:r w:rsidRPr="002C0315">
        <w:rPr>
          <w:rFonts w:ascii="Times New Roman" w:hAnsi="Times New Roman" w:cs="Times New Roman"/>
          <w:i/>
          <w:iCs/>
          <w:lang w:val="es-ES_tradnl"/>
        </w:rPr>
        <w:t xml:space="preserve">Opportunities and challenges, </w:t>
      </w:r>
      <w:r w:rsidRPr="002C0315">
        <w:rPr>
          <w:rFonts w:ascii="Times New Roman" w:hAnsi="Times New Roman" w:cs="Times New Roman"/>
          <w:lang w:val="es-ES_tradnl"/>
        </w:rPr>
        <w:t>Revista de Estudios Europeos</w:t>
      </w:r>
      <w:r>
        <w:rPr>
          <w:rFonts w:ascii="Times New Roman" w:hAnsi="Times New Roman" w:cs="Times New Roman"/>
          <w:lang w:val="es-ES_tradnl"/>
        </w:rPr>
        <w:t xml:space="preserve"> 2023, no. 81, p. 21.</w:t>
      </w:r>
    </w:p>
  </w:footnote>
  <w:footnote w:id="18">
    <w:p w14:paraId="5D0AEB5C" w14:textId="4C05CD8C" w:rsidR="002C0315" w:rsidRPr="002C0315" w:rsidRDefault="002C0315" w:rsidP="002C0315">
      <w:pPr>
        <w:pStyle w:val="Tekstprzypisudolnego"/>
        <w:jc w:val="both"/>
        <w:rPr>
          <w:rFonts w:ascii="Times New Roman" w:hAnsi="Times New Roman" w:cs="Times New Roman"/>
          <w:lang w:val="en-US"/>
        </w:rPr>
      </w:pPr>
      <w:r w:rsidRPr="002C0315">
        <w:rPr>
          <w:rStyle w:val="Odwoanieprzypisudolnego"/>
          <w:rFonts w:ascii="Times New Roman" w:hAnsi="Times New Roman" w:cs="Times New Roman"/>
        </w:rPr>
        <w:footnoteRef/>
      </w:r>
      <w:r w:rsidRPr="002C0315">
        <w:rPr>
          <w:rFonts w:ascii="Times New Roman" w:hAnsi="Times New Roman" w:cs="Times New Roman"/>
          <w:lang w:val="en-US"/>
        </w:rPr>
        <w:t xml:space="preserve"> </w:t>
      </w:r>
      <w:r>
        <w:rPr>
          <w:rFonts w:ascii="Times New Roman" w:hAnsi="Times New Roman" w:cs="Times New Roman"/>
          <w:lang w:val="en-US"/>
        </w:rPr>
        <w:t xml:space="preserve">Beatrice Monciunskaite, </w:t>
      </w:r>
      <w:r>
        <w:rPr>
          <w:rFonts w:ascii="Times New Roman" w:hAnsi="Times New Roman" w:cs="Times New Roman"/>
          <w:i/>
          <w:iCs/>
          <w:lang w:val="en-US"/>
        </w:rPr>
        <w:t xml:space="preserve">To Live and to Learn: The EU Commission’s Failure to Recognise Rule of Law Deficiencies in Lithuania, </w:t>
      </w:r>
      <w:r>
        <w:rPr>
          <w:rFonts w:ascii="Times New Roman" w:hAnsi="Times New Roman" w:cs="Times New Roman"/>
          <w:lang w:val="en-US"/>
        </w:rPr>
        <w:t>Hague Journal on the Rule of Law 2022, no. 14, p. 50.</w:t>
      </w:r>
    </w:p>
  </w:footnote>
  <w:footnote w:id="19">
    <w:p w14:paraId="36649F2C" w14:textId="3D805C54" w:rsidR="00345ABD" w:rsidRPr="00CD1F46" w:rsidRDefault="00345ABD"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Regulation (EU, Euratom) 2020/2092 of the European Parliament and of the Council of 16 December 2020 on a general regime of conditionality for the protection of the Union budget, OJ L 433I, p. 1, 22.12.2020.</w:t>
      </w:r>
    </w:p>
  </w:footnote>
  <w:footnote w:id="20">
    <w:p w14:paraId="67EB11E9" w14:textId="5AEDC981" w:rsidR="00622AC7" w:rsidRPr="00CD1F46" w:rsidRDefault="00622AC7" w:rsidP="00CD1F46">
      <w:pPr>
        <w:pStyle w:val="Tekstprzypisudolnego"/>
        <w:jc w:val="both"/>
        <w:rPr>
          <w:rFonts w:ascii="Times New Roman" w:hAnsi="Times New Roman" w:cs="Times New Roman"/>
          <w:i/>
          <w:iCs/>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The MFF was eventually adopted on the 17</w:t>
      </w:r>
      <w:r w:rsidRPr="00CD1F46">
        <w:rPr>
          <w:rFonts w:ascii="Times New Roman" w:hAnsi="Times New Roman" w:cs="Times New Roman"/>
          <w:vertAlign w:val="superscript"/>
          <w:lang w:val="en-US"/>
        </w:rPr>
        <w:t>th</w:t>
      </w:r>
      <w:r w:rsidRPr="00CD1F46">
        <w:rPr>
          <w:rFonts w:ascii="Times New Roman" w:hAnsi="Times New Roman" w:cs="Times New Roman"/>
          <w:lang w:val="en-US"/>
        </w:rPr>
        <w:t xml:space="preserve"> Dec. 2020: Council Regulation (EU, Euratom) 2020/2093 of 17 December 2020 </w:t>
      </w:r>
      <w:r w:rsidRPr="00CD1F46">
        <w:rPr>
          <w:rStyle w:val="Uwydatnienie"/>
          <w:rFonts w:ascii="Times New Roman" w:hAnsi="Times New Roman" w:cs="Times New Roman"/>
          <w:i w:val="0"/>
          <w:iCs w:val="0"/>
          <w:lang w:val="en-US"/>
        </w:rPr>
        <w:t xml:space="preserve">laying down the multiannual financial framework for the years 2021 to 2027, OJ L 433I, p. 11, 22.12.2020. </w:t>
      </w:r>
    </w:p>
  </w:footnote>
  <w:footnote w:id="21">
    <w:p w14:paraId="581B8528" w14:textId="5544F85D" w:rsidR="00345ABD" w:rsidRPr="00CD1F46" w:rsidRDefault="00345ABD"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European Commission, Proposal for a regulation of the European Parliament and of the Council on the protection of the Union's budget in case of generalised deficiencies as regards the rule of law in the Member States, 2.5.2018, COM(2018) 324 final, 2018/0136(COD).</w:t>
      </w:r>
    </w:p>
  </w:footnote>
  <w:footnote w:id="22">
    <w:p w14:paraId="64083AFE" w14:textId="46B2F30B" w:rsidR="00B24218" w:rsidRPr="00B24218" w:rsidRDefault="00B24218" w:rsidP="00B24218">
      <w:pPr>
        <w:pStyle w:val="Tekstprzypisudolnego"/>
        <w:jc w:val="both"/>
        <w:rPr>
          <w:rFonts w:ascii="Times New Roman" w:hAnsi="Times New Roman" w:cs="Times New Roman"/>
          <w:lang w:val="en-US"/>
        </w:rPr>
      </w:pPr>
      <w:r w:rsidRPr="00B24218">
        <w:rPr>
          <w:rStyle w:val="Odwoanieprzypisudolnego"/>
          <w:rFonts w:ascii="Times New Roman" w:hAnsi="Times New Roman" w:cs="Times New Roman"/>
        </w:rPr>
        <w:footnoteRef/>
      </w:r>
      <w:r w:rsidRPr="00B24218">
        <w:rPr>
          <w:rFonts w:ascii="Times New Roman" w:hAnsi="Times New Roman" w:cs="Times New Roman"/>
          <w:lang w:val="en-US"/>
        </w:rPr>
        <w:t xml:space="preserve"> </w:t>
      </w:r>
      <w:r w:rsidRPr="00B24218">
        <w:rPr>
          <w:rFonts w:ascii="Times New Roman" w:hAnsi="Times New Roman" w:cs="Times New Roman"/>
          <w:lang w:val="en-US"/>
        </w:rPr>
        <w:t>T</w:t>
      </w:r>
      <w:r>
        <w:rPr>
          <w:rFonts w:ascii="Times New Roman" w:hAnsi="Times New Roman" w:cs="Times New Roman"/>
          <w:lang w:val="en-US"/>
        </w:rPr>
        <w:t>akis</w:t>
      </w:r>
      <w:r w:rsidRPr="00B24218">
        <w:rPr>
          <w:rFonts w:ascii="Times New Roman" w:hAnsi="Times New Roman" w:cs="Times New Roman"/>
          <w:lang w:val="en-US"/>
        </w:rPr>
        <w:t xml:space="preserve"> Tridimas, </w:t>
      </w:r>
      <w:r w:rsidRPr="00B24218">
        <w:rPr>
          <w:rFonts w:ascii="Times New Roman" w:hAnsi="Times New Roman" w:cs="Times New Roman"/>
          <w:i/>
          <w:iCs/>
          <w:lang w:val="en-US"/>
        </w:rPr>
        <w:t>Editorial Note: Recovery Plan and Rule of Law Conditionality: A New Era Beckons?</w:t>
      </w:r>
      <w:r>
        <w:rPr>
          <w:rFonts w:ascii="Times New Roman" w:hAnsi="Times New Roman" w:cs="Times New Roman"/>
          <w:lang w:val="en-US"/>
        </w:rPr>
        <w:t>,</w:t>
      </w:r>
      <w:r w:rsidRPr="00B24218">
        <w:rPr>
          <w:rFonts w:ascii="Times New Roman" w:hAnsi="Times New Roman" w:cs="Times New Roman"/>
          <w:lang w:val="en-US"/>
        </w:rPr>
        <w:t xml:space="preserve"> 16 </w:t>
      </w:r>
      <w:r>
        <w:rPr>
          <w:rFonts w:ascii="Times New Roman" w:hAnsi="Times New Roman" w:cs="Times New Roman"/>
          <w:lang w:val="en-US"/>
        </w:rPr>
        <w:t xml:space="preserve">Croatian Yearbook of European Law and Policy 2020, No. 16, p. VIII, XII. </w:t>
      </w:r>
    </w:p>
  </w:footnote>
  <w:footnote w:id="23">
    <w:p w14:paraId="2EB324EA" w14:textId="67C39770" w:rsidR="00677B19" w:rsidRPr="00677B19" w:rsidRDefault="00677B19" w:rsidP="00677B19">
      <w:pPr>
        <w:pStyle w:val="Tekstprzypisudolnego"/>
        <w:jc w:val="both"/>
        <w:rPr>
          <w:rFonts w:ascii="Times New Roman" w:hAnsi="Times New Roman" w:cs="Times New Roman"/>
          <w:lang w:val="en-US"/>
        </w:rPr>
      </w:pPr>
      <w:r w:rsidRPr="00677B19">
        <w:rPr>
          <w:rStyle w:val="Odwoanieprzypisudolnego"/>
          <w:rFonts w:ascii="Times New Roman" w:hAnsi="Times New Roman" w:cs="Times New Roman"/>
        </w:rPr>
        <w:footnoteRef/>
      </w:r>
      <w:r w:rsidRPr="00677B19">
        <w:rPr>
          <w:rFonts w:ascii="Times New Roman" w:hAnsi="Times New Roman" w:cs="Times New Roman"/>
          <w:lang w:val="en-US"/>
        </w:rPr>
        <w:t xml:space="preserve"> </w:t>
      </w:r>
      <w:r>
        <w:rPr>
          <w:rFonts w:ascii="Times New Roman" w:hAnsi="Times New Roman" w:cs="Times New Roman"/>
          <w:lang w:val="en-US"/>
        </w:rPr>
        <w:t xml:space="preserve">This notion was simply too vague and imprecise and risked arbitrariness: </w:t>
      </w:r>
      <w:r w:rsidRPr="0091263C">
        <w:rPr>
          <w:rFonts w:ascii="Times New Roman" w:hAnsi="Times New Roman" w:cs="Times New Roman"/>
          <w:lang w:val="en-US"/>
        </w:rPr>
        <w:t xml:space="preserve">Antonia Baraggia, Matteo Bonelli, </w:t>
      </w:r>
      <w:r w:rsidRPr="0091263C">
        <w:rPr>
          <w:rFonts w:ascii="Times New Roman" w:hAnsi="Times New Roman" w:cs="Times New Roman"/>
          <w:i/>
          <w:iCs/>
          <w:lang w:val="en-US"/>
        </w:rPr>
        <w:t>Linking Mon</w:t>
      </w:r>
      <w:r>
        <w:rPr>
          <w:rFonts w:ascii="Times New Roman" w:hAnsi="Times New Roman" w:cs="Times New Roman"/>
          <w:i/>
          <w:iCs/>
          <w:lang w:val="en-US"/>
        </w:rPr>
        <w:t xml:space="preserve">ey to Values: The New Rule of Law Conditionality Regulation and Its Constitutional Challenges, </w:t>
      </w:r>
      <w:r>
        <w:rPr>
          <w:rFonts w:ascii="Times New Roman" w:hAnsi="Times New Roman" w:cs="Times New Roman"/>
          <w:lang w:val="en-US"/>
        </w:rPr>
        <w:t>German Law Journal 2022, no. 23, p. 149.</w:t>
      </w:r>
    </w:p>
  </w:footnote>
  <w:footnote w:id="24">
    <w:p w14:paraId="1E0123EF" w14:textId="171720D6" w:rsidR="00141B9F" w:rsidRPr="00141B9F" w:rsidRDefault="00141B9F" w:rsidP="00141B9F">
      <w:pPr>
        <w:pStyle w:val="Default"/>
        <w:rPr>
          <w:rFonts w:ascii="Times New Roman" w:hAnsi="Times New Roman" w:cs="Times New Roman"/>
          <w:sz w:val="20"/>
          <w:szCs w:val="20"/>
          <w:lang w:val="en-US"/>
        </w:rPr>
      </w:pPr>
      <w:r w:rsidRPr="00141B9F">
        <w:rPr>
          <w:rStyle w:val="Odwoanieprzypisudolnego"/>
          <w:rFonts w:ascii="Times New Roman" w:hAnsi="Times New Roman" w:cs="Times New Roman"/>
          <w:sz w:val="20"/>
          <w:szCs w:val="20"/>
        </w:rPr>
        <w:footnoteRef/>
      </w:r>
      <w:r w:rsidRPr="00141B9F">
        <w:rPr>
          <w:rFonts w:ascii="Times New Roman" w:hAnsi="Times New Roman" w:cs="Times New Roman"/>
          <w:sz w:val="20"/>
          <w:szCs w:val="20"/>
          <w:lang w:val="en-US"/>
        </w:rPr>
        <w:t xml:space="preserve"> European Council, Conclusions 10 and 11 December, EUCO 22/20 CO EUR 17 CONCL 8</w:t>
      </w:r>
      <w:r>
        <w:rPr>
          <w:rFonts w:ascii="Times New Roman" w:hAnsi="Times New Roman" w:cs="Times New Roman"/>
          <w:sz w:val="20"/>
          <w:szCs w:val="20"/>
          <w:lang w:val="en-US"/>
        </w:rPr>
        <w:t>.</w:t>
      </w:r>
    </w:p>
  </w:footnote>
  <w:footnote w:id="25">
    <w:p w14:paraId="1A79A50C" w14:textId="1561D605" w:rsidR="00A760FD" w:rsidRPr="003C3D21" w:rsidRDefault="00A760FD" w:rsidP="00A760FD">
      <w:pPr>
        <w:pStyle w:val="Tekstprzypisudolnego"/>
        <w:jc w:val="both"/>
        <w:rPr>
          <w:rFonts w:ascii="Times New Roman" w:hAnsi="Times New Roman" w:cs="Times New Roman"/>
          <w:lang w:val="en-US"/>
        </w:rPr>
      </w:pPr>
      <w:r w:rsidRPr="00A760FD">
        <w:rPr>
          <w:rStyle w:val="Odwoanieprzypisudolnego"/>
          <w:rFonts w:ascii="Times New Roman" w:hAnsi="Times New Roman" w:cs="Times New Roman"/>
        </w:rPr>
        <w:footnoteRef/>
      </w:r>
      <w:r w:rsidRPr="00A760FD">
        <w:rPr>
          <w:rFonts w:ascii="Times New Roman" w:hAnsi="Times New Roman" w:cs="Times New Roman"/>
          <w:lang w:val="en-US"/>
        </w:rPr>
        <w:t xml:space="preserve"> European Parliament resolution of 17 December 2020 on the Multiannual Financial Framework 2021-2027, the Interinstitutional Agreement, the EU Recovery Instrument and the Rule of Law Regulation (2020/2923(RSP)), </w:t>
      </w:r>
      <w:hyperlink r:id="rId5" w:history="1">
        <w:r w:rsidRPr="00E81E48">
          <w:rPr>
            <w:rStyle w:val="Hipercze"/>
            <w:rFonts w:ascii="Times New Roman" w:hAnsi="Times New Roman" w:cs="Times New Roman"/>
            <w:lang w:val="en-US"/>
          </w:rPr>
          <w:t>https://www.europarl.europa.eu/doceo/document/TA-9-2020-0360_EN.html</w:t>
        </w:r>
      </w:hyperlink>
      <w:r>
        <w:rPr>
          <w:rFonts w:ascii="Times New Roman" w:hAnsi="Times New Roman" w:cs="Times New Roman"/>
          <w:lang w:val="en-US"/>
        </w:rPr>
        <w:t>, accessed: 2023-04-22.</w:t>
      </w:r>
      <w:r w:rsidR="003C3D21">
        <w:rPr>
          <w:rFonts w:ascii="Times New Roman" w:hAnsi="Times New Roman" w:cs="Times New Roman"/>
          <w:lang w:val="en-US"/>
        </w:rPr>
        <w:t xml:space="preserve"> Similarly: CJEU, C-292/89 </w:t>
      </w:r>
      <w:r w:rsidR="003C3D21" w:rsidRPr="003C3D21">
        <w:rPr>
          <w:rFonts w:ascii="Times New Roman" w:hAnsi="Times New Roman" w:cs="Times New Roman"/>
          <w:i/>
          <w:iCs/>
          <w:lang w:val="en-US"/>
        </w:rPr>
        <w:t>The Queen v Immigration Appeal Tribunal, ex parte Gustaff Desiderius Antonissen</w:t>
      </w:r>
      <w:r w:rsidR="003C3D21">
        <w:rPr>
          <w:rFonts w:ascii="Times New Roman" w:hAnsi="Times New Roman" w:cs="Times New Roman"/>
          <w:i/>
          <w:iCs/>
          <w:lang w:val="en-US"/>
        </w:rPr>
        <w:t xml:space="preserve">, </w:t>
      </w:r>
      <w:r w:rsidR="003C3D21">
        <w:rPr>
          <w:rFonts w:ascii="Times New Roman" w:hAnsi="Times New Roman" w:cs="Times New Roman"/>
          <w:lang w:val="en-US"/>
        </w:rPr>
        <w:t>judgment of 26 February 1991, ECLI:EU:C:1991:80.</w:t>
      </w:r>
    </w:p>
  </w:footnote>
  <w:footnote w:id="26">
    <w:p w14:paraId="5820F23E" w14:textId="558648F4" w:rsidR="0091263C" w:rsidRPr="0091263C" w:rsidRDefault="0091263C" w:rsidP="0091263C">
      <w:pPr>
        <w:pStyle w:val="Tekstprzypisudolnego"/>
        <w:jc w:val="both"/>
        <w:rPr>
          <w:rFonts w:ascii="Times New Roman" w:hAnsi="Times New Roman" w:cs="Times New Roman"/>
          <w:lang w:val="en-US"/>
        </w:rPr>
      </w:pPr>
      <w:r w:rsidRPr="0091263C">
        <w:rPr>
          <w:rStyle w:val="Odwoanieprzypisudolnego"/>
          <w:rFonts w:ascii="Times New Roman" w:hAnsi="Times New Roman" w:cs="Times New Roman"/>
        </w:rPr>
        <w:footnoteRef/>
      </w:r>
      <w:r w:rsidRPr="0091263C">
        <w:rPr>
          <w:rFonts w:ascii="Times New Roman" w:hAnsi="Times New Roman" w:cs="Times New Roman"/>
          <w:lang w:val="en-US"/>
        </w:rPr>
        <w:t xml:space="preserve"> Antonia Baraggia, Matteo Bonelli, </w:t>
      </w:r>
      <w:r w:rsidRPr="0091263C">
        <w:rPr>
          <w:rFonts w:ascii="Times New Roman" w:hAnsi="Times New Roman" w:cs="Times New Roman"/>
          <w:i/>
          <w:iCs/>
          <w:lang w:val="en-US"/>
        </w:rPr>
        <w:t>Linking Mon</w:t>
      </w:r>
      <w:r>
        <w:rPr>
          <w:rFonts w:ascii="Times New Roman" w:hAnsi="Times New Roman" w:cs="Times New Roman"/>
          <w:i/>
          <w:iCs/>
          <w:lang w:val="en-US"/>
        </w:rPr>
        <w:t xml:space="preserve">ey to Values: The New Rule of Law Conditionality Regulation and Its Constitutional Challenges, </w:t>
      </w:r>
      <w:r>
        <w:rPr>
          <w:rFonts w:ascii="Times New Roman" w:hAnsi="Times New Roman" w:cs="Times New Roman"/>
          <w:lang w:val="en-US"/>
        </w:rPr>
        <w:t>German Law Journal 2022, no. 23, p. 132.</w:t>
      </w:r>
      <w:r w:rsidR="00880061">
        <w:rPr>
          <w:rFonts w:ascii="Times New Roman" w:hAnsi="Times New Roman" w:cs="Times New Roman"/>
          <w:lang w:val="en-US"/>
        </w:rPr>
        <w:t xml:space="preserve"> </w:t>
      </w:r>
      <w:r w:rsidR="00880061">
        <w:rPr>
          <w:rFonts w:ascii="Times New Roman" w:hAnsi="Times New Roman" w:cs="Times New Roman"/>
          <w:lang w:val="en-US"/>
        </w:rPr>
        <w:t xml:space="preserve">Beatrice Monciunskaite, </w:t>
      </w:r>
      <w:r w:rsidR="00880061">
        <w:rPr>
          <w:rFonts w:ascii="Times New Roman" w:hAnsi="Times New Roman" w:cs="Times New Roman"/>
          <w:i/>
          <w:iCs/>
          <w:lang w:val="en-US"/>
        </w:rPr>
        <w:t xml:space="preserve">To Live and to Learn: The EU Commission’s Failure to Recognise Rule of Law Deficiencies in Lithuania, </w:t>
      </w:r>
      <w:r w:rsidR="00880061">
        <w:rPr>
          <w:rFonts w:ascii="Times New Roman" w:hAnsi="Times New Roman" w:cs="Times New Roman"/>
          <w:lang w:val="en-US"/>
        </w:rPr>
        <w:t>Hague Journal on the Rule of Law 2022, no. 14, p.</w:t>
      </w:r>
      <w:r w:rsidR="00880061">
        <w:rPr>
          <w:rFonts w:ascii="Times New Roman" w:hAnsi="Times New Roman" w:cs="Times New Roman"/>
          <w:lang w:val="en-US"/>
        </w:rPr>
        <w:t xml:space="preserve"> 53-54.</w:t>
      </w:r>
    </w:p>
  </w:footnote>
  <w:footnote w:id="27">
    <w:p w14:paraId="4881C127" w14:textId="052DD715" w:rsidR="00BB464B" w:rsidRPr="00BB464B" w:rsidRDefault="00BB464B" w:rsidP="00BB464B">
      <w:pPr>
        <w:pStyle w:val="Tekstprzypisudolnego"/>
        <w:jc w:val="both"/>
        <w:rPr>
          <w:rFonts w:ascii="Times New Roman" w:hAnsi="Times New Roman" w:cs="Times New Roman"/>
          <w:lang w:val="en-US"/>
        </w:rPr>
      </w:pPr>
      <w:r w:rsidRPr="00BB464B">
        <w:rPr>
          <w:rStyle w:val="Odwoanieprzypisudolnego"/>
          <w:rFonts w:ascii="Times New Roman" w:hAnsi="Times New Roman" w:cs="Times New Roman"/>
        </w:rPr>
        <w:footnoteRef/>
      </w:r>
      <w:r w:rsidRPr="00BB464B">
        <w:rPr>
          <w:rFonts w:ascii="Times New Roman" w:hAnsi="Times New Roman" w:cs="Times New Roman"/>
          <w:lang w:val="en-US"/>
        </w:rPr>
        <w:t xml:space="preserve"> </w:t>
      </w:r>
      <w:r>
        <w:rPr>
          <w:rFonts w:ascii="Times New Roman" w:hAnsi="Times New Roman" w:cs="Times New Roman"/>
          <w:lang w:val="en-US"/>
        </w:rPr>
        <w:t>Constitutional Tribunal (Poland), judgment of 7 October 2021, K 3/21.</w:t>
      </w:r>
    </w:p>
  </w:footnote>
  <w:footnote w:id="28">
    <w:p w14:paraId="61328839" w14:textId="65067C5F" w:rsidR="00580D5D" w:rsidRPr="00580D5D" w:rsidRDefault="00580D5D" w:rsidP="00580D5D">
      <w:pPr>
        <w:pStyle w:val="Tekstprzypisudolnego"/>
        <w:jc w:val="both"/>
        <w:rPr>
          <w:rFonts w:ascii="Times New Roman" w:hAnsi="Times New Roman" w:cs="Times New Roman"/>
          <w:lang w:val="en-US"/>
        </w:rPr>
      </w:pPr>
      <w:r w:rsidRPr="00580D5D">
        <w:rPr>
          <w:rStyle w:val="Odwoanieprzypisudolnego"/>
          <w:rFonts w:ascii="Times New Roman" w:hAnsi="Times New Roman" w:cs="Times New Roman"/>
        </w:rPr>
        <w:footnoteRef/>
      </w:r>
      <w:r w:rsidRPr="00580D5D">
        <w:rPr>
          <w:rFonts w:ascii="Times New Roman" w:hAnsi="Times New Roman" w:cs="Times New Roman"/>
          <w:lang w:val="en-US"/>
        </w:rPr>
        <w:t xml:space="preserve"> European Parliament resolution of 21 October 2021 on the rule of law crisis in Poland and the primacy of EU law (2021/2935(RSP))</w:t>
      </w:r>
      <w:r>
        <w:rPr>
          <w:rFonts w:ascii="Times New Roman" w:hAnsi="Times New Roman" w:cs="Times New Roman"/>
          <w:lang w:val="en-US"/>
        </w:rPr>
        <w:t xml:space="preserve">, </w:t>
      </w:r>
      <w:hyperlink r:id="rId6" w:anchor="def_1_20" w:history="1">
        <w:r w:rsidRPr="00E81E48">
          <w:rPr>
            <w:rStyle w:val="Hipercze"/>
            <w:rFonts w:ascii="Times New Roman" w:hAnsi="Times New Roman" w:cs="Times New Roman"/>
            <w:lang w:val="en-US"/>
          </w:rPr>
          <w:t>https://www.europarl.europa.eu/doceo/document/TA-9-2021-0439_EN.html#def_1_20</w:t>
        </w:r>
      </w:hyperlink>
      <w:r>
        <w:rPr>
          <w:rFonts w:ascii="Times New Roman" w:hAnsi="Times New Roman" w:cs="Times New Roman"/>
          <w:lang w:val="en-US"/>
        </w:rPr>
        <w:t>, accessed: 2023-04-22.</w:t>
      </w:r>
    </w:p>
  </w:footnote>
  <w:footnote w:id="29">
    <w:p w14:paraId="6968AF60" w14:textId="308F0AD4" w:rsidR="00DB7EC7" w:rsidRPr="00CD1F46" w:rsidRDefault="00DB7EC7"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r w:rsidR="00CD1F46" w:rsidRPr="00CD1F46">
        <w:rPr>
          <w:rFonts w:ascii="Times New Roman" w:hAnsi="Times New Roman" w:cs="Times New Roman"/>
          <w:lang w:val="en-US"/>
        </w:rPr>
        <w:t xml:space="preserve"> Court of Justice, C-15</w:t>
      </w:r>
      <w:r w:rsidR="00CD1F46">
        <w:rPr>
          <w:rFonts w:ascii="Times New Roman" w:hAnsi="Times New Roman" w:cs="Times New Roman"/>
          <w:lang w:val="en-US"/>
        </w:rPr>
        <w:t>7</w:t>
      </w:r>
      <w:r w:rsidR="00CD1F46" w:rsidRPr="00CD1F46">
        <w:rPr>
          <w:rFonts w:ascii="Times New Roman" w:hAnsi="Times New Roman" w:cs="Times New Roman"/>
          <w:lang w:val="en-US"/>
        </w:rPr>
        <w:t xml:space="preserve">/21 </w:t>
      </w:r>
      <w:r w:rsidR="00CD1F46">
        <w:rPr>
          <w:rFonts w:ascii="Times New Roman" w:hAnsi="Times New Roman" w:cs="Times New Roman"/>
          <w:i/>
          <w:iCs/>
          <w:lang w:val="en-US"/>
        </w:rPr>
        <w:t>Poland</w:t>
      </w:r>
      <w:r w:rsidR="00CD1F46" w:rsidRPr="00CD1F46">
        <w:rPr>
          <w:rFonts w:ascii="Times New Roman" w:hAnsi="Times New Roman" w:cs="Times New Roman"/>
          <w:i/>
          <w:iCs/>
          <w:lang w:val="en-US"/>
        </w:rPr>
        <w:t xml:space="preserve"> v. European Parliament and Council, </w:t>
      </w:r>
      <w:r w:rsidR="00CD1F46" w:rsidRPr="00CD1F46">
        <w:rPr>
          <w:rFonts w:ascii="Times New Roman" w:hAnsi="Times New Roman" w:cs="Times New Roman"/>
          <w:lang w:val="en-US"/>
        </w:rPr>
        <w:t xml:space="preserve">judgment of 16 February 2022, </w:t>
      </w:r>
      <w:r w:rsidR="00CD1F46" w:rsidRPr="00CD1F46">
        <w:rPr>
          <w:rStyle w:val="outputecli"/>
          <w:rFonts w:ascii="Times New Roman" w:hAnsi="Times New Roman" w:cs="Times New Roman"/>
          <w:lang w:val="en-US"/>
        </w:rPr>
        <w:t>ECLI:EU:C:2022:9</w:t>
      </w:r>
      <w:r w:rsidR="00CD1F46">
        <w:rPr>
          <w:rStyle w:val="outputecli"/>
          <w:rFonts w:ascii="Times New Roman" w:hAnsi="Times New Roman" w:cs="Times New Roman"/>
          <w:lang w:val="en-US"/>
        </w:rPr>
        <w:t>8.</w:t>
      </w:r>
    </w:p>
  </w:footnote>
  <w:footnote w:id="30">
    <w:p w14:paraId="71502A1D" w14:textId="1FD28AFB"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p>
  </w:footnote>
  <w:footnote w:id="31">
    <w:p w14:paraId="43FCBFE3" w14:textId="702E5F45"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r w:rsidR="0030588D">
        <w:rPr>
          <w:rStyle w:val="outputecli"/>
          <w:rFonts w:ascii="Times New Roman" w:hAnsi="Times New Roman" w:cs="Times New Roman"/>
          <w:lang w:val="en-US"/>
        </w:rPr>
        <w:t xml:space="preserve"> </w:t>
      </w:r>
      <w:r w:rsidR="0030588D" w:rsidRPr="00CD1F46">
        <w:rPr>
          <w:rFonts w:ascii="Times New Roman" w:hAnsi="Times New Roman" w:cs="Times New Roman"/>
          <w:lang w:val="en-US"/>
        </w:rPr>
        <w:t>Court of Justice, C-15</w:t>
      </w:r>
      <w:r w:rsidR="0030588D">
        <w:rPr>
          <w:rFonts w:ascii="Times New Roman" w:hAnsi="Times New Roman" w:cs="Times New Roman"/>
          <w:lang w:val="en-US"/>
        </w:rPr>
        <w:t>7</w:t>
      </w:r>
      <w:r w:rsidR="0030588D" w:rsidRPr="00CD1F46">
        <w:rPr>
          <w:rFonts w:ascii="Times New Roman" w:hAnsi="Times New Roman" w:cs="Times New Roman"/>
          <w:lang w:val="en-US"/>
        </w:rPr>
        <w:t xml:space="preserve">/21 </w:t>
      </w:r>
      <w:r w:rsidR="0030588D">
        <w:rPr>
          <w:rFonts w:ascii="Times New Roman" w:hAnsi="Times New Roman" w:cs="Times New Roman"/>
          <w:i/>
          <w:iCs/>
          <w:lang w:val="en-US"/>
        </w:rPr>
        <w:t>Poland</w:t>
      </w:r>
      <w:r w:rsidR="0030588D" w:rsidRPr="00CD1F46">
        <w:rPr>
          <w:rFonts w:ascii="Times New Roman" w:hAnsi="Times New Roman" w:cs="Times New Roman"/>
          <w:i/>
          <w:iCs/>
          <w:lang w:val="en-US"/>
        </w:rPr>
        <w:t xml:space="preserve"> v. European Parliament and Council, </w:t>
      </w:r>
      <w:r w:rsidR="0030588D" w:rsidRPr="00CD1F46">
        <w:rPr>
          <w:rFonts w:ascii="Times New Roman" w:hAnsi="Times New Roman" w:cs="Times New Roman"/>
          <w:lang w:val="en-US"/>
        </w:rPr>
        <w:t xml:space="preserve">judgment of 16 February 2022, </w:t>
      </w:r>
      <w:r w:rsidR="0030588D" w:rsidRPr="00CD1F46">
        <w:rPr>
          <w:rStyle w:val="outputecli"/>
          <w:rFonts w:ascii="Times New Roman" w:hAnsi="Times New Roman" w:cs="Times New Roman"/>
          <w:lang w:val="en-US"/>
        </w:rPr>
        <w:t>ECLI:EU:C:2022:9</w:t>
      </w:r>
      <w:r w:rsidR="0030588D">
        <w:rPr>
          <w:rStyle w:val="outputecli"/>
          <w:rFonts w:ascii="Times New Roman" w:hAnsi="Times New Roman" w:cs="Times New Roman"/>
          <w:lang w:val="en-US"/>
        </w:rPr>
        <w:t>8.</w:t>
      </w:r>
    </w:p>
  </w:footnote>
  <w:footnote w:id="32">
    <w:p w14:paraId="5BB632EE" w14:textId="19F67681"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r w:rsidR="0030588D">
        <w:rPr>
          <w:rStyle w:val="outputecli"/>
          <w:rFonts w:ascii="Times New Roman" w:hAnsi="Times New Roman" w:cs="Times New Roman"/>
          <w:lang w:val="en-US"/>
        </w:rPr>
        <w:t xml:space="preserve"> </w:t>
      </w:r>
      <w:r w:rsidR="0030588D" w:rsidRPr="00CD1F46">
        <w:rPr>
          <w:rFonts w:ascii="Times New Roman" w:hAnsi="Times New Roman" w:cs="Times New Roman"/>
          <w:lang w:val="en-US"/>
        </w:rPr>
        <w:t>Court of Justice, C-15</w:t>
      </w:r>
      <w:r w:rsidR="0030588D">
        <w:rPr>
          <w:rFonts w:ascii="Times New Roman" w:hAnsi="Times New Roman" w:cs="Times New Roman"/>
          <w:lang w:val="en-US"/>
        </w:rPr>
        <w:t>7</w:t>
      </w:r>
      <w:r w:rsidR="0030588D" w:rsidRPr="00CD1F46">
        <w:rPr>
          <w:rFonts w:ascii="Times New Roman" w:hAnsi="Times New Roman" w:cs="Times New Roman"/>
          <w:lang w:val="en-US"/>
        </w:rPr>
        <w:t xml:space="preserve">/21 </w:t>
      </w:r>
      <w:r w:rsidR="0030588D">
        <w:rPr>
          <w:rFonts w:ascii="Times New Roman" w:hAnsi="Times New Roman" w:cs="Times New Roman"/>
          <w:i/>
          <w:iCs/>
          <w:lang w:val="en-US"/>
        </w:rPr>
        <w:t>Poland</w:t>
      </w:r>
      <w:r w:rsidR="0030588D" w:rsidRPr="00CD1F46">
        <w:rPr>
          <w:rFonts w:ascii="Times New Roman" w:hAnsi="Times New Roman" w:cs="Times New Roman"/>
          <w:i/>
          <w:iCs/>
          <w:lang w:val="en-US"/>
        </w:rPr>
        <w:t xml:space="preserve"> v. European Parliament and Council, </w:t>
      </w:r>
      <w:r w:rsidR="0030588D" w:rsidRPr="00CD1F46">
        <w:rPr>
          <w:rFonts w:ascii="Times New Roman" w:hAnsi="Times New Roman" w:cs="Times New Roman"/>
          <w:lang w:val="en-US"/>
        </w:rPr>
        <w:t xml:space="preserve">judgment of 16 February 2022, </w:t>
      </w:r>
      <w:r w:rsidR="0030588D" w:rsidRPr="00CD1F46">
        <w:rPr>
          <w:rStyle w:val="outputecli"/>
          <w:rFonts w:ascii="Times New Roman" w:hAnsi="Times New Roman" w:cs="Times New Roman"/>
          <w:lang w:val="en-US"/>
        </w:rPr>
        <w:t>ECLI:EU:C:2022:9</w:t>
      </w:r>
      <w:r w:rsidR="0030588D">
        <w:rPr>
          <w:rStyle w:val="outputecli"/>
          <w:rFonts w:ascii="Times New Roman" w:hAnsi="Times New Roman" w:cs="Times New Roman"/>
          <w:lang w:val="en-US"/>
        </w:rPr>
        <w:t>8.</w:t>
      </w:r>
    </w:p>
  </w:footnote>
  <w:footnote w:id="33">
    <w:p w14:paraId="4D38311F" w14:textId="42726891"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r w:rsidR="0030588D">
        <w:rPr>
          <w:rStyle w:val="outputecli"/>
          <w:rFonts w:ascii="Times New Roman" w:hAnsi="Times New Roman" w:cs="Times New Roman"/>
          <w:lang w:val="en-US"/>
        </w:rPr>
        <w:t xml:space="preserve"> </w:t>
      </w:r>
      <w:r w:rsidR="0030588D" w:rsidRPr="00CD1F46">
        <w:rPr>
          <w:rFonts w:ascii="Times New Roman" w:hAnsi="Times New Roman" w:cs="Times New Roman"/>
          <w:lang w:val="en-US"/>
        </w:rPr>
        <w:t>Court of Justice, C-15</w:t>
      </w:r>
      <w:r w:rsidR="0030588D">
        <w:rPr>
          <w:rFonts w:ascii="Times New Roman" w:hAnsi="Times New Roman" w:cs="Times New Roman"/>
          <w:lang w:val="en-US"/>
        </w:rPr>
        <w:t>7</w:t>
      </w:r>
      <w:r w:rsidR="0030588D" w:rsidRPr="00CD1F46">
        <w:rPr>
          <w:rFonts w:ascii="Times New Roman" w:hAnsi="Times New Roman" w:cs="Times New Roman"/>
          <w:lang w:val="en-US"/>
        </w:rPr>
        <w:t xml:space="preserve">/21 </w:t>
      </w:r>
      <w:r w:rsidR="0030588D">
        <w:rPr>
          <w:rFonts w:ascii="Times New Roman" w:hAnsi="Times New Roman" w:cs="Times New Roman"/>
          <w:i/>
          <w:iCs/>
          <w:lang w:val="en-US"/>
        </w:rPr>
        <w:t>Poland</w:t>
      </w:r>
      <w:r w:rsidR="0030588D" w:rsidRPr="00CD1F46">
        <w:rPr>
          <w:rFonts w:ascii="Times New Roman" w:hAnsi="Times New Roman" w:cs="Times New Roman"/>
          <w:i/>
          <w:iCs/>
          <w:lang w:val="en-US"/>
        </w:rPr>
        <w:t xml:space="preserve"> v. European Parliament and Council, </w:t>
      </w:r>
      <w:r w:rsidR="0030588D" w:rsidRPr="00CD1F46">
        <w:rPr>
          <w:rFonts w:ascii="Times New Roman" w:hAnsi="Times New Roman" w:cs="Times New Roman"/>
          <w:lang w:val="en-US"/>
        </w:rPr>
        <w:t xml:space="preserve">judgment of 16 February 2022, </w:t>
      </w:r>
      <w:r w:rsidR="0030588D" w:rsidRPr="00CD1F46">
        <w:rPr>
          <w:rStyle w:val="outputecli"/>
          <w:rFonts w:ascii="Times New Roman" w:hAnsi="Times New Roman" w:cs="Times New Roman"/>
          <w:lang w:val="en-US"/>
        </w:rPr>
        <w:t>ECLI:EU:C:2022:9</w:t>
      </w:r>
      <w:r w:rsidR="0030588D">
        <w:rPr>
          <w:rStyle w:val="outputecli"/>
          <w:rFonts w:ascii="Times New Roman" w:hAnsi="Times New Roman" w:cs="Times New Roman"/>
          <w:lang w:val="en-US"/>
        </w:rPr>
        <w:t>8.</w:t>
      </w:r>
      <w:r w:rsidR="003C3D21">
        <w:rPr>
          <w:rStyle w:val="outputecli"/>
          <w:rFonts w:ascii="Times New Roman" w:hAnsi="Times New Roman" w:cs="Times New Roman"/>
          <w:lang w:val="en-US"/>
        </w:rPr>
        <w:t xml:space="preserve"> </w:t>
      </w:r>
    </w:p>
  </w:footnote>
  <w:footnote w:id="34">
    <w:p w14:paraId="4CD21AF1" w14:textId="6629C979" w:rsidR="003C3D21" w:rsidRPr="003C3D21" w:rsidRDefault="003C3D21" w:rsidP="003C3D21">
      <w:pPr>
        <w:pStyle w:val="Tekstprzypisudolnego"/>
        <w:jc w:val="both"/>
        <w:rPr>
          <w:rFonts w:ascii="Times New Roman" w:hAnsi="Times New Roman" w:cs="Times New Roman"/>
          <w:lang w:val="en-US"/>
        </w:rPr>
      </w:pPr>
      <w:r w:rsidRPr="003C3D21">
        <w:rPr>
          <w:rStyle w:val="Odwoanieprzypisudolnego"/>
          <w:rFonts w:ascii="Times New Roman" w:hAnsi="Times New Roman" w:cs="Times New Roman"/>
        </w:rPr>
        <w:footnoteRef/>
      </w:r>
      <w:r w:rsidRPr="003C3D21">
        <w:rPr>
          <w:rFonts w:ascii="Times New Roman" w:hAnsi="Times New Roman" w:cs="Times New Roman"/>
          <w:lang w:val="en-US"/>
        </w:rPr>
        <w:t xml:space="preserve"> </w:t>
      </w:r>
      <w:r w:rsidRPr="00B24218">
        <w:rPr>
          <w:rFonts w:ascii="Times New Roman" w:hAnsi="Times New Roman" w:cs="Times New Roman"/>
          <w:lang w:val="en-US"/>
        </w:rPr>
        <w:t>T</w:t>
      </w:r>
      <w:r>
        <w:rPr>
          <w:rFonts w:ascii="Times New Roman" w:hAnsi="Times New Roman" w:cs="Times New Roman"/>
          <w:lang w:val="en-US"/>
        </w:rPr>
        <w:t>akis</w:t>
      </w:r>
      <w:r w:rsidRPr="00B24218">
        <w:rPr>
          <w:rFonts w:ascii="Times New Roman" w:hAnsi="Times New Roman" w:cs="Times New Roman"/>
          <w:lang w:val="en-US"/>
        </w:rPr>
        <w:t xml:space="preserve"> Tridimas, </w:t>
      </w:r>
      <w:r w:rsidRPr="00B24218">
        <w:rPr>
          <w:rFonts w:ascii="Times New Roman" w:hAnsi="Times New Roman" w:cs="Times New Roman"/>
          <w:i/>
          <w:iCs/>
          <w:lang w:val="en-US"/>
        </w:rPr>
        <w:t>Editorial Note: Recovery Plan and Rule of Law Conditionality: A New Era Beckons?</w:t>
      </w:r>
      <w:r>
        <w:rPr>
          <w:rFonts w:ascii="Times New Roman" w:hAnsi="Times New Roman" w:cs="Times New Roman"/>
          <w:lang w:val="en-US"/>
        </w:rPr>
        <w:t>,</w:t>
      </w:r>
      <w:r w:rsidRPr="00B24218">
        <w:rPr>
          <w:rFonts w:ascii="Times New Roman" w:hAnsi="Times New Roman" w:cs="Times New Roman"/>
          <w:lang w:val="en-US"/>
        </w:rPr>
        <w:t xml:space="preserve"> 16 </w:t>
      </w:r>
      <w:r>
        <w:rPr>
          <w:rFonts w:ascii="Times New Roman" w:hAnsi="Times New Roman" w:cs="Times New Roman"/>
          <w:lang w:val="en-US"/>
        </w:rPr>
        <w:t>Croatian Yearbook of European Law and Policy 2020, No. 16, p.</w:t>
      </w:r>
      <w:r>
        <w:rPr>
          <w:rFonts w:ascii="Times New Roman" w:hAnsi="Times New Roman" w:cs="Times New Roman"/>
          <w:lang w:val="en-US"/>
        </w:rPr>
        <w:t xml:space="preserve"> XVI.</w:t>
      </w:r>
    </w:p>
  </w:footnote>
  <w:footnote w:id="35">
    <w:p w14:paraId="25C48E60" w14:textId="61FB4BBF"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r w:rsidR="0030588D">
        <w:rPr>
          <w:rStyle w:val="outputecli"/>
          <w:rFonts w:ascii="Times New Roman" w:hAnsi="Times New Roman" w:cs="Times New Roman"/>
          <w:lang w:val="en-US"/>
        </w:rPr>
        <w:t xml:space="preserve"> </w:t>
      </w:r>
      <w:r w:rsidR="0030588D" w:rsidRPr="00CD1F46">
        <w:rPr>
          <w:rFonts w:ascii="Times New Roman" w:hAnsi="Times New Roman" w:cs="Times New Roman"/>
          <w:lang w:val="en-US"/>
        </w:rPr>
        <w:t>Court of Justice, C-15</w:t>
      </w:r>
      <w:r w:rsidR="0030588D">
        <w:rPr>
          <w:rFonts w:ascii="Times New Roman" w:hAnsi="Times New Roman" w:cs="Times New Roman"/>
          <w:lang w:val="en-US"/>
        </w:rPr>
        <w:t>7</w:t>
      </w:r>
      <w:r w:rsidR="0030588D" w:rsidRPr="00CD1F46">
        <w:rPr>
          <w:rFonts w:ascii="Times New Roman" w:hAnsi="Times New Roman" w:cs="Times New Roman"/>
          <w:lang w:val="en-US"/>
        </w:rPr>
        <w:t xml:space="preserve">/21 </w:t>
      </w:r>
      <w:r w:rsidR="0030588D">
        <w:rPr>
          <w:rFonts w:ascii="Times New Roman" w:hAnsi="Times New Roman" w:cs="Times New Roman"/>
          <w:i/>
          <w:iCs/>
          <w:lang w:val="en-US"/>
        </w:rPr>
        <w:t>Poland</w:t>
      </w:r>
      <w:r w:rsidR="0030588D" w:rsidRPr="00CD1F46">
        <w:rPr>
          <w:rFonts w:ascii="Times New Roman" w:hAnsi="Times New Roman" w:cs="Times New Roman"/>
          <w:i/>
          <w:iCs/>
          <w:lang w:val="en-US"/>
        </w:rPr>
        <w:t xml:space="preserve"> v. European Parliament and Council, </w:t>
      </w:r>
      <w:r w:rsidR="0030588D" w:rsidRPr="00CD1F46">
        <w:rPr>
          <w:rFonts w:ascii="Times New Roman" w:hAnsi="Times New Roman" w:cs="Times New Roman"/>
          <w:lang w:val="en-US"/>
        </w:rPr>
        <w:t xml:space="preserve">judgment of 16 February 2022, </w:t>
      </w:r>
      <w:r w:rsidR="0030588D" w:rsidRPr="00CD1F46">
        <w:rPr>
          <w:rStyle w:val="outputecli"/>
          <w:rFonts w:ascii="Times New Roman" w:hAnsi="Times New Roman" w:cs="Times New Roman"/>
          <w:lang w:val="en-US"/>
        </w:rPr>
        <w:t>ECLI:EU:C:2022:9</w:t>
      </w:r>
      <w:r w:rsidR="0030588D">
        <w:rPr>
          <w:rStyle w:val="outputecli"/>
          <w:rFonts w:ascii="Times New Roman" w:hAnsi="Times New Roman" w:cs="Times New Roman"/>
          <w:lang w:val="en-US"/>
        </w:rPr>
        <w:t>8.</w:t>
      </w:r>
    </w:p>
  </w:footnote>
  <w:footnote w:id="36">
    <w:p w14:paraId="66986A8C" w14:textId="6451F3EC"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p>
  </w:footnote>
  <w:footnote w:id="37">
    <w:p w14:paraId="3A46E8C2" w14:textId="72EFDBCC"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p>
  </w:footnote>
  <w:footnote w:id="38">
    <w:p w14:paraId="27D4A03F" w14:textId="03B1686D" w:rsidR="00CD1F46" w:rsidRPr="00CD1F46" w:rsidRDefault="00CD1F46" w:rsidP="00CD1F46">
      <w:pPr>
        <w:pStyle w:val="Tekstprzypisudolnego"/>
        <w:jc w:val="both"/>
        <w:rPr>
          <w:rFonts w:ascii="Times New Roman" w:hAnsi="Times New Roman" w:cs="Times New Roman"/>
          <w:lang w:val="en-US"/>
        </w:rPr>
      </w:pPr>
      <w:r w:rsidRPr="00CD1F46">
        <w:rPr>
          <w:rStyle w:val="Odwoanieprzypisudolnego"/>
          <w:rFonts w:ascii="Times New Roman" w:hAnsi="Times New Roman" w:cs="Times New Roman"/>
        </w:rPr>
        <w:footnoteRef/>
      </w:r>
      <w:r w:rsidRPr="00CD1F46">
        <w:rPr>
          <w:rFonts w:ascii="Times New Roman" w:hAnsi="Times New Roman" w:cs="Times New Roman"/>
          <w:lang w:val="en-US"/>
        </w:rPr>
        <w:t xml:space="preserve"> Court of Justice, C-156/21 </w:t>
      </w:r>
      <w:r w:rsidRPr="00CD1F46">
        <w:rPr>
          <w:rFonts w:ascii="Times New Roman" w:hAnsi="Times New Roman" w:cs="Times New Roman"/>
          <w:i/>
          <w:iCs/>
          <w:lang w:val="en-US"/>
        </w:rPr>
        <w:t xml:space="preserve">Hungary v. European Parliament and Council, </w:t>
      </w:r>
      <w:r w:rsidRPr="00CD1F46">
        <w:rPr>
          <w:rFonts w:ascii="Times New Roman" w:hAnsi="Times New Roman" w:cs="Times New Roman"/>
          <w:lang w:val="en-US"/>
        </w:rPr>
        <w:t xml:space="preserve">judgment of 16 February 2022, </w:t>
      </w:r>
      <w:r w:rsidRPr="00CD1F46">
        <w:rPr>
          <w:rStyle w:val="outputecli"/>
          <w:rFonts w:ascii="Times New Roman" w:hAnsi="Times New Roman" w:cs="Times New Roman"/>
          <w:lang w:val="en-US"/>
        </w:rPr>
        <w:t>ECLI:EU:C:2022:97.</w:t>
      </w:r>
    </w:p>
  </w:footnote>
  <w:footnote w:id="39">
    <w:p w14:paraId="0F144C7E" w14:textId="2A88546B" w:rsidR="0030588D" w:rsidRPr="00A43B09" w:rsidRDefault="0030588D" w:rsidP="00A43B09">
      <w:pPr>
        <w:pStyle w:val="Tekstprzypisudolnego"/>
        <w:jc w:val="both"/>
        <w:rPr>
          <w:rFonts w:ascii="Times New Roman" w:hAnsi="Times New Roman" w:cs="Times New Roman"/>
          <w:lang w:val="en-US"/>
        </w:rPr>
      </w:pPr>
      <w:r w:rsidRPr="0030588D">
        <w:rPr>
          <w:rStyle w:val="Odwoanieprzypisudolnego"/>
          <w:rFonts w:ascii="Times New Roman" w:hAnsi="Times New Roman" w:cs="Times New Roman"/>
        </w:rPr>
        <w:footnoteRef/>
      </w:r>
      <w:r w:rsidRPr="0030588D">
        <w:rPr>
          <w:rFonts w:ascii="Times New Roman" w:hAnsi="Times New Roman" w:cs="Times New Roman"/>
          <w:lang w:val="en-US"/>
        </w:rPr>
        <w:t xml:space="preserve"> </w:t>
      </w:r>
      <w:r w:rsidRPr="00CD1F46">
        <w:rPr>
          <w:rFonts w:ascii="Times New Roman" w:hAnsi="Times New Roman" w:cs="Times New Roman"/>
          <w:lang w:val="en-US"/>
        </w:rPr>
        <w:t>Court of Justice, C-15</w:t>
      </w:r>
      <w:r>
        <w:rPr>
          <w:rFonts w:ascii="Times New Roman" w:hAnsi="Times New Roman" w:cs="Times New Roman"/>
          <w:lang w:val="en-US"/>
        </w:rPr>
        <w:t>7</w:t>
      </w:r>
      <w:r w:rsidRPr="00CD1F46">
        <w:rPr>
          <w:rFonts w:ascii="Times New Roman" w:hAnsi="Times New Roman" w:cs="Times New Roman"/>
          <w:lang w:val="en-US"/>
        </w:rPr>
        <w:t xml:space="preserve">/21 </w:t>
      </w:r>
      <w:r>
        <w:rPr>
          <w:rFonts w:ascii="Times New Roman" w:hAnsi="Times New Roman" w:cs="Times New Roman"/>
          <w:i/>
          <w:iCs/>
          <w:lang w:val="en-US"/>
        </w:rPr>
        <w:t>Poland</w:t>
      </w:r>
      <w:r w:rsidRPr="00CD1F46">
        <w:rPr>
          <w:rFonts w:ascii="Times New Roman" w:hAnsi="Times New Roman" w:cs="Times New Roman"/>
          <w:i/>
          <w:iCs/>
          <w:lang w:val="en-US"/>
        </w:rPr>
        <w:t xml:space="preserve"> v. European Parliament and Council, </w:t>
      </w:r>
      <w:r w:rsidRPr="00CD1F46">
        <w:rPr>
          <w:rFonts w:ascii="Times New Roman" w:hAnsi="Times New Roman" w:cs="Times New Roman"/>
          <w:lang w:val="en-US"/>
        </w:rPr>
        <w:t xml:space="preserve">judgment of 16 February 2022, </w:t>
      </w:r>
      <w:r w:rsidRPr="00A43B09">
        <w:rPr>
          <w:rStyle w:val="outputecli"/>
          <w:rFonts w:ascii="Times New Roman" w:hAnsi="Times New Roman" w:cs="Times New Roman"/>
          <w:lang w:val="en-US"/>
        </w:rPr>
        <w:t>ECLI:EU:C:2022:98.</w:t>
      </w:r>
    </w:p>
  </w:footnote>
  <w:footnote w:id="40">
    <w:p w14:paraId="0951A1B1" w14:textId="2BA3AEBD" w:rsidR="00A43B09" w:rsidRPr="00A43B09" w:rsidRDefault="00A43B09" w:rsidP="00A43B09">
      <w:pPr>
        <w:pStyle w:val="Default"/>
        <w:jc w:val="both"/>
        <w:rPr>
          <w:rFonts w:ascii="Times New Roman" w:hAnsi="Times New Roman" w:cs="Times New Roman"/>
          <w:lang w:val="en-US"/>
        </w:rPr>
      </w:pPr>
      <w:r w:rsidRPr="00A43B09">
        <w:rPr>
          <w:rStyle w:val="Odwoanieprzypisudolnego"/>
          <w:rFonts w:ascii="Times New Roman" w:hAnsi="Times New Roman" w:cs="Times New Roman"/>
          <w:sz w:val="20"/>
          <w:szCs w:val="20"/>
        </w:rPr>
        <w:footnoteRef/>
      </w:r>
      <w:r w:rsidRPr="00A43B09">
        <w:rPr>
          <w:rFonts w:ascii="Times New Roman" w:hAnsi="Times New Roman" w:cs="Times New Roman"/>
          <w:sz w:val="20"/>
          <w:szCs w:val="20"/>
          <w:lang w:val="en-US"/>
        </w:rPr>
        <w:t xml:space="preserve"> Communication from the Commission, Guidelines on the application of the Regulation (EU, EURATOM) 2020/2092 on a general regime of conditionality for the protection of the Union budget</w:t>
      </w:r>
      <w:r>
        <w:rPr>
          <w:rFonts w:ascii="Times New Roman" w:hAnsi="Times New Roman" w:cs="Times New Roman"/>
          <w:sz w:val="20"/>
          <w:szCs w:val="20"/>
          <w:lang w:val="en-US"/>
        </w:rPr>
        <w:t xml:space="preserve">, C (2022) 1382 final, </w:t>
      </w:r>
      <w:hyperlink r:id="rId7" w:history="1">
        <w:r w:rsidRPr="00E81E48">
          <w:rPr>
            <w:rStyle w:val="Hipercze"/>
            <w:rFonts w:ascii="Times New Roman" w:hAnsi="Times New Roman" w:cs="Times New Roman"/>
            <w:sz w:val="20"/>
            <w:szCs w:val="20"/>
            <w:lang w:val="en-US"/>
          </w:rPr>
          <w:t>https://commission.europa.eu/document/download/0cd06dc0-92be-4802-8637-9b2d4799c3fe_en?filename=c_2022_1382_3_en_act_part1_v7.pdf</w:t>
        </w:r>
      </w:hyperlink>
      <w:r>
        <w:rPr>
          <w:rFonts w:ascii="Times New Roman" w:hAnsi="Times New Roman" w:cs="Times New Roman"/>
          <w:sz w:val="20"/>
          <w:szCs w:val="20"/>
          <w:lang w:val="en-US"/>
        </w:rPr>
        <w:t>, accessed: 2023-04-22.</w:t>
      </w:r>
    </w:p>
  </w:footnote>
  <w:footnote w:id="41">
    <w:p w14:paraId="7A845E0E" w14:textId="4B89E792" w:rsidR="00CE7C46" w:rsidRPr="00CE7C46" w:rsidRDefault="00CE7C46" w:rsidP="00CE7C46">
      <w:pPr>
        <w:pStyle w:val="Tekstprzypisudolnego"/>
        <w:jc w:val="both"/>
        <w:rPr>
          <w:rFonts w:ascii="Times New Roman" w:hAnsi="Times New Roman" w:cs="Times New Roman"/>
          <w:lang w:val="en-US"/>
        </w:rPr>
      </w:pPr>
      <w:r w:rsidRPr="00CE7C46">
        <w:rPr>
          <w:rStyle w:val="Odwoanieprzypisudolnego"/>
          <w:rFonts w:ascii="Times New Roman" w:hAnsi="Times New Roman" w:cs="Times New Roman"/>
        </w:rPr>
        <w:footnoteRef/>
      </w:r>
      <w:r w:rsidRPr="00CE7C46">
        <w:rPr>
          <w:rFonts w:ascii="Times New Roman" w:hAnsi="Times New Roman" w:cs="Times New Roman"/>
          <w:lang w:val="en-US"/>
        </w:rPr>
        <w:t xml:space="preserve"> </w:t>
      </w:r>
      <w:r>
        <w:rPr>
          <w:rFonts w:ascii="Times New Roman" w:hAnsi="Times New Roman" w:cs="Times New Roman"/>
          <w:lang w:val="en-US"/>
        </w:rPr>
        <w:t xml:space="preserve">European Commission, Questions and answers: Commission guidance on the conditionality mechanism, </w:t>
      </w:r>
      <w:hyperlink r:id="rId8" w:history="1">
        <w:r w:rsidRPr="00FD2548">
          <w:rPr>
            <w:rStyle w:val="Hipercze"/>
            <w:rFonts w:ascii="Times New Roman" w:hAnsi="Times New Roman" w:cs="Times New Roman"/>
            <w:lang w:val="en-US"/>
          </w:rPr>
          <w:t>https://ec.europa.eu/commission/presscorner/detail/en/QANDA_22_1471</w:t>
        </w:r>
      </w:hyperlink>
      <w:r>
        <w:rPr>
          <w:rFonts w:ascii="Times New Roman" w:hAnsi="Times New Roman" w:cs="Times New Roman"/>
          <w:lang w:val="en-US"/>
        </w:rPr>
        <w:t>, accessed: 2023-04-23.</w:t>
      </w:r>
    </w:p>
  </w:footnote>
  <w:footnote w:id="42">
    <w:p w14:paraId="468C8BA1" w14:textId="118550DB" w:rsidR="00821280" w:rsidRPr="00821280" w:rsidRDefault="00821280" w:rsidP="00821280">
      <w:pPr>
        <w:pStyle w:val="Tekstprzypisudolnego"/>
        <w:jc w:val="both"/>
        <w:rPr>
          <w:rFonts w:ascii="Times New Roman" w:hAnsi="Times New Roman" w:cs="Times New Roman"/>
          <w:lang w:val="en-US"/>
        </w:rPr>
      </w:pPr>
      <w:r w:rsidRPr="00821280">
        <w:rPr>
          <w:rStyle w:val="Odwoanieprzypisudolnego"/>
          <w:rFonts w:ascii="Times New Roman" w:hAnsi="Times New Roman" w:cs="Times New Roman"/>
        </w:rPr>
        <w:footnoteRef/>
      </w:r>
      <w:r w:rsidRPr="00821280">
        <w:rPr>
          <w:rFonts w:ascii="Times New Roman" w:hAnsi="Times New Roman" w:cs="Times New Roman"/>
          <w:lang w:val="en-US"/>
        </w:rPr>
        <w:t xml:space="preserve"> European Commission, EU budget: Commission p</w:t>
      </w:r>
      <w:r>
        <w:rPr>
          <w:rFonts w:ascii="Times New Roman" w:hAnsi="Times New Roman" w:cs="Times New Roman"/>
          <w:lang w:val="en-US"/>
        </w:rPr>
        <w:t xml:space="preserve">roposes measures to the Council under the conditionality regulation, </w:t>
      </w:r>
      <w:hyperlink r:id="rId9" w:history="1">
        <w:r w:rsidRPr="00E81E48">
          <w:rPr>
            <w:rStyle w:val="Hipercze"/>
            <w:rFonts w:ascii="Times New Roman" w:hAnsi="Times New Roman" w:cs="Times New Roman"/>
            <w:lang w:val="en-US"/>
          </w:rPr>
          <w:t>https://ec.europa.eu/commission/presscorner/detail/en/IP_22_5623</w:t>
        </w:r>
      </w:hyperlink>
      <w:r>
        <w:rPr>
          <w:rFonts w:ascii="Times New Roman" w:hAnsi="Times New Roman" w:cs="Times New Roman"/>
          <w:lang w:val="en-US"/>
        </w:rPr>
        <w:t>, accessed: 2023-04-22.</w:t>
      </w:r>
    </w:p>
  </w:footnote>
  <w:footnote w:id="43">
    <w:p w14:paraId="4BBAA3C9" w14:textId="443D7EFC" w:rsidR="00376BD0" w:rsidRPr="00376BD0" w:rsidRDefault="00376BD0" w:rsidP="00376BD0">
      <w:pPr>
        <w:pStyle w:val="Tekstprzypisudolnego"/>
        <w:jc w:val="both"/>
        <w:rPr>
          <w:rFonts w:ascii="Times New Roman" w:hAnsi="Times New Roman" w:cs="Times New Roman"/>
          <w:lang w:val="en-US"/>
        </w:rPr>
      </w:pPr>
      <w:r w:rsidRPr="00376BD0">
        <w:rPr>
          <w:rStyle w:val="Odwoanieprzypisudolnego"/>
          <w:rFonts w:ascii="Times New Roman" w:hAnsi="Times New Roman" w:cs="Times New Roman"/>
        </w:rPr>
        <w:footnoteRef/>
      </w:r>
      <w:r w:rsidRPr="00376BD0">
        <w:rPr>
          <w:rFonts w:ascii="Times New Roman" w:hAnsi="Times New Roman" w:cs="Times New Roman"/>
          <w:lang w:val="en-US"/>
        </w:rPr>
        <w:t xml:space="preserve"> European Commission, Commission finds that H</w:t>
      </w:r>
      <w:r>
        <w:rPr>
          <w:rFonts w:ascii="Times New Roman" w:hAnsi="Times New Roman" w:cs="Times New Roman"/>
          <w:lang w:val="en-US"/>
        </w:rPr>
        <w:t xml:space="preserve">ungary has not progressed enough in its reforms and must meet essential milestones for its Recovery and Resilience funds, </w:t>
      </w:r>
      <w:hyperlink r:id="rId10" w:history="1">
        <w:r w:rsidRPr="00E81E48">
          <w:rPr>
            <w:rStyle w:val="Hipercze"/>
            <w:rFonts w:ascii="Times New Roman" w:hAnsi="Times New Roman" w:cs="Times New Roman"/>
            <w:lang w:val="en-US"/>
          </w:rPr>
          <w:t>https://ec.europa.eu/commission/presscorner/detail/en/ip_22_7273</w:t>
        </w:r>
      </w:hyperlink>
      <w:r>
        <w:rPr>
          <w:rFonts w:ascii="Times New Roman" w:hAnsi="Times New Roman" w:cs="Times New Roman"/>
          <w:lang w:val="en-US"/>
        </w:rPr>
        <w:t>, accessed: 2023-04-22.</w:t>
      </w:r>
    </w:p>
  </w:footnote>
  <w:footnote w:id="44">
    <w:p w14:paraId="349DEA31" w14:textId="49DFD333" w:rsidR="00376BD0" w:rsidRPr="00376BD0" w:rsidRDefault="00376BD0" w:rsidP="00376BD0">
      <w:pPr>
        <w:pStyle w:val="Tekstprzypisudolnego"/>
        <w:jc w:val="both"/>
        <w:rPr>
          <w:rFonts w:ascii="Times New Roman" w:hAnsi="Times New Roman" w:cs="Times New Roman"/>
          <w:lang w:val="en-US"/>
        </w:rPr>
      </w:pPr>
      <w:r w:rsidRPr="00376BD0">
        <w:rPr>
          <w:rStyle w:val="Odwoanieprzypisudolnego"/>
          <w:rFonts w:ascii="Times New Roman" w:hAnsi="Times New Roman" w:cs="Times New Roman"/>
        </w:rPr>
        <w:footnoteRef/>
      </w:r>
      <w:r w:rsidRPr="00376BD0">
        <w:rPr>
          <w:rFonts w:ascii="Times New Roman" w:hAnsi="Times New Roman" w:cs="Times New Roman"/>
          <w:lang w:val="en-US"/>
        </w:rPr>
        <w:t xml:space="preserve"> Council Implementing Decision (EU) 2022/2506 of 15 December 2022 on measures for the protection of the Union budget against breaches of the principles of the rule of law in Hungary</w:t>
      </w:r>
      <w:r>
        <w:rPr>
          <w:rFonts w:ascii="Times New Roman" w:hAnsi="Times New Roman" w:cs="Times New Roman"/>
          <w:lang w:val="en-US"/>
        </w:rPr>
        <w:t>, OJ L 325, 20.12.2022, p. 94.</w:t>
      </w:r>
    </w:p>
  </w:footnote>
  <w:footnote w:id="45">
    <w:p w14:paraId="5FF4CC82" w14:textId="4CE20081" w:rsidR="00F76E3C" w:rsidRPr="00F76E3C" w:rsidRDefault="00F76E3C">
      <w:pPr>
        <w:pStyle w:val="Tekstprzypisudolnego"/>
        <w:rPr>
          <w:rFonts w:ascii="Times New Roman" w:hAnsi="Times New Roman" w:cs="Times New Roman"/>
          <w:lang w:val="en-US"/>
        </w:rPr>
      </w:pPr>
      <w:r w:rsidRPr="00F76E3C">
        <w:rPr>
          <w:rStyle w:val="Odwoanieprzypisudolnego"/>
          <w:rFonts w:ascii="Times New Roman" w:hAnsi="Times New Roman" w:cs="Times New Roman"/>
        </w:rPr>
        <w:footnoteRef/>
      </w:r>
      <w:r w:rsidRPr="00F76E3C">
        <w:rPr>
          <w:rFonts w:ascii="Times New Roman" w:hAnsi="Times New Roman" w:cs="Times New Roman"/>
          <w:lang w:val="en-US"/>
        </w:rPr>
        <w:t xml:space="preserve"> </w:t>
      </w:r>
      <w:r>
        <w:rPr>
          <w:rFonts w:ascii="Times New Roman" w:hAnsi="Times New Roman" w:cs="Times New Roman"/>
          <w:lang w:val="en-US"/>
        </w:rPr>
        <w:t xml:space="preserve">Andi Hoxhaj, </w:t>
      </w:r>
      <w:r>
        <w:rPr>
          <w:rFonts w:ascii="Times New Roman" w:hAnsi="Times New Roman" w:cs="Times New Roman"/>
          <w:i/>
          <w:iCs/>
          <w:lang w:val="en-US"/>
        </w:rPr>
        <w:t xml:space="preserve">The CJEU validates in C-156/21 and C-157/21 the rule of law conditionality regulation regime to protect the EU budget, </w:t>
      </w:r>
      <w:r>
        <w:rPr>
          <w:rFonts w:ascii="Times New Roman" w:hAnsi="Times New Roman" w:cs="Times New Roman"/>
          <w:lang w:val="en-US"/>
        </w:rPr>
        <w:t>Nordic Journal of European Law 2022, no. 1, p.</w:t>
      </w:r>
      <w:r>
        <w:rPr>
          <w:rFonts w:ascii="Times New Roman" w:hAnsi="Times New Roman" w:cs="Times New Roman"/>
          <w:lang w:val="en-US"/>
        </w:rPr>
        <w:t xml:space="preserve"> 143.</w:t>
      </w:r>
    </w:p>
  </w:footnote>
  <w:footnote w:id="46">
    <w:p w14:paraId="7EE87309" w14:textId="748168D1" w:rsidR="0091263C" w:rsidRPr="0091263C" w:rsidRDefault="0091263C" w:rsidP="0091263C">
      <w:pPr>
        <w:pStyle w:val="Tekstprzypisudolnego"/>
        <w:jc w:val="both"/>
        <w:rPr>
          <w:rFonts w:ascii="Times New Roman" w:hAnsi="Times New Roman" w:cs="Times New Roman"/>
          <w:lang w:val="en-US"/>
        </w:rPr>
      </w:pPr>
      <w:r w:rsidRPr="0091263C">
        <w:rPr>
          <w:rStyle w:val="Odwoanieprzypisudolnego"/>
          <w:rFonts w:ascii="Times New Roman" w:hAnsi="Times New Roman" w:cs="Times New Roman"/>
        </w:rPr>
        <w:footnoteRef/>
      </w:r>
      <w:r w:rsidRPr="0091263C">
        <w:rPr>
          <w:rFonts w:ascii="Times New Roman" w:hAnsi="Times New Roman" w:cs="Times New Roman"/>
          <w:lang w:val="en-US"/>
        </w:rPr>
        <w:t xml:space="preserve"> Antonia Baraggia, Matteo Bonelli, </w:t>
      </w:r>
      <w:r w:rsidRPr="0091263C">
        <w:rPr>
          <w:rFonts w:ascii="Times New Roman" w:hAnsi="Times New Roman" w:cs="Times New Roman"/>
          <w:i/>
          <w:iCs/>
          <w:lang w:val="en-US"/>
        </w:rPr>
        <w:t>Linking Mon</w:t>
      </w:r>
      <w:r>
        <w:rPr>
          <w:rFonts w:ascii="Times New Roman" w:hAnsi="Times New Roman" w:cs="Times New Roman"/>
          <w:i/>
          <w:iCs/>
          <w:lang w:val="en-US"/>
        </w:rPr>
        <w:t xml:space="preserve">ey to Values: The New Rule of Law Conditionality Regulation and Its Constitutional Challenges, </w:t>
      </w:r>
      <w:r>
        <w:rPr>
          <w:rFonts w:ascii="Times New Roman" w:hAnsi="Times New Roman" w:cs="Times New Roman"/>
          <w:lang w:val="en-US"/>
        </w:rPr>
        <w:t>German Law Journal 2022, no. 23, p. 131-132</w:t>
      </w:r>
      <w:r w:rsidR="00677B19">
        <w:rPr>
          <w:rFonts w:ascii="Times New Roman" w:hAnsi="Times New Roman" w:cs="Times New Roman"/>
          <w:lang w:val="en-US"/>
        </w:rPr>
        <w:t>, 146</w:t>
      </w:r>
      <w:r w:rsidR="00D67023">
        <w:rPr>
          <w:rFonts w:ascii="Times New Roman" w:hAnsi="Times New Roman" w:cs="Times New Roman"/>
          <w:lang w:val="en-US"/>
        </w:rPr>
        <w:t>, 155</w:t>
      </w:r>
      <w:r>
        <w:rPr>
          <w:rFonts w:ascii="Times New Roman" w:hAnsi="Times New Roman" w:cs="Times New Roman"/>
          <w:lang w:val="en-US"/>
        </w:rPr>
        <w:t>.</w:t>
      </w:r>
    </w:p>
  </w:footnote>
  <w:footnote w:id="47">
    <w:p w14:paraId="136B409C" w14:textId="15169B06" w:rsidR="00C65442" w:rsidRPr="00C65442" w:rsidRDefault="00C65442" w:rsidP="00C65442">
      <w:pPr>
        <w:pStyle w:val="Tekstprzypisudolnego"/>
        <w:jc w:val="both"/>
        <w:rPr>
          <w:rFonts w:ascii="Times New Roman" w:hAnsi="Times New Roman" w:cs="Times New Roman"/>
          <w:lang w:val="en-US"/>
        </w:rPr>
      </w:pPr>
      <w:r w:rsidRPr="00C65442">
        <w:rPr>
          <w:rStyle w:val="Odwoanieprzypisudolnego"/>
          <w:rFonts w:ascii="Times New Roman" w:hAnsi="Times New Roman" w:cs="Times New Roman"/>
        </w:rPr>
        <w:footnoteRef/>
      </w:r>
      <w:r w:rsidRPr="00C65442">
        <w:rPr>
          <w:rFonts w:ascii="Times New Roman" w:hAnsi="Times New Roman" w:cs="Times New Roman"/>
          <w:lang w:val="en-US"/>
        </w:rPr>
        <w:t xml:space="preserve"> </w:t>
      </w:r>
      <w:r>
        <w:rPr>
          <w:rFonts w:ascii="Times New Roman" w:hAnsi="Times New Roman" w:cs="Times New Roman"/>
          <w:lang w:val="en-US"/>
        </w:rPr>
        <w:t xml:space="preserve">Justyna Łacny, </w:t>
      </w:r>
      <w:r>
        <w:rPr>
          <w:rFonts w:ascii="Times New Roman" w:hAnsi="Times New Roman" w:cs="Times New Roman"/>
          <w:i/>
          <w:iCs/>
          <w:lang w:val="en-US"/>
        </w:rPr>
        <w:t xml:space="preserve">The Rule of Law Conditionality Under Regulation No 2020/2092 – is it all About the Money?, </w:t>
      </w:r>
      <w:r>
        <w:rPr>
          <w:rFonts w:ascii="Times New Roman" w:hAnsi="Times New Roman" w:cs="Times New Roman"/>
          <w:lang w:val="en-US"/>
        </w:rPr>
        <w:t>Hague Journal on the Rule of Law 2021, No. 13, p. 102.</w:t>
      </w:r>
      <w:r w:rsidR="00B24218">
        <w:rPr>
          <w:rFonts w:ascii="Times New Roman" w:hAnsi="Times New Roman" w:cs="Times New Roman"/>
          <w:lang w:val="en-US"/>
        </w:rPr>
        <w:t xml:space="preserve"> </w:t>
      </w:r>
      <w:r w:rsidR="00B24218" w:rsidRPr="00B24218">
        <w:rPr>
          <w:rFonts w:ascii="Times New Roman" w:hAnsi="Times New Roman" w:cs="Times New Roman"/>
          <w:lang w:val="en-US"/>
        </w:rPr>
        <w:t>T</w:t>
      </w:r>
      <w:r w:rsidR="00B24218">
        <w:rPr>
          <w:rFonts w:ascii="Times New Roman" w:hAnsi="Times New Roman" w:cs="Times New Roman"/>
          <w:lang w:val="en-US"/>
        </w:rPr>
        <w:t>akis</w:t>
      </w:r>
      <w:r w:rsidR="00B24218" w:rsidRPr="00B24218">
        <w:rPr>
          <w:rFonts w:ascii="Times New Roman" w:hAnsi="Times New Roman" w:cs="Times New Roman"/>
          <w:lang w:val="en-US"/>
        </w:rPr>
        <w:t xml:space="preserve"> Tridimas, </w:t>
      </w:r>
      <w:r w:rsidR="00B24218" w:rsidRPr="00B24218">
        <w:rPr>
          <w:rFonts w:ascii="Times New Roman" w:hAnsi="Times New Roman" w:cs="Times New Roman"/>
          <w:i/>
          <w:iCs/>
          <w:lang w:val="en-US"/>
        </w:rPr>
        <w:t>Editorial Note: Recovery Plan and Rule of Law Conditionality: A New Era Beckons?</w:t>
      </w:r>
      <w:r w:rsidR="00B24218">
        <w:rPr>
          <w:rFonts w:ascii="Times New Roman" w:hAnsi="Times New Roman" w:cs="Times New Roman"/>
          <w:lang w:val="en-US"/>
        </w:rPr>
        <w:t>,</w:t>
      </w:r>
      <w:r w:rsidR="00B24218" w:rsidRPr="00B24218">
        <w:rPr>
          <w:rFonts w:ascii="Times New Roman" w:hAnsi="Times New Roman" w:cs="Times New Roman"/>
          <w:lang w:val="en-US"/>
        </w:rPr>
        <w:t xml:space="preserve"> 16 </w:t>
      </w:r>
      <w:r w:rsidR="00B24218">
        <w:rPr>
          <w:rFonts w:ascii="Times New Roman" w:hAnsi="Times New Roman" w:cs="Times New Roman"/>
          <w:lang w:val="en-US"/>
        </w:rPr>
        <w:t>Croatian Yearbook of European Law and Policy 2020, No. 16, p.</w:t>
      </w:r>
      <w:r w:rsidR="00B24218">
        <w:rPr>
          <w:rFonts w:ascii="Times New Roman" w:hAnsi="Times New Roman" w:cs="Times New Roman"/>
          <w:lang w:val="en-US"/>
        </w:rPr>
        <w:t xml:space="preserve"> 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11C"/>
    <w:multiLevelType w:val="hybridMultilevel"/>
    <w:tmpl w:val="0DFA9A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A9D126C"/>
    <w:multiLevelType w:val="hybridMultilevel"/>
    <w:tmpl w:val="3EE063F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7E026E1"/>
    <w:multiLevelType w:val="hybridMultilevel"/>
    <w:tmpl w:val="635ADB9A"/>
    <w:lvl w:ilvl="0" w:tplc="56D49DDA">
      <w:start w:val="1"/>
      <w:numFmt w:val="bullet"/>
      <w:lvlText w:val="•"/>
      <w:lvlJc w:val="left"/>
      <w:pPr>
        <w:tabs>
          <w:tab w:val="num" w:pos="720"/>
        </w:tabs>
        <w:ind w:left="720" w:hanging="360"/>
      </w:pPr>
      <w:rPr>
        <w:rFonts w:ascii="Times New Roman" w:hAnsi="Times New Roman" w:hint="default"/>
      </w:rPr>
    </w:lvl>
    <w:lvl w:ilvl="1" w:tplc="46220E06" w:tentative="1">
      <w:start w:val="1"/>
      <w:numFmt w:val="bullet"/>
      <w:lvlText w:val="•"/>
      <w:lvlJc w:val="left"/>
      <w:pPr>
        <w:tabs>
          <w:tab w:val="num" w:pos="1440"/>
        </w:tabs>
        <w:ind w:left="1440" w:hanging="360"/>
      </w:pPr>
      <w:rPr>
        <w:rFonts w:ascii="Times New Roman" w:hAnsi="Times New Roman" w:hint="default"/>
      </w:rPr>
    </w:lvl>
    <w:lvl w:ilvl="2" w:tplc="71CAED84" w:tentative="1">
      <w:start w:val="1"/>
      <w:numFmt w:val="bullet"/>
      <w:lvlText w:val="•"/>
      <w:lvlJc w:val="left"/>
      <w:pPr>
        <w:tabs>
          <w:tab w:val="num" w:pos="2160"/>
        </w:tabs>
        <w:ind w:left="2160" w:hanging="360"/>
      </w:pPr>
      <w:rPr>
        <w:rFonts w:ascii="Times New Roman" w:hAnsi="Times New Roman" w:hint="default"/>
      </w:rPr>
    </w:lvl>
    <w:lvl w:ilvl="3" w:tplc="91BA2502" w:tentative="1">
      <w:start w:val="1"/>
      <w:numFmt w:val="bullet"/>
      <w:lvlText w:val="•"/>
      <w:lvlJc w:val="left"/>
      <w:pPr>
        <w:tabs>
          <w:tab w:val="num" w:pos="2880"/>
        </w:tabs>
        <w:ind w:left="2880" w:hanging="360"/>
      </w:pPr>
      <w:rPr>
        <w:rFonts w:ascii="Times New Roman" w:hAnsi="Times New Roman" w:hint="default"/>
      </w:rPr>
    </w:lvl>
    <w:lvl w:ilvl="4" w:tplc="163077B4" w:tentative="1">
      <w:start w:val="1"/>
      <w:numFmt w:val="bullet"/>
      <w:lvlText w:val="•"/>
      <w:lvlJc w:val="left"/>
      <w:pPr>
        <w:tabs>
          <w:tab w:val="num" w:pos="3600"/>
        </w:tabs>
        <w:ind w:left="3600" w:hanging="360"/>
      </w:pPr>
      <w:rPr>
        <w:rFonts w:ascii="Times New Roman" w:hAnsi="Times New Roman" w:hint="default"/>
      </w:rPr>
    </w:lvl>
    <w:lvl w:ilvl="5" w:tplc="D6064DB6" w:tentative="1">
      <w:start w:val="1"/>
      <w:numFmt w:val="bullet"/>
      <w:lvlText w:val="•"/>
      <w:lvlJc w:val="left"/>
      <w:pPr>
        <w:tabs>
          <w:tab w:val="num" w:pos="4320"/>
        </w:tabs>
        <w:ind w:left="4320" w:hanging="360"/>
      </w:pPr>
      <w:rPr>
        <w:rFonts w:ascii="Times New Roman" w:hAnsi="Times New Roman" w:hint="default"/>
      </w:rPr>
    </w:lvl>
    <w:lvl w:ilvl="6" w:tplc="D84C9C10" w:tentative="1">
      <w:start w:val="1"/>
      <w:numFmt w:val="bullet"/>
      <w:lvlText w:val="•"/>
      <w:lvlJc w:val="left"/>
      <w:pPr>
        <w:tabs>
          <w:tab w:val="num" w:pos="5040"/>
        </w:tabs>
        <w:ind w:left="5040" w:hanging="360"/>
      </w:pPr>
      <w:rPr>
        <w:rFonts w:ascii="Times New Roman" w:hAnsi="Times New Roman" w:hint="default"/>
      </w:rPr>
    </w:lvl>
    <w:lvl w:ilvl="7" w:tplc="8F1833D4" w:tentative="1">
      <w:start w:val="1"/>
      <w:numFmt w:val="bullet"/>
      <w:lvlText w:val="•"/>
      <w:lvlJc w:val="left"/>
      <w:pPr>
        <w:tabs>
          <w:tab w:val="num" w:pos="5760"/>
        </w:tabs>
        <w:ind w:left="5760" w:hanging="360"/>
      </w:pPr>
      <w:rPr>
        <w:rFonts w:ascii="Times New Roman" w:hAnsi="Times New Roman" w:hint="default"/>
      </w:rPr>
    </w:lvl>
    <w:lvl w:ilvl="8" w:tplc="A8D8E2EA" w:tentative="1">
      <w:start w:val="1"/>
      <w:numFmt w:val="bullet"/>
      <w:lvlText w:val="•"/>
      <w:lvlJc w:val="left"/>
      <w:pPr>
        <w:tabs>
          <w:tab w:val="num" w:pos="6480"/>
        </w:tabs>
        <w:ind w:left="6480" w:hanging="360"/>
      </w:pPr>
      <w:rPr>
        <w:rFonts w:ascii="Times New Roman" w:hAnsi="Times New Roman" w:hint="default"/>
      </w:rPr>
    </w:lvl>
  </w:abstractNum>
  <w:num w:numId="1" w16cid:durableId="1238905689">
    <w:abstractNumId w:val="2"/>
  </w:num>
  <w:num w:numId="2" w16cid:durableId="1877890801">
    <w:abstractNumId w:val="1"/>
  </w:num>
  <w:num w:numId="3" w16cid:durableId="167564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6D"/>
    <w:rsid w:val="00006ABA"/>
    <w:rsid w:val="00034D1B"/>
    <w:rsid w:val="000B5343"/>
    <w:rsid w:val="000D6CD2"/>
    <w:rsid w:val="000E4FC1"/>
    <w:rsid w:val="00123A5D"/>
    <w:rsid w:val="00141B9F"/>
    <w:rsid w:val="00155C30"/>
    <w:rsid w:val="00194128"/>
    <w:rsid w:val="00244585"/>
    <w:rsid w:val="00285F29"/>
    <w:rsid w:val="00295F6A"/>
    <w:rsid w:val="002B3320"/>
    <w:rsid w:val="002C0315"/>
    <w:rsid w:val="002C2CDC"/>
    <w:rsid w:val="0030588D"/>
    <w:rsid w:val="00345129"/>
    <w:rsid w:val="00345ABD"/>
    <w:rsid w:val="00371B14"/>
    <w:rsid w:val="00376BD0"/>
    <w:rsid w:val="003A5208"/>
    <w:rsid w:val="003C1E3A"/>
    <w:rsid w:val="003C3D21"/>
    <w:rsid w:val="003F5FBE"/>
    <w:rsid w:val="004E08CB"/>
    <w:rsid w:val="005163F4"/>
    <w:rsid w:val="00533437"/>
    <w:rsid w:val="00557812"/>
    <w:rsid w:val="00580D5D"/>
    <w:rsid w:val="005837B9"/>
    <w:rsid w:val="0059467A"/>
    <w:rsid w:val="005D59F1"/>
    <w:rsid w:val="005D65DB"/>
    <w:rsid w:val="00622AC7"/>
    <w:rsid w:val="00665325"/>
    <w:rsid w:val="006745A1"/>
    <w:rsid w:val="00677B19"/>
    <w:rsid w:val="006C706D"/>
    <w:rsid w:val="0071171A"/>
    <w:rsid w:val="007F70FB"/>
    <w:rsid w:val="00821280"/>
    <w:rsid w:val="00880061"/>
    <w:rsid w:val="008A2AD3"/>
    <w:rsid w:val="0091263C"/>
    <w:rsid w:val="00954C29"/>
    <w:rsid w:val="009B2BA1"/>
    <w:rsid w:val="009C7D6D"/>
    <w:rsid w:val="00A43B09"/>
    <w:rsid w:val="00A760FD"/>
    <w:rsid w:val="00B24218"/>
    <w:rsid w:val="00B81895"/>
    <w:rsid w:val="00BB464B"/>
    <w:rsid w:val="00BF0EFF"/>
    <w:rsid w:val="00C52540"/>
    <w:rsid w:val="00C65442"/>
    <w:rsid w:val="00CC19AA"/>
    <w:rsid w:val="00CD1F46"/>
    <w:rsid w:val="00CE7C46"/>
    <w:rsid w:val="00D07A8A"/>
    <w:rsid w:val="00D2000B"/>
    <w:rsid w:val="00D3076D"/>
    <w:rsid w:val="00D66351"/>
    <w:rsid w:val="00D67023"/>
    <w:rsid w:val="00D726B9"/>
    <w:rsid w:val="00DB7EC7"/>
    <w:rsid w:val="00EB71CB"/>
    <w:rsid w:val="00F651F7"/>
    <w:rsid w:val="00F7456B"/>
    <w:rsid w:val="00F76E3C"/>
    <w:rsid w:val="00F961FF"/>
    <w:rsid w:val="00FD5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47F2"/>
  <w15:chartTrackingRefBased/>
  <w15:docId w15:val="{C1582CA9-13CF-41BB-936C-69867D41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A5208"/>
    <w:pPr>
      <w:spacing w:after="0" w:line="240" w:lineRule="auto"/>
    </w:pPr>
  </w:style>
  <w:style w:type="paragraph" w:styleId="Tekstprzypisudolnego">
    <w:name w:val="footnote text"/>
    <w:basedOn w:val="Normalny"/>
    <w:link w:val="TekstprzypisudolnegoZnak"/>
    <w:uiPriority w:val="99"/>
    <w:semiHidden/>
    <w:unhideWhenUsed/>
    <w:rsid w:val="006C70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706D"/>
    <w:rPr>
      <w:sz w:val="20"/>
      <w:szCs w:val="20"/>
    </w:rPr>
  </w:style>
  <w:style w:type="character" w:styleId="Odwoanieprzypisudolnego">
    <w:name w:val="footnote reference"/>
    <w:basedOn w:val="Domylnaczcionkaakapitu"/>
    <w:uiPriority w:val="99"/>
    <w:semiHidden/>
    <w:unhideWhenUsed/>
    <w:rsid w:val="006C706D"/>
    <w:rPr>
      <w:vertAlign w:val="superscript"/>
    </w:rPr>
  </w:style>
  <w:style w:type="character" w:styleId="Hipercze">
    <w:name w:val="Hyperlink"/>
    <w:basedOn w:val="Domylnaczcionkaakapitu"/>
    <w:uiPriority w:val="99"/>
    <w:unhideWhenUsed/>
    <w:rsid w:val="006C706D"/>
    <w:rPr>
      <w:color w:val="0000FF"/>
      <w:u w:val="single"/>
    </w:rPr>
  </w:style>
  <w:style w:type="character" w:styleId="Nierozpoznanawzmianka">
    <w:name w:val="Unresolved Mention"/>
    <w:basedOn w:val="Domylnaczcionkaakapitu"/>
    <w:uiPriority w:val="99"/>
    <w:semiHidden/>
    <w:unhideWhenUsed/>
    <w:rsid w:val="006C706D"/>
    <w:rPr>
      <w:color w:val="605E5C"/>
      <w:shd w:val="clear" w:color="auto" w:fill="E1DFDD"/>
    </w:rPr>
  </w:style>
  <w:style w:type="character" w:customStyle="1" w:styleId="outputecli">
    <w:name w:val="outputecli"/>
    <w:basedOn w:val="Domylnaczcionkaakapitu"/>
    <w:rsid w:val="00665325"/>
  </w:style>
  <w:style w:type="paragraph" w:styleId="Akapitzlist">
    <w:name w:val="List Paragraph"/>
    <w:basedOn w:val="Normalny"/>
    <w:uiPriority w:val="34"/>
    <w:qFormat/>
    <w:rsid w:val="00665325"/>
    <w:pPr>
      <w:spacing w:after="0" w:line="240" w:lineRule="auto"/>
      <w:ind w:left="720"/>
      <w:contextualSpacing/>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22AC7"/>
    <w:rPr>
      <w:i/>
      <w:iCs/>
    </w:rPr>
  </w:style>
  <w:style w:type="character" w:styleId="UyteHipercze">
    <w:name w:val="FollowedHyperlink"/>
    <w:basedOn w:val="Domylnaczcionkaakapitu"/>
    <w:uiPriority w:val="99"/>
    <w:semiHidden/>
    <w:unhideWhenUsed/>
    <w:rsid w:val="005D65DB"/>
    <w:rPr>
      <w:color w:val="954F72" w:themeColor="followedHyperlink"/>
      <w:u w:val="single"/>
    </w:rPr>
  </w:style>
  <w:style w:type="paragraph" w:customStyle="1" w:styleId="Default">
    <w:name w:val="Default"/>
    <w:rsid w:val="00141B9F"/>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821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4318">
      <w:bodyDiv w:val="1"/>
      <w:marLeft w:val="0"/>
      <w:marRight w:val="0"/>
      <w:marTop w:val="0"/>
      <w:marBottom w:val="0"/>
      <w:divBdr>
        <w:top w:val="none" w:sz="0" w:space="0" w:color="auto"/>
        <w:left w:val="none" w:sz="0" w:space="0" w:color="auto"/>
        <w:bottom w:val="none" w:sz="0" w:space="0" w:color="auto"/>
        <w:right w:val="none" w:sz="0" w:space="0" w:color="auto"/>
      </w:divBdr>
      <w:divsChild>
        <w:div w:id="2012104419">
          <w:marLeft w:val="547"/>
          <w:marRight w:val="0"/>
          <w:marTop w:val="0"/>
          <w:marBottom w:val="0"/>
          <w:divBdr>
            <w:top w:val="none" w:sz="0" w:space="0" w:color="auto"/>
            <w:left w:val="none" w:sz="0" w:space="0" w:color="auto"/>
            <w:bottom w:val="none" w:sz="0" w:space="0" w:color="auto"/>
            <w:right w:val="none" w:sz="0" w:space="0" w:color="auto"/>
          </w:divBdr>
        </w:div>
      </w:divsChild>
    </w:div>
    <w:div w:id="899679271">
      <w:bodyDiv w:val="1"/>
      <w:marLeft w:val="0"/>
      <w:marRight w:val="0"/>
      <w:marTop w:val="0"/>
      <w:marBottom w:val="0"/>
      <w:divBdr>
        <w:top w:val="none" w:sz="0" w:space="0" w:color="auto"/>
        <w:left w:val="none" w:sz="0" w:space="0" w:color="auto"/>
        <w:bottom w:val="none" w:sz="0" w:space="0" w:color="auto"/>
        <w:right w:val="none" w:sz="0" w:space="0" w:color="auto"/>
      </w:divBdr>
      <w:divsChild>
        <w:div w:id="1782456757">
          <w:marLeft w:val="547"/>
          <w:marRight w:val="0"/>
          <w:marTop w:val="0"/>
          <w:marBottom w:val="0"/>
          <w:divBdr>
            <w:top w:val="none" w:sz="0" w:space="0" w:color="auto"/>
            <w:left w:val="none" w:sz="0" w:space="0" w:color="auto"/>
            <w:bottom w:val="none" w:sz="0" w:space="0" w:color="auto"/>
            <w:right w:val="none" w:sz="0" w:space="0" w:color="auto"/>
          </w:divBdr>
        </w:div>
      </w:divsChild>
    </w:div>
    <w:div w:id="18604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QANDA_22_1471" TargetMode="External"/><Relationship Id="rId3" Type="http://schemas.openxmlformats.org/officeDocument/2006/relationships/hyperlink" Target="https://www.europarl.europa.eu/doceo/document/TA-8-2018-0340_EN.html" TargetMode="External"/><Relationship Id="rId7" Type="http://schemas.openxmlformats.org/officeDocument/2006/relationships/hyperlink" Target="https://commission.europa.eu/document/download/0cd06dc0-92be-4802-8637-9b2d4799c3fe_en?filename=c_2022_1382_3_en_act_part1_v7.pdf" TargetMode="External"/><Relationship Id="rId2" Type="http://schemas.openxmlformats.org/officeDocument/2006/relationships/hyperlink" Target="https://www.europarl.europa.eu/doceo/document/TA-8-2018-0055_EN.html" TargetMode="External"/><Relationship Id="rId1" Type="http://schemas.openxmlformats.org/officeDocument/2006/relationships/hyperlink" Target="https://eur-lex.europa.eu/legal-content/EN/TXT/?uri=CELEX%3A52017PC0835" TargetMode="External"/><Relationship Id="rId6" Type="http://schemas.openxmlformats.org/officeDocument/2006/relationships/hyperlink" Target="https://www.europarl.europa.eu/doceo/document/TA-9-2021-0439_EN.html" TargetMode="External"/><Relationship Id="rId5" Type="http://schemas.openxmlformats.org/officeDocument/2006/relationships/hyperlink" Target="https://www.europarl.europa.eu/doceo/document/TA-9-2020-0360_EN.html" TargetMode="External"/><Relationship Id="rId10" Type="http://schemas.openxmlformats.org/officeDocument/2006/relationships/hyperlink" Target="https://ec.europa.eu/commission/presscorner/detail/en/ip_22_7273" TargetMode="External"/><Relationship Id="rId4" Type="http://schemas.openxmlformats.org/officeDocument/2006/relationships/hyperlink" Target="https://wiadomosci.onet.pl/tylko-w-onecie/tsue-obniza-kare-dzienna-dla-polski-jestem-zaskoczony/9564kdk" TargetMode="External"/><Relationship Id="rId9" Type="http://schemas.openxmlformats.org/officeDocument/2006/relationships/hyperlink" Target="https://ec.europa.eu/commission/presscorner/detail/en/IP_22_562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AC06-AFB0-4D43-B78F-7F2B9E6D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15</Pages>
  <Words>5833</Words>
  <Characters>29696</Characters>
  <Application>Microsoft Office Word</Application>
  <DocSecurity>0</DocSecurity>
  <Lines>418</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Matusiak-Frącczak</dc:creator>
  <cp:keywords/>
  <dc:description/>
  <cp:lastModifiedBy>Magdalena Matusiak-Frącczak</cp:lastModifiedBy>
  <cp:revision>35</cp:revision>
  <cp:lastPrinted>2023-04-23T08:40:00Z</cp:lastPrinted>
  <dcterms:created xsi:type="dcterms:W3CDTF">2023-03-03T20:08:00Z</dcterms:created>
  <dcterms:modified xsi:type="dcterms:W3CDTF">2023-04-23T09:25:00Z</dcterms:modified>
</cp:coreProperties>
</file>