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AB1C" w14:textId="6B75249E" w:rsidR="00EC3FA7" w:rsidRPr="002E4BFA" w:rsidRDefault="00EC3FA7" w:rsidP="00C6263F">
      <w:pPr>
        <w:spacing w:line="360" w:lineRule="auto"/>
        <w:jc w:val="left"/>
        <w:rPr>
          <w:rFonts w:ascii="Arial" w:hAnsi="Arial" w:cs="Arial"/>
          <w:b/>
          <w:bCs/>
          <w:sz w:val="28"/>
          <w:szCs w:val="28"/>
          <w:lang w:val="en-GB"/>
        </w:rPr>
      </w:pPr>
      <w:r w:rsidRPr="002E4BFA">
        <w:rPr>
          <w:rFonts w:ascii="Arial" w:hAnsi="Arial" w:cs="Arial"/>
          <w:b/>
          <w:bCs/>
          <w:sz w:val="28"/>
          <w:szCs w:val="28"/>
          <w:lang w:val="en-GB"/>
        </w:rPr>
        <w:t>Lost in transition? Social justice and the politics of the EU green transition</w:t>
      </w:r>
    </w:p>
    <w:p w14:paraId="0B3DBEEE" w14:textId="43D1349C" w:rsidR="00EA61C1" w:rsidRPr="002E4BFA" w:rsidRDefault="00EC3FA7">
      <w:pPr>
        <w:jc w:val="left"/>
        <w:rPr>
          <w:rFonts w:ascii="Arial" w:hAnsi="Arial" w:cs="Arial"/>
          <w:i/>
          <w:iCs/>
          <w:lang w:val="fr-BE"/>
        </w:rPr>
      </w:pPr>
      <w:r w:rsidRPr="002E4BFA">
        <w:rPr>
          <w:rFonts w:ascii="Arial" w:hAnsi="Arial" w:cs="Arial"/>
          <w:b/>
          <w:bCs/>
          <w:lang w:val="fr-BE"/>
        </w:rPr>
        <w:t>Amandine Crespy</w:t>
      </w:r>
      <w:r w:rsidR="002E4BFA" w:rsidRPr="002E4BFA">
        <w:rPr>
          <w:rStyle w:val="FootnoteReference"/>
          <w:rFonts w:ascii="Arial" w:hAnsi="Arial" w:cs="Arial"/>
          <w:b/>
          <w:bCs/>
          <w:lang w:val="fr-BE"/>
        </w:rPr>
        <w:footnoteReference w:id="1"/>
      </w:r>
    </w:p>
    <w:p w14:paraId="395E3E98" w14:textId="13BA53B2" w:rsidR="00BA00BB" w:rsidRPr="002E4BFA" w:rsidRDefault="00BA00BB" w:rsidP="00C6263F">
      <w:pPr>
        <w:jc w:val="left"/>
        <w:rPr>
          <w:rFonts w:ascii="Arial" w:hAnsi="Arial" w:cs="Arial"/>
          <w:b/>
          <w:bCs/>
          <w:lang w:val="fr-BE"/>
        </w:rPr>
      </w:pPr>
      <w:r w:rsidRPr="002E4BFA">
        <w:rPr>
          <w:rFonts w:ascii="Arial" w:hAnsi="Arial" w:cs="Arial"/>
          <w:lang w:val="fr-BE"/>
        </w:rPr>
        <w:t>Université Libre de Bruxelles</w:t>
      </w:r>
      <w:r w:rsidR="00ED62A2" w:rsidRPr="002E4BFA">
        <w:rPr>
          <w:rFonts w:ascii="Arial" w:hAnsi="Arial" w:cs="Arial"/>
          <w:lang w:val="fr-BE"/>
        </w:rPr>
        <w:t xml:space="preserve">, </w:t>
      </w:r>
      <w:proofErr w:type="spellStart"/>
      <w:r w:rsidR="00ED62A2" w:rsidRPr="002E4BFA">
        <w:rPr>
          <w:rFonts w:ascii="Arial" w:hAnsi="Arial" w:cs="Arial"/>
          <w:lang w:val="fr-BE"/>
        </w:rPr>
        <w:t>Belgium</w:t>
      </w:r>
      <w:proofErr w:type="spellEnd"/>
    </w:p>
    <w:p w14:paraId="7DDD3208" w14:textId="77777777" w:rsidR="001E56E7" w:rsidRPr="002E4BFA" w:rsidRDefault="00EC3FA7">
      <w:pPr>
        <w:jc w:val="left"/>
        <w:rPr>
          <w:rFonts w:ascii="Arial" w:hAnsi="Arial" w:cs="Arial"/>
          <w:b/>
          <w:bCs/>
          <w:lang w:val="en-GB"/>
        </w:rPr>
      </w:pPr>
      <w:r w:rsidRPr="002E4BFA">
        <w:rPr>
          <w:rFonts w:ascii="Arial" w:hAnsi="Arial" w:cs="Arial"/>
          <w:b/>
          <w:bCs/>
          <w:lang w:val="en-GB"/>
        </w:rPr>
        <w:t>Mario Munta</w:t>
      </w:r>
    </w:p>
    <w:p w14:paraId="2D501821" w14:textId="2F5F0456" w:rsidR="00EC3FA7" w:rsidRPr="002E4BFA" w:rsidRDefault="00BA00BB" w:rsidP="00C6263F">
      <w:pPr>
        <w:jc w:val="left"/>
        <w:rPr>
          <w:rFonts w:ascii="Arial" w:hAnsi="Arial" w:cs="Arial"/>
          <w:lang w:val="en-GB"/>
        </w:rPr>
      </w:pPr>
      <w:r w:rsidRPr="002E4BFA">
        <w:rPr>
          <w:rFonts w:ascii="Arial" w:hAnsi="Arial" w:cs="Arial"/>
          <w:lang w:val="en-GB"/>
        </w:rPr>
        <w:t>European University Institute</w:t>
      </w:r>
      <w:r w:rsidR="00D05978" w:rsidRPr="002E4BFA">
        <w:rPr>
          <w:rFonts w:ascii="Arial" w:hAnsi="Arial" w:cs="Arial"/>
          <w:lang w:val="en-GB"/>
        </w:rPr>
        <w:t xml:space="preserve"> (EUI)</w:t>
      </w:r>
      <w:r w:rsidRPr="002E4BFA">
        <w:rPr>
          <w:rFonts w:ascii="Arial" w:hAnsi="Arial" w:cs="Arial"/>
          <w:lang w:val="en-GB"/>
        </w:rPr>
        <w:t>, Italy</w:t>
      </w:r>
      <w:r w:rsidR="005F3413" w:rsidRPr="002E4BFA">
        <w:rPr>
          <w:rFonts w:ascii="Arial" w:hAnsi="Arial" w:cs="Arial"/>
          <w:lang w:val="en-GB"/>
        </w:rPr>
        <w:t>,</w:t>
      </w:r>
      <w:r w:rsidRPr="002E4BFA">
        <w:rPr>
          <w:rFonts w:ascii="Arial" w:hAnsi="Arial" w:cs="Arial"/>
          <w:lang w:val="en-GB"/>
        </w:rPr>
        <w:t xml:space="preserve"> </w:t>
      </w:r>
      <w:r w:rsidR="001E56E7" w:rsidRPr="002E4BFA">
        <w:rPr>
          <w:rFonts w:ascii="Arial" w:hAnsi="Arial" w:cs="Arial"/>
          <w:lang w:val="en-GB"/>
        </w:rPr>
        <w:t xml:space="preserve">and </w:t>
      </w:r>
      <w:r w:rsidRPr="002E4BFA">
        <w:rPr>
          <w:rFonts w:ascii="Arial" w:hAnsi="Arial" w:cs="Arial"/>
          <w:lang w:val="en-GB"/>
        </w:rPr>
        <w:t>University of Zagreb, Croatia</w:t>
      </w:r>
    </w:p>
    <w:p w14:paraId="3F76979F" w14:textId="77777777" w:rsidR="00BA00BB" w:rsidRPr="002E4BFA" w:rsidRDefault="00BA00BB" w:rsidP="00C6263F">
      <w:pPr>
        <w:jc w:val="left"/>
        <w:rPr>
          <w:rFonts w:ascii="Arial" w:hAnsi="Arial" w:cs="Arial"/>
          <w:b/>
          <w:bCs/>
          <w:lang w:val="en-GB"/>
        </w:rPr>
      </w:pPr>
    </w:p>
    <w:p w14:paraId="5AF483E6" w14:textId="0CD1EC54" w:rsidR="0023780E" w:rsidRPr="002E4BFA" w:rsidRDefault="0023780E">
      <w:pPr>
        <w:spacing w:line="360" w:lineRule="auto"/>
        <w:jc w:val="left"/>
        <w:rPr>
          <w:rFonts w:ascii="Arial" w:hAnsi="Arial" w:cs="Arial"/>
          <w:b/>
          <w:bCs/>
          <w:lang w:val="en-GB"/>
        </w:rPr>
      </w:pPr>
      <w:r w:rsidRPr="002E4BFA">
        <w:rPr>
          <w:rFonts w:ascii="Arial" w:hAnsi="Arial" w:cs="Arial"/>
          <w:b/>
          <w:bCs/>
          <w:lang w:val="en-GB"/>
        </w:rPr>
        <w:t>Summary</w:t>
      </w:r>
      <w:r w:rsidR="00DC3AA1" w:rsidRPr="002E4BFA">
        <w:rPr>
          <w:rFonts w:ascii="Arial" w:hAnsi="Arial" w:cs="Arial"/>
          <w:b/>
          <w:bCs/>
          <w:lang w:val="en-GB"/>
        </w:rPr>
        <w:t xml:space="preserve"> </w:t>
      </w:r>
    </w:p>
    <w:p w14:paraId="7215B226" w14:textId="27AAE258" w:rsidR="0027784C" w:rsidRPr="002E4BFA" w:rsidRDefault="00DC3AA1" w:rsidP="002E4BFA">
      <w:pPr>
        <w:spacing w:line="360" w:lineRule="auto"/>
        <w:jc w:val="left"/>
        <w:rPr>
          <w:rFonts w:ascii="Arial" w:hAnsi="Arial" w:cs="Arial"/>
          <w:lang w:val="en-GB"/>
        </w:rPr>
      </w:pPr>
      <w:r w:rsidRPr="002E4BFA">
        <w:rPr>
          <w:rFonts w:ascii="Arial" w:hAnsi="Arial" w:cs="Arial"/>
          <w:lang w:val="en-GB"/>
        </w:rPr>
        <w:t xml:space="preserve">Focusing on two key instruments, the Just Transition Fund and the Social Climate Fund, </w:t>
      </w:r>
      <w:r w:rsidR="00C6263F" w:rsidRPr="002E4BFA">
        <w:rPr>
          <w:rFonts w:ascii="Arial" w:hAnsi="Arial" w:cs="Arial"/>
          <w:lang w:val="en-GB"/>
        </w:rPr>
        <w:t xml:space="preserve">this article assesses </w:t>
      </w:r>
      <w:r w:rsidRPr="002E4BFA">
        <w:rPr>
          <w:rFonts w:ascii="Arial" w:hAnsi="Arial" w:cs="Arial"/>
          <w:lang w:val="en-GB"/>
        </w:rPr>
        <w:t xml:space="preserve">to what extent the EU’s pledge for a </w:t>
      </w:r>
      <w:r w:rsidR="00C6263F" w:rsidRPr="002E4BFA">
        <w:rPr>
          <w:rFonts w:ascii="Arial" w:hAnsi="Arial" w:cs="Arial"/>
          <w:lang w:val="en-GB"/>
        </w:rPr>
        <w:t>‘</w:t>
      </w:r>
      <w:r w:rsidRPr="002E4BFA">
        <w:rPr>
          <w:rFonts w:ascii="Arial" w:hAnsi="Arial" w:cs="Arial"/>
          <w:lang w:val="en-GB"/>
        </w:rPr>
        <w:t>just transition</w:t>
      </w:r>
      <w:r w:rsidR="00C6263F" w:rsidRPr="002E4BFA">
        <w:rPr>
          <w:rFonts w:ascii="Arial" w:hAnsi="Arial" w:cs="Arial"/>
          <w:lang w:val="en-GB"/>
        </w:rPr>
        <w:t>’</w:t>
      </w:r>
      <w:r w:rsidRPr="002E4BFA">
        <w:rPr>
          <w:rFonts w:ascii="Arial" w:hAnsi="Arial" w:cs="Arial"/>
          <w:lang w:val="en-GB"/>
        </w:rPr>
        <w:t xml:space="preserve"> has the potential to foster greater social justice</w:t>
      </w:r>
      <w:r w:rsidR="00C6263F" w:rsidRPr="002E4BFA">
        <w:rPr>
          <w:rFonts w:ascii="Arial" w:hAnsi="Arial" w:cs="Arial"/>
          <w:lang w:val="en-GB"/>
        </w:rPr>
        <w:t xml:space="preserve"> while implementing the European Green Deal</w:t>
      </w:r>
      <w:r w:rsidRPr="002E4BFA">
        <w:rPr>
          <w:rFonts w:ascii="Arial" w:hAnsi="Arial" w:cs="Arial"/>
          <w:lang w:val="en-GB"/>
        </w:rPr>
        <w:t>. We analyse the</w:t>
      </w:r>
      <w:r w:rsidR="00C6263F" w:rsidRPr="002E4BFA">
        <w:rPr>
          <w:rFonts w:ascii="Arial" w:hAnsi="Arial" w:cs="Arial"/>
          <w:lang w:val="en-GB"/>
        </w:rPr>
        <w:t xml:space="preserve"> related </w:t>
      </w:r>
      <w:r w:rsidRPr="002E4BFA">
        <w:rPr>
          <w:rFonts w:ascii="Arial" w:hAnsi="Arial" w:cs="Arial"/>
          <w:lang w:val="en-GB"/>
        </w:rPr>
        <w:t>objectives, policy tools and patterns of political conflict</w:t>
      </w:r>
      <w:r w:rsidR="00C6263F" w:rsidRPr="002E4BFA">
        <w:rPr>
          <w:rFonts w:ascii="Arial" w:hAnsi="Arial" w:cs="Arial"/>
          <w:lang w:val="en-GB"/>
        </w:rPr>
        <w:t xml:space="preserve"> and find that</w:t>
      </w:r>
      <w:r w:rsidRPr="002E4BFA">
        <w:rPr>
          <w:rFonts w:ascii="Arial" w:hAnsi="Arial" w:cs="Arial"/>
          <w:lang w:val="en-GB"/>
        </w:rPr>
        <w:t xml:space="preserve"> </w:t>
      </w:r>
      <w:r w:rsidR="00C6263F" w:rsidRPr="002E4BFA">
        <w:rPr>
          <w:rFonts w:ascii="Arial" w:hAnsi="Arial" w:cs="Arial"/>
          <w:lang w:val="en-GB"/>
        </w:rPr>
        <w:t>b</w:t>
      </w:r>
      <w:r w:rsidRPr="002E4BFA">
        <w:rPr>
          <w:rFonts w:ascii="Arial" w:hAnsi="Arial" w:cs="Arial"/>
          <w:bCs/>
          <w:lang w:val="en-GB"/>
        </w:rPr>
        <w:t>oth Funds have narrow objectives anchored in a reactive logic complementing existing social investment initiatives with a focus on reskilling the workforce hit by decarbonisation. Both instruments rely</w:t>
      </w:r>
      <w:r w:rsidRPr="002E4BFA">
        <w:rPr>
          <w:rFonts w:ascii="Arial" w:hAnsi="Arial" w:cs="Arial"/>
          <w:lang w:val="en-GB"/>
        </w:rPr>
        <w:t xml:space="preserve"> on multi-level investment aiming to generate green growth, </w:t>
      </w:r>
      <w:r w:rsidRPr="002E4BFA">
        <w:rPr>
          <w:rFonts w:ascii="Arial" w:hAnsi="Arial" w:cs="Arial"/>
          <w:bCs/>
          <w:lang w:val="en-GB"/>
        </w:rPr>
        <w:t xml:space="preserve">combined with targeted compensation for the more vulnerable. This, we argue, </w:t>
      </w:r>
      <w:r w:rsidR="00C6263F" w:rsidRPr="002E4BFA">
        <w:rPr>
          <w:rFonts w:ascii="Arial" w:hAnsi="Arial" w:cs="Arial"/>
          <w:bCs/>
          <w:lang w:val="en-GB"/>
        </w:rPr>
        <w:t xml:space="preserve">is not conducive </w:t>
      </w:r>
      <w:r w:rsidR="00D32A4E" w:rsidRPr="002E4BFA">
        <w:rPr>
          <w:rFonts w:ascii="Arial" w:hAnsi="Arial" w:cs="Arial"/>
          <w:bCs/>
          <w:lang w:val="en-GB"/>
        </w:rPr>
        <w:t xml:space="preserve">to </w:t>
      </w:r>
      <w:r w:rsidRPr="002E4BFA">
        <w:rPr>
          <w:rFonts w:ascii="Arial" w:hAnsi="Arial" w:cs="Arial"/>
          <w:lang w:val="en-GB"/>
        </w:rPr>
        <w:t>a just transition that addresses the intersection of environmental and social problems</w:t>
      </w:r>
      <w:r w:rsidR="00C6263F" w:rsidRPr="002E4BFA">
        <w:rPr>
          <w:rFonts w:ascii="Arial" w:hAnsi="Arial" w:cs="Arial"/>
          <w:lang w:val="en-GB"/>
        </w:rPr>
        <w:t xml:space="preserve"> in a holistic way</w:t>
      </w:r>
      <w:r w:rsidRPr="002E4BFA">
        <w:rPr>
          <w:rFonts w:ascii="Arial" w:hAnsi="Arial" w:cs="Arial"/>
          <w:lang w:val="en-GB"/>
        </w:rPr>
        <w:t>. Finally, various political fault lines pose the threat that EU action will be insufficient to tackle exacerbated inequalities in the future.</w:t>
      </w:r>
    </w:p>
    <w:p w14:paraId="2ECA97E3" w14:textId="77777777" w:rsidR="0027784C" w:rsidRPr="002E4BFA" w:rsidRDefault="0027784C" w:rsidP="0027784C">
      <w:pPr>
        <w:jc w:val="left"/>
        <w:rPr>
          <w:rFonts w:ascii="Arial" w:hAnsi="Arial" w:cs="Arial"/>
          <w:lang w:val="en-GB"/>
        </w:rPr>
      </w:pPr>
      <w:r w:rsidRPr="002E4BFA">
        <w:rPr>
          <w:rFonts w:ascii="Arial" w:hAnsi="Arial" w:cs="Arial"/>
          <w:b/>
          <w:bCs/>
          <w:lang w:val="en-GB"/>
        </w:rPr>
        <w:t>Keywords</w:t>
      </w:r>
    </w:p>
    <w:p w14:paraId="2D31A047" w14:textId="591098A4" w:rsidR="002E4BFA" w:rsidRDefault="0027784C" w:rsidP="0027784C">
      <w:pPr>
        <w:jc w:val="left"/>
        <w:rPr>
          <w:rFonts w:ascii="Arial" w:hAnsi="Arial" w:cs="Arial"/>
          <w:lang w:val="en-GB"/>
        </w:rPr>
      </w:pPr>
      <w:r w:rsidRPr="002E4BFA">
        <w:rPr>
          <w:rFonts w:ascii="Arial" w:hAnsi="Arial" w:cs="Arial"/>
          <w:lang w:val="en-GB"/>
        </w:rPr>
        <w:t>EU, just transition, Just Transition Fund, Social Climate Fund, social justice, socio-ecological state, green transition, green growth</w:t>
      </w:r>
    </w:p>
    <w:p w14:paraId="6CBCB9DF" w14:textId="77777777" w:rsidR="002E4BFA" w:rsidRDefault="002E4BFA">
      <w:pPr>
        <w:spacing w:line="259" w:lineRule="auto"/>
        <w:jc w:val="left"/>
        <w:rPr>
          <w:rFonts w:ascii="Arial" w:hAnsi="Arial" w:cs="Arial"/>
          <w:lang w:val="en-GB"/>
        </w:rPr>
      </w:pPr>
      <w:r>
        <w:rPr>
          <w:rFonts w:ascii="Arial" w:hAnsi="Arial" w:cs="Arial"/>
          <w:lang w:val="en-GB"/>
        </w:rPr>
        <w:br w:type="page"/>
      </w:r>
    </w:p>
    <w:p w14:paraId="58D08840" w14:textId="77777777" w:rsidR="00EC3FA7" w:rsidRPr="002E4BFA" w:rsidRDefault="00EC3FA7" w:rsidP="00C6263F">
      <w:pPr>
        <w:spacing w:line="360" w:lineRule="auto"/>
        <w:jc w:val="left"/>
        <w:rPr>
          <w:rFonts w:ascii="Arial" w:hAnsi="Arial" w:cs="Arial"/>
          <w:b/>
          <w:bCs/>
          <w:iCs/>
          <w:lang w:val="en-GB"/>
        </w:rPr>
      </w:pPr>
      <w:r w:rsidRPr="002E4BFA">
        <w:rPr>
          <w:rFonts w:ascii="Arial" w:hAnsi="Arial" w:cs="Arial"/>
          <w:b/>
          <w:bCs/>
          <w:iCs/>
          <w:lang w:val="en-GB"/>
        </w:rPr>
        <w:lastRenderedPageBreak/>
        <w:t>Introduction</w:t>
      </w:r>
    </w:p>
    <w:p w14:paraId="5307D4D1" w14:textId="420C0C0B" w:rsidR="00EC3FA7" w:rsidRPr="002E4BFA" w:rsidRDefault="00EC3FA7" w:rsidP="00C6263F">
      <w:pPr>
        <w:spacing w:line="360" w:lineRule="auto"/>
        <w:jc w:val="left"/>
        <w:rPr>
          <w:rFonts w:ascii="Arial" w:hAnsi="Arial" w:cs="Arial"/>
          <w:b/>
          <w:lang w:val="en-GB"/>
        </w:rPr>
      </w:pPr>
      <w:r w:rsidRPr="002E4BFA">
        <w:rPr>
          <w:rFonts w:ascii="Arial" w:hAnsi="Arial" w:cs="Arial"/>
          <w:lang w:val="en-GB"/>
        </w:rPr>
        <w:t xml:space="preserve">In December 2019, Ursula von der Leyen </w:t>
      </w:r>
      <w:r w:rsidR="00027BFF" w:rsidRPr="002E4BFA">
        <w:rPr>
          <w:rFonts w:ascii="Arial" w:hAnsi="Arial" w:cs="Arial"/>
          <w:lang w:val="en-GB"/>
        </w:rPr>
        <w:t>presented</w:t>
      </w:r>
      <w:r w:rsidRPr="002E4BFA">
        <w:rPr>
          <w:rFonts w:ascii="Arial" w:hAnsi="Arial" w:cs="Arial"/>
          <w:lang w:val="en-GB"/>
        </w:rPr>
        <w:t xml:space="preserve"> a policy program</w:t>
      </w:r>
      <w:r w:rsidR="00452BFB" w:rsidRPr="002E4BFA">
        <w:rPr>
          <w:rFonts w:ascii="Arial" w:hAnsi="Arial" w:cs="Arial"/>
          <w:lang w:val="en-GB"/>
        </w:rPr>
        <w:t>me</w:t>
      </w:r>
      <w:r w:rsidRPr="002E4BFA">
        <w:rPr>
          <w:rFonts w:ascii="Arial" w:hAnsi="Arial" w:cs="Arial"/>
          <w:lang w:val="en-GB"/>
        </w:rPr>
        <w:t xml:space="preserve"> </w:t>
      </w:r>
      <w:r w:rsidR="00452BFB" w:rsidRPr="002E4BFA">
        <w:rPr>
          <w:rFonts w:ascii="Arial" w:hAnsi="Arial" w:cs="Arial"/>
          <w:lang w:val="en-GB"/>
        </w:rPr>
        <w:t>to</w:t>
      </w:r>
      <w:r w:rsidRPr="002E4BFA">
        <w:rPr>
          <w:rFonts w:ascii="Arial" w:hAnsi="Arial" w:cs="Arial"/>
          <w:lang w:val="en-GB"/>
        </w:rPr>
        <w:t xml:space="preserve"> transition the European economy to a more sustainable growth model </w:t>
      </w:r>
      <w:r w:rsidR="00027BFF" w:rsidRPr="002E4BFA">
        <w:rPr>
          <w:rFonts w:ascii="Arial" w:hAnsi="Arial" w:cs="Arial"/>
          <w:lang w:val="en-GB"/>
        </w:rPr>
        <w:t xml:space="preserve">– </w:t>
      </w:r>
      <w:r w:rsidRPr="002E4BFA">
        <w:rPr>
          <w:rFonts w:ascii="Arial" w:hAnsi="Arial" w:cs="Arial"/>
          <w:lang w:val="en-GB"/>
        </w:rPr>
        <w:t xml:space="preserve">the so-called European Green Deal (EGD). </w:t>
      </w:r>
      <w:r w:rsidR="00027BFF" w:rsidRPr="002E4BFA">
        <w:rPr>
          <w:rFonts w:ascii="Arial" w:hAnsi="Arial" w:cs="Arial"/>
          <w:lang w:val="en-GB"/>
        </w:rPr>
        <w:t>The subsequent</w:t>
      </w:r>
      <w:r w:rsidRPr="002E4BFA">
        <w:rPr>
          <w:rFonts w:ascii="Arial" w:hAnsi="Arial" w:cs="Arial"/>
          <w:lang w:val="en-GB"/>
        </w:rPr>
        <w:t xml:space="preserve"> COVID-19 </w:t>
      </w:r>
      <w:r w:rsidR="00452BFB" w:rsidRPr="002E4BFA">
        <w:rPr>
          <w:rFonts w:ascii="Arial" w:hAnsi="Arial" w:cs="Arial"/>
          <w:lang w:val="en-GB"/>
        </w:rPr>
        <w:t xml:space="preserve">pandemic </w:t>
      </w:r>
      <w:r w:rsidRPr="002E4BFA">
        <w:rPr>
          <w:rFonts w:ascii="Arial" w:hAnsi="Arial" w:cs="Arial"/>
          <w:lang w:val="en-GB"/>
        </w:rPr>
        <w:t xml:space="preserve">demonstrated in several ways how such a transition was also crucial for preserving the basic health and </w:t>
      </w:r>
      <w:r w:rsidR="00E8715C" w:rsidRPr="002E4BFA">
        <w:rPr>
          <w:rFonts w:ascii="Arial" w:hAnsi="Arial" w:cs="Arial"/>
          <w:lang w:val="en-GB"/>
        </w:rPr>
        <w:t>well-being</w:t>
      </w:r>
      <w:r w:rsidRPr="002E4BFA">
        <w:rPr>
          <w:rFonts w:ascii="Arial" w:hAnsi="Arial" w:cs="Arial"/>
          <w:lang w:val="en-GB"/>
        </w:rPr>
        <w:t xml:space="preserve"> of humans around the globe. Interestingly, the recovery agenda </w:t>
      </w:r>
      <w:r w:rsidR="00306C9E" w:rsidRPr="002E4BFA">
        <w:rPr>
          <w:rFonts w:ascii="Arial" w:hAnsi="Arial" w:cs="Arial"/>
          <w:lang w:val="en-GB"/>
        </w:rPr>
        <w:t xml:space="preserve">– </w:t>
      </w:r>
      <w:r w:rsidRPr="002E4BFA">
        <w:rPr>
          <w:rFonts w:ascii="Arial" w:hAnsi="Arial" w:cs="Arial"/>
          <w:lang w:val="en-GB"/>
        </w:rPr>
        <w:t>adopted after heated debates in 2020</w:t>
      </w:r>
      <w:r w:rsidR="00306C9E" w:rsidRPr="002E4BFA">
        <w:rPr>
          <w:rFonts w:ascii="Arial" w:hAnsi="Arial" w:cs="Arial"/>
          <w:lang w:val="en-GB"/>
        </w:rPr>
        <w:t xml:space="preserve"> –</w:t>
      </w:r>
      <w:r w:rsidRPr="002E4BFA">
        <w:rPr>
          <w:rFonts w:ascii="Arial" w:hAnsi="Arial" w:cs="Arial"/>
          <w:lang w:val="en-GB"/>
        </w:rPr>
        <w:t xml:space="preserve"> entailing an unprecedented multi</w:t>
      </w:r>
      <w:r w:rsidR="00160BDA" w:rsidRPr="002E4BFA">
        <w:rPr>
          <w:rFonts w:ascii="Arial" w:hAnsi="Arial" w:cs="Arial"/>
          <w:lang w:val="en-GB"/>
        </w:rPr>
        <w:t>-</w:t>
      </w:r>
      <w:r w:rsidRPr="002E4BFA">
        <w:rPr>
          <w:rFonts w:ascii="Arial" w:hAnsi="Arial" w:cs="Arial"/>
          <w:lang w:val="en-GB"/>
        </w:rPr>
        <w:t xml:space="preserve">annual </w:t>
      </w:r>
      <w:r w:rsidR="00027BFF" w:rsidRPr="002E4BFA">
        <w:rPr>
          <w:rFonts w:ascii="Arial" w:hAnsi="Arial" w:cs="Arial"/>
          <w:lang w:val="en-GB"/>
        </w:rPr>
        <w:t>financial framework (MFF) plus</w:t>
      </w:r>
      <w:r w:rsidRPr="002E4BFA">
        <w:rPr>
          <w:rFonts w:ascii="Arial" w:hAnsi="Arial" w:cs="Arial"/>
          <w:lang w:val="en-GB"/>
        </w:rPr>
        <w:t xml:space="preserve"> a €750bn stimulus package </w:t>
      </w:r>
      <w:r w:rsidR="00027BFF" w:rsidRPr="002E4BFA">
        <w:rPr>
          <w:rFonts w:ascii="Arial" w:hAnsi="Arial" w:cs="Arial"/>
          <w:lang w:val="en-GB"/>
        </w:rPr>
        <w:t>(</w:t>
      </w:r>
      <w:r w:rsidR="00AB6202" w:rsidRPr="002E4BFA">
        <w:rPr>
          <w:rFonts w:ascii="Arial" w:hAnsi="Arial" w:cs="Arial"/>
          <w:lang w:val="en-GB"/>
        </w:rPr>
        <w:t>the</w:t>
      </w:r>
      <w:r w:rsidR="00AB6202" w:rsidRPr="002E4BFA">
        <w:rPr>
          <w:rFonts w:ascii="Arial" w:hAnsi="Arial" w:cs="Arial"/>
        </w:rPr>
        <w:t xml:space="preserve"> </w:t>
      </w:r>
      <w:r w:rsidR="00AB6202" w:rsidRPr="002E4BFA">
        <w:rPr>
          <w:rFonts w:ascii="Arial" w:hAnsi="Arial" w:cs="Arial"/>
          <w:lang w:val="en-GB"/>
        </w:rPr>
        <w:t>Recovery and Resilience Facility or RRF</w:t>
      </w:r>
      <w:r w:rsidR="00027BFF" w:rsidRPr="002E4BFA">
        <w:rPr>
          <w:rFonts w:ascii="Arial" w:hAnsi="Arial" w:cs="Arial"/>
          <w:lang w:val="en-GB"/>
        </w:rPr>
        <w:t xml:space="preserve">) based </w:t>
      </w:r>
      <w:r w:rsidRPr="002E4BFA">
        <w:rPr>
          <w:rFonts w:ascii="Arial" w:hAnsi="Arial" w:cs="Arial"/>
          <w:lang w:val="en-GB"/>
        </w:rPr>
        <w:t>on the creation of common debt, provided unexpected financial resources for reaching the objectives of the green transition. By linking</w:t>
      </w:r>
      <w:r w:rsidR="00027BFF" w:rsidRPr="002E4BFA">
        <w:rPr>
          <w:rFonts w:ascii="Arial" w:hAnsi="Arial" w:cs="Arial"/>
          <w:lang w:val="en-GB"/>
        </w:rPr>
        <w:t xml:space="preserve"> </w:t>
      </w:r>
      <w:r w:rsidRPr="002E4BFA">
        <w:rPr>
          <w:rFonts w:ascii="Arial" w:hAnsi="Arial" w:cs="Arial"/>
          <w:lang w:val="en-GB"/>
        </w:rPr>
        <w:t>the recovery agenda to the EGD</w:t>
      </w:r>
      <w:r w:rsidR="00027BFF" w:rsidRPr="002E4BFA">
        <w:rPr>
          <w:rFonts w:ascii="Arial" w:hAnsi="Arial" w:cs="Arial"/>
          <w:lang w:val="en-GB"/>
        </w:rPr>
        <w:t xml:space="preserve"> from the outset</w:t>
      </w:r>
      <w:r w:rsidRPr="002E4BFA">
        <w:rPr>
          <w:rFonts w:ascii="Arial" w:hAnsi="Arial" w:cs="Arial"/>
          <w:lang w:val="en-GB"/>
        </w:rPr>
        <w:t xml:space="preserve">, the EU has attempted to </w:t>
      </w:r>
      <w:r w:rsidR="00027BFF" w:rsidRPr="002E4BFA">
        <w:rPr>
          <w:rFonts w:ascii="Arial" w:hAnsi="Arial" w:cs="Arial"/>
          <w:lang w:val="en-GB"/>
        </w:rPr>
        <w:t xml:space="preserve">come up with </w:t>
      </w:r>
      <w:r w:rsidRPr="002E4BFA">
        <w:rPr>
          <w:rFonts w:ascii="Arial" w:hAnsi="Arial" w:cs="Arial"/>
          <w:lang w:val="en-GB"/>
        </w:rPr>
        <w:t xml:space="preserve">a </w:t>
      </w:r>
      <w:r w:rsidR="00027BFF" w:rsidRPr="002E4BFA">
        <w:rPr>
          <w:rFonts w:ascii="Arial" w:hAnsi="Arial" w:cs="Arial"/>
          <w:lang w:val="en-GB"/>
        </w:rPr>
        <w:t xml:space="preserve">comprehensive, forward-looking </w:t>
      </w:r>
      <w:r w:rsidRPr="002E4BFA">
        <w:rPr>
          <w:rFonts w:ascii="Arial" w:hAnsi="Arial" w:cs="Arial"/>
          <w:lang w:val="en-GB"/>
        </w:rPr>
        <w:t xml:space="preserve">reform strategy. </w:t>
      </w:r>
    </w:p>
    <w:p w14:paraId="6E7C4065" w14:textId="34A839EE" w:rsidR="00EC3FA7" w:rsidRPr="002E4BFA" w:rsidRDefault="00EC3FA7" w:rsidP="00C6263F">
      <w:pPr>
        <w:spacing w:line="360" w:lineRule="auto"/>
        <w:jc w:val="left"/>
        <w:rPr>
          <w:rFonts w:ascii="Arial" w:hAnsi="Arial" w:cs="Arial"/>
          <w:lang w:val="en-GB"/>
        </w:rPr>
      </w:pPr>
      <w:r w:rsidRPr="002E4BFA">
        <w:rPr>
          <w:rFonts w:ascii="Arial" w:hAnsi="Arial" w:cs="Arial"/>
          <w:lang w:val="en-GB"/>
        </w:rPr>
        <w:t xml:space="preserve">At the same time, eco-social </w:t>
      </w:r>
      <w:r w:rsidR="00E71DB8" w:rsidRPr="002E4BFA">
        <w:rPr>
          <w:rFonts w:ascii="Arial" w:hAnsi="Arial" w:cs="Arial"/>
          <w:lang w:val="en-GB"/>
        </w:rPr>
        <w:t>policies,</w:t>
      </w:r>
      <w:r w:rsidRPr="002E4BFA">
        <w:rPr>
          <w:rFonts w:ascii="Arial" w:hAnsi="Arial" w:cs="Arial"/>
          <w:lang w:val="en-GB"/>
        </w:rPr>
        <w:t xml:space="preserve"> or the task for </w:t>
      </w:r>
      <w:r w:rsidR="00BA00BB" w:rsidRPr="002E4BFA">
        <w:rPr>
          <w:rFonts w:ascii="Arial" w:hAnsi="Arial" w:cs="Arial"/>
          <w:lang w:val="en-GB"/>
        </w:rPr>
        <w:t>‘</w:t>
      </w:r>
      <w:r w:rsidRPr="002E4BFA">
        <w:rPr>
          <w:rFonts w:ascii="Arial" w:hAnsi="Arial" w:cs="Arial"/>
          <w:lang w:val="en-GB"/>
        </w:rPr>
        <w:t xml:space="preserve">public policies [to] explicitly </w:t>
      </w:r>
      <w:proofErr w:type="spellStart"/>
      <w:r w:rsidRPr="002E4BFA">
        <w:rPr>
          <w:rFonts w:ascii="Arial" w:hAnsi="Arial" w:cs="Arial"/>
          <w:lang w:val="en-GB"/>
        </w:rPr>
        <w:t>pursu</w:t>
      </w:r>
      <w:proofErr w:type="spellEnd"/>
      <w:r w:rsidRPr="002E4BFA">
        <w:rPr>
          <w:rFonts w:ascii="Arial" w:hAnsi="Arial" w:cs="Arial"/>
          <w:lang w:val="en-GB"/>
        </w:rPr>
        <w:t>[e] both environmental and social policy goals in an integrated way</w:t>
      </w:r>
      <w:r w:rsidR="00BA00BB" w:rsidRPr="002E4BFA">
        <w:rPr>
          <w:rFonts w:ascii="Arial" w:hAnsi="Arial" w:cs="Arial"/>
          <w:lang w:val="en-GB"/>
        </w:rPr>
        <w:t>’</w:t>
      </w:r>
      <w:r w:rsidRPr="002E4BFA">
        <w:rPr>
          <w:rFonts w:ascii="Arial" w:hAnsi="Arial" w:cs="Arial"/>
          <w:lang w:val="en-GB"/>
        </w:rPr>
        <w:t xml:space="preserve"> (</w:t>
      </w:r>
      <w:proofErr w:type="spellStart"/>
      <w:r w:rsidRPr="002E4BFA">
        <w:rPr>
          <w:rFonts w:ascii="Arial" w:hAnsi="Arial" w:cs="Arial"/>
          <w:lang w:val="en-GB"/>
        </w:rPr>
        <w:t>Mandelli</w:t>
      </w:r>
      <w:proofErr w:type="spellEnd"/>
      <w:r w:rsidRPr="002E4BFA">
        <w:rPr>
          <w:rFonts w:ascii="Arial" w:hAnsi="Arial" w:cs="Arial"/>
          <w:lang w:val="en-GB"/>
        </w:rPr>
        <w:t>, 2022: 340)</w:t>
      </w:r>
      <w:r w:rsidR="00027BFF" w:rsidRPr="002E4BFA">
        <w:rPr>
          <w:rFonts w:ascii="Arial" w:hAnsi="Arial" w:cs="Arial"/>
          <w:lang w:val="en-GB"/>
        </w:rPr>
        <w:t>,</w:t>
      </w:r>
      <w:r w:rsidRPr="002E4BFA">
        <w:rPr>
          <w:rFonts w:ascii="Arial" w:hAnsi="Arial" w:cs="Arial"/>
          <w:lang w:val="en-GB"/>
        </w:rPr>
        <w:t xml:space="preserve"> ha</w:t>
      </w:r>
      <w:r w:rsidR="00027BFF" w:rsidRPr="002E4BFA">
        <w:rPr>
          <w:rFonts w:ascii="Arial" w:hAnsi="Arial" w:cs="Arial"/>
          <w:lang w:val="en-GB"/>
        </w:rPr>
        <w:t>ve</w:t>
      </w:r>
      <w:r w:rsidRPr="002E4BFA">
        <w:rPr>
          <w:rFonts w:ascii="Arial" w:hAnsi="Arial" w:cs="Arial"/>
          <w:lang w:val="en-GB"/>
        </w:rPr>
        <w:t xml:space="preserve"> </w:t>
      </w:r>
      <w:r w:rsidR="00007377" w:rsidRPr="002E4BFA">
        <w:rPr>
          <w:rFonts w:ascii="Arial" w:hAnsi="Arial" w:cs="Arial"/>
          <w:lang w:val="en-GB"/>
        </w:rPr>
        <w:t>moved up</w:t>
      </w:r>
      <w:r w:rsidRPr="002E4BFA">
        <w:rPr>
          <w:rFonts w:ascii="Arial" w:hAnsi="Arial" w:cs="Arial"/>
          <w:lang w:val="en-GB"/>
        </w:rPr>
        <w:t xml:space="preserve"> the EU agenda. </w:t>
      </w:r>
      <w:r w:rsidR="00007377" w:rsidRPr="002E4BFA">
        <w:rPr>
          <w:rFonts w:ascii="Arial" w:hAnsi="Arial" w:cs="Arial"/>
          <w:lang w:val="en-GB"/>
        </w:rPr>
        <w:t>R</w:t>
      </w:r>
      <w:r w:rsidRPr="002E4BFA">
        <w:rPr>
          <w:rFonts w:ascii="Arial" w:hAnsi="Arial" w:cs="Arial"/>
          <w:lang w:val="en-GB"/>
        </w:rPr>
        <w:t xml:space="preserve">ecognition that the green transition </w:t>
      </w:r>
      <w:r w:rsidR="00007377" w:rsidRPr="002E4BFA">
        <w:rPr>
          <w:rFonts w:ascii="Arial" w:hAnsi="Arial" w:cs="Arial"/>
          <w:lang w:val="en-GB"/>
        </w:rPr>
        <w:t xml:space="preserve">is set to </w:t>
      </w:r>
      <w:r w:rsidRPr="002E4BFA">
        <w:rPr>
          <w:rFonts w:ascii="Arial" w:hAnsi="Arial" w:cs="Arial"/>
          <w:lang w:val="en-GB"/>
        </w:rPr>
        <w:t>be politically demanding has gained momentum, as epitomi</w:t>
      </w:r>
      <w:r w:rsidR="00007377" w:rsidRPr="002E4BFA">
        <w:rPr>
          <w:rFonts w:ascii="Arial" w:hAnsi="Arial" w:cs="Arial"/>
          <w:lang w:val="en-GB"/>
        </w:rPr>
        <w:t>s</w:t>
      </w:r>
      <w:r w:rsidRPr="002E4BFA">
        <w:rPr>
          <w:rFonts w:ascii="Arial" w:hAnsi="Arial" w:cs="Arial"/>
          <w:lang w:val="en-GB"/>
        </w:rPr>
        <w:t xml:space="preserve">ed by the rise of the </w:t>
      </w:r>
      <w:r w:rsidR="00BA00BB" w:rsidRPr="002E4BFA">
        <w:rPr>
          <w:rFonts w:ascii="Arial" w:hAnsi="Arial" w:cs="Arial"/>
          <w:lang w:val="en-GB"/>
        </w:rPr>
        <w:t>‘</w:t>
      </w:r>
      <w:r w:rsidRPr="002E4BFA">
        <w:rPr>
          <w:rFonts w:ascii="Arial" w:hAnsi="Arial" w:cs="Arial"/>
          <w:lang w:val="en-GB"/>
        </w:rPr>
        <w:t>just transition</w:t>
      </w:r>
      <w:r w:rsidR="00BA00BB" w:rsidRPr="002E4BFA">
        <w:rPr>
          <w:rFonts w:ascii="Arial" w:hAnsi="Arial" w:cs="Arial"/>
          <w:lang w:val="en-GB"/>
        </w:rPr>
        <w:t>’</w:t>
      </w:r>
      <w:r w:rsidRPr="002E4BFA">
        <w:rPr>
          <w:rFonts w:ascii="Arial" w:hAnsi="Arial" w:cs="Arial"/>
          <w:lang w:val="en-GB"/>
        </w:rPr>
        <w:t xml:space="preserve"> theme in the discourse of EU decision</w:t>
      </w:r>
      <w:r w:rsidR="00007377" w:rsidRPr="002E4BFA">
        <w:rPr>
          <w:rFonts w:ascii="Arial" w:hAnsi="Arial" w:cs="Arial"/>
          <w:lang w:val="en-GB"/>
        </w:rPr>
        <w:t>-</w:t>
      </w:r>
      <w:r w:rsidRPr="002E4BFA">
        <w:rPr>
          <w:rFonts w:ascii="Arial" w:hAnsi="Arial" w:cs="Arial"/>
          <w:lang w:val="en-GB"/>
        </w:rPr>
        <w:t>makers. This shows an acute awareness that</w:t>
      </w:r>
      <w:r w:rsidR="00007377" w:rsidRPr="002E4BFA">
        <w:rPr>
          <w:rFonts w:ascii="Arial" w:hAnsi="Arial" w:cs="Arial"/>
          <w:lang w:val="en-GB"/>
        </w:rPr>
        <w:t xml:space="preserve">, to </w:t>
      </w:r>
      <w:r w:rsidRPr="002E4BFA">
        <w:rPr>
          <w:rFonts w:ascii="Arial" w:hAnsi="Arial" w:cs="Arial"/>
          <w:lang w:val="en-GB"/>
        </w:rPr>
        <w:t>be acceptable and politically sustainable</w:t>
      </w:r>
      <w:r w:rsidR="00007377" w:rsidRPr="002E4BFA">
        <w:rPr>
          <w:rFonts w:ascii="Arial" w:hAnsi="Arial" w:cs="Arial"/>
          <w:lang w:val="en-GB"/>
        </w:rPr>
        <w:t>,</w:t>
      </w:r>
      <w:r w:rsidRPr="002E4BFA">
        <w:rPr>
          <w:rFonts w:ascii="Arial" w:hAnsi="Arial" w:cs="Arial"/>
          <w:lang w:val="en-GB"/>
        </w:rPr>
        <w:t xml:space="preserve"> </w:t>
      </w:r>
      <w:r w:rsidR="00007377" w:rsidRPr="002E4BFA">
        <w:rPr>
          <w:rFonts w:ascii="Arial" w:hAnsi="Arial" w:cs="Arial"/>
          <w:lang w:val="en-GB"/>
        </w:rPr>
        <w:t>the green transition must encompass</w:t>
      </w:r>
      <w:r w:rsidRPr="002E4BFA">
        <w:rPr>
          <w:rFonts w:ascii="Arial" w:hAnsi="Arial" w:cs="Arial"/>
          <w:lang w:val="en-GB"/>
        </w:rPr>
        <w:t xml:space="preserve"> social justice. Both Commission President Ursula von der Leyen </w:t>
      </w:r>
      <w:r w:rsidR="00007377" w:rsidRPr="002E4BFA">
        <w:rPr>
          <w:rFonts w:ascii="Arial" w:hAnsi="Arial" w:cs="Arial"/>
          <w:lang w:val="en-GB"/>
        </w:rPr>
        <w:t xml:space="preserve">and </w:t>
      </w:r>
      <w:r w:rsidRPr="002E4BFA">
        <w:rPr>
          <w:rFonts w:ascii="Arial" w:hAnsi="Arial" w:cs="Arial"/>
          <w:lang w:val="en-GB"/>
        </w:rPr>
        <w:t xml:space="preserve">the </w:t>
      </w:r>
      <w:r w:rsidR="00007377" w:rsidRPr="002E4BFA">
        <w:rPr>
          <w:rFonts w:ascii="Arial" w:hAnsi="Arial" w:cs="Arial"/>
          <w:lang w:val="en-GB"/>
        </w:rPr>
        <w:t xml:space="preserve">vice-president </w:t>
      </w:r>
      <w:r w:rsidRPr="002E4BFA">
        <w:rPr>
          <w:rFonts w:ascii="Arial" w:hAnsi="Arial" w:cs="Arial"/>
          <w:lang w:val="en-GB"/>
        </w:rPr>
        <w:t>in charge of the EGD</w:t>
      </w:r>
      <w:r w:rsidR="00007377" w:rsidRPr="002E4BFA">
        <w:rPr>
          <w:rFonts w:ascii="Arial" w:hAnsi="Arial" w:cs="Arial"/>
          <w:lang w:val="en-GB"/>
        </w:rPr>
        <w:t>,</w:t>
      </w:r>
      <w:r w:rsidRPr="002E4BFA">
        <w:rPr>
          <w:rFonts w:ascii="Arial" w:hAnsi="Arial" w:cs="Arial"/>
          <w:lang w:val="en-GB"/>
        </w:rPr>
        <w:t xml:space="preserve"> Frans Timmermans</w:t>
      </w:r>
      <w:r w:rsidR="00007377" w:rsidRPr="002E4BFA">
        <w:rPr>
          <w:rFonts w:ascii="Arial" w:hAnsi="Arial" w:cs="Arial"/>
          <w:lang w:val="en-GB"/>
        </w:rPr>
        <w:t>,</w:t>
      </w:r>
      <w:r w:rsidRPr="002E4BFA">
        <w:rPr>
          <w:rFonts w:ascii="Arial" w:hAnsi="Arial" w:cs="Arial"/>
          <w:lang w:val="en-GB"/>
        </w:rPr>
        <w:t xml:space="preserve"> have repeatedly pledged that the EU’s green transition </w:t>
      </w:r>
      <w:r w:rsidR="00007377" w:rsidRPr="002E4BFA">
        <w:rPr>
          <w:rFonts w:ascii="Arial" w:hAnsi="Arial" w:cs="Arial"/>
          <w:lang w:val="en-GB"/>
        </w:rPr>
        <w:t xml:space="preserve">shall </w:t>
      </w:r>
      <w:r w:rsidR="00BA00BB" w:rsidRPr="002E4BFA">
        <w:rPr>
          <w:rFonts w:ascii="Arial" w:hAnsi="Arial" w:cs="Arial"/>
          <w:lang w:val="en-GB"/>
        </w:rPr>
        <w:t>‘</w:t>
      </w:r>
      <w:r w:rsidRPr="002E4BFA">
        <w:rPr>
          <w:rFonts w:ascii="Arial" w:hAnsi="Arial" w:cs="Arial"/>
          <w:lang w:val="en-GB"/>
        </w:rPr>
        <w:t>leave no one behind</w:t>
      </w:r>
      <w:r w:rsidR="00BA00BB" w:rsidRPr="002E4BFA">
        <w:rPr>
          <w:rFonts w:ascii="Arial" w:hAnsi="Arial" w:cs="Arial"/>
          <w:lang w:val="en-GB"/>
        </w:rPr>
        <w:t>’</w:t>
      </w:r>
      <w:r w:rsidRPr="002E4BFA">
        <w:rPr>
          <w:rFonts w:ascii="Arial" w:hAnsi="Arial" w:cs="Arial"/>
          <w:lang w:val="en-GB"/>
        </w:rPr>
        <w:t xml:space="preserve"> (European Commission, 2019</w:t>
      </w:r>
      <w:r w:rsidR="00D22A42" w:rsidRPr="002E4BFA">
        <w:rPr>
          <w:rFonts w:ascii="Arial" w:hAnsi="Arial" w:cs="Arial"/>
          <w:lang w:val="en-GB"/>
        </w:rPr>
        <w:t>a</w:t>
      </w:r>
      <w:r w:rsidRPr="002E4BFA">
        <w:rPr>
          <w:rFonts w:ascii="Arial" w:hAnsi="Arial" w:cs="Arial"/>
          <w:lang w:val="en-GB"/>
        </w:rPr>
        <w:t xml:space="preserve">). </w:t>
      </w:r>
      <w:r w:rsidR="00007377" w:rsidRPr="002E4BFA">
        <w:rPr>
          <w:rFonts w:ascii="Arial" w:hAnsi="Arial" w:cs="Arial"/>
          <w:lang w:val="en-GB"/>
        </w:rPr>
        <w:t>Shortly after the EGD was announced, an EU</w:t>
      </w:r>
      <w:r w:rsidRPr="002E4BFA">
        <w:rPr>
          <w:rFonts w:ascii="Arial" w:hAnsi="Arial" w:cs="Arial"/>
          <w:lang w:val="en-GB"/>
        </w:rPr>
        <w:t xml:space="preserve"> </w:t>
      </w:r>
      <w:r w:rsidR="00306C9E" w:rsidRPr="002E4BFA">
        <w:rPr>
          <w:rFonts w:ascii="Arial" w:hAnsi="Arial" w:cs="Arial"/>
          <w:lang w:val="en-GB"/>
        </w:rPr>
        <w:t xml:space="preserve">Communication </w:t>
      </w:r>
      <w:r w:rsidRPr="002E4BFA">
        <w:rPr>
          <w:rFonts w:ascii="Arial" w:hAnsi="Arial" w:cs="Arial"/>
          <w:lang w:val="en-GB"/>
        </w:rPr>
        <w:t xml:space="preserve">entitled </w:t>
      </w:r>
      <w:r w:rsidR="00BA00BB" w:rsidRPr="002E4BFA">
        <w:rPr>
          <w:rFonts w:ascii="Arial" w:hAnsi="Arial" w:cs="Arial"/>
          <w:lang w:val="en-GB"/>
        </w:rPr>
        <w:t>‘</w:t>
      </w:r>
      <w:r w:rsidRPr="002E4BFA">
        <w:rPr>
          <w:rFonts w:ascii="Arial" w:hAnsi="Arial" w:cs="Arial"/>
          <w:lang w:val="en-GB"/>
        </w:rPr>
        <w:t>A strong social Europe for just transitions</w:t>
      </w:r>
      <w:r w:rsidR="00BA00BB" w:rsidRPr="002E4BFA">
        <w:rPr>
          <w:rFonts w:ascii="Arial" w:hAnsi="Arial" w:cs="Arial"/>
          <w:lang w:val="en-GB"/>
        </w:rPr>
        <w:t>’</w:t>
      </w:r>
      <w:r w:rsidRPr="002E4BFA">
        <w:rPr>
          <w:rFonts w:ascii="Arial" w:hAnsi="Arial" w:cs="Arial"/>
          <w:lang w:val="en-GB"/>
        </w:rPr>
        <w:t xml:space="preserve"> was issued in January 2020</w:t>
      </w:r>
      <w:r w:rsidR="00007377" w:rsidRPr="002E4BFA">
        <w:rPr>
          <w:rFonts w:ascii="Arial" w:hAnsi="Arial" w:cs="Arial"/>
          <w:lang w:val="en-GB"/>
        </w:rPr>
        <w:t>, c</w:t>
      </w:r>
      <w:r w:rsidRPr="002E4BFA">
        <w:rPr>
          <w:rFonts w:ascii="Arial" w:hAnsi="Arial" w:cs="Arial"/>
          <w:lang w:val="en-GB"/>
        </w:rPr>
        <w:t>onstitut</w:t>
      </w:r>
      <w:r w:rsidR="00007377" w:rsidRPr="002E4BFA">
        <w:rPr>
          <w:rFonts w:ascii="Arial" w:hAnsi="Arial" w:cs="Arial"/>
          <w:lang w:val="en-GB"/>
        </w:rPr>
        <w:t>ing</w:t>
      </w:r>
      <w:r w:rsidRPr="002E4BFA">
        <w:rPr>
          <w:rFonts w:ascii="Arial" w:hAnsi="Arial" w:cs="Arial"/>
          <w:lang w:val="en-GB"/>
        </w:rPr>
        <w:t xml:space="preserve"> a first attempt to connect </w:t>
      </w:r>
      <w:r w:rsidR="00007377" w:rsidRPr="002E4BFA">
        <w:rPr>
          <w:rFonts w:ascii="Arial" w:hAnsi="Arial" w:cs="Arial"/>
          <w:lang w:val="en-GB"/>
        </w:rPr>
        <w:t xml:space="preserve">EGD </w:t>
      </w:r>
      <w:r w:rsidRPr="002E4BFA">
        <w:rPr>
          <w:rFonts w:ascii="Arial" w:hAnsi="Arial" w:cs="Arial"/>
          <w:lang w:val="en-GB"/>
        </w:rPr>
        <w:t>governance with existing social policy instruments, especially the European Pillar of Social Rights</w:t>
      </w:r>
      <w:r w:rsidR="00007377" w:rsidRPr="002E4BFA">
        <w:rPr>
          <w:rFonts w:ascii="Arial" w:hAnsi="Arial" w:cs="Arial"/>
          <w:lang w:val="en-GB"/>
        </w:rPr>
        <w:t xml:space="preserve"> (EPSR)</w:t>
      </w:r>
      <w:r w:rsidRPr="002E4BFA">
        <w:rPr>
          <w:rFonts w:ascii="Arial" w:hAnsi="Arial" w:cs="Arial"/>
          <w:lang w:val="en-GB"/>
        </w:rPr>
        <w:t xml:space="preserve">. </w:t>
      </w:r>
      <w:r w:rsidR="006A7298" w:rsidRPr="002E4BFA">
        <w:rPr>
          <w:rFonts w:ascii="Arial" w:hAnsi="Arial" w:cs="Arial"/>
          <w:lang w:val="en-GB"/>
        </w:rPr>
        <w:t xml:space="preserve">However, the </w:t>
      </w:r>
      <w:r w:rsidR="00007377" w:rsidRPr="002E4BFA">
        <w:rPr>
          <w:rFonts w:ascii="Arial" w:hAnsi="Arial" w:cs="Arial"/>
          <w:lang w:val="en-GB"/>
        </w:rPr>
        <w:t xml:space="preserve">EPSR </w:t>
      </w:r>
      <w:r w:rsidR="006A7298" w:rsidRPr="002E4BFA">
        <w:rPr>
          <w:rFonts w:ascii="Arial" w:hAnsi="Arial" w:cs="Arial"/>
          <w:lang w:val="en-GB"/>
        </w:rPr>
        <w:t>hardly addresses socio-ecological challenges</w:t>
      </w:r>
      <w:r w:rsidR="003D10CB" w:rsidRPr="002E4BFA">
        <w:rPr>
          <w:rFonts w:ascii="Arial" w:hAnsi="Arial" w:cs="Arial"/>
          <w:lang w:val="en-GB"/>
        </w:rPr>
        <w:t>, with o</w:t>
      </w:r>
      <w:r w:rsidR="006A7298" w:rsidRPr="002E4BFA">
        <w:rPr>
          <w:rFonts w:ascii="Arial" w:hAnsi="Arial" w:cs="Arial"/>
          <w:lang w:val="en-GB"/>
        </w:rPr>
        <w:t xml:space="preserve">nly the topics of green skills and energy poverty </w:t>
      </w:r>
      <w:r w:rsidR="003D10CB" w:rsidRPr="002E4BFA">
        <w:rPr>
          <w:rFonts w:ascii="Arial" w:hAnsi="Arial" w:cs="Arial"/>
          <w:lang w:val="en-GB"/>
        </w:rPr>
        <w:t>included in</w:t>
      </w:r>
      <w:r w:rsidR="006A7298" w:rsidRPr="002E4BFA">
        <w:rPr>
          <w:rFonts w:ascii="Arial" w:hAnsi="Arial" w:cs="Arial"/>
          <w:lang w:val="en-GB"/>
        </w:rPr>
        <w:t xml:space="preserve"> the 2021 Commission Action Plan to implement </w:t>
      </w:r>
      <w:r w:rsidR="00306C9E" w:rsidRPr="002E4BFA">
        <w:rPr>
          <w:rFonts w:ascii="Arial" w:hAnsi="Arial" w:cs="Arial"/>
          <w:lang w:val="en-GB"/>
        </w:rPr>
        <w:t>it</w:t>
      </w:r>
      <w:r w:rsidR="006A7298" w:rsidRPr="002E4BFA">
        <w:rPr>
          <w:rFonts w:ascii="Arial" w:hAnsi="Arial" w:cs="Arial"/>
          <w:lang w:val="en-GB"/>
        </w:rPr>
        <w:t xml:space="preserve">. On the other hand, </w:t>
      </w:r>
      <w:r w:rsidRPr="002E4BFA">
        <w:rPr>
          <w:rFonts w:ascii="Arial" w:hAnsi="Arial" w:cs="Arial"/>
          <w:lang w:val="en-GB"/>
        </w:rPr>
        <w:t xml:space="preserve">EGD </w:t>
      </w:r>
      <w:r w:rsidR="00321755" w:rsidRPr="002E4BFA">
        <w:rPr>
          <w:rFonts w:ascii="Arial" w:hAnsi="Arial" w:cs="Arial"/>
          <w:lang w:val="en-GB"/>
        </w:rPr>
        <w:t>implementation is being driven by</w:t>
      </w:r>
      <w:r w:rsidRPr="002E4BFA">
        <w:rPr>
          <w:rFonts w:ascii="Arial" w:hAnsi="Arial" w:cs="Arial"/>
          <w:lang w:val="en-GB"/>
        </w:rPr>
        <w:t xml:space="preserve"> the so-called </w:t>
      </w:r>
      <w:r w:rsidR="00BA00BB" w:rsidRPr="002E4BFA">
        <w:rPr>
          <w:rFonts w:ascii="Arial" w:hAnsi="Arial" w:cs="Arial"/>
          <w:lang w:val="en-GB"/>
        </w:rPr>
        <w:t>‘</w:t>
      </w:r>
      <w:r w:rsidRPr="002E4BFA">
        <w:rPr>
          <w:rFonts w:ascii="Arial" w:hAnsi="Arial" w:cs="Arial"/>
          <w:lang w:val="en-GB"/>
        </w:rPr>
        <w:t>Fit for 55</w:t>
      </w:r>
      <w:r w:rsidR="00BA00BB" w:rsidRPr="002E4BFA">
        <w:rPr>
          <w:rFonts w:ascii="Arial" w:hAnsi="Arial" w:cs="Arial"/>
          <w:lang w:val="en-GB"/>
        </w:rPr>
        <w:t>’</w:t>
      </w:r>
      <w:r w:rsidRPr="002E4BFA">
        <w:rPr>
          <w:rFonts w:ascii="Arial" w:hAnsi="Arial" w:cs="Arial"/>
          <w:lang w:val="en-GB"/>
        </w:rPr>
        <w:t xml:space="preserve"> package, </w:t>
      </w:r>
      <w:r w:rsidR="00321755" w:rsidRPr="002E4BFA">
        <w:rPr>
          <w:rFonts w:ascii="Arial" w:hAnsi="Arial" w:cs="Arial"/>
          <w:lang w:val="en-GB"/>
        </w:rPr>
        <w:t xml:space="preserve">with </w:t>
      </w:r>
      <w:r w:rsidRPr="002E4BFA">
        <w:rPr>
          <w:rFonts w:ascii="Arial" w:hAnsi="Arial" w:cs="Arial"/>
          <w:lang w:val="en-GB"/>
        </w:rPr>
        <w:t>two new instruments</w:t>
      </w:r>
      <w:r w:rsidR="00E71DB8" w:rsidRPr="002E4BFA">
        <w:rPr>
          <w:rFonts w:ascii="Arial" w:hAnsi="Arial" w:cs="Arial"/>
          <w:lang w:val="en-GB"/>
        </w:rPr>
        <w:t xml:space="preserve"> </w:t>
      </w:r>
      <w:r w:rsidRPr="002E4BFA">
        <w:rPr>
          <w:rFonts w:ascii="Arial" w:hAnsi="Arial" w:cs="Arial"/>
          <w:lang w:val="en-GB"/>
        </w:rPr>
        <w:t>put forward between 2020 and 2022 to specifically address issues of inequality and social justice involved with the transition to a decarboni</w:t>
      </w:r>
      <w:r w:rsidR="00321755" w:rsidRPr="002E4BFA">
        <w:rPr>
          <w:rFonts w:ascii="Arial" w:hAnsi="Arial" w:cs="Arial"/>
          <w:lang w:val="en-GB"/>
        </w:rPr>
        <w:t>s</w:t>
      </w:r>
      <w:r w:rsidRPr="002E4BFA">
        <w:rPr>
          <w:rFonts w:ascii="Arial" w:hAnsi="Arial" w:cs="Arial"/>
          <w:lang w:val="en-GB"/>
        </w:rPr>
        <w:t>ed economy</w:t>
      </w:r>
      <w:r w:rsidR="006A7298" w:rsidRPr="002E4BFA">
        <w:rPr>
          <w:rFonts w:ascii="Arial" w:hAnsi="Arial" w:cs="Arial"/>
          <w:lang w:val="en-GB"/>
        </w:rPr>
        <w:t xml:space="preserve"> </w:t>
      </w:r>
      <w:r w:rsidR="00321755" w:rsidRPr="002E4BFA">
        <w:rPr>
          <w:rFonts w:ascii="Arial" w:hAnsi="Arial" w:cs="Arial"/>
          <w:lang w:val="en-GB"/>
        </w:rPr>
        <w:t>–</w:t>
      </w:r>
      <w:r w:rsidR="006A7298" w:rsidRPr="002E4BFA">
        <w:rPr>
          <w:rFonts w:ascii="Arial" w:hAnsi="Arial" w:cs="Arial"/>
          <w:lang w:val="en-GB"/>
        </w:rPr>
        <w:t xml:space="preserve"> the Just Transition Fund </w:t>
      </w:r>
      <w:r w:rsidR="00306C9E" w:rsidRPr="002E4BFA">
        <w:rPr>
          <w:rFonts w:ascii="Arial" w:hAnsi="Arial" w:cs="Arial"/>
          <w:lang w:val="en-GB"/>
        </w:rPr>
        <w:t xml:space="preserve">(JTF) </w:t>
      </w:r>
      <w:r w:rsidR="006A7298" w:rsidRPr="002E4BFA">
        <w:rPr>
          <w:rFonts w:ascii="Arial" w:hAnsi="Arial" w:cs="Arial"/>
          <w:lang w:val="en-GB"/>
        </w:rPr>
        <w:t>and the Social Climate Fund</w:t>
      </w:r>
      <w:r w:rsidR="00306C9E" w:rsidRPr="002E4BFA">
        <w:rPr>
          <w:rFonts w:ascii="Arial" w:hAnsi="Arial" w:cs="Arial"/>
          <w:lang w:val="en-GB"/>
        </w:rPr>
        <w:t xml:space="preserve"> (SCF)</w:t>
      </w:r>
      <w:r w:rsidRPr="002E4BFA">
        <w:rPr>
          <w:rFonts w:ascii="Arial" w:hAnsi="Arial" w:cs="Arial"/>
          <w:lang w:val="en-GB"/>
        </w:rPr>
        <w:t xml:space="preserve">. </w:t>
      </w:r>
    </w:p>
    <w:p w14:paraId="2FBF672A" w14:textId="10683B1E" w:rsidR="00EC3FA7" w:rsidRPr="002E4BFA" w:rsidRDefault="00321755" w:rsidP="00C6263F">
      <w:pPr>
        <w:spacing w:line="360" w:lineRule="auto"/>
        <w:ind w:firstLine="360"/>
        <w:jc w:val="left"/>
        <w:rPr>
          <w:rFonts w:ascii="Arial" w:hAnsi="Arial" w:cs="Arial"/>
          <w:lang w:val="en-GB"/>
        </w:rPr>
      </w:pPr>
      <w:r w:rsidRPr="002E4BFA">
        <w:rPr>
          <w:rFonts w:ascii="Arial" w:hAnsi="Arial" w:cs="Arial"/>
          <w:lang w:val="en-GB"/>
        </w:rPr>
        <w:lastRenderedPageBreak/>
        <w:t xml:space="preserve">Constituting </w:t>
      </w:r>
      <w:r w:rsidR="00314ACC" w:rsidRPr="002E4BFA">
        <w:rPr>
          <w:rFonts w:ascii="Arial" w:hAnsi="Arial" w:cs="Arial"/>
          <w:lang w:val="en-GB"/>
        </w:rPr>
        <w:t>‘</w:t>
      </w:r>
      <w:r w:rsidRPr="002E4BFA">
        <w:rPr>
          <w:rFonts w:ascii="Arial" w:hAnsi="Arial" w:cs="Arial"/>
          <w:lang w:val="en-GB"/>
        </w:rPr>
        <w:t>lessons learned</w:t>
      </w:r>
      <w:r w:rsidR="00314ACC" w:rsidRPr="002E4BFA">
        <w:rPr>
          <w:rFonts w:ascii="Arial" w:hAnsi="Arial" w:cs="Arial"/>
          <w:lang w:val="en-GB"/>
        </w:rPr>
        <w:t>’</w:t>
      </w:r>
      <w:r w:rsidRPr="002E4BFA">
        <w:rPr>
          <w:rFonts w:ascii="Arial" w:hAnsi="Arial" w:cs="Arial"/>
          <w:lang w:val="en-GB"/>
        </w:rPr>
        <w:t xml:space="preserve"> from the handling of the </w:t>
      </w:r>
      <w:r w:rsidR="00EC3FA7" w:rsidRPr="002E4BFA">
        <w:rPr>
          <w:rFonts w:ascii="Arial" w:hAnsi="Arial" w:cs="Arial"/>
          <w:lang w:val="en-GB"/>
        </w:rPr>
        <w:t>financial and debt crisis</w:t>
      </w:r>
      <w:r w:rsidRPr="002E4BFA">
        <w:rPr>
          <w:rFonts w:ascii="Arial" w:hAnsi="Arial" w:cs="Arial"/>
          <w:lang w:val="en-GB"/>
        </w:rPr>
        <w:t>, these important developments reflect</w:t>
      </w:r>
      <w:r w:rsidR="00EC3FA7" w:rsidRPr="002E4BFA">
        <w:rPr>
          <w:rFonts w:ascii="Arial" w:hAnsi="Arial" w:cs="Arial"/>
          <w:lang w:val="en-GB"/>
        </w:rPr>
        <w:t xml:space="preserve"> the integration of soft </w:t>
      </w:r>
      <w:r w:rsidR="007D0FE7" w:rsidRPr="002E4BFA">
        <w:rPr>
          <w:rFonts w:ascii="Arial" w:hAnsi="Arial" w:cs="Arial"/>
          <w:lang w:val="en-GB"/>
        </w:rPr>
        <w:t xml:space="preserve">social policy </w:t>
      </w:r>
      <w:r w:rsidR="00EC3FA7" w:rsidRPr="002E4BFA">
        <w:rPr>
          <w:rFonts w:ascii="Arial" w:hAnsi="Arial" w:cs="Arial"/>
          <w:lang w:val="en-GB"/>
        </w:rPr>
        <w:t xml:space="preserve">coordination into the broader fiscal and macroeconomic governance framework of the EU, the European Semester. </w:t>
      </w:r>
      <w:r w:rsidRPr="002E4BFA">
        <w:rPr>
          <w:rFonts w:ascii="Arial" w:hAnsi="Arial" w:cs="Arial"/>
          <w:lang w:val="en-GB"/>
        </w:rPr>
        <w:t xml:space="preserve">After </w:t>
      </w:r>
      <w:r w:rsidR="00EC3FA7" w:rsidRPr="002E4BFA">
        <w:rPr>
          <w:rFonts w:ascii="Arial" w:hAnsi="Arial" w:cs="Arial"/>
          <w:lang w:val="en-GB"/>
        </w:rPr>
        <w:t>an initially austerit</w:t>
      </w:r>
      <w:r w:rsidRPr="002E4BFA">
        <w:rPr>
          <w:rFonts w:ascii="Arial" w:hAnsi="Arial" w:cs="Arial"/>
          <w:lang w:val="en-GB"/>
        </w:rPr>
        <w:t>y-driven</w:t>
      </w:r>
      <w:r w:rsidR="00EC3FA7" w:rsidRPr="002E4BFA">
        <w:rPr>
          <w:rFonts w:ascii="Arial" w:hAnsi="Arial" w:cs="Arial"/>
          <w:lang w:val="en-GB"/>
        </w:rPr>
        <w:t xml:space="preserve"> approach subjecting social policy to the imperative</w:t>
      </w:r>
      <w:r w:rsidRPr="002E4BFA">
        <w:rPr>
          <w:rFonts w:ascii="Arial" w:hAnsi="Arial" w:cs="Arial"/>
          <w:lang w:val="en-GB"/>
        </w:rPr>
        <w:t>s</w:t>
      </w:r>
      <w:r w:rsidR="00EC3FA7" w:rsidRPr="002E4BFA">
        <w:rPr>
          <w:rFonts w:ascii="Arial" w:hAnsi="Arial" w:cs="Arial"/>
          <w:lang w:val="en-GB"/>
        </w:rPr>
        <w:t xml:space="preserve"> of fiscal discipline, the EU institutions </w:t>
      </w:r>
      <w:r w:rsidRPr="002E4BFA">
        <w:rPr>
          <w:rFonts w:ascii="Arial" w:hAnsi="Arial" w:cs="Arial"/>
          <w:lang w:val="en-GB"/>
        </w:rPr>
        <w:t>went on to adopt a</w:t>
      </w:r>
      <w:r w:rsidR="00EC3FA7" w:rsidRPr="002E4BFA">
        <w:rPr>
          <w:rFonts w:ascii="Arial" w:hAnsi="Arial" w:cs="Arial"/>
          <w:lang w:val="en-GB"/>
        </w:rPr>
        <w:t xml:space="preserve"> more </w:t>
      </w:r>
      <w:r w:rsidRPr="002E4BFA">
        <w:rPr>
          <w:rFonts w:ascii="Arial" w:hAnsi="Arial" w:cs="Arial"/>
          <w:lang w:val="en-GB"/>
        </w:rPr>
        <w:t xml:space="preserve">flexible </w:t>
      </w:r>
      <w:r w:rsidR="00EC3FA7" w:rsidRPr="002E4BFA">
        <w:rPr>
          <w:rFonts w:ascii="Arial" w:hAnsi="Arial" w:cs="Arial"/>
          <w:lang w:val="en-GB"/>
        </w:rPr>
        <w:t xml:space="preserve">fiscal </w:t>
      </w:r>
      <w:r w:rsidRPr="002E4BFA">
        <w:rPr>
          <w:rFonts w:ascii="Arial" w:hAnsi="Arial" w:cs="Arial"/>
          <w:lang w:val="en-GB"/>
        </w:rPr>
        <w:t xml:space="preserve">approach reflecting </w:t>
      </w:r>
      <w:r w:rsidR="00EC3FA7" w:rsidRPr="002E4BFA">
        <w:rPr>
          <w:rFonts w:ascii="Arial" w:hAnsi="Arial" w:cs="Arial"/>
          <w:lang w:val="en-GB"/>
        </w:rPr>
        <w:t xml:space="preserve">increased concern for the social (and political) consequences of the EU economic governance, </w:t>
      </w:r>
      <w:r w:rsidR="00186030" w:rsidRPr="002E4BFA">
        <w:rPr>
          <w:rFonts w:ascii="Arial" w:hAnsi="Arial" w:cs="Arial"/>
          <w:lang w:val="en-GB"/>
        </w:rPr>
        <w:t xml:space="preserve">as </w:t>
      </w:r>
      <w:r w:rsidR="00EC3FA7" w:rsidRPr="002E4BFA">
        <w:rPr>
          <w:rFonts w:ascii="Arial" w:hAnsi="Arial" w:cs="Arial"/>
          <w:lang w:val="en-GB"/>
        </w:rPr>
        <w:t>embrace</w:t>
      </w:r>
      <w:r w:rsidR="00186030" w:rsidRPr="002E4BFA">
        <w:rPr>
          <w:rFonts w:ascii="Arial" w:hAnsi="Arial" w:cs="Arial"/>
          <w:lang w:val="en-GB"/>
        </w:rPr>
        <w:t>d</w:t>
      </w:r>
      <w:r w:rsidR="00EC3FA7" w:rsidRPr="002E4BFA">
        <w:rPr>
          <w:rFonts w:ascii="Arial" w:hAnsi="Arial" w:cs="Arial"/>
          <w:lang w:val="en-GB"/>
        </w:rPr>
        <w:t xml:space="preserve"> </w:t>
      </w:r>
      <w:r w:rsidR="00186030" w:rsidRPr="002E4BFA">
        <w:rPr>
          <w:rFonts w:ascii="Arial" w:hAnsi="Arial" w:cs="Arial"/>
          <w:lang w:val="en-GB"/>
        </w:rPr>
        <w:t xml:space="preserve">by its revived </w:t>
      </w:r>
      <w:r w:rsidR="00EC3FA7" w:rsidRPr="002E4BFA">
        <w:rPr>
          <w:rFonts w:ascii="Arial" w:hAnsi="Arial" w:cs="Arial"/>
          <w:lang w:val="en-GB"/>
        </w:rPr>
        <w:t>social policy agenda from 2017 onwards</w:t>
      </w:r>
      <w:r w:rsidR="007D0FE7" w:rsidRPr="002E4BFA">
        <w:rPr>
          <w:rFonts w:ascii="Arial" w:hAnsi="Arial" w:cs="Arial"/>
          <w:lang w:val="en-GB"/>
        </w:rPr>
        <w:t xml:space="preserve">, with </w:t>
      </w:r>
      <w:r w:rsidR="00EC3FA7" w:rsidRPr="002E4BFA">
        <w:rPr>
          <w:rFonts w:ascii="Arial" w:hAnsi="Arial" w:cs="Arial"/>
          <w:lang w:val="en-GB"/>
        </w:rPr>
        <w:t>the European Pillar of Social Rights as a blueprint (</w:t>
      </w:r>
      <w:proofErr w:type="spellStart"/>
      <w:r w:rsidR="00EC3FA7" w:rsidRPr="002E4BFA">
        <w:rPr>
          <w:rFonts w:ascii="Arial" w:hAnsi="Arial" w:cs="Arial"/>
          <w:lang w:val="en-GB"/>
        </w:rPr>
        <w:t>Vesan</w:t>
      </w:r>
      <w:proofErr w:type="spellEnd"/>
      <w:r w:rsidR="00EC3FA7" w:rsidRPr="002E4BFA">
        <w:rPr>
          <w:rFonts w:ascii="Arial" w:hAnsi="Arial" w:cs="Arial"/>
          <w:lang w:val="en-GB"/>
        </w:rPr>
        <w:t xml:space="preserve"> et al., 2021). Taking a long-term perspective though, many social policy </w:t>
      </w:r>
      <w:r w:rsidR="00186030" w:rsidRPr="002E4BFA">
        <w:rPr>
          <w:rFonts w:ascii="Arial" w:hAnsi="Arial" w:cs="Arial"/>
          <w:lang w:val="en-GB"/>
        </w:rPr>
        <w:t xml:space="preserve">experts </w:t>
      </w:r>
      <w:r w:rsidR="00EC3FA7" w:rsidRPr="002E4BFA">
        <w:rPr>
          <w:rFonts w:ascii="Arial" w:hAnsi="Arial" w:cs="Arial"/>
          <w:lang w:val="en-GB"/>
        </w:rPr>
        <w:t xml:space="preserve">agree that social policy </w:t>
      </w:r>
      <w:r w:rsidR="00186030" w:rsidRPr="002E4BFA">
        <w:rPr>
          <w:rFonts w:ascii="Arial" w:hAnsi="Arial" w:cs="Arial"/>
          <w:lang w:val="en-GB"/>
        </w:rPr>
        <w:t xml:space="preserve">has </w:t>
      </w:r>
      <w:r w:rsidR="00EC3FA7" w:rsidRPr="002E4BFA">
        <w:rPr>
          <w:rFonts w:ascii="Arial" w:hAnsi="Arial" w:cs="Arial"/>
          <w:lang w:val="en-GB"/>
        </w:rPr>
        <w:t xml:space="preserve">always </w:t>
      </w:r>
      <w:r w:rsidR="00186030" w:rsidRPr="002E4BFA">
        <w:rPr>
          <w:rFonts w:ascii="Arial" w:hAnsi="Arial" w:cs="Arial"/>
          <w:lang w:val="en-GB"/>
        </w:rPr>
        <w:t xml:space="preserve">been </w:t>
      </w:r>
      <w:r w:rsidR="00EC3FA7" w:rsidRPr="002E4BFA">
        <w:rPr>
          <w:rFonts w:ascii="Arial" w:hAnsi="Arial" w:cs="Arial"/>
          <w:lang w:val="en-GB"/>
        </w:rPr>
        <w:t xml:space="preserve">a </w:t>
      </w:r>
      <w:r w:rsidR="00BA00BB" w:rsidRPr="002E4BFA">
        <w:rPr>
          <w:rFonts w:ascii="Arial" w:hAnsi="Arial" w:cs="Arial"/>
          <w:lang w:val="en-GB"/>
        </w:rPr>
        <w:t>‘</w:t>
      </w:r>
      <w:r w:rsidR="00D94B37" w:rsidRPr="002E4BFA">
        <w:rPr>
          <w:rFonts w:ascii="Arial" w:hAnsi="Arial" w:cs="Arial"/>
          <w:lang w:val="en-GB"/>
        </w:rPr>
        <w:t>second-</w:t>
      </w:r>
      <w:r w:rsidR="00EC3FA7" w:rsidRPr="002E4BFA">
        <w:rPr>
          <w:rFonts w:ascii="Arial" w:hAnsi="Arial" w:cs="Arial"/>
          <w:lang w:val="en-GB"/>
        </w:rPr>
        <w:t>order</w:t>
      </w:r>
      <w:r w:rsidR="00BA00BB" w:rsidRPr="002E4BFA">
        <w:rPr>
          <w:rFonts w:ascii="Arial" w:hAnsi="Arial" w:cs="Arial"/>
          <w:lang w:val="en-GB"/>
        </w:rPr>
        <w:t>’</w:t>
      </w:r>
      <w:r w:rsidR="00EC3FA7" w:rsidRPr="002E4BFA">
        <w:rPr>
          <w:rFonts w:ascii="Arial" w:hAnsi="Arial" w:cs="Arial"/>
          <w:lang w:val="en-GB"/>
        </w:rPr>
        <w:t xml:space="preserve"> policy area for the EU (Copeland, 2019)</w:t>
      </w:r>
      <w:r w:rsidR="00186030" w:rsidRPr="002E4BFA">
        <w:rPr>
          <w:rFonts w:ascii="Arial" w:hAnsi="Arial" w:cs="Arial"/>
          <w:lang w:val="en-GB"/>
        </w:rPr>
        <w:t>,</w:t>
      </w:r>
      <w:r w:rsidR="00EC3FA7" w:rsidRPr="002E4BFA">
        <w:rPr>
          <w:rFonts w:ascii="Arial" w:hAnsi="Arial" w:cs="Arial"/>
          <w:lang w:val="en-GB"/>
        </w:rPr>
        <w:t xml:space="preserve"> essentially serving to enable – rather than counterbalance – transnational market</w:t>
      </w:r>
      <w:r w:rsidR="00186030" w:rsidRPr="002E4BFA">
        <w:rPr>
          <w:rFonts w:ascii="Arial" w:hAnsi="Arial" w:cs="Arial"/>
          <w:lang w:val="en-GB"/>
        </w:rPr>
        <w:t>-</w:t>
      </w:r>
      <w:r w:rsidR="00EC3FA7" w:rsidRPr="002E4BFA">
        <w:rPr>
          <w:rFonts w:ascii="Arial" w:hAnsi="Arial" w:cs="Arial"/>
          <w:lang w:val="en-GB"/>
        </w:rPr>
        <w:t xml:space="preserve">making and mostly lacking the necessary bite to </w:t>
      </w:r>
      <w:r w:rsidR="00E71DB8" w:rsidRPr="002E4BFA">
        <w:rPr>
          <w:rFonts w:ascii="Arial" w:hAnsi="Arial" w:cs="Arial"/>
          <w:lang w:val="en-GB"/>
        </w:rPr>
        <w:t>effectively address</w:t>
      </w:r>
      <w:r w:rsidR="00EC3FA7" w:rsidRPr="002E4BFA">
        <w:rPr>
          <w:rFonts w:ascii="Arial" w:hAnsi="Arial" w:cs="Arial"/>
          <w:lang w:val="en-GB"/>
        </w:rPr>
        <w:t xml:space="preserve"> the sheer level of social inequality within and between </w:t>
      </w:r>
      <w:r w:rsidR="00186030" w:rsidRPr="002E4BFA">
        <w:rPr>
          <w:rFonts w:ascii="Arial" w:hAnsi="Arial" w:cs="Arial"/>
          <w:lang w:val="en-GB"/>
        </w:rPr>
        <w:t xml:space="preserve">EU </w:t>
      </w:r>
      <w:r w:rsidR="00EC3FA7" w:rsidRPr="002E4BFA">
        <w:rPr>
          <w:rFonts w:ascii="Arial" w:hAnsi="Arial" w:cs="Arial"/>
          <w:lang w:val="en-GB"/>
        </w:rPr>
        <w:t>Member States (</w:t>
      </w:r>
      <w:proofErr w:type="spellStart"/>
      <w:r w:rsidR="00EC3FA7" w:rsidRPr="002E4BFA">
        <w:rPr>
          <w:rFonts w:ascii="Arial" w:hAnsi="Arial" w:cs="Arial"/>
          <w:lang w:val="en-GB"/>
        </w:rPr>
        <w:t>Crespy</w:t>
      </w:r>
      <w:proofErr w:type="spellEnd"/>
      <w:r w:rsidR="00EC3FA7" w:rsidRPr="002E4BFA">
        <w:rPr>
          <w:rFonts w:ascii="Arial" w:hAnsi="Arial" w:cs="Arial"/>
          <w:lang w:val="en-GB"/>
        </w:rPr>
        <w:t xml:space="preserve">, 2022). </w:t>
      </w:r>
    </w:p>
    <w:p w14:paraId="5CE5957D" w14:textId="236C76D4" w:rsidR="00EC3FA7" w:rsidRPr="002E4BFA" w:rsidRDefault="00EC3FA7" w:rsidP="00C6263F">
      <w:pPr>
        <w:spacing w:line="360" w:lineRule="auto"/>
        <w:ind w:firstLine="360"/>
        <w:jc w:val="left"/>
        <w:rPr>
          <w:rFonts w:ascii="Arial" w:hAnsi="Arial" w:cs="Arial"/>
          <w:lang w:val="en-GB"/>
        </w:rPr>
      </w:pPr>
      <w:r w:rsidRPr="002E4BFA">
        <w:rPr>
          <w:rFonts w:ascii="Arial" w:hAnsi="Arial" w:cs="Arial"/>
          <w:lang w:val="en-GB"/>
        </w:rPr>
        <w:t xml:space="preserve">The purpose of this contribution is to assess, two years on, the social ambitions involved </w:t>
      </w:r>
      <w:r w:rsidR="007D0FE7" w:rsidRPr="002E4BFA">
        <w:rPr>
          <w:rFonts w:ascii="Arial" w:hAnsi="Arial" w:cs="Arial"/>
          <w:lang w:val="en-GB"/>
        </w:rPr>
        <w:t xml:space="preserve">in </w:t>
      </w:r>
      <w:r w:rsidRPr="002E4BFA">
        <w:rPr>
          <w:rFonts w:ascii="Arial" w:hAnsi="Arial" w:cs="Arial"/>
          <w:lang w:val="en-GB"/>
        </w:rPr>
        <w:t>the EU’s just transition</w:t>
      </w:r>
      <w:r w:rsidR="00186030" w:rsidRPr="002E4BFA">
        <w:rPr>
          <w:rFonts w:ascii="Arial" w:hAnsi="Arial" w:cs="Arial"/>
          <w:lang w:val="en-GB"/>
        </w:rPr>
        <w:t xml:space="preserve"> goal, </w:t>
      </w:r>
      <w:r w:rsidRPr="002E4BFA">
        <w:rPr>
          <w:rFonts w:ascii="Arial" w:hAnsi="Arial" w:cs="Arial"/>
          <w:lang w:val="en-GB"/>
        </w:rPr>
        <w:t>focus</w:t>
      </w:r>
      <w:r w:rsidR="00186030" w:rsidRPr="002E4BFA">
        <w:rPr>
          <w:rFonts w:ascii="Arial" w:hAnsi="Arial" w:cs="Arial"/>
          <w:lang w:val="en-GB"/>
        </w:rPr>
        <w:t>ing</w:t>
      </w:r>
      <w:r w:rsidRPr="002E4BFA">
        <w:rPr>
          <w:rFonts w:ascii="Arial" w:hAnsi="Arial" w:cs="Arial"/>
          <w:lang w:val="en-GB"/>
        </w:rPr>
        <w:t xml:space="preserve"> on two key instruments proposed to address social issues </w:t>
      </w:r>
      <w:r w:rsidR="00186030" w:rsidRPr="002E4BFA">
        <w:rPr>
          <w:rFonts w:ascii="Arial" w:hAnsi="Arial" w:cs="Arial"/>
          <w:lang w:val="en-GB"/>
        </w:rPr>
        <w:t xml:space="preserve">arising from </w:t>
      </w:r>
      <w:r w:rsidRPr="002E4BFA">
        <w:rPr>
          <w:rFonts w:ascii="Arial" w:hAnsi="Arial" w:cs="Arial"/>
          <w:lang w:val="en-GB"/>
        </w:rPr>
        <w:t xml:space="preserve">the green transition, the Just Transition </w:t>
      </w:r>
      <w:proofErr w:type="gramStart"/>
      <w:r w:rsidR="00F53850" w:rsidRPr="002E4BFA">
        <w:rPr>
          <w:rFonts w:ascii="Arial" w:hAnsi="Arial" w:cs="Arial"/>
          <w:lang w:val="en-GB"/>
        </w:rPr>
        <w:t>Fund</w:t>
      </w:r>
      <w:proofErr w:type="gramEnd"/>
      <w:r w:rsidR="00F53850" w:rsidRPr="002E4BFA">
        <w:rPr>
          <w:rFonts w:ascii="Arial" w:hAnsi="Arial" w:cs="Arial"/>
          <w:lang w:val="en-GB"/>
        </w:rPr>
        <w:t xml:space="preserve"> </w:t>
      </w:r>
      <w:r w:rsidRPr="002E4BFA">
        <w:rPr>
          <w:rFonts w:ascii="Arial" w:hAnsi="Arial" w:cs="Arial"/>
          <w:lang w:val="en-GB"/>
        </w:rPr>
        <w:t xml:space="preserve">and the Social Climate Fund. Beyond the issue of governance and policy instruments, </w:t>
      </w:r>
      <w:r w:rsidR="00186030" w:rsidRPr="002E4BFA">
        <w:rPr>
          <w:rFonts w:ascii="Arial" w:hAnsi="Arial" w:cs="Arial"/>
          <w:lang w:val="en-GB"/>
        </w:rPr>
        <w:t xml:space="preserve">recent </w:t>
      </w:r>
      <w:r w:rsidRPr="002E4BFA">
        <w:rPr>
          <w:rFonts w:ascii="Arial" w:hAnsi="Arial" w:cs="Arial"/>
          <w:lang w:val="en-GB"/>
        </w:rPr>
        <w:t xml:space="preserve">debates also provide a clearer picture of the political and ideological </w:t>
      </w:r>
      <w:r w:rsidR="007D0FE7" w:rsidRPr="002E4BFA">
        <w:rPr>
          <w:rFonts w:ascii="Arial" w:hAnsi="Arial" w:cs="Arial"/>
          <w:lang w:val="en-GB"/>
        </w:rPr>
        <w:t xml:space="preserve">fault </w:t>
      </w:r>
      <w:r w:rsidR="00A360E5" w:rsidRPr="002E4BFA">
        <w:rPr>
          <w:rFonts w:ascii="Arial" w:hAnsi="Arial" w:cs="Arial"/>
          <w:lang w:val="en-GB"/>
        </w:rPr>
        <w:t>line</w:t>
      </w:r>
      <w:r w:rsidR="007D0FE7" w:rsidRPr="002E4BFA">
        <w:rPr>
          <w:rFonts w:ascii="Arial" w:hAnsi="Arial" w:cs="Arial"/>
          <w:lang w:val="en-GB"/>
        </w:rPr>
        <w:t>s</w:t>
      </w:r>
      <w:r w:rsidR="00A360E5" w:rsidRPr="002E4BFA">
        <w:rPr>
          <w:rFonts w:ascii="Arial" w:hAnsi="Arial" w:cs="Arial"/>
          <w:lang w:val="en-GB"/>
        </w:rPr>
        <w:t xml:space="preserve"> </w:t>
      </w:r>
      <w:r w:rsidRPr="002E4BFA">
        <w:rPr>
          <w:rFonts w:ascii="Arial" w:hAnsi="Arial" w:cs="Arial"/>
          <w:lang w:val="en-GB"/>
        </w:rPr>
        <w:t>shap</w:t>
      </w:r>
      <w:r w:rsidR="00186030" w:rsidRPr="002E4BFA">
        <w:rPr>
          <w:rFonts w:ascii="Arial" w:hAnsi="Arial" w:cs="Arial"/>
          <w:lang w:val="en-GB"/>
        </w:rPr>
        <w:t xml:space="preserve">ing </w:t>
      </w:r>
      <w:r w:rsidRPr="002E4BFA">
        <w:rPr>
          <w:rFonts w:ascii="Arial" w:hAnsi="Arial" w:cs="Arial"/>
          <w:lang w:val="en-GB"/>
        </w:rPr>
        <w:t xml:space="preserve">the contours of the EU just transition agenda. Building on earlier </w:t>
      </w:r>
      <w:r w:rsidR="00186030" w:rsidRPr="002E4BFA">
        <w:rPr>
          <w:rFonts w:ascii="Arial" w:hAnsi="Arial" w:cs="Arial"/>
          <w:lang w:val="en-GB"/>
        </w:rPr>
        <w:t xml:space="preserve">contributions </w:t>
      </w:r>
      <w:r w:rsidRPr="002E4BFA">
        <w:rPr>
          <w:rFonts w:ascii="Arial" w:hAnsi="Arial" w:cs="Arial"/>
          <w:lang w:val="en-GB"/>
        </w:rPr>
        <w:t xml:space="preserve">(Sabato and </w:t>
      </w:r>
      <w:proofErr w:type="spellStart"/>
      <w:r w:rsidRPr="002E4BFA">
        <w:rPr>
          <w:rFonts w:ascii="Arial" w:hAnsi="Arial" w:cs="Arial"/>
          <w:lang w:val="en-GB"/>
        </w:rPr>
        <w:t>Fronteddu</w:t>
      </w:r>
      <w:proofErr w:type="spellEnd"/>
      <w:r w:rsidRPr="002E4BFA">
        <w:rPr>
          <w:rFonts w:ascii="Arial" w:hAnsi="Arial" w:cs="Arial"/>
          <w:lang w:val="en-GB"/>
        </w:rPr>
        <w:t>, 2020; Laurent, 2021</w:t>
      </w:r>
      <w:r w:rsidR="00E71C86" w:rsidRPr="002E4BFA">
        <w:rPr>
          <w:rFonts w:ascii="Arial" w:hAnsi="Arial" w:cs="Arial"/>
          <w:lang w:val="en-GB"/>
        </w:rPr>
        <w:t>a</w:t>
      </w:r>
      <w:r w:rsidRPr="002E4BFA">
        <w:rPr>
          <w:rFonts w:ascii="Arial" w:hAnsi="Arial" w:cs="Arial"/>
          <w:lang w:val="en-GB"/>
        </w:rPr>
        <w:t xml:space="preserve">), we attempt to go one step further by </w:t>
      </w:r>
      <w:r w:rsidR="008B343B" w:rsidRPr="002E4BFA">
        <w:rPr>
          <w:rFonts w:ascii="Arial" w:hAnsi="Arial" w:cs="Arial"/>
          <w:lang w:val="en-GB"/>
        </w:rPr>
        <w:t>addressing</w:t>
      </w:r>
      <w:r w:rsidRPr="002E4BFA">
        <w:rPr>
          <w:rFonts w:ascii="Arial" w:hAnsi="Arial" w:cs="Arial"/>
          <w:lang w:val="en-GB"/>
        </w:rPr>
        <w:t xml:space="preserve"> the more specific angle of EU social policy. Has the EU social policy agenda been </w:t>
      </w:r>
      <w:r w:rsidR="00BA00BB" w:rsidRPr="002E4BFA">
        <w:rPr>
          <w:rFonts w:ascii="Arial" w:hAnsi="Arial" w:cs="Arial"/>
          <w:lang w:val="en-GB"/>
        </w:rPr>
        <w:t>‘</w:t>
      </w:r>
      <w:r w:rsidRPr="002E4BFA">
        <w:rPr>
          <w:rFonts w:ascii="Arial" w:hAnsi="Arial" w:cs="Arial"/>
          <w:lang w:val="en-GB"/>
        </w:rPr>
        <w:t>lost in transition</w:t>
      </w:r>
      <w:r w:rsidR="00BA00BB" w:rsidRPr="002E4BFA">
        <w:rPr>
          <w:rFonts w:ascii="Arial" w:hAnsi="Arial" w:cs="Arial"/>
          <w:lang w:val="en-GB"/>
        </w:rPr>
        <w:t>’</w:t>
      </w:r>
      <w:r w:rsidRPr="002E4BFA">
        <w:rPr>
          <w:rFonts w:ascii="Arial" w:hAnsi="Arial" w:cs="Arial"/>
          <w:lang w:val="en-GB"/>
        </w:rPr>
        <w:t xml:space="preserve"> and – yet again – </w:t>
      </w:r>
      <w:r w:rsidR="00186030" w:rsidRPr="002E4BFA">
        <w:rPr>
          <w:rFonts w:ascii="Arial" w:hAnsi="Arial" w:cs="Arial"/>
          <w:lang w:val="en-GB"/>
        </w:rPr>
        <w:t xml:space="preserve">become </w:t>
      </w:r>
      <w:r w:rsidRPr="002E4BFA">
        <w:rPr>
          <w:rFonts w:ascii="Arial" w:hAnsi="Arial" w:cs="Arial"/>
          <w:lang w:val="en-GB"/>
        </w:rPr>
        <w:t>a second</w:t>
      </w:r>
      <w:r w:rsidR="0084325D" w:rsidRPr="002E4BFA">
        <w:rPr>
          <w:rFonts w:ascii="Arial" w:hAnsi="Arial" w:cs="Arial"/>
          <w:lang w:val="en-GB"/>
        </w:rPr>
        <w:t xml:space="preserve">-order </w:t>
      </w:r>
      <w:r w:rsidRPr="002E4BFA">
        <w:rPr>
          <w:rFonts w:ascii="Arial" w:hAnsi="Arial" w:cs="Arial"/>
          <w:lang w:val="en-GB"/>
        </w:rPr>
        <w:t>objective</w:t>
      </w:r>
      <w:r w:rsidR="0084325D" w:rsidRPr="002E4BFA">
        <w:rPr>
          <w:rFonts w:ascii="Arial" w:hAnsi="Arial" w:cs="Arial"/>
          <w:lang w:val="en-GB"/>
        </w:rPr>
        <w:t>,</w:t>
      </w:r>
      <w:r w:rsidRPr="002E4BFA">
        <w:rPr>
          <w:rFonts w:ascii="Arial" w:hAnsi="Arial" w:cs="Arial"/>
          <w:lang w:val="en-GB"/>
        </w:rPr>
        <w:t xml:space="preserve"> or does the EU’s pledge for a just transition have the potential to foster efforts towards </w:t>
      </w:r>
      <w:r w:rsidR="0084325D" w:rsidRPr="002E4BFA">
        <w:rPr>
          <w:rFonts w:ascii="Arial" w:hAnsi="Arial" w:cs="Arial"/>
          <w:lang w:val="en-GB"/>
        </w:rPr>
        <w:t xml:space="preserve">greater </w:t>
      </w:r>
      <w:r w:rsidRPr="002E4BFA">
        <w:rPr>
          <w:rFonts w:ascii="Arial" w:hAnsi="Arial" w:cs="Arial"/>
          <w:lang w:val="en-GB"/>
        </w:rPr>
        <w:t xml:space="preserve">social justice by integrating it into the EGD agenda? More broadly, what kind of transition model do we see emerging under the auspices of the EU and is it converging with or rather distinct from archetypical models of </w:t>
      </w:r>
      <w:r w:rsidR="0084325D" w:rsidRPr="002E4BFA">
        <w:rPr>
          <w:rFonts w:ascii="Arial" w:hAnsi="Arial" w:cs="Arial"/>
          <w:lang w:val="en-GB"/>
        </w:rPr>
        <w:t xml:space="preserve">a </w:t>
      </w:r>
      <w:r w:rsidRPr="002E4BFA">
        <w:rPr>
          <w:rFonts w:ascii="Arial" w:hAnsi="Arial" w:cs="Arial"/>
          <w:lang w:val="en-GB"/>
        </w:rPr>
        <w:t xml:space="preserve">just transition and </w:t>
      </w:r>
      <w:r w:rsidR="0084325D" w:rsidRPr="002E4BFA">
        <w:rPr>
          <w:rFonts w:ascii="Arial" w:hAnsi="Arial" w:cs="Arial"/>
          <w:lang w:val="en-GB"/>
        </w:rPr>
        <w:t xml:space="preserve">an </w:t>
      </w:r>
      <w:r w:rsidRPr="002E4BFA">
        <w:rPr>
          <w:rFonts w:ascii="Arial" w:hAnsi="Arial" w:cs="Arial"/>
          <w:lang w:val="en-GB"/>
        </w:rPr>
        <w:t xml:space="preserve">eco-social state? </w:t>
      </w:r>
    </w:p>
    <w:p w14:paraId="6EA4D771" w14:textId="0F070F1B" w:rsidR="00EC3FA7" w:rsidRPr="002E4BFA" w:rsidRDefault="00EC3FA7" w:rsidP="00C6263F">
      <w:pPr>
        <w:spacing w:line="360" w:lineRule="auto"/>
        <w:ind w:firstLine="360"/>
        <w:jc w:val="left"/>
        <w:rPr>
          <w:rFonts w:ascii="Arial" w:hAnsi="Arial" w:cs="Arial"/>
          <w:lang w:val="en-GB"/>
        </w:rPr>
      </w:pPr>
      <w:r w:rsidRPr="002E4BFA">
        <w:rPr>
          <w:rFonts w:ascii="Arial" w:hAnsi="Arial" w:cs="Arial"/>
          <w:lang w:val="en-GB"/>
        </w:rPr>
        <w:t xml:space="preserve">To answer </w:t>
      </w:r>
      <w:r w:rsidR="0084325D" w:rsidRPr="002E4BFA">
        <w:rPr>
          <w:rFonts w:ascii="Arial" w:hAnsi="Arial" w:cs="Arial"/>
          <w:lang w:val="en-GB"/>
        </w:rPr>
        <w:t xml:space="preserve">these </w:t>
      </w:r>
      <w:r w:rsidRPr="002E4BFA">
        <w:rPr>
          <w:rFonts w:ascii="Arial" w:hAnsi="Arial" w:cs="Arial"/>
          <w:lang w:val="en-GB"/>
        </w:rPr>
        <w:t>question</w:t>
      </w:r>
      <w:r w:rsidR="0084325D" w:rsidRPr="002E4BFA">
        <w:rPr>
          <w:rFonts w:ascii="Arial" w:hAnsi="Arial" w:cs="Arial"/>
          <w:lang w:val="en-GB"/>
        </w:rPr>
        <w:t>s</w:t>
      </w:r>
      <w:r w:rsidRPr="002E4BFA">
        <w:rPr>
          <w:rFonts w:ascii="Arial" w:hAnsi="Arial" w:cs="Arial"/>
          <w:lang w:val="en-GB"/>
        </w:rPr>
        <w:t xml:space="preserve">, </w:t>
      </w:r>
      <w:r w:rsidR="00E71DB8" w:rsidRPr="002E4BFA">
        <w:rPr>
          <w:rFonts w:ascii="Arial" w:hAnsi="Arial" w:cs="Arial"/>
          <w:lang w:val="en-GB"/>
        </w:rPr>
        <w:t>we look</w:t>
      </w:r>
      <w:r w:rsidRPr="002E4BFA">
        <w:rPr>
          <w:rFonts w:ascii="Arial" w:hAnsi="Arial" w:cs="Arial"/>
          <w:lang w:val="en-GB"/>
        </w:rPr>
        <w:t xml:space="preserve">, in </w:t>
      </w:r>
      <w:r w:rsidR="0084325D" w:rsidRPr="002E4BFA">
        <w:rPr>
          <w:rFonts w:ascii="Arial" w:hAnsi="Arial" w:cs="Arial"/>
          <w:lang w:val="en-GB"/>
        </w:rPr>
        <w:t>S</w:t>
      </w:r>
      <w:r w:rsidRPr="002E4BFA">
        <w:rPr>
          <w:rFonts w:ascii="Arial" w:hAnsi="Arial" w:cs="Arial"/>
          <w:lang w:val="en-GB"/>
        </w:rPr>
        <w:t>ection 1, at the various conceptuali</w:t>
      </w:r>
      <w:r w:rsidR="0084325D" w:rsidRPr="002E4BFA">
        <w:rPr>
          <w:rFonts w:ascii="Arial" w:hAnsi="Arial" w:cs="Arial"/>
          <w:lang w:val="en-GB"/>
        </w:rPr>
        <w:t>s</w:t>
      </w:r>
      <w:r w:rsidRPr="002E4BFA">
        <w:rPr>
          <w:rFonts w:ascii="Arial" w:hAnsi="Arial" w:cs="Arial"/>
          <w:lang w:val="en-GB"/>
        </w:rPr>
        <w:t xml:space="preserve">ations of the just transition and </w:t>
      </w:r>
      <w:r w:rsidR="0084325D" w:rsidRPr="002E4BFA">
        <w:rPr>
          <w:rFonts w:ascii="Arial" w:hAnsi="Arial" w:cs="Arial"/>
          <w:lang w:val="en-GB"/>
        </w:rPr>
        <w:t xml:space="preserve">at </w:t>
      </w:r>
      <w:r w:rsidRPr="002E4BFA">
        <w:rPr>
          <w:rFonts w:ascii="Arial" w:hAnsi="Arial" w:cs="Arial"/>
          <w:lang w:val="en-GB"/>
        </w:rPr>
        <w:t>emerging visions for eco-social states with</w:t>
      </w:r>
      <w:r w:rsidR="0084325D" w:rsidRPr="002E4BFA">
        <w:rPr>
          <w:rFonts w:ascii="Arial" w:hAnsi="Arial" w:cs="Arial"/>
          <w:lang w:val="en-GB"/>
        </w:rPr>
        <w:t>in</w:t>
      </w:r>
      <w:r w:rsidRPr="002E4BFA">
        <w:rPr>
          <w:rFonts w:ascii="Arial" w:hAnsi="Arial" w:cs="Arial"/>
          <w:lang w:val="en-GB"/>
        </w:rPr>
        <w:t xml:space="preserve"> the EU context. </w:t>
      </w:r>
      <w:r w:rsidR="0084325D" w:rsidRPr="002E4BFA">
        <w:rPr>
          <w:rFonts w:ascii="Arial" w:hAnsi="Arial" w:cs="Arial"/>
          <w:lang w:val="en-GB"/>
        </w:rPr>
        <w:t>S</w:t>
      </w:r>
      <w:r w:rsidRPr="002E4BFA">
        <w:rPr>
          <w:rFonts w:ascii="Arial" w:hAnsi="Arial" w:cs="Arial"/>
          <w:lang w:val="en-GB"/>
        </w:rPr>
        <w:t xml:space="preserve">ections </w:t>
      </w:r>
      <w:r w:rsidR="0084325D" w:rsidRPr="002E4BFA">
        <w:rPr>
          <w:rFonts w:ascii="Arial" w:hAnsi="Arial" w:cs="Arial"/>
          <w:lang w:val="en-GB"/>
        </w:rPr>
        <w:t>2 and 3</w:t>
      </w:r>
      <w:r w:rsidRPr="002E4BFA">
        <w:rPr>
          <w:rFonts w:ascii="Arial" w:hAnsi="Arial" w:cs="Arial"/>
          <w:lang w:val="en-GB"/>
        </w:rPr>
        <w:t xml:space="preserve"> deal respectively with the Just Transition Fund (JTF) and the Social Climate Fund (SCF). For each, we look at the </w:t>
      </w:r>
      <w:r w:rsidR="0084325D" w:rsidRPr="002E4BFA">
        <w:rPr>
          <w:rFonts w:ascii="Arial" w:hAnsi="Arial" w:cs="Arial"/>
          <w:lang w:val="en-GB"/>
        </w:rPr>
        <w:t xml:space="preserve">proclaimed </w:t>
      </w:r>
      <w:r w:rsidRPr="002E4BFA">
        <w:rPr>
          <w:rFonts w:ascii="Arial" w:hAnsi="Arial" w:cs="Arial"/>
          <w:lang w:val="en-GB"/>
        </w:rPr>
        <w:t xml:space="preserve">objectives, the </w:t>
      </w:r>
      <w:r w:rsidR="007D0FE7" w:rsidRPr="002E4BFA">
        <w:rPr>
          <w:rFonts w:ascii="Arial" w:hAnsi="Arial" w:cs="Arial"/>
          <w:lang w:val="en-GB"/>
        </w:rPr>
        <w:t xml:space="preserve">underlying </w:t>
      </w:r>
      <w:r w:rsidRPr="002E4BFA">
        <w:rPr>
          <w:rFonts w:ascii="Arial" w:hAnsi="Arial" w:cs="Arial"/>
          <w:lang w:val="en-GB"/>
        </w:rPr>
        <w:t xml:space="preserve">policy </w:t>
      </w:r>
      <w:proofErr w:type="gramStart"/>
      <w:r w:rsidRPr="002E4BFA">
        <w:rPr>
          <w:rFonts w:ascii="Arial" w:hAnsi="Arial" w:cs="Arial"/>
          <w:lang w:val="en-GB"/>
        </w:rPr>
        <w:t>tools</w:t>
      </w:r>
      <w:proofErr w:type="gramEnd"/>
      <w:r w:rsidRPr="002E4BFA">
        <w:rPr>
          <w:rFonts w:ascii="Arial" w:hAnsi="Arial" w:cs="Arial"/>
          <w:lang w:val="en-GB"/>
        </w:rPr>
        <w:t xml:space="preserve"> and the patterns of political conflict. In the final </w:t>
      </w:r>
      <w:r w:rsidRPr="002E4BFA">
        <w:rPr>
          <w:rFonts w:ascii="Arial" w:hAnsi="Arial" w:cs="Arial"/>
          <w:lang w:val="en-GB"/>
        </w:rPr>
        <w:lastRenderedPageBreak/>
        <w:t>section, we reflect on our findings</w:t>
      </w:r>
      <w:r w:rsidR="007D0FE7" w:rsidRPr="002E4BFA">
        <w:rPr>
          <w:rFonts w:ascii="Arial" w:hAnsi="Arial" w:cs="Arial"/>
          <w:lang w:val="en-GB"/>
        </w:rPr>
        <w:t xml:space="preserve">, </w:t>
      </w:r>
      <w:r w:rsidRPr="002E4BFA">
        <w:rPr>
          <w:rFonts w:ascii="Arial" w:hAnsi="Arial" w:cs="Arial"/>
          <w:lang w:val="en-GB"/>
        </w:rPr>
        <w:t>discuss</w:t>
      </w:r>
      <w:r w:rsidR="007D0FE7" w:rsidRPr="002E4BFA">
        <w:rPr>
          <w:rFonts w:ascii="Arial" w:hAnsi="Arial" w:cs="Arial"/>
          <w:lang w:val="en-GB"/>
        </w:rPr>
        <w:t>ing</w:t>
      </w:r>
      <w:r w:rsidRPr="002E4BFA">
        <w:rPr>
          <w:rFonts w:ascii="Arial" w:hAnsi="Arial" w:cs="Arial"/>
          <w:lang w:val="en-GB"/>
        </w:rPr>
        <w:t xml:space="preserve"> the emerging picture in terms of the significance of social policy objectives </w:t>
      </w:r>
      <w:r w:rsidR="00E71DB8" w:rsidRPr="002E4BFA">
        <w:rPr>
          <w:rFonts w:ascii="Arial" w:hAnsi="Arial" w:cs="Arial"/>
          <w:lang w:val="en-GB"/>
        </w:rPr>
        <w:t xml:space="preserve">and </w:t>
      </w:r>
      <w:r w:rsidRPr="002E4BFA">
        <w:rPr>
          <w:rFonts w:ascii="Arial" w:hAnsi="Arial" w:cs="Arial"/>
          <w:lang w:val="en-GB"/>
        </w:rPr>
        <w:t>the distinct nature of the transition model promoted by the EU.</w:t>
      </w:r>
    </w:p>
    <w:p w14:paraId="44E9EDA1" w14:textId="77777777" w:rsidR="00EC3FA7" w:rsidRPr="002E4BFA" w:rsidRDefault="00EC3FA7" w:rsidP="00C6263F">
      <w:pPr>
        <w:spacing w:line="360" w:lineRule="auto"/>
        <w:jc w:val="left"/>
        <w:rPr>
          <w:rFonts w:ascii="Arial" w:hAnsi="Arial" w:cs="Arial"/>
          <w:lang w:val="en-GB"/>
        </w:rPr>
      </w:pPr>
    </w:p>
    <w:p w14:paraId="5D4E22C3" w14:textId="77777777" w:rsidR="00EC3FA7" w:rsidRPr="002E4BFA" w:rsidRDefault="00EC3FA7" w:rsidP="00C6263F">
      <w:pPr>
        <w:pStyle w:val="ListParagraph"/>
        <w:numPr>
          <w:ilvl w:val="0"/>
          <w:numId w:val="1"/>
        </w:numPr>
        <w:spacing w:line="360" w:lineRule="auto"/>
        <w:jc w:val="left"/>
        <w:rPr>
          <w:rFonts w:ascii="Arial" w:hAnsi="Arial" w:cs="Arial"/>
          <w:b/>
          <w:lang w:val="en-GB"/>
        </w:rPr>
      </w:pPr>
      <w:r w:rsidRPr="002E4BFA">
        <w:rPr>
          <w:rFonts w:ascii="Arial" w:hAnsi="Arial" w:cs="Arial"/>
          <w:b/>
          <w:lang w:val="en-GB"/>
        </w:rPr>
        <w:t xml:space="preserve">The avatars of the just transition: the EU at a crossroads </w:t>
      </w:r>
    </w:p>
    <w:p w14:paraId="1998748D" w14:textId="0E44F3A4" w:rsidR="00EC3FA7" w:rsidRPr="002E4BFA" w:rsidRDefault="003A52D0" w:rsidP="00C6263F">
      <w:pPr>
        <w:spacing w:line="360" w:lineRule="auto"/>
        <w:jc w:val="left"/>
        <w:rPr>
          <w:rFonts w:ascii="Arial" w:hAnsi="Arial" w:cs="Arial"/>
          <w:bCs/>
          <w:lang w:val="en-GB"/>
        </w:rPr>
      </w:pPr>
      <w:r w:rsidRPr="002E4BFA">
        <w:rPr>
          <w:rFonts w:ascii="Arial" w:hAnsi="Arial" w:cs="Arial"/>
          <w:bCs/>
          <w:lang w:val="en-GB"/>
        </w:rPr>
        <w:t xml:space="preserve">Prior to </w:t>
      </w:r>
      <w:r w:rsidR="00EC3FA7" w:rsidRPr="002E4BFA">
        <w:rPr>
          <w:rFonts w:ascii="Arial" w:hAnsi="Arial" w:cs="Arial"/>
          <w:bCs/>
          <w:lang w:val="en-GB"/>
        </w:rPr>
        <w:t>the EU embrac</w:t>
      </w:r>
      <w:r w:rsidRPr="002E4BFA">
        <w:rPr>
          <w:rFonts w:ascii="Arial" w:hAnsi="Arial" w:cs="Arial"/>
          <w:bCs/>
          <w:lang w:val="en-GB"/>
        </w:rPr>
        <w:t>ing</w:t>
      </w:r>
      <w:r w:rsidR="007D0FE7" w:rsidRPr="002E4BFA">
        <w:rPr>
          <w:rFonts w:ascii="Arial" w:hAnsi="Arial" w:cs="Arial"/>
          <w:bCs/>
          <w:lang w:val="en-GB"/>
        </w:rPr>
        <w:t xml:space="preserve"> it</w:t>
      </w:r>
      <w:r w:rsidRPr="002E4BFA">
        <w:rPr>
          <w:rFonts w:ascii="Arial" w:hAnsi="Arial" w:cs="Arial"/>
          <w:bCs/>
          <w:lang w:val="en-GB"/>
        </w:rPr>
        <w:t xml:space="preserve">, </w:t>
      </w:r>
      <w:r w:rsidR="00EC3FA7" w:rsidRPr="002E4BFA">
        <w:rPr>
          <w:rFonts w:ascii="Arial" w:hAnsi="Arial" w:cs="Arial"/>
          <w:bCs/>
          <w:lang w:val="en-GB"/>
        </w:rPr>
        <w:t>the concept of just transition</w:t>
      </w:r>
      <w:r w:rsidRPr="002E4BFA">
        <w:rPr>
          <w:rFonts w:ascii="Arial" w:hAnsi="Arial" w:cs="Arial"/>
          <w:bCs/>
          <w:lang w:val="en-GB"/>
        </w:rPr>
        <w:t xml:space="preserve"> emerged</w:t>
      </w:r>
      <w:r w:rsidR="00EC3FA7" w:rsidRPr="002E4BFA">
        <w:rPr>
          <w:rFonts w:ascii="Arial" w:hAnsi="Arial" w:cs="Arial"/>
          <w:bCs/>
          <w:lang w:val="en-GB"/>
        </w:rPr>
        <w:t xml:space="preserve"> in US union circles in the 1970s and 1980s</w:t>
      </w:r>
      <w:r w:rsidRPr="002E4BFA">
        <w:rPr>
          <w:rFonts w:ascii="Arial" w:hAnsi="Arial" w:cs="Arial"/>
          <w:bCs/>
          <w:lang w:val="en-GB"/>
        </w:rPr>
        <w:t xml:space="preserve">, basically </w:t>
      </w:r>
      <w:r w:rsidR="00EC3FA7" w:rsidRPr="002E4BFA">
        <w:rPr>
          <w:rFonts w:ascii="Arial" w:hAnsi="Arial" w:cs="Arial"/>
          <w:bCs/>
          <w:lang w:val="en-GB"/>
        </w:rPr>
        <w:t xml:space="preserve">conceived as an </w:t>
      </w:r>
      <w:r w:rsidRPr="002E4BFA">
        <w:rPr>
          <w:rFonts w:ascii="Arial" w:hAnsi="Arial" w:cs="Arial"/>
          <w:bCs/>
          <w:lang w:val="en-GB"/>
        </w:rPr>
        <w:t xml:space="preserve">attempt </w:t>
      </w:r>
      <w:r w:rsidR="00EC3FA7" w:rsidRPr="002E4BFA">
        <w:rPr>
          <w:rFonts w:ascii="Arial" w:hAnsi="Arial" w:cs="Arial"/>
          <w:bCs/>
          <w:lang w:val="en-GB"/>
        </w:rPr>
        <w:t xml:space="preserve">to resolve the conflict between workers’ interests and measures to protect the environment. After circulating </w:t>
      </w:r>
      <w:r w:rsidRPr="002E4BFA">
        <w:rPr>
          <w:rFonts w:ascii="Arial" w:hAnsi="Arial" w:cs="Arial"/>
          <w:bCs/>
          <w:lang w:val="en-GB"/>
        </w:rPr>
        <w:t xml:space="preserve">in </w:t>
      </w:r>
      <w:r w:rsidR="00EC3FA7" w:rsidRPr="002E4BFA">
        <w:rPr>
          <w:rFonts w:ascii="Arial" w:hAnsi="Arial" w:cs="Arial"/>
          <w:bCs/>
          <w:lang w:val="en-GB"/>
        </w:rPr>
        <w:t xml:space="preserve">the international </w:t>
      </w:r>
      <w:r w:rsidR="00F53850" w:rsidRPr="002E4BFA">
        <w:rPr>
          <w:rFonts w:ascii="Arial" w:hAnsi="Arial" w:cs="Arial"/>
          <w:bCs/>
          <w:lang w:val="en-GB"/>
        </w:rPr>
        <w:t>labour</w:t>
      </w:r>
      <w:r w:rsidR="00EC3FA7" w:rsidRPr="002E4BFA">
        <w:rPr>
          <w:rFonts w:ascii="Arial" w:hAnsi="Arial" w:cs="Arial"/>
          <w:bCs/>
          <w:lang w:val="en-GB"/>
        </w:rPr>
        <w:t xml:space="preserve"> movement, notably the International Trade Union Confederation, the concept was endorsed by international organi</w:t>
      </w:r>
      <w:r w:rsidRPr="002E4BFA">
        <w:rPr>
          <w:rFonts w:ascii="Arial" w:hAnsi="Arial" w:cs="Arial"/>
          <w:bCs/>
          <w:lang w:val="en-GB"/>
        </w:rPr>
        <w:t>s</w:t>
      </w:r>
      <w:r w:rsidR="00EC3FA7" w:rsidRPr="002E4BFA">
        <w:rPr>
          <w:rFonts w:ascii="Arial" w:hAnsi="Arial" w:cs="Arial"/>
          <w:bCs/>
          <w:lang w:val="en-GB"/>
        </w:rPr>
        <w:t xml:space="preserve">ations such as the International Labour Organization (ILO) and the United Nations. In the 2010s, a comprehensive view emerged of what a just transition </w:t>
      </w:r>
      <w:r w:rsidRPr="002E4BFA">
        <w:rPr>
          <w:rFonts w:ascii="Arial" w:hAnsi="Arial" w:cs="Arial"/>
          <w:bCs/>
          <w:lang w:val="en-GB"/>
        </w:rPr>
        <w:t xml:space="preserve">on a </w:t>
      </w:r>
      <w:r w:rsidR="00EC3FA7" w:rsidRPr="002E4BFA">
        <w:rPr>
          <w:rFonts w:ascii="Arial" w:hAnsi="Arial" w:cs="Arial"/>
          <w:bCs/>
          <w:lang w:val="en-GB"/>
        </w:rPr>
        <w:t xml:space="preserve">global scale should look like (for a comprehensive background, see </w:t>
      </w:r>
      <w:proofErr w:type="spellStart"/>
      <w:r w:rsidR="00EC3FA7" w:rsidRPr="002E4BFA">
        <w:rPr>
          <w:rFonts w:ascii="Arial" w:hAnsi="Arial" w:cs="Arial"/>
          <w:bCs/>
          <w:lang w:val="en-GB"/>
        </w:rPr>
        <w:t>Holemans</w:t>
      </w:r>
      <w:proofErr w:type="spellEnd"/>
      <w:r w:rsidR="00EC3FA7" w:rsidRPr="002E4BFA">
        <w:rPr>
          <w:rFonts w:ascii="Arial" w:hAnsi="Arial" w:cs="Arial"/>
          <w:bCs/>
          <w:lang w:val="en-GB"/>
        </w:rPr>
        <w:t xml:space="preserve"> </w:t>
      </w:r>
      <w:r w:rsidR="00D94B37" w:rsidRPr="002E4BFA">
        <w:rPr>
          <w:rFonts w:ascii="Arial" w:hAnsi="Arial" w:cs="Arial"/>
          <w:bCs/>
          <w:lang w:val="en-GB"/>
        </w:rPr>
        <w:t xml:space="preserve">and </w:t>
      </w:r>
      <w:proofErr w:type="spellStart"/>
      <w:r w:rsidR="00EC3FA7" w:rsidRPr="002E4BFA">
        <w:rPr>
          <w:rFonts w:ascii="Arial" w:hAnsi="Arial" w:cs="Arial"/>
          <w:bCs/>
          <w:lang w:val="en-GB"/>
        </w:rPr>
        <w:t>Volo</w:t>
      </w:r>
      <w:r w:rsidR="00D42243" w:rsidRPr="002E4BFA">
        <w:rPr>
          <w:rFonts w:ascii="Arial" w:hAnsi="Arial" w:cs="Arial"/>
          <w:bCs/>
          <w:lang w:val="en-GB"/>
        </w:rPr>
        <w:t>d</w:t>
      </w:r>
      <w:r w:rsidR="00EC3FA7" w:rsidRPr="002E4BFA">
        <w:rPr>
          <w:rFonts w:ascii="Arial" w:hAnsi="Arial" w:cs="Arial"/>
          <w:bCs/>
          <w:lang w:val="en-GB"/>
        </w:rPr>
        <w:t>chenko</w:t>
      </w:r>
      <w:proofErr w:type="spellEnd"/>
      <w:r w:rsidR="00EC3FA7" w:rsidRPr="002E4BFA">
        <w:rPr>
          <w:rFonts w:ascii="Arial" w:hAnsi="Arial" w:cs="Arial"/>
          <w:bCs/>
          <w:lang w:val="en-GB"/>
        </w:rPr>
        <w:t xml:space="preserve">, 2022). </w:t>
      </w:r>
    </w:p>
    <w:p w14:paraId="08BBF34F" w14:textId="2C70BA25" w:rsidR="00EC3FA7" w:rsidRPr="002E4BFA" w:rsidRDefault="00EC3FA7" w:rsidP="00C6263F">
      <w:pPr>
        <w:spacing w:line="360" w:lineRule="auto"/>
        <w:ind w:firstLine="360"/>
        <w:jc w:val="left"/>
        <w:rPr>
          <w:rFonts w:ascii="Arial" w:hAnsi="Arial" w:cs="Arial"/>
          <w:bCs/>
          <w:lang w:val="en-GB"/>
        </w:rPr>
      </w:pPr>
      <w:r w:rsidRPr="002E4BFA">
        <w:rPr>
          <w:rFonts w:ascii="Arial" w:hAnsi="Arial" w:cs="Arial"/>
          <w:bCs/>
          <w:lang w:val="en-GB"/>
        </w:rPr>
        <w:t>In Europe, the notion remains very much in flux</w:t>
      </w:r>
      <w:r w:rsidR="003A52D0" w:rsidRPr="002E4BFA">
        <w:rPr>
          <w:rFonts w:ascii="Arial" w:hAnsi="Arial" w:cs="Arial"/>
          <w:bCs/>
          <w:lang w:val="en-GB"/>
        </w:rPr>
        <w:t xml:space="preserve">, with </w:t>
      </w:r>
      <w:r w:rsidRPr="002E4BFA">
        <w:rPr>
          <w:rFonts w:ascii="Arial" w:hAnsi="Arial" w:cs="Arial"/>
          <w:bCs/>
          <w:lang w:val="en-GB"/>
        </w:rPr>
        <w:t>heated political debates shap</w:t>
      </w:r>
      <w:r w:rsidR="003A52D0" w:rsidRPr="002E4BFA">
        <w:rPr>
          <w:rFonts w:ascii="Arial" w:hAnsi="Arial" w:cs="Arial"/>
          <w:bCs/>
          <w:lang w:val="en-GB"/>
        </w:rPr>
        <w:t>ing</w:t>
      </w:r>
      <w:r w:rsidRPr="002E4BFA">
        <w:rPr>
          <w:rFonts w:ascii="Arial" w:hAnsi="Arial" w:cs="Arial"/>
          <w:bCs/>
          <w:lang w:val="en-GB"/>
        </w:rPr>
        <w:t xml:space="preserve"> concrete </w:t>
      </w:r>
      <w:r w:rsidR="003A52D0" w:rsidRPr="002E4BFA">
        <w:rPr>
          <w:rFonts w:ascii="Arial" w:hAnsi="Arial" w:cs="Arial"/>
          <w:bCs/>
          <w:lang w:val="en-GB"/>
        </w:rPr>
        <w:t xml:space="preserve">EU </w:t>
      </w:r>
      <w:r w:rsidRPr="002E4BFA">
        <w:rPr>
          <w:rFonts w:ascii="Arial" w:hAnsi="Arial" w:cs="Arial"/>
          <w:bCs/>
          <w:lang w:val="en-GB"/>
        </w:rPr>
        <w:t>action</w:t>
      </w:r>
      <w:r w:rsidR="003A52D0" w:rsidRPr="002E4BFA">
        <w:rPr>
          <w:rFonts w:ascii="Arial" w:hAnsi="Arial" w:cs="Arial"/>
          <w:bCs/>
          <w:lang w:val="en-GB"/>
        </w:rPr>
        <w:t>s</w:t>
      </w:r>
      <w:r w:rsidRPr="002E4BFA">
        <w:rPr>
          <w:rFonts w:ascii="Arial" w:hAnsi="Arial" w:cs="Arial"/>
          <w:bCs/>
          <w:lang w:val="en-GB"/>
        </w:rPr>
        <w:t>.</w:t>
      </w:r>
      <w:r w:rsidR="003A52D0" w:rsidRPr="002E4BFA">
        <w:rPr>
          <w:rFonts w:ascii="Arial" w:hAnsi="Arial" w:cs="Arial"/>
          <w:bCs/>
          <w:lang w:val="en-GB"/>
        </w:rPr>
        <w:t xml:space="preserve"> W</w:t>
      </w:r>
      <w:r w:rsidRPr="002E4BFA">
        <w:rPr>
          <w:rFonts w:ascii="Arial" w:hAnsi="Arial" w:cs="Arial"/>
          <w:bCs/>
          <w:lang w:val="en-GB"/>
        </w:rPr>
        <w:t xml:space="preserve">hile previous assessments have dealt with the broad vision conveyed by the EGD (and to a lesser extent the JTF), </w:t>
      </w:r>
      <w:r w:rsidR="003A52D0" w:rsidRPr="002E4BFA">
        <w:rPr>
          <w:rFonts w:ascii="Arial" w:hAnsi="Arial" w:cs="Arial"/>
          <w:bCs/>
          <w:lang w:val="en-GB"/>
        </w:rPr>
        <w:t xml:space="preserve">in our view </w:t>
      </w:r>
      <w:r w:rsidRPr="002E4BFA">
        <w:rPr>
          <w:rFonts w:ascii="Arial" w:hAnsi="Arial" w:cs="Arial"/>
          <w:bCs/>
          <w:lang w:val="en-GB"/>
        </w:rPr>
        <w:t xml:space="preserve">now </w:t>
      </w:r>
      <w:r w:rsidR="003A52D0" w:rsidRPr="002E4BFA">
        <w:rPr>
          <w:rFonts w:ascii="Arial" w:hAnsi="Arial" w:cs="Arial"/>
          <w:bCs/>
          <w:lang w:val="en-GB"/>
        </w:rPr>
        <w:t xml:space="preserve">is </w:t>
      </w:r>
      <w:r w:rsidRPr="002E4BFA">
        <w:rPr>
          <w:rFonts w:ascii="Arial" w:hAnsi="Arial" w:cs="Arial"/>
          <w:bCs/>
          <w:lang w:val="en-GB"/>
        </w:rPr>
        <w:t>a good time to look back at 2020</w:t>
      </w:r>
      <w:r w:rsidR="00D94B37" w:rsidRPr="002E4BFA">
        <w:rPr>
          <w:rFonts w:ascii="Arial" w:hAnsi="Arial" w:cs="Arial"/>
          <w:lang w:val="en-GB"/>
        </w:rPr>
        <w:t>–</w:t>
      </w:r>
      <w:r w:rsidRPr="002E4BFA">
        <w:rPr>
          <w:rFonts w:ascii="Arial" w:hAnsi="Arial" w:cs="Arial"/>
          <w:bCs/>
          <w:lang w:val="en-GB"/>
        </w:rPr>
        <w:t xml:space="preserve">2022 as a foundational moment where a vision </w:t>
      </w:r>
      <w:r w:rsidR="003A52D0" w:rsidRPr="002E4BFA">
        <w:rPr>
          <w:rFonts w:ascii="Arial" w:hAnsi="Arial" w:cs="Arial"/>
          <w:bCs/>
          <w:lang w:val="en-GB"/>
        </w:rPr>
        <w:t>was transformed into</w:t>
      </w:r>
      <w:r w:rsidRPr="002E4BFA">
        <w:rPr>
          <w:rFonts w:ascii="Arial" w:hAnsi="Arial" w:cs="Arial"/>
          <w:bCs/>
          <w:lang w:val="en-GB"/>
        </w:rPr>
        <w:t xml:space="preserve"> specific policy instruments.</w:t>
      </w:r>
      <w:r w:rsidR="008F5781" w:rsidRPr="002E4BFA">
        <w:rPr>
          <w:rFonts w:ascii="Arial" w:hAnsi="Arial" w:cs="Arial"/>
          <w:bCs/>
          <w:lang w:val="en-GB"/>
        </w:rPr>
        <w:t xml:space="preserve"> I</w:t>
      </w:r>
      <w:r w:rsidRPr="002E4BFA">
        <w:rPr>
          <w:rFonts w:ascii="Arial" w:hAnsi="Arial" w:cs="Arial"/>
          <w:bCs/>
          <w:lang w:val="en-GB"/>
        </w:rPr>
        <w:t>t seems fair to say that the EU’s vision is far less ambitious than th</w:t>
      </w:r>
      <w:r w:rsidR="008F5781" w:rsidRPr="002E4BFA">
        <w:rPr>
          <w:rFonts w:ascii="Arial" w:hAnsi="Arial" w:cs="Arial"/>
          <w:bCs/>
          <w:lang w:val="en-GB"/>
        </w:rPr>
        <w:t xml:space="preserve">at </w:t>
      </w:r>
      <w:r w:rsidRPr="002E4BFA">
        <w:rPr>
          <w:rFonts w:ascii="Arial" w:hAnsi="Arial" w:cs="Arial"/>
          <w:bCs/>
          <w:lang w:val="en-GB"/>
        </w:rPr>
        <w:t>promoted by the ILO in three main respects: the under</w:t>
      </w:r>
      <w:r w:rsidR="008F5781" w:rsidRPr="002E4BFA">
        <w:rPr>
          <w:rFonts w:ascii="Arial" w:hAnsi="Arial" w:cs="Arial"/>
          <w:bCs/>
          <w:lang w:val="en-GB"/>
        </w:rPr>
        <w:t xml:space="preserve">lying </w:t>
      </w:r>
      <w:r w:rsidRPr="002E4BFA">
        <w:rPr>
          <w:rFonts w:ascii="Arial" w:hAnsi="Arial" w:cs="Arial"/>
          <w:bCs/>
          <w:lang w:val="en-GB"/>
        </w:rPr>
        <w:t>philosophy, the policy</w:t>
      </w:r>
      <w:r w:rsidR="00D94B37" w:rsidRPr="002E4BFA">
        <w:rPr>
          <w:rFonts w:ascii="Arial" w:hAnsi="Arial" w:cs="Arial"/>
          <w:bCs/>
          <w:lang w:val="en-GB"/>
        </w:rPr>
        <w:t>-</w:t>
      </w:r>
      <w:r w:rsidRPr="002E4BFA">
        <w:rPr>
          <w:rFonts w:ascii="Arial" w:hAnsi="Arial" w:cs="Arial"/>
          <w:bCs/>
          <w:lang w:val="en-GB"/>
        </w:rPr>
        <w:t xml:space="preserve">making </w:t>
      </w:r>
      <w:proofErr w:type="gramStart"/>
      <w:r w:rsidRPr="002E4BFA">
        <w:rPr>
          <w:rFonts w:ascii="Arial" w:hAnsi="Arial" w:cs="Arial"/>
          <w:bCs/>
          <w:lang w:val="en-GB"/>
        </w:rPr>
        <w:t>tools</w:t>
      </w:r>
      <w:proofErr w:type="gramEnd"/>
      <w:r w:rsidRPr="002E4BFA">
        <w:rPr>
          <w:rFonts w:ascii="Arial" w:hAnsi="Arial" w:cs="Arial"/>
          <w:bCs/>
          <w:lang w:val="en-GB"/>
        </w:rPr>
        <w:t xml:space="preserve"> and the political processes (Sabato </w:t>
      </w:r>
      <w:r w:rsidR="00E07187" w:rsidRPr="002E4BFA">
        <w:rPr>
          <w:rFonts w:ascii="Arial" w:hAnsi="Arial" w:cs="Arial"/>
          <w:bCs/>
          <w:lang w:val="en-GB"/>
        </w:rPr>
        <w:t>a</w:t>
      </w:r>
      <w:r w:rsidR="00D94B37" w:rsidRPr="002E4BFA">
        <w:rPr>
          <w:rFonts w:ascii="Arial" w:hAnsi="Arial" w:cs="Arial"/>
          <w:bCs/>
          <w:lang w:val="en-GB"/>
        </w:rPr>
        <w:t xml:space="preserve">nd </w:t>
      </w:r>
      <w:proofErr w:type="spellStart"/>
      <w:r w:rsidRPr="002E4BFA">
        <w:rPr>
          <w:rFonts w:ascii="Arial" w:hAnsi="Arial" w:cs="Arial"/>
          <w:bCs/>
          <w:lang w:val="en-GB"/>
        </w:rPr>
        <w:t>Fronteddu</w:t>
      </w:r>
      <w:proofErr w:type="spellEnd"/>
      <w:r w:rsidRPr="002E4BFA">
        <w:rPr>
          <w:rFonts w:ascii="Arial" w:hAnsi="Arial" w:cs="Arial"/>
          <w:bCs/>
          <w:lang w:val="en-GB"/>
        </w:rPr>
        <w:t xml:space="preserve">, 2020). </w:t>
      </w:r>
      <w:r w:rsidR="008F5781" w:rsidRPr="002E4BFA">
        <w:rPr>
          <w:rFonts w:ascii="Arial" w:hAnsi="Arial" w:cs="Arial"/>
          <w:bCs/>
          <w:lang w:val="en-GB"/>
        </w:rPr>
        <w:t xml:space="preserve">Looking first at the </w:t>
      </w:r>
      <w:r w:rsidRPr="002E4BFA">
        <w:rPr>
          <w:rFonts w:ascii="Arial" w:hAnsi="Arial" w:cs="Arial"/>
          <w:bCs/>
          <w:lang w:val="en-GB"/>
        </w:rPr>
        <w:t>philosoph</w:t>
      </w:r>
      <w:r w:rsidR="008F5781" w:rsidRPr="002E4BFA">
        <w:rPr>
          <w:rFonts w:ascii="Arial" w:hAnsi="Arial" w:cs="Arial"/>
          <w:bCs/>
          <w:lang w:val="en-GB"/>
        </w:rPr>
        <w:t>y</w:t>
      </w:r>
      <w:r w:rsidRPr="002E4BFA">
        <w:rPr>
          <w:rFonts w:ascii="Arial" w:hAnsi="Arial" w:cs="Arial"/>
          <w:bCs/>
          <w:lang w:val="en-GB"/>
        </w:rPr>
        <w:t xml:space="preserve">, the just transition </w:t>
      </w:r>
      <w:r w:rsidR="008F5781" w:rsidRPr="002E4BFA">
        <w:rPr>
          <w:rFonts w:ascii="Arial" w:hAnsi="Arial" w:cs="Arial"/>
          <w:bCs/>
          <w:lang w:val="en-GB"/>
        </w:rPr>
        <w:t xml:space="preserve">notion </w:t>
      </w:r>
      <w:r w:rsidRPr="002E4BFA">
        <w:rPr>
          <w:rFonts w:ascii="Arial" w:hAnsi="Arial" w:cs="Arial"/>
          <w:bCs/>
          <w:lang w:val="en-GB"/>
        </w:rPr>
        <w:t xml:space="preserve">promoted by the ILO builds on theoretical work </w:t>
      </w:r>
      <w:r w:rsidR="008F5781" w:rsidRPr="002E4BFA">
        <w:rPr>
          <w:rFonts w:ascii="Arial" w:hAnsi="Arial" w:cs="Arial"/>
          <w:bCs/>
          <w:lang w:val="en-GB"/>
        </w:rPr>
        <w:t xml:space="preserve">centred on </w:t>
      </w:r>
      <w:r w:rsidRPr="002E4BFA">
        <w:rPr>
          <w:rFonts w:ascii="Arial" w:hAnsi="Arial" w:cs="Arial"/>
          <w:bCs/>
          <w:lang w:val="en-GB"/>
        </w:rPr>
        <w:t xml:space="preserve">distributional and procedural justice. While the former </w:t>
      </w:r>
      <w:r w:rsidR="008F5781" w:rsidRPr="002E4BFA">
        <w:rPr>
          <w:rFonts w:ascii="Arial" w:hAnsi="Arial" w:cs="Arial"/>
          <w:bCs/>
          <w:lang w:val="en-GB"/>
        </w:rPr>
        <w:t>involves</w:t>
      </w:r>
      <w:r w:rsidRPr="002E4BFA">
        <w:rPr>
          <w:rFonts w:ascii="Arial" w:hAnsi="Arial" w:cs="Arial"/>
          <w:bCs/>
          <w:lang w:val="en-GB"/>
        </w:rPr>
        <w:t xml:space="preserve"> the equal distribution of the opportunities and costs associated with the transition, the latter advocates the broad inclusion of affected citizens and stakeholders in decision</w:t>
      </w:r>
      <w:r w:rsidR="008F5781" w:rsidRPr="002E4BFA">
        <w:rPr>
          <w:rFonts w:ascii="Arial" w:hAnsi="Arial" w:cs="Arial"/>
          <w:bCs/>
          <w:lang w:val="en-GB"/>
        </w:rPr>
        <w:t>-</w:t>
      </w:r>
      <w:r w:rsidRPr="002E4BFA">
        <w:rPr>
          <w:rFonts w:ascii="Arial" w:hAnsi="Arial" w:cs="Arial"/>
          <w:bCs/>
          <w:lang w:val="en-GB"/>
        </w:rPr>
        <w:t xml:space="preserve">making. In the EU, </w:t>
      </w:r>
      <w:r w:rsidR="008F5781" w:rsidRPr="002E4BFA">
        <w:rPr>
          <w:rFonts w:ascii="Arial" w:hAnsi="Arial" w:cs="Arial"/>
          <w:bCs/>
          <w:lang w:val="en-GB"/>
        </w:rPr>
        <w:t>however</w:t>
      </w:r>
      <w:r w:rsidRPr="002E4BFA">
        <w:rPr>
          <w:rFonts w:ascii="Arial" w:hAnsi="Arial" w:cs="Arial"/>
          <w:bCs/>
          <w:lang w:val="en-GB"/>
        </w:rPr>
        <w:t xml:space="preserve">, the claim that the transition should </w:t>
      </w:r>
      <w:r w:rsidR="00BA00BB" w:rsidRPr="002E4BFA">
        <w:rPr>
          <w:rFonts w:ascii="Arial" w:hAnsi="Arial" w:cs="Arial"/>
          <w:bCs/>
          <w:lang w:val="en-GB"/>
        </w:rPr>
        <w:t>‘</w:t>
      </w:r>
      <w:r w:rsidRPr="002E4BFA">
        <w:rPr>
          <w:rFonts w:ascii="Arial" w:hAnsi="Arial" w:cs="Arial"/>
          <w:bCs/>
          <w:lang w:val="en-GB"/>
        </w:rPr>
        <w:t>leave no one behind</w:t>
      </w:r>
      <w:r w:rsidR="00BA00BB" w:rsidRPr="002E4BFA">
        <w:rPr>
          <w:rFonts w:ascii="Arial" w:hAnsi="Arial" w:cs="Arial"/>
          <w:bCs/>
          <w:lang w:val="en-GB"/>
        </w:rPr>
        <w:t>’</w:t>
      </w:r>
      <w:r w:rsidRPr="002E4BFA">
        <w:rPr>
          <w:rFonts w:ascii="Arial" w:hAnsi="Arial" w:cs="Arial"/>
          <w:bCs/>
          <w:lang w:val="en-GB"/>
        </w:rPr>
        <w:t xml:space="preserve"> seems to build more on a concern </w:t>
      </w:r>
      <w:r w:rsidR="008F5781" w:rsidRPr="002E4BFA">
        <w:rPr>
          <w:rFonts w:ascii="Arial" w:hAnsi="Arial" w:cs="Arial"/>
          <w:bCs/>
          <w:lang w:val="en-GB"/>
        </w:rPr>
        <w:t xml:space="preserve">for </w:t>
      </w:r>
      <w:r w:rsidRPr="002E4BFA">
        <w:rPr>
          <w:rFonts w:ascii="Arial" w:hAnsi="Arial" w:cs="Arial"/>
          <w:bCs/>
          <w:lang w:val="en-GB"/>
        </w:rPr>
        <w:t xml:space="preserve">the political consequences of popular </w:t>
      </w:r>
      <w:r w:rsidR="008F5781" w:rsidRPr="002E4BFA">
        <w:rPr>
          <w:rFonts w:ascii="Arial" w:hAnsi="Arial" w:cs="Arial"/>
          <w:bCs/>
          <w:lang w:val="en-GB"/>
        </w:rPr>
        <w:t>dis</w:t>
      </w:r>
      <w:r w:rsidRPr="002E4BFA">
        <w:rPr>
          <w:rFonts w:ascii="Arial" w:hAnsi="Arial" w:cs="Arial"/>
          <w:bCs/>
          <w:lang w:val="en-GB"/>
        </w:rPr>
        <w:t>sent rather than on tangible procedures allowing citizen</w:t>
      </w:r>
      <w:r w:rsidR="008F5781" w:rsidRPr="002E4BFA">
        <w:rPr>
          <w:rFonts w:ascii="Arial" w:hAnsi="Arial" w:cs="Arial"/>
          <w:bCs/>
          <w:lang w:val="en-GB"/>
        </w:rPr>
        <w:t>s to</w:t>
      </w:r>
      <w:r w:rsidRPr="002E4BFA">
        <w:rPr>
          <w:rFonts w:ascii="Arial" w:hAnsi="Arial" w:cs="Arial"/>
          <w:bCs/>
          <w:lang w:val="en-GB"/>
        </w:rPr>
        <w:t xml:space="preserve"> participa</w:t>
      </w:r>
      <w:r w:rsidR="008F5781" w:rsidRPr="002E4BFA">
        <w:rPr>
          <w:rFonts w:ascii="Arial" w:hAnsi="Arial" w:cs="Arial"/>
          <w:bCs/>
          <w:lang w:val="en-GB"/>
        </w:rPr>
        <w:t>te</w:t>
      </w:r>
      <w:r w:rsidRPr="002E4BFA">
        <w:rPr>
          <w:rFonts w:ascii="Arial" w:hAnsi="Arial" w:cs="Arial"/>
          <w:bCs/>
          <w:lang w:val="en-GB"/>
        </w:rPr>
        <w:t xml:space="preserve">. So far, the EU’s just transition is devised and enforced from the top. </w:t>
      </w:r>
      <w:r w:rsidR="008F5781" w:rsidRPr="002E4BFA">
        <w:rPr>
          <w:rFonts w:ascii="Arial" w:hAnsi="Arial" w:cs="Arial"/>
          <w:bCs/>
          <w:lang w:val="en-GB"/>
        </w:rPr>
        <w:t>Turning to</w:t>
      </w:r>
      <w:r w:rsidRPr="002E4BFA">
        <w:rPr>
          <w:rFonts w:ascii="Arial" w:hAnsi="Arial" w:cs="Arial"/>
          <w:bCs/>
          <w:lang w:val="en-GB"/>
        </w:rPr>
        <w:t xml:space="preserve"> </w:t>
      </w:r>
      <w:proofErr w:type="gramStart"/>
      <w:r w:rsidRPr="002E4BFA">
        <w:rPr>
          <w:rFonts w:ascii="Arial" w:hAnsi="Arial" w:cs="Arial"/>
          <w:bCs/>
          <w:lang w:val="en-GB"/>
        </w:rPr>
        <w:t>policy</w:t>
      </w:r>
      <w:r w:rsidR="00E94F24" w:rsidRPr="002E4BFA">
        <w:rPr>
          <w:rFonts w:ascii="Arial" w:hAnsi="Arial" w:cs="Arial"/>
          <w:bCs/>
          <w:lang w:val="en-GB"/>
        </w:rPr>
        <w:t>-</w:t>
      </w:r>
      <w:r w:rsidR="008F5781" w:rsidRPr="002E4BFA">
        <w:rPr>
          <w:rFonts w:ascii="Arial" w:hAnsi="Arial" w:cs="Arial"/>
          <w:bCs/>
          <w:lang w:val="en-GB"/>
        </w:rPr>
        <w:t>making</w:t>
      </w:r>
      <w:proofErr w:type="gramEnd"/>
      <w:r w:rsidRPr="002E4BFA">
        <w:rPr>
          <w:rFonts w:ascii="Arial" w:hAnsi="Arial" w:cs="Arial"/>
          <w:bCs/>
          <w:lang w:val="en-GB"/>
        </w:rPr>
        <w:t>, the ILO’s notion of just transition is</w:t>
      </w:r>
      <w:r w:rsidRPr="002E4BFA">
        <w:rPr>
          <w:rFonts w:ascii="Arial" w:hAnsi="Arial" w:cs="Arial"/>
          <w:bCs/>
          <w:i/>
          <w:iCs/>
          <w:lang w:val="en-GB"/>
        </w:rPr>
        <w:t xml:space="preserve"> the</w:t>
      </w:r>
      <w:r w:rsidRPr="002E4BFA">
        <w:rPr>
          <w:rFonts w:ascii="Arial" w:hAnsi="Arial" w:cs="Arial"/>
          <w:bCs/>
          <w:lang w:val="en-GB"/>
        </w:rPr>
        <w:t xml:space="preserve"> overarching policy concept serving to integrate</w:t>
      </w:r>
      <w:r w:rsidR="008F5781" w:rsidRPr="002E4BFA">
        <w:rPr>
          <w:rFonts w:ascii="Arial" w:hAnsi="Arial" w:cs="Arial"/>
          <w:bCs/>
          <w:lang w:val="en-GB"/>
        </w:rPr>
        <w:t xml:space="preserve"> </w:t>
      </w:r>
      <w:r w:rsidRPr="002E4BFA">
        <w:rPr>
          <w:rFonts w:ascii="Arial" w:hAnsi="Arial" w:cs="Arial"/>
          <w:bCs/>
          <w:lang w:val="en-GB"/>
        </w:rPr>
        <w:t xml:space="preserve">multi-level efforts from the local to the global level, </w:t>
      </w:r>
      <w:r w:rsidR="008F5781" w:rsidRPr="002E4BFA">
        <w:rPr>
          <w:rFonts w:ascii="Arial" w:hAnsi="Arial" w:cs="Arial"/>
          <w:bCs/>
          <w:lang w:val="en-GB"/>
        </w:rPr>
        <w:t>as well as</w:t>
      </w:r>
      <w:r w:rsidRPr="002E4BFA">
        <w:rPr>
          <w:rFonts w:ascii="Arial" w:hAnsi="Arial" w:cs="Arial"/>
          <w:bCs/>
          <w:lang w:val="en-GB"/>
        </w:rPr>
        <w:t xml:space="preserve"> various policy sectors</w:t>
      </w:r>
      <w:r w:rsidR="008F5781" w:rsidRPr="002E4BFA">
        <w:rPr>
          <w:rFonts w:ascii="Arial" w:hAnsi="Arial" w:cs="Arial"/>
          <w:bCs/>
          <w:lang w:val="en-GB"/>
        </w:rPr>
        <w:t xml:space="preserve">, including </w:t>
      </w:r>
      <w:r w:rsidRPr="002E4BFA">
        <w:rPr>
          <w:rFonts w:ascii="Arial" w:hAnsi="Arial" w:cs="Arial"/>
          <w:bCs/>
          <w:lang w:val="en-GB"/>
        </w:rPr>
        <w:t xml:space="preserve">economic policy, social </w:t>
      </w:r>
      <w:r w:rsidR="00E71DB8" w:rsidRPr="002E4BFA">
        <w:rPr>
          <w:rFonts w:ascii="Arial" w:hAnsi="Arial" w:cs="Arial"/>
          <w:bCs/>
          <w:lang w:val="en-GB"/>
        </w:rPr>
        <w:t>policy</w:t>
      </w:r>
      <w:r w:rsidRPr="002E4BFA">
        <w:rPr>
          <w:rFonts w:ascii="Arial" w:hAnsi="Arial" w:cs="Arial"/>
          <w:bCs/>
          <w:lang w:val="en-GB"/>
        </w:rPr>
        <w:t xml:space="preserve"> and environmental policy. The process underpinning the EU just </w:t>
      </w:r>
      <w:r w:rsidRPr="002E4BFA">
        <w:rPr>
          <w:rFonts w:ascii="Arial" w:hAnsi="Arial" w:cs="Arial"/>
          <w:bCs/>
          <w:lang w:val="en-GB"/>
        </w:rPr>
        <w:lastRenderedPageBreak/>
        <w:t xml:space="preserve">transition </w:t>
      </w:r>
      <w:r w:rsidR="007D0FE7" w:rsidRPr="002E4BFA">
        <w:rPr>
          <w:rFonts w:ascii="Arial" w:hAnsi="Arial" w:cs="Arial"/>
          <w:bCs/>
          <w:lang w:val="en-GB"/>
        </w:rPr>
        <w:t xml:space="preserve">notion </w:t>
      </w:r>
      <w:r w:rsidRPr="002E4BFA">
        <w:rPr>
          <w:rFonts w:ascii="Arial" w:hAnsi="Arial" w:cs="Arial"/>
          <w:bCs/>
          <w:lang w:val="en-GB"/>
        </w:rPr>
        <w:t xml:space="preserve">has a different morphology. </w:t>
      </w:r>
      <w:r w:rsidR="008F5781" w:rsidRPr="002E4BFA">
        <w:rPr>
          <w:rFonts w:ascii="Arial" w:hAnsi="Arial" w:cs="Arial"/>
          <w:bCs/>
          <w:lang w:val="en-GB"/>
        </w:rPr>
        <w:t xml:space="preserve">It is </w:t>
      </w:r>
      <w:r w:rsidRPr="002E4BFA">
        <w:rPr>
          <w:rFonts w:ascii="Arial" w:hAnsi="Arial" w:cs="Arial"/>
          <w:bCs/>
          <w:lang w:val="en-GB"/>
        </w:rPr>
        <w:t>found</w:t>
      </w:r>
      <w:r w:rsidR="008F5781" w:rsidRPr="002E4BFA">
        <w:rPr>
          <w:rFonts w:ascii="Arial" w:hAnsi="Arial" w:cs="Arial"/>
          <w:bCs/>
          <w:lang w:val="en-GB"/>
        </w:rPr>
        <w:t xml:space="preserve">ed in </w:t>
      </w:r>
      <w:r w:rsidRPr="002E4BFA">
        <w:rPr>
          <w:rFonts w:ascii="Arial" w:hAnsi="Arial" w:cs="Arial"/>
          <w:bCs/>
          <w:lang w:val="en-GB"/>
        </w:rPr>
        <w:t>the EGD</w:t>
      </w:r>
      <w:r w:rsidR="008F5781" w:rsidRPr="002E4BFA">
        <w:rPr>
          <w:rFonts w:ascii="Arial" w:hAnsi="Arial" w:cs="Arial"/>
          <w:bCs/>
          <w:lang w:val="en-GB"/>
        </w:rPr>
        <w:t>, a strategy</w:t>
      </w:r>
      <w:r w:rsidRPr="002E4BFA">
        <w:rPr>
          <w:rFonts w:ascii="Arial" w:hAnsi="Arial" w:cs="Arial"/>
          <w:bCs/>
          <w:lang w:val="en-GB"/>
        </w:rPr>
        <w:t xml:space="preserve"> conceived as a new growth model</w:t>
      </w:r>
      <w:r w:rsidR="008F5781" w:rsidRPr="002E4BFA">
        <w:rPr>
          <w:rFonts w:ascii="Arial" w:hAnsi="Arial" w:cs="Arial"/>
          <w:bCs/>
          <w:lang w:val="en-GB"/>
        </w:rPr>
        <w:t xml:space="preserve"> meant </w:t>
      </w:r>
      <w:r w:rsidR="00A40A4C" w:rsidRPr="002E4BFA">
        <w:rPr>
          <w:rFonts w:ascii="Arial" w:hAnsi="Arial" w:cs="Arial"/>
          <w:bCs/>
          <w:lang w:val="en-GB"/>
        </w:rPr>
        <w:t xml:space="preserve">to </w:t>
      </w:r>
      <w:r w:rsidRPr="002E4BFA">
        <w:rPr>
          <w:rFonts w:ascii="Arial" w:hAnsi="Arial" w:cs="Arial"/>
          <w:bCs/>
          <w:lang w:val="en-GB"/>
        </w:rPr>
        <w:t>be sustainable from an environmental point of view. Specific ideas and policy instrument</w:t>
      </w:r>
      <w:r w:rsidR="008215B6" w:rsidRPr="002E4BFA">
        <w:rPr>
          <w:rFonts w:ascii="Arial" w:hAnsi="Arial" w:cs="Arial"/>
          <w:bCs/>
          <w:lang w:val="en-GB"/>
        </w:rPr>
        <w:t>s</w:t>
      </w:r>
      <w:r w:rsidRPr="002E4BFA">
        <w:rPr>
          <w:rFonts w:ascii="Arial" w:hAnsi="Arial" w:cs="Arial"/>
          <w:bCs/>
          <w:lang w:val="en-GB"/>
        </w:rPr>
        <w:t xml:space="preserve"> for </w:t>
      </w:r>
      <w:r w:rsidR="00A40A4C" w:rsidRPr="002E4BFA">
        <w:rPr>
          <w:rFonts w:ascii="Arial" w:hAnsi="Arial" w:cs="Arial"/>
          <w:bCs/>
          <w:lang w:val="en-GB"/>
        </w:rPr>
        <w:t xml:space="preserve">achieving </w:t>
      </w:r>
      <w:r w:rsidRPr="002E4BFA">
        <w:rPr>
          <w:rFonts w:ascii="Arial" w:hAnsi="Arial" w:cs="Arial"/>
          <w:bCs/>
          <w:lang w:val="en-GB"/>
        </w:rPr>
        <w:t xml:space="preserve">the transition </w:t>
      </w:r>
      <w:r w:rsidR="00A40A4C" w:rsidRPr="002E4BFA">
        <w:rPr>
          <w:rFonts w:ascii="Arial" w:hAnsi="Arial" w:cs="Arial"/>
          <w:bCs/>
          <w:lang w:val="en-GB"/>
        </w:rPr>
        <w:t>came later</w:t>
      </w:r>
      <w:r w:rsidRPr="002E4BFA">
        <w:rPr>
          <w:rFonts w:ascii="Arial" w:hAnsi="Arial" w:cs="Arial"/>
          <w:bCs/>
          <w:lang w:val="en-GB"/>
        </w:rPr>
        <w:t xml:space="preserve">, in a process of layering. Furthermore, according to the European Court of Auditors (2020) and others, the public resources </w:t>
      </w:r>
      <w:r w:rsidR="00A40A4C" w:rsidRPr="002E4BFA">
        <w:rPr>
          <w:rFonts w:ascii="Arial" w:hAnsi="Arial" w:cs="Arial"/>
          <w:bCs/>
          <w:lang w:val="en-GB"/>
        </w:rPr>
        <w:t>earmarked for</w:t>
      </w:r>
      <w:r w:rsidRPr="002E4BFA">
        <w:rPr>
          <w:rFonts w:ascii="Arial" w:hAnsi="Arial" w:cs="Arial"/>
          <w:bCs/>
          <w:lang w:val="en-GB"/>
        </w:rPr>
        <w:t xml:space="preserve"> the transition are clearly insufficient. Finally, from a politic</w:t>
      </w:r>
      <w:r w:rsidR="00A40A4C" w:rsidRPr="002E4BFA">
        <w:rPr>
          <w:rFonts w:ascii="Arial" w:hAnsi="Arial" w:cs="Arial"/>
          <w:bCs/>
          <w:lang w:val="en-GB"/>
        </w:rPr>
        <w:t>al</w:t>
      </w:r>
      <w:r w:rsidRPr="002E4BFA">
        <w:rPr>
          <w:rFonts w:ascii="Arial" w:hAnsi="Arial" w:cs="Arial"/>
          <w:bCs/>
          <w:lang w:val="en-GB"/>
        </w:rPr>
        <w:t xml:space="preserve"> standpoint, instead of the social consensus recommended by the ILO, we </w:t>
      </w:r>
      <w:r w:rsidR="00A40A4C" w:rsidRPr="002E4BFA">
        <w:rPr>
          <w:rFonts w:ascii="Arial" w:hAnsi="Arial" w:cs="Arial"/>
          <w:bCs/>
          <w:lang w:val="en-GB"/>
        </w:rPr>
        <w:t xml:space="preserve">are </w:t>
      </w:r>
      <w:r w:rsidRPr="002E4BFA">
        <w:rPr>
          <w:rFonts w:ascii="Arial" w:hAnsi="Arial" w:cs="Arial"/>
          <w:bCs/>
          <w:lang w:val="en-GB"/>
        </w:rPr>
        <w:t>see</w:t>
      </w:r>
      <w:r w:rsidR="00A40A4C" w:rsidRPr="002E4BFA">
        <w:rPr>
          <w:rFonts w:ascii="Arial" w:hAnsi="Arial" w:cs="Arial"/>
          <w:bCs/>
          <w:lang w:val="en-GB"/>
        </w:rPr>
        <w:t xml:space="preserve">ing </w:t>
      </w:r>
      <w:r w:rsidRPr="002E4BFA">
        <w:rPr>
          <w:rFonts w:ascii="Arial" w:hAnsi="Arial" w:cs="Arial"/>
          <w:bCs/>
          <w:lang w:val="en-GB"/>
        </w:rPr>
        <w:t xml:space="preserve">fiercely divisive debates </w:t>
      </w:r>
      <w:r w:rsidR="00A40A4C" w:rsidRPr="002E4BFA">
        <w:rPr>
          <w:rFonts w:ascii="Arial" w:hAnsi="Arial" w:cs="Arial"/>
          <w:bCs/>
          <w:lang w:val="en-GB"/>
        </w:rPr>
        <w:t xml:space="preserve">over </w:t>
      </w:r>
      <w:r w:rsidRPr="002E4BFA">
        <w:rPr>
          <w:rFonts w:ascii="Arial" w:hAnsi="Arial" w:cs="Arial"/>
          <w:bCs/>
          <w:lang w:val="en-GB"/>
        </w:rPr>
        <w:t xml:space="preserve">the respective national allocations of </w:t>
      </w:r>
      <w:r w:rsidR="00A40A4C" w:rsidRPr="002E4BFA">
        <w:rPr>
          <w:rFonts w:ascii="Arial" w:hAnsi="Arial" w:cs="Arial"/>
          <w:bCs/>
          <w:lang w:val="en-GB"/>
        </w:rPr>
        <w:t xml:space="preserve">JTF </w:t>
      </w:r>
      <w:r w:rsidRPr="002E4BFA">
        <w:rPr>
          <w:rFonts w:ascii="Arial" w:hAnsi="Arial" w:cs="Arial"/>
          <w:bCs/>
          <w:lang w:val="en-GB"/>
        </w:rPr>
        <w:t xml:space="preserve">resources, over the green taxonomy, </w:t>
      </w:r>
      <w:r w:rsidR="00A40A4C" w:rsidRPr="002E4BFA">
        <w:rPr>
          <w:rFonts w:ascii="Arial" w:hAnsi="Arial" w:cs="Arial"/>
          <w:bCs/>
          <w:lang w:val="en-GB"/>
        </w:rPr>
        <w:t xml:space="preserve">as well as </w:t>
      </w:r>
      <w:r w:rsidRPr="002E4BFA">
        <w:rPr>
          <w:rFonts w:ascii="Arial" w:hAnsi="Arial" w:cs="Arial"/>
          <w:bCs/>
          <w:lang w:val="en-GB"/>
        </w:rPr>
        <w:t>social resent</w:t>
      </w:r>
      <w:r w:rsidR="00A40A4C" w:rsidRPr="002E4BFA">
        <w:rPr>
          <w:rFonts w:ascii="Arial" w:hAnsi="Arial" w:cs="Arial"/>
          <w:bCs/>
          <w:lang w:val="en-GB"/>
        </w:rPr>
        <w:t>ment</w:t>
      </w:r>
      <w:r w:rsidRPr="002E4BFA">
        <w:rPr>
          <w:rFonts w:ascii="Arial" w:hAnsi="Arial" w:cs="Arial"/>
          <w:bCs/>
          <w:lang w:val="en-GB"/>
        </w:rPr>
        <w:t xml:space="preserve"> against </w:t>
      </w:r>
      <w:r w:rsidR="00A40A4C" w:rsidRPr="002E4BFA">
        <w:rPr>
          <w:rFonts w:ascii="Arial" w:hAnsi="Arial" w:cs="Arial"/>
          <w:bCs/>
          <w:lang w:val="en-GB"/>
        </w:rPr>
        <w:t xml:space="preserve">national-level </w:t>
      </w:r>
      <w:r w:rsidRPr="002E4BFA">
        <w:rPr>
          <w:rFonts w:ascii="Arial" w:hAnsi="Arial" w:cs="Arial"/>
          <w:bCs/>
          <w:lang w:val="en-GB"/>
        </w:rPr>
        <w:t>fiscal strategies</w:t>
      </w:r>
      <w:r w:rsidR="00A40A4C" w:rsidRPr="002E4BFA">
        <w:rPr>
          <w:rFonts w:ascii="Arial" w:hAnsi="Arial" w:cs="Arial"/>
          <w:bCs/>
          <w:lang w:val="en-GB"/>
        </w:rPr>
        <w:t>,</w:t>
      </w:r>
      <w:r w:rsidRPr="002E4BFA">
        <w:rPr>
          <w:rFonts w:ascii="Arial" w:hAnsi="Arial" w:cs="Arial"/>
          <w:bCs/>
          <w:lang w:val="en-GB"/>
        </w:rPr>
        <w:t xml:space="preserve"> as illustrated by the </w:t>
      </w:r>
      <w:r w:rsidR="00BA00BB" w:rsidRPr="002E4BFA">
        <w:rPr>
          <w:rFonts w:ascii="Arial" w:hAnsi="Arial" w:cs="Arial"/>
          <w:bCs/>
          <w:lang w:val="en-GB"/>
        </w:rPr>
        <w:t>‘</w:t>
      </w:r>
      <w:r w:rsidRPr="002E4BFA">
        <w:rPr>
          <w:rFonts w:ascii="Arial" w:hAnsi="Arial" w:cs="Arial"/>
          <w:bCs/>
          <w:lang w:val="en-GB"/>
        </w:rPr>
        <w:t>yellow vests</w:t>
      </w:r>
      <w:r w:rsidR="00BA00BB" w:rsidRPr="002E4BFA">
        <w:rPr>
          <w:rFonts w:ascii="Arial" w:hAnsi="Arial" w:cs="Arial"/>
          <w:bCs/>
          <w:lang w:val="en-GB"/>
        </w:rPr>
        <w:t>’</w:t>
      </w:r>
      <w:r w:rsidRPr="002E4BFA">
        <w:rPr>
          <w:rFonts w:ascii="Arial" w:hAnsi="Arial" w:cs="Arial"/>
          <w:bCs/>
          <w:lang w:val="en-GB"/>
        </w:rPr>
        <w:t xml:space="preserve"> movement in France. </w:t>
      </w:r>
      <w:r w:rsidR="00A40A4C" w:rsidRPr="002E4BFA">
        <w:rPr>
          <w:rFonts w:ascii="Arial" w:hAnsi="Arial" w:cs="Arial"/>
          <w:bCs/>
          <w:lang w:val="en-GB"/>
        </w:rPr>
        <w:t>In summary</w:t>
      </w:r>
      <w:r w:rsidRPr="002E4BFA">
        <w:rPr>
          <w:rFonts w:ascii="Arial" w:hAnsi="Arial" w:cs="Arial"/>
          <w:bCs/>
          <w:lang w:val="en-GB"/>
        </w:rPr>
        <w:t xml:space="preserve">, we </w:t>
      </w:r>
      <w:r w:rsidR="007D0FE7" w:rsidRPr="002E4BFA">
        <w:rPr>
          <w:rFonts w:ascii="Arial" w:hAnsi="Arial" w:cs="Arial"/>
          <w:bCs/>
          <w:lang w:val="en-GB"/>
        </w:rPr>
        <w:t xml:space="preserve">are </w:t>
      </w:r>
      <w:r w:rsidR="00A40A4C" w:rsidRPr="002E4BFA">
        <w:rPr>
          <w:rFonts w:ascii="Arial" w:hAnsi="Arial" w:cs="Arial"/>
          <w:bCs/>
          <w:lang w:val="en-GB"/>
        </w:rPr>
        <w:t xml:space="preserve">thus </w:t>
      </w:r>
      <w:r w:rsidRPr="002E4BFA">
        <w:rPr>
          <w:rFonts w:ascii="Arial" w:hAnsi="Arial" w:cs="Arial"/>
          <w:bCs/>
          <w:lang w:val="en-GB"/>
        </w:rPr>
        <w:t>see</w:t>
      </w:r>
      <w:r w:rsidR="007D0FE7" w:rsidRPr="002E4BFA">
        <w:rPr>
          <w:rFonts w:ascii="Arial" w:hAnsi="Arial" w:cs="Arial"/>
          <w:bCs/>
          <w:lang w:val="en-GB"/>
        </w:rPr>
        <w:t>ing</w:t>
      </w:r>
      <w:r w:rsidRPr="002E4BFA">
        <w:rPr>
          <w:rFonts w:ascii="Arial" w:hAnsi="Arial" w:cs="Arial"/>
          <w:bCs/>
          <w:lang w:val="en-GB"/>
        </w:rPr>
        <w:t xml:space="preserve"> profound differences between the ILO’s roadmap for achieving the just transition and developments in the EU. </w:t>
      </w:r>
    </w:p>
    <w:p w14:paraId="2D71C603" w14:textId="59BAC9CE" w:rsidR="00EA61C1" w:rsidRPr="002E4BFA" w:rsidRDefault="00EC3FA7" w:rsidP="00C6263F">
      <w:pPr>
        <w:spacing w:line="360" w:lineRule="auto"/>
        <w:ind w:firstLine="360"/>
        <w:jc w:val="left"/>
        <w:rPr>
          <w:rFonts w:ascii="Arial" w:hAnsi="Arial" w:cs="Arial"/>
          <w:lang w:val="en-GB"/>
        </w:rPr>
      </w:pPr>
      <w:r w:rsidRPr="002E4BFA">
        <w:rPr>
          <w:rFonts w:ascii="Arial" w:hAnsi="Arial" w:cs="Arial"/>
          <w:lang w:val="en-GB"/>
        </w:rPr>
        <w:t>This raises the issue of the inherent logic under</w:t>
      </w:r>
      <w:r w:rsidR="00AB6202" w:rsidRPr="002E4BFA">
        <w:rPr>
          <w:rFonts w:ascii="Arial" w:hAnsi="Arial" w:cs="Arial"/>
          <w:lang w:val="en-GB"/>
        </w:rPr>
        <w:t>ly</w:t>
      </w:r>
      <w:r w:rsidRPr="002E4BFA">
        <w:rPr>
          <w:rFonts w:ascii="Arial" w:hAnsi="Arial" w:cs="Arial"/>
          <w:lang w:val="en-GB"/>
        </w:rPr>
        <w:t xml:space="preserve">ing the EU’s just transition policy. Examining recent initiatives, </w:t>
      </w:r>
      <w:proofErr w:type="spellStart"/>
      <w:r w:rsidRPr="002E4BFA">
        <w:rPr>
          <w:rFonts w:ascii="Arial" w:hAnsi="Arial" w:cs="Arial"/>
          <w:lang w:val="en-GB"/>
        </w:rPr>
        <w:t>Alcidi</w:t>
      </w:r>
      <w:proofErr w:type="spellEnd"/>
      <w:r w:rsidRPr="002E4BFA">
        <w:rPr>
          <w:rFonts w:ascii="Arial" w:hAnsi="Arial" w:cs="Arial"/>
          <w:lang w:val="en-GB"/>
        </w:rPr>
        <w:t xml:space="preserve"> et al. (2022) </w:t>
      </w:r>
      <w:r w:rsidR="00AB6202" w:rsidRPr="002E4BFA">
        <w:rPr>
          <w:rFonts w:ascii="Arial" w:hAnsi="Arial" w:cs="Arial"/>
          <w:lang w:val="en-GB"/>
        </w:rPr>
        <w:t>made a distinction between</w:t>
      </w:r>
      <w:r w:rsidRPr="002E4BFA">
        <w:rPr>
          <w:rFonts w:ascii="Arial" w:hAnsi="Arial" w:cs="Arial"/>
          <w:lang w:val="en-GB"/>
        </w:rPr>
        <w:t xml:space="preserve"> a </w:t>
      </w:r>
      <w:r w:rsidRPr="002E4BFA">
        <w:rPr>
          <w:rFonts w:ascii="Arial" w:hAnsi="Arial" w:cs="Arial"/>
          <w:i/>
          <w:lang w:val="en-GB"/>
        </w:rPr>
        <w:t>compensatory logic</w:t>
      </w:r>
      <w:r w:rsidRPr="002E4BFA">
        <w:rPr>
          <w:rFonts w:ascii="Arial" w:hAnsi="Arial" w:cs="Arial"/>
          <w:lang w:val="en-GB"/>
        </w:rPr>
        <w:t xml:space="preserve"> whereby </w:t>
      </w:r>
      <w:r w:rsidR="00BA00BB" w:rsidRPr="002E4BFA">
        <w:rPr>
          <w:rFonts w:ascii="Arial" w:hAnsi="Arial" w:cs="Arial"/>
          <w:lang w:val="en-GB"/>
        </w:rPr>
        <w:t>‘</w:t>
      </w:r>
      <w:r w:rsidRPr="002E4BFA">
        <w:rPr>
          <w:rFonts w:ascii="Arial" w:hAnsi="Arial" w:cs="Arial"/>
          <w:lang w:val="en-GB"/>
        </w:rPr>
        <w:t xml:space="preserve">social policy and tools are linked to environmental objectives and tools only to the extent to which the latter produce negative </w:t>
      </w:r>
      <w:proofErr w:type="gramStart"/>
      <w:r w:rsidRPr="002E4BFA">
        <w:rPr>
          <w:rFonts w:ascii="Arial" w:hAnsi="Arial" w:cs="Arial"/>
          <w:lang w:val="en-GB"/>
        </w:rPr>
        <w:t>externalities</w:t>
      </w:r>
      <w:r w:rsidR="00BA00BB" w:rsidRPr="002E4BFA">
        <w:rPr>
          <w:rFonts w:ascii="Arial" w:hAnsi="Arial" w:cs="Arial"/>
          <w:lang w:val="en-GB"/>
        </w:rPr>
        <w:t>’</w:t>
      </w:r>
      <w:proofErr w:type="gramEnd"/>
      <w:r w:rsidRPr="002E4BFA">
        <w:rPr>
          <w:rFonts w:ascii="Arial" w:hAnsi="Arial" w:cs="Arial"/>
          <w:lang w:val="en-GB"/>
        </w:rPr>
        <w:t xml:space="preserve"> </w:t>
      </w:r>
      <w:r w:rsidR="00AB6202" w:rsidRPr="002E4BFA">
        <w:rPr>
          <w:rFonts w:ascii="Arial" w:hAnsi="Arial" w:cs="Arial"/>
          <w:lang w:val="en-GB"/>
        </w:rPr>
        <w:t xml:space="preserve">and </w:t>
      </w:r>
      <w:r w:rsidRPr="002E4BFA">
        <w:rPr>
          <w:rFonts w:ascii="Arial" w:hAnsi="Arial" w:cs="Arial"/>
          <w:lang w:val="en-GB"/>
        </w:rPr>
        <w:t xml:space="preserve">an </w:t>
      </w:r>
      <w:r w:rsidRPr="002E4BFA">
        <w:rPr>
          <w:rFonts w:ascii="Arial" w:hAnsi="Arial" w:cs="Arial"/>
          <w:i/>
          <w:lang w:val="en-GB"/>
        </w:rPr>
        <w:t xml:space="preserve">integrated logic </w:t>
      </w:r>
      <w:r w:rsidRPr="002E4BFA">
        <w:rPr>
          <w:rFonts w:ascii="Arial" w:hAnsi="Arial" w:cs="Arial"/>
          <w:lang w:val="en-GB"/>
        </w:rPr>
        <w:t xml:space="preserve">whereby </w:t>
      </w:r>
      <w:r w:rsidR="00BA00BB" w:rsidRPr="002E4BFA">
        <w:rPr>
          <w:rFonts w:ascii="Arial" w:hAnsi="Arial" w:cs="Arial"/>
          <w:lang w:val="en-GB"/>
        </w:rPr>
        <w:t>‘</w:t>
      </w:r>
      <w:r w:rsidRPr="002E4BFA">
        <w:rPr>
          <w:rFonts w:ascii="Arial" w:hAnsi="Arial" w:cs="Arial"/>
          <w:lang w:val="en-GB"/>
        </w:rPr>
        <w:t xml:space="preserve">welfare policies </w:t>
      </w:r>
      <w:r w:rsidR="008215B6" w:rsidRPr="002E4BFA">
        <w:rPr>
          <w:rFonts w:ascii="Arial" w:hAnsi="Arial" w:cs="Arial"/>
          <w:lang w:val="en-GB"/>
        </w:rPr>
        <w:t xml:space="preserve">[…] </w:t>
      </w:r>
      <w:r w:rsidRPr="002E4BFA">
        <w:rPr>
          <w:rFonts w:ascii="Arial" w:hAnsi="Arial" w:cs="Arial"/>
          <w:lang w:val="en-GB"/>
        </w:rPr>
        <w:t>are also conceived as a necessary pre-condition to facilitate the ecological transition</w:t>
      </w:r>
      <w:r w:rsidR="00BA00BB" w:rsidRPr="002E4BFA">
        <w:rPr>
          <w:rFonts w:ascii="Arial" w:hAnsi="Arial" w:cs="Arial"/>
          <w:lang w:val="en-GB"/>
        </w:rPr>
        <w:t>’</w:t>
      </w:r>
      <w:r w:rsidRPr="002E4BFA">
        <w:rPr>
          <w:rFonts w:ascii="Arial" w:hAnsi="Arial" w:cs="Arial"/>
          <w:lang w:val="en-GB"/>
        </w:rPr>
        <w:t xml:space="preserve">. On </w:t>
      </w:r>
      <w:r w:rsidR="00AB6202" w:rsidRPr="002E4BFA">
        <w:rPr>
          <w:rFonts w:ascii="Arial" w:hAnsi="Arial" w:cs="Arial"/>
          <w:lang w:val="en-GB"/>
        </w:rPr>
        <w:t xml:space="preserve">the </w:t>
      </w:r>
      <w:r w:rsidRPr="002E4BFA">
        <w:rPr>
          <w:rFonts w:ascii="Arial" w:hAnsi="Arial" w:cs="Arial"/>
          <w:lang w:val="en-GB"/>
        </w:rPr>
        <w:t xml:space="preserve">one hand, they see the EGD and JTF responding to an essentially compensatory logic, targeting narrow groups of </w:t>
      </w:r>
      <w:r w:rsidR="00AB6202" w:rsidRPr="002E4BFA">
        <w:rPr>
          <w:rFonts w:ascii="Arial" w:hAnsi="Arial" w:cs="Arial"/>
          <w:lang w:val="en-GB"/>
        </w:rPr>
        <w:t xml:space="preserve">transition </w:t>
      </w:r>
      <w:r w:rsidR="00BA00BB" w:rsidRPr="002E4BFA">
        <w:rPr>
          <w:rFonts w:ascii="Arial" w:hAnsi="Arial" w:cs="Arial"/>
          <w:lang w:val="en-GB"/>
        </w:rPr>
        <w:t>‘</w:t>
      </w:r>
      <w:proofErr w:type="gramStart"/>
      <w:r w:rsidRPr="002E4BFA">
        <w:rPr>
          <w:rFonts w:ascii="Arial" w:hAnsi="Arial" w:cs="Arial"/>
          <w:lang w:val="en-GB"/>
        </w:rPr>
        <w:t>losers</w:t>
      </w:r>
      <w:r w:rsidR="00BA00BB" w:rsidRPr="002E4BFA">
        <w:rPr>
          <w:rFonts w:ascii="Arial" w:hAnsi="Arial" w:cs="Arial"/>
          <w:lang w:val="en-GB"/>
        </w:rPr>
        <w:t>’</w:t>
      </w:r>
      <w:proofErr w:type="gramEnd"/>
      <w:r w:rsidRPr="002E4BFA">
        <w:rPr>
          <w:rFonts w:ascii="Arial" w:hAnsi="Arial" w:cs="Arial"/>
          <w:lang w:val="en-GB"/>
        </w:rPr>
        <w:t>. On the other, they detect a more integrated logic emerging with the Resilience and Recovery Facility (RRF) whereby the EU is trying to steer national reforms towards moderni</w:t>
      </w:r>
      <w:r w:rsidR="00AB6202" w:rsidRPr="002E4BFA">
        <w:rPr>
          <w:rFonts w:ascii="Arial" w:hAnsi="Arial" w:cs="Arial"/>
          <w:lang w:val="en-GB"/>
        </w:rPr>
        <w:t xml:space="preserve">sing </w:t>
      </w:r>
      <w:r w:rsidRPr="002E4BFA">
        <w:rPr>
          <w:rFonts w:ascii="Arial" w:hAnsi="Arial" w:cs="Arial"/>
          <w:lang w:val="en-GB"/>
        </w:rPr>
        <w:t xml:space="preserve">welfare states </w:t>
      </w:r>
      <w:r w:rsidR="00AB6202" w:rsidRPr="002E4BFA">
        <w:rPr>
          <w:rFonts w:ascii="Arial" w:hAnsi="Arial" w:cs="Arial"/>
          <w:lang w:val="en-GB"/>
        </w:rPr>
        <w:t xml:space="preserve">in </w:t>
      </w:r>
      <w:r w:rsidRPr="002E4BFA">
        <w:rPr>
          <w:rFonts w:ascii="Arial" w:hAnsi="Arial" w:cs="Arial"/>
          <w:lang w:val="en-GB"/>
        </w:rPr>
        <w:t>support</w:t>
      </w:r>
      <w:r w:rsidR="00AB6202" w:rsidRPr="002E4BFA">
        <w:rPr>
          <w:rFonts w:ascii="Arial" w:hAnsi="Arial" w:cs="Arial"/>
          <w:lang w:val="en-GB"/>
        </w:rPr>
        <w:t xml:space="preserve"> of </w:t>
      </w:r>
      <w:r w:rsidRPr="002E4BFA">
        <w:rPr>
          <w:rFonts w:ascii="Arial" w:hAnsi="Arial" w:cs="Arial"/>
          <w:lang w:val="en-GB"/>
        </w:rPr>
        <w:t>the just transition</w:t>
      </w:r>
      <w:r w:rsidR="00AB6202" w:rsidRPr="002E4BFA">
        <w:rPr>
          <w:rFonts w:ascii="Arial" w:hAnsi="Arial" w:cs="Arial"/>
          <w:lang w:val="en-GB"/>
        </w:rPr>
        <w:t xml:space="preserve"> goals</w:t>
      </w:r>
      <w:r w:rsidRPr="002E4BFA">
        <w:rPr>
          <w:rFonts w:ascii="Arial" w:hAnsi="Arial" w:cs="Arial"/>
          <w:lang w:val="en-GB"/>
        </w:rPr>
        <w:t xml:space="preserve">. Research </w:t>
      </w:r>
      <w:r w:rsidR="00AB6202" w:rsidRPr="002E4BFA">
        <w:rPr>
          <w:rFonts w:ascii="Arial" w:hAnsi="Arial" w:cs="Arial"/>
          <w:lang w:val="en-GB"/>
        </w:rPr>
        <w:t xml:space="preserve">on </w:t>
      </w:r>
      <w:r w:rsidRPr="002E4BFA">
        <w:rPr>
          <w:rFonts w:ascii="Arial" w:hAnsi="Arial" w:cs="Arial"/>
          <w:lang w:val="en-GB"/>
        </w:rPr>
        <w:t>the national reform plans guid</w:t>
      </w:r>
      <w:r w:rsidR="00AB6202" w:rsidRPr="002E4BFA">
        <w:rPr>
          <w:rFonts w:ascii="Arial" w:hAnsi="Arial" w:cs="Arial"/>
          <w:lang w:val="en-GB"/>
        </w:rPr>
        <w:t>ing</w:t>
      </w:r>
      <w:r w:rsidRPr="002E4BFA">
        <w:rPr>
          <w:rFonts w:ascii="Arial" w:hAnsi="Arial" w:cs="Arial"/>
          <w:lang w:val="en-GB"/>
        </w:rPr>
        <w:t xml:space="preserve"> the spending of the money shows that approximately 30 per cent (</w:t>
      </w:r>
      <w:r w:rsidR="00AB6202" w:rsidRPr="002E4BFA">
        <w:rPr>
          <w:rFonts w:ascii="Arial" w:hAnsi="Arial" w:cs="Arial"/>
          <w:lang w:val="en-GB"/>
        </w:rPr>
        <w:t>i.e</w:t>
      </w:r>
      <w:r w:rsidR="00BA00BB" w:rsidRPr="002E4BFA">
        <w:rPr>
          <w:rFonts w:ascii="Arial" w:hAnsi="Arial" w:cs="Arial"/>
          <w:lang w:val="en-GB"/>
        </w:rPr>
        <w:t>.</w:t>
      </w:r>
      <w:r w:rsidRPr="002E4BFA">
        <w:rPr>
          <w:rFonts w:ascii="Arial" w:hAnsi="Arial" w:cs="Arial"/>
          <w:lang w:val="en-GB"/>
        </w:rPr>
        <w:t>, around €150bn) of the entire envelope will be spen</w:t>
      </w:r>
      <w:r w:rsidR="00AB6202" w:rsidRPr="002E4BFA">
        <w:rPr>
          <w:rFonts w:ascii="Arial" w:hAnsi="Arial" w:cs="Arial"/>
          <w:lang w:val="en-GB"/>
        </w:rPr>
        <w:t>t</w:t>
      </w:r>
      <w:r w:rsidRPr="002E4BFA">
        <w:rPr>
          <w:rFonts w:ascii="Arial" w:hAnsi="Arial" w:cs="Arial"/>
          <w:lang w:val="en-GB"/>
        </w:rPr>
        <w:t xml:space="preserve"> on social policy (Corti and </w:t>
      </w:r>
      <w:proofErr w:type="spellStart"/>
      <w:r w:rsidRPr="002E4BFA">
        <w:rPr>
          <w:rFonts w:ascii="Arial" w:hAnsi="Arial" w:cs="Arial"/>
          <w:lang w:val="en-GB"/>
        </w:rPr>
        <w:t>Vesan</w:t>
      </w:r>
      <w:proofErr w:type="spellEnd"/>
      <w:r w:rsidRPr="002E4BFA">
        <w:rPr>
          <w:rFonts w:ascii="Arial" w:hAnsi="Arial" w:cs="Arial"/>
          <w:lang w:val="en-GB"/>
        </w:rPr>
        <w:t xml:space="preserve">, </w:t>
      </w:r>
      <w:r w:rsidR="00F84861" w:rsidRPr="002E4BFA">
        <w:rPr>
          <w:rFonts w:ascii="Arial" w:hAnsi="Arial" w:cs="Arial"/>
          <w:lang w:val="en-GB"/>
        </w:rPr>
        <w:t>2023</w:t>
      </w:r>
      <w:r w:rsidRPr="002E4BFA">
        <w:rPr>
          <w:rFonts w:ascii="Arial" w:hAnsi="Arial" w:cs="Arial"/>
          <w:lang w:val="en-GB"/>
        </w:rPr>
        <w:t xml:space="preserve">). </w:t>
      </w:r>
      <w:r w:rsidR="00AB6202" w:rsidRPr="002E4BFA">
        <w:rPr>
          <w:rFonts w:ascii="Arial" w:hAnsi="Arial" w:cs="Arial"/>
          <w:lang w:val="en-GB"/>
        </w:rPr>
        <w:t>Nevertheless</w:t>
      </w:r>
      <w:r w:rsidRPr="002E4BFA">
        <w:rPr>
          <w:rFonts w:ascii="Arial" w:hAnsi="Arial" w:cs="Arial"/>
          <w:lang w:val="en-GB"/>
        </w:rPr>
        <w:t xml:space="preserve">, it is unlikely that the resources available </w:t>
      </w:r>
      <w:r w:rsidR="00AB6202" w:rsidRPr="002E4BFA">
        <w:rPr>
          <w:rFonts w:ascii="Arial" w:hAnsi="Arial" w:cs="Arial"/>
          <w:lang w:val="en-GB"/>
        </w:rPr>
        <w:t xml:space="preserve">under </w:t>
      </w:r>
      <w:r w:rsidRPr="002E4BFA">
        <w:rPr>
          <w:rFonts w:ascii="Arial" w:hAnsi="Arial" w:cs="Arial"/>
          <w:lang w:val="en-GB"/>
        </w:rPr>
        <w:t xml:space="preserve">the RRF </w:t>
      </w:r>
      <w:r w:rsidR="00AB6202" w:rsidRPr="002E4BFA">
        <w:rPr>
          <w:rFonts w:ascii="Arial" w:hAnsi="Arial" w:cs="Arial"/>
          <w:lang w:val="en-GB"/>
        </w:rPr>
        <w:t xml:space="preserve">will </w:t>
      </w:r>
      <w:r w:rsidRPr="002E4BFA">
        <w:rPr>
          <w:rFonts w:ascii="Arial" w:hAnsi="Arial" w:cs="Arial"/>
          <w:lang w:val="en-GB"/>
        </w:rPr>
        <w:t xml:space="preserve">alone </w:t>
      </w:r>
      <w:r w:rsidR="00AB6202" w:rsidRPr="002E4BFA">
        <w:rPr>
          <w:rFonts w:ascii="Arial" w:hAnsi="Arial" w:cs="Arial"/>
          <w:lang w:val="en-GB"/>
        </w:rPr>
        <w:t xml:space="preserve">be able to </w:t>
      </w:r>
      <w:r w:rsidRPr="002E4BFA">
        <w:rPr>
          <w:rFonts w:ascii="Arial" w:hAnsi="Arial" w:cs="Arial"/>
          <w:lang w:val="en-GB"/>
        </w:rPr>
        <w:t xml:space="preserve">close the social and environmental </w:t>
      </w:r>
      <w:r w:rsidR="00BA00BB" w:rsidRPr="002E4BFA">
        <w:rPr>
          <w:rFonts w:ascii="Arial" w:hAnsi="Arial" w:cs="Arial"/>
          <w:lang w:val="en-GB"/>
        </w:rPr>
        <w:t>‘</w:t>
      </w:r>
      <w:r w:rsidRPr="002E4BFA">
        <w:rPr>
          <w:rFonts w:ascii="Arial" w:hAnsi="Arial" w:cs="Arial"/>
          <w:lang w:val="en-GB"/>
        </w:rPr>
        <w:t>investment gap</w:t>
      </w:r>
      <w:r w:rsidR="00BA00BB" w:rsidRPr="002E4BFA">
        <w:rPr>
          <w:rFonts w:ascii="Arial" w:hAnsi="Arial" w:cs="Arial"/>
          <w:lang w:val="en-GB"/>
        </w:rPr>
        <w:t>’</w:t>
      </w:r>
      <w:r w:rsidRPr="002E4BFA">
        <w:rPr>
          <w:rFonts w:ascii="Arial" w:hAnsi="Arial" w:cs="Arial"/>
          <w:lang w:val="en-GB"/>
        </w:rPr>
        <w:t xml:space="preserve"> in the face of the just transition challenge</w:t>
      </w:r>
      <w:r w:rsidR="00AB6202" w:rsidRPr="002E4BFA">
        <w:rPr>
          <w:rFonts w:ascii="Arial" w:hAnsi="Arial" w:cs="Arial"/>
          <w:lang w:val="en-GB"/>
        </w:rPr>
        <w:t xml:space="preserve">, especially </w:t>
      </w:r>
      <w:r w:rsidRPr="002E4BFA">
        <w:rPr>
          <w:rFonts w:ascii="Arial" w:hAnsi="Arial" w:cs="Arial"/>
          <w:lang w:val="en-GB"/>
        </w:rPr>
        <w:t xml:space="preserve">given that a recent analysis of national </w:t>
      </w:r>
      <w:r w:rsidR="007D0FE7" w:rsidRPr="002E4BFA">
        <w:rPr>
          <w:rFonts w:ascii="Arial" w:hAnsi="Arial" w:cs="Arial"/>
          <w:lang w:val="en-GB"/>
        </w:rPr>
        <w:t xml:space="preserve">Recovery and Resilience Plans </w:t>
      </w:r>
      <w:r w:rsidRPr="002E4BFA">
        <w:rPr>
          <w:rFonts w:ascii="Arial" w:hAnsi="Arial" w:cs="Arial"/>
          <w:lang w:val="en-GB"/>
        </w:rPr>
        <w:t xml:space="preserve">suggests that policy interventions and planned spending rarely contribute to both social and green objectives </w:t>
      </w:r>
      <w:r w:rsidR="00E71DB8" w:rsidRPr="002E4BFA">
        <w:rPr>
          <w:rFonts w:ascii="Arial" w:hAnsi="Arial" w:cs="Arial"/>
          <w:lang w:val="en-GB"/>
        </w:rPr>
        <w:t>jointly but</w:t>
      </w:r>
      <w:r w:rsidRPr="002E4BFA">
        <w:rPr>
          <w:rFonts w:ascii="Arial" w:hAnsi="Arial" w:cs="Arial"/>
          <w:lang w:val="en-GB"/>
        </w:rPr>
        <w:t xml:space="preserve"> are rather </w:t>
      </w:r>
      <w:r w:rsidR="00BA00BB" w:rsidRPr="002E4BFA">
        <w:rPr>
          <w:rFonts w:ascii="Arial" w:hAnsi="Arial" w:cs="Arial"/>
          <w:lang w:val="en-GB"/>
        </w:rPr>
        <w:t>‘</w:t>
      </w:r>
      <w:r w:rsidRPr="002E4BFA">
        <w:rPr>
          <w:rFonts w:ascii="Arial" w:hAnsi="Arial" w:cs="Arial"/>
          <w:lang w:val="en-GB"/>
        </w:rPr>
        <w:t>tilted in favour of green transition objectives</w:t>
      </w:r>
      <w:r w:rsidR="00BA00BB" w:rsidRPr="002E4BFA">
        <w:rPr>
          <w:rFonts w:ascii="Arial" w:hAnsi="Arial" w:cs="Arial"/>
          <w:lang w:val="en-GB"/>
        </w:rPr>
        <w:t>’</w:t>
      </w:r>
      <w:r w:rsidRPr="002E4BFA">
        <w:rPr>
          <w:rFonts w:ascii="Arial" w:hAnsi="Arial" w:cs="Arial"/>
          <w:lang w:val="en-GB"/>
        </w:rPr>
        <w:t xml:space="preserve"> (</w:t>
      </w:r>
      <w:proofErr w:type="spellStart"/>
      <w:r w:rsidRPr="002E4BFA">
        <w:rPr>
          <w:rFonts w:ascii="Arial" w:hAnsi="Arial" w:cs="Arial"/>
          <w:lang w:val="en-GB"/>
        </w:rPr>
        <w:t>Theodoropolou</w:t>
      </w:r>
      <w:proofErr w:type="spellEnd"/>
      <w:r w:rsidRPr="002E4BFA">
        <w:rPr>
          <w:rFonts w:ascii="Arial" w:hAnsi="Arial" w:cs="Arial"/>
          <w:lang w:val="en-GB"/>
        </w:rPr>
        <w:t xml:space="preserve"> et al., 2022). </w:t>
      </w:r>
      <w:r w:rsidR="00AB6202" w:rsidRPr="002E4BFA">
        <w:rPr>
          <w:rFonts w:ascii="Arial" w:hAnsi="Arial" w:cs="Arial"/>
          <w:lang w:val="en-GB"/>
        </w:rPr>
        <w:t>T</w:t>
      </w:r>
      <w:r w:rsidRPr="002E4BFA">
        <w:rPr>
          <w:rFonts w:ascii="Arial" w:hAnsi="Arial" w:cs="Arial"/>
          <w:lang w:val="en-GB"/>
        </w:rPr>
        <w:t xml:space="preserve">he EU toolbox could </w:t>
      </w:r>
      <w:r w:rsidR="00AB6202" w:rsidRPr="002E4BFA">
        <w:rPr>
          <w:rFonts w:ascii="Arial" w:hAnsi="Arial" w:cs="Arial"/>
          <w:lang w:val="en-GB"/>
        </w:rPr>
        <w:t xml:space="preserve">therefore </w:t>
      </w:r>
      <w:r w:rsidRPr="002E4BFA">
        <w:rPr>
          <w:rFonts w:ascii="Arial" w:hAnsi="Arial" w:cs="Arial"/>
          <w:lang w:val="en-GB"/>
        </w:rPr>
        <w:t>be expanded by innovat</w:t>
      </w:r>
      <w:r w:rsidR="00AB6202" w:rsidRPr="002E4BFA">
        <w:rPr>
          <w:rFonts w:ascii="Arial" w:hAnsi="Arial" w:cs="Arial"/>
          <w:lang w:val="en-GB"/>
        </w:rPr>
        <w:t xml:space="preserve">ory measures </w:t>
      </w:r>
      <w:r w:rsidRPr="002E4BFA">
        <w:rPr>
          <w:rFonts w:ascii="Arial" w:hAnsi="Arial" w:cs="Arial"/>
          <w:lang w:val="en-GB"/>
        </w:rPr>
        <w:t xml:space="preserve">such as introducing a European </w:t>
      </w:r>
      <w:r w:rsidR="00BA00BB" w:rsidRPr="002E4BFA">
        <w:rPr>
          <w:rFonts w:ascii="Arial" w:hAnsi="Arial" w:cs="Arial"/>
          <w:lang w:val="en-GB"/>
        </w:rPr>
        <w:lastRenderedPageBreak/>
        <w:t>‘</w:t>
      </w:r>
      <w:r w:rsidRPr="002E4BFA">
        <w:rPr>
          <w:rFonts w:ascii="Arial" w:hAnsi="Arial" w:cs="Arial"/>
          <w:lang w:val="en-GB"/>
        </w:rPr>
        <w:t>golden rule</w:t>
      </w:r>
      <w:r w:rsidR="00BA00BB" w:rsidRPr="002E4BFA">
        <w:rPr>
          <w:rFonts w:ascii="Arial" w:hAnsi="Arial" w:cs="Arial"/>
          <w:lang w:val="en-GB"/>
        </w:rPr>
        <w:t>’</w:t>
      </w:r>
      <w:r w:rsidR="00EA61C1" w:rsidRPr="002E4BFA">
        <w:rPr>
          <w:rStyle w:val="FootnoteReference"/>
          <w:rFonts w:ascii="Arial" w:hAnsi="Arial" w:cs="Arial"/>
          <w:lang w:val="en-GB"/>
        </w:rPr>
        <w:footnoteReference w:id="2"/>
      </w:r>
      <w:r w:rsidR="00EA61C1" w:rsidRPr="002E4BFA">
        <w:rPr>
          <w:rFonts w:ascii="Arial" w:hAnsi="Arial" w:cs="Arial"/>
          <w:lang w:val="en-GB"/>
        </w:rPr>
        <w:t xml:space="preserve"> for social investment (</w:t>
      </w:r>
      <w:proofErr w:type="spellStart"/>
      <w:r w:rsidR="00EA61C1" w:rsidRPr="002E4BFA">
        <w:rPr>
          <w:rFonts w:ascii="Arial" w:hAnsi="Arial" w:cs="Arial"/>
          <w:lang w:val="en-GB"/>
        </w:rPr>
        <w:t>Alcidi</w:t>
      </w:r>
      <w:proofErr w:type="spellEnd"/>
      <w:r w:rsidR="00EA61C1" w:rsidRPr="002E4BFA">
        <w:rPr>
          <w:rFonts w:ascii="Arial" w:hAnsi="Arial" w:cs="Arial"/>
          <w:lang w:val="en-GB"/>
        </w:rPr>
        <w:t xml:space="preserve"> et al., 2022). However, even if an investment logic was to </w:t>
      </w:r>
      <w:proofErr w:type="gramStart"/>
      <w:r w:rsidR="00EA61C1" w:rsidRPr="002E4BFA">
        <w:rPr>
          <w:rFonts w:ascii="Arial" w:hAnsi="Arial" w:cs="Arial"/>
          <w:lang w:val="en-GB"/>
        </w:rPr>
        <w:t>consistently and massively underpin EU efforts</w:t>
      </w:r>
      <w:proofErr w:type="gramEnd"/>
      <w:r w:rsidR="00EA61C1" w:rsidRPr="002E4BFA">
        <w:rPr>
          <w:rFonts w:ascii="Arial" w:hAnsi="Arial" w:cs="Arial"/>
          <w:lang w:val="en-GB"/>
        </w:rPr>
        <w:t>, it would remain far behind more radical proposals made for instance by the Just Transition Network, aiming to ‘</w:t>
      </w:r>
      <w:proofErr w:type="spellStart"/>
      <w:r w:rsidR="00EA61C1" w:rsidRPr="002E4BFA">
        <w:rPr>
          <w:rFonts w:ascii="Arial" w:hAnsi="Arial" w:cs="Arial"/>
          <w:lang w:val="en-GB"/>
        </w:rPr>
        <w:t>decommodify</w:t>
      </w:r>
      <w:proofErr w:type="spellEnd"/>
      <w:r w:rsidR="00EA61C1" w:rsidRPr="002E4BFA">
        <w:rPr>
          <w:rFonts w:ascii="Arial" w:hAnsi="Arial" w:cs="Arial"/>
          <w:lang w:val="en-GB"/>
        </w:rPr>
        <w:t xml:space="preserve"> certain societal sectors such as education and care, to create the space for new economic institutions, such as commons, and to promote the role of public services’ (</w:t>
      </w:r>
      <w:proofErr w:type="spellStart"/>
      <w:r w:rsidR="00EA61C1" w:rsidRPr="002E4BFA">
        <w:rPr>
          <w:rFonts w:ascii="Arial" w:hAnsi="Arial" w:cs="Arial"/>
          <w:lang w:val="en-GB"/>
        </w:rPr>
        <w:t>Holemans</w:t>
      </w:r>
      <w:proofErr w:type="spellEnd"/>
      <w:r w:rsidR="00EA61C1" w:rsidRPr="002E4BFA">
        <w:rPr>
          <w:rFonts w:ascii="Arial" w:hAnsi="Arial" w:cs="Arial"/>
          <w:lang w:val="en-GB"/>
        </w:rPr>
        <w:t xml:space="preserve"> and </w:t>
      </w:r>
      <w:proofErr w:type="spellStart"/>
      <w:r w:rsidR="00EA61C1" w:rsidRPr="002E4BFA">
        <w:rPr>
          <w:rFonts w:ascii="Arial" w:hAnsi="Arial" w:cs="Arial"/>
          <w:lang w:val="en-GB"/>
        </w:rPr>
        <w:t>Volodchenko</w:t>
      </w:r>
      <w:proofErr w:type="spellEnd"/>
      <w:r w:rsidR="00EA61C1" w:rsidRPr="002E4BFA">
        <w:rPr>
          <w:rFonts w:ascii="Arial" w:hAnsi="Arial" w:cs="Arial"/>
          <w:lang w:val="en-GB"/>
        </w:rPr>
        <w:t xml:space="preserve">, 2022). Though far from such a comprehensive approach, a first attempt to put forward a more integrated approach to the ‘just’ dimension of the transition can be detected in the recent adoption of a </w:t>
      </w:r>
      <w:r w:rsidR="00EA61C1" w:rsidRPr="002E4BFA">
        <w:rPr>
          <w:rFonts w:ascii="Arial" w:hAnsi="Arial" w:cs="Arial"/>
          <w:bCs/>
          <w:lang w:val="en-GB"/>
        </w:rPr>
        <w:t>Council Recommendation issued in June 2022 (see Section 4).</w:t>
      </w:r>
    </w:p>
    <w:p w14:paraId="4E37607F" w14:textId="6CEAD3F9"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Another way to look at the EU’s just transition is through the lens of the paradigm shift towards a new kind of social-ecological state (hereinafter ‘eco-social state’) replacing the 20th-century-style welfare state (see Table 1). In the model put forward by </w:t>
      </w:r>
      <w:proofErr w:type="spellStart"/>
      <w:r w:rsidRPr="002E4BFA">
        <w:rPr>
          <w:rFonts w:ascii="Arial" w:hAnsi="Arial" w:cs="Arial"/>
          <w:lang w:val="en-GB"/>
        </w:rPr>
        <w:t>Éloi</w:t>
      </w:r>
      <w:proofErr w:type="spellEnd"/>
      <w:r w:rsidRPr="002E4BFA">
        <w:rPr>
          <w:rFonts w:ascii="Arial" w:hAnsi="Arial" w:cs="Arial"/>
          <w:lang w:val="en-GB"/>
        </w:rPr>
        <w:t xml:space="preserve"> Laurent (</w:t>
      </w:r>
      <w:r w:rsidR="00DD4A1C" w:rsidRPr="002E4BFA">
        <w:rPr>
          <w:rFonts w:ascii="Arial" w:hAnsi="Arial" w:cs="Arial"/>
          <w:lang w:val="en-GB"/>
        </w:rPr>
        <w:t>2021a</w:t>
      </w:r>
      <w:r w:rsidRPr="002E4BFA">
        <w:rPr>
          <w:rFonts w:ascii="Arial" w:hAnsi="Arial" w:cs="Arial"/>
          <w:lang w:val="en-GB"/>
        </w:rPr>
        <w:t>, 2021</w:t>
      </w:r>
      <w:r w:rsidR="00DD4A1C" w:rsidRPr="002E4BFA">
        <w:rPr>
          <w:rFonts w:ascii="Arial" w:hAnsi="Arial" w:cs="Arial"/>
          <w:lang w:val="en-GB"/>
        </w:rPr>
        <w:t>b</w:t>
      </w:r>
      <w:r w:rsidRPr="002E4BFA">
        <w:rPr>
          <w:rFonts w:ascii="Arial" w:hAnsi="Arial" w:cs="Arial"/>
          <w:lang w:val="en-GB"/>
        </w:rPr>
        <w:t xml:space="preserve">), the eco-social state would be the new institutional framework allowing the achievement of a just transition. Its notable difference to its </w:t>
      </w:r>
      <w:proofErr w:type="spellStart"/>
      <w:r w:rsidRPr="002E4BFA">
        <w:rPr>
          <w:rFonts w:ascii="Arial" w:hAnsi="Arial" w:cs="Arial"/>
          <w:lang w:val="en-GB"/>
        </w:rPr>
        <w:t>productivist</w:t>
      </w:r>
      <w:proofErr w:type="spellEnd"/>
      <w:r w:rsidRPr="002E4BFA">
        <w:rPr>
          <w:rFonts w:ascii="Arial" w:hAnsi="Arial" w:cs="Arial"/>
          <w:lang w:val="en-GB"/>
        </w:rPr>
        <w:t xml:space="preserve"> predecessor is that it would put human health and well-being at the centre of economic and social life instead of increasing production (aka growth). This touches upon a key ideological line of conflict in the debate, namely between those who think that growth can be generated without harming the environment versus those advocating a more radical paradigm shift towards an economy based on a decrease in output as measured by GDP (</w:t>
      </w:r>
      <w:proofErr w:type="spellStart"/>
      <w:r w:rsidRPr="002E4BFA">
        <w:rPr>
          <w:rFonts w:ascii="Arial" w:hAnsi="Arial" w:cs="Arial"/>
          <w:lang w:val="en-GB"/>
        </w:rPr>
        <w:t>Pochet</w:t>
      </w:r>
      <w:proofErr w:type="spellEnd"/>
      <w:r w:rsidRPr="002E4BFA">
        <w:rPr>
          <w:rFonts w:ascii="Arial" w:hAnsi="Arial" w:cs="Arial"/>
          <w:lang w:val="en-GB"/>
        </w:rPr>
        <w:t xml:space="preserve">, 2019: 309). There is not much debate over the EGD coming under the first vision since it is flagged as Europe’s new growth strategy (Sabato et al., 2021; </w:t>
      </w:r>
      <w:proofErr w:type="spellStart"/>
      <w:r w:rsidRPr="002E4BFA">
        <w:rPr>
          <w:rFonts w:ascii="Arial" w:hAnsi="Arial" w:cs="Arial"/>
          <w:lang w:val="en-GB"/>
        </w:rPr>
        <w:t>Munta,</w:t>
      </w:r>
      <w:proofErr w:type="spellEnd"/>
      <w:r w:rsidRPr="002E4BFA">
        <w:rPr>
          <w:rFonts w:ascii="Arial" w:hAnsi="Arial" w:cs="Arial"/>
          <w:lang w:val="en-GB"/>
        </w:rPr>
        <w:t xml:space="preserve"> 2020) rooted in the idea that:</w:t>
      </w:r>
    </w:p>
    <w:p w14:paraId="3D7DCB45" w14:textId="0D15D770" w:rsidR="00EA61C1" w:rsidRPr="002E4BFA" w:rsidRDefault="00EA61C1">
      <w:pPr>
        <w:spacing w:line="360" w:lineRule="auto"/>
        <w:ind w:left="708" w:firstLine="3"/>
        <w:jc w:val="left"/>
        <w:rPr>
          <w:rStyle w:val="A4"/>
          <w:rFonts w:ascii="Arial" w:hAnsi="Arial" w:cs="Arial"/>
          <w:sz w:val="24"/>
          <w:szCs w:val="24"/>
          <w:lang w:val="en-GB"/>
        </w:rPr>
      </w:pPr>
      <w:r w:rsidRPr="002E4BFA">
        <w:rPr>
          <w:rStyle w:val="A4"/>
          <w:rFonts w:ascii="Arial" w:hAnsi="Arial" w:cs="Arial"/>
          <w:sz w:val="24"/>
          <w:szCs w:val="24"/>
          <w:lang w:val="en-GB"/>
        </w:rPr>
        <w:t>‘</w:t>
      </w:r>
      <w:proofErr w:type="gramStart"/>
      <w:r w:rsidRPr="002E4BFA">
        <w:rPr>
          <w:rStyle w:val="A4"/>
          <w:rFonts w:ascii="Arial" w:hAnsi="Arial" w:cs="Arial"/>
          <w:sz w:val="24"/>
          <w:szCs w:val="24"/>
          <w:lang w:val="en-GB"/>
        </w:rPr>
        <w:t>transform</w:t>
      </w:r>
      <w:proofErr w:type="gramEnd"/>
      <w:r w:rsidRPr="002E4BFA">
        <w:rPr>
          <w:rStyle w:val="A4"/>
          <w:rFonts w:ascii="Arial" w:hAnsi="Arial" w:cs="Arial"/>
          <w:sz w:val="24"/>
          <w:szCs w:val="24"/>
          <w:lang w:val="en-GB"/>
        </w:rPr>
        <w:t>(</w:t>
      </w:r>
      <w:proofErr w:type="spellStart"/>
      <w:r w:rsidRPr="002E4BFA">
        <w:rPr>
          <w:rStyle w:val="A4"/>
          <w:rFonts w:ascii="Arial" w:hAnsi="Arial" w:cs="Arial"/>
          <w:i/>
          <w:iCs/>
          <w:sz w:val="24"/>
          <w:szCs w:val="24"/>
          <w:lang w:val="en-GB"/>
        </w:rPr>
        <w:t>ing</w:t>
      </w:r>
      <w:proofErr w:type="spellEnd"/>
      <w:r w:rsidRPr="002E4BFA">
        <w:rPr>
          <w:rStyle w:val="A4"/>
          <w:rFonts w:ascii="Arial" w:hAnsi="Arial" w:cs="Arial"/>
          <w:sz w:val="24"/>
          <w:szCs w:val="24"/>
          <w:lang w:val="en-GB"/>
        </w:rPr>
        <w:t>) the EU into a fair and prosperous society, with a modern, resource-efficient and com</w:t>
      </w:r>
      <w:r w:rsidRPr="002E4BFA">
        <w:rPr>
          <w:rStyle w:val="A4"/>
          <w:rFonts w:ascii="Arial" w:hAnsi="Arial" w:cs="Arial"/>
          <w:sz w:val="24"/>
          <w:szCs w:val="24"/>
          <w:lang w:val="en-GB"/>
        </w:rPr>
        <w:softHyphen/>
        <w:t>petitive economy where there are no net emissions of greenhouse gases in 2050 and where economic growth is decoupled from resource use.’ (European Commission, 2019</w:t>
      </w:r>
      <w:r w:rsidR="00DE6040" w:rsidRPr="002E4BFA">
        <w:rPr>
          <w:rStyle w:val="A4"/>
          <w:rFonts w:ascii="Arial" w:hAnsi="Arial" w:cs="Arial"/>
          <w:sz w:val="24"/>
          <w:szCs w:val="24"/>
          <w:lang w:val="en-GB"/>
        </w:rPr>
        <w:t>b</w:t>
      </w:r>
      <w:r w:rsidRPr="002E4BFA">
        <w:rPr>
          <w:rStyle w:val="A4"/>
          <w:rFonts w:ascii="Arial" w:hAnsi="Arial" w:cs="Arial"/>
          <w:sz w:val="24"/>
          <w:szCs w:val="24"/>
          <w:lang w:val="en-GB"/>
        </w:rPr>
        <w:t>)</w:t>
      </w:r>
    </w:p>
    <w:p w14:paraId="1DEBE0EC" w14:textId="55FB4CEA" w:rsidR="00EA61C1" w:rsidRPr="002E4BFA" w:rsidRDefault="00EA61C1" w:rsidP="00C6263F">
      <w:pPr>
        <w:spacing w:line="360" w:lineRule="auto"/>
        <w:jc w:val="left"/>
        <w:rPr>
          <w:rFonts w:ascii="Arial" w:hAnsi="Arial" w:cs="Arial"/>
          <w:lang w:val="en-GB"/>
        </w:rPr>
      </w:pPr>
      <w:r w:rsidRPr="002E4BFA">
        <w:rPr>
          <w:rFonts w:ascii="Arial" w:hAnsi="Arial" w:cs="Arial"/>
          <w:lang w:val="en-GB"/>
        </w:rPr>
        <w:t>The claim that</w:t>
      </w:r>
      <w:r w:rsidRPr="002E4BFA">
        <w:rPr>
          <w:rFonts w:ascii="Arial" w:hAnsi="Arial" w:cs="Arial"/>
          <w:i/>
          <w:lang w:val="en-GB"/>
        </w:rPr>
        <w:t xml:space="preserve"> decoupling</w:t>
      </w:r>
      <w:r w:rsidRPr="002E4BFA">
        <w:rPr>
          <w:rFonts w:ascii="Arial" w:hAnsi="Arial" w:cs="Arial"/>
          <w:lang w:val="en-GB"/>
        </w:rPr>
        <w:t xml:space="preserve"> </w:t>
      </w:r>
      <w:r w:rsidRPr="002E4BFA">
        <w:rPr>
          <w:rFonts w:ascii="Arial" w:hAnsi="Arial" w:cs="Arial"/>
        </w:rPr>
        <w:t>CO</w:t>
      </w:r>
      <w:r w:rsidRPr="002E4BFA">
        <w:rPr>
          <w:rFonts w:ascii="Arial" w:hAnsi="Arial" w:cs="Arial"/>
          <w:vertAlign w:val="subscript"/>
        </w:rPr>
        <w:t xml:space="preserve">2 </w:t>
      </w:r>
      <w:r w:rsidRPr="002E4BFA">
        <w:rPr>
          <w:rFonts w:ascii="Arial" w:hAnsi="Arial" w:cs="Arial"/>
          <w:lang w:val="en-GB"/>
        </w:rPr>
        <w:t xml:space="preserve">emissions from growth is possible is nevertheless contested. Based on up-to-date research, </w:t>
      </w:r>
      <w:proofErr w:type="spellStart"/>
      <w:r w:rsidR="007A2189" w:rsidRPr="002E4BFA">
        <w:rPr>
          <w:rFonts w:ascii="Arial" w:hAnsi="Arial" w:cs="Arial"/>
          <w:lang w:val="en-GB"/>
        </w:rPr>
        <w:t>Parrique</w:t>
      </w:r>
      <w:proofErr w:type="spellEnd"/>
      <w:r w:rsidR="007A2189" w:rsidRPr="002E4BFA">
        <w:rPr>
          <w:rFonts w:ascii="Arial" w:hAnsi="Arial" w:cs="Arial"/>
          <w:lang w:val="en-GB"/>
        </w:rPr>
        <w:t xml:space="preserve"> et al. (2019)</w:t>
      </w:r>
      <w:r w:rsidR="0024539C" w:rsidRPr="002E4BFA">
        <w:rPr>
          <w:rFonts w:ascii="Arial" w:hAnsi="Arial" w:cs="Arial"/>
          <w:lang w:val="en-GB"/>
        </w:rPr>
        <w:t xml:space="preserve"> </w:t>
      </w:r>
      <w:r w:rsidRPr="002E4BFA">
        <w:rPr>
          <w:rFonts w:ascii="Arial" w:hAnsi="Arial" w:cs="Arial"/>
          <w:lang w:val="en-GB"/>
        </w:rPr>
        <w:t xml:space="preserve">for instance concluded that the idea of achieving a decoupling is neither to be observed empirically nor likely to happen in the future. The promotion of ‘green growth’ can </w:t>
      </w:r>
      <w:r w:rsidRPr="002E4BFA">
        <w:rPr>
          <w:rFonts w:ascii="Arial" w:hAnsi="Arial" w:cs="Arial"/>
          <w:lang w:val="en-GB"/>
        </w:rPr>
        <w:lastRenderedPageBreak/>
        <w:t>therefore be seen as a deceptive vision impeding a genuine just transition and solely fostering the redeployment of capital (</w:t>
      </w:r>
      <w:proofErr w:type="spellStart"/>
      <w:r w:rsidRPr="002E4BFA">
        <w:rPr>
          <w:rFonts w:ascii="Arial" w:hAnsi="Arial" w:cs="Arial"/>
          <w:lang w:val="en-GB"/>
        </w:rPr>
        <w:t>Pistor</w:t>
      </w:r>
      <w:proofErr w:type="spellEnd"/>
      <w:r w:rsidRPr="002E4BFA">
        <w:rPr>
          <w:rFonts w:ascii="Arial" w:hAnsi="Arial" w:cs="Arial"/>
          <w:lang w:val="en-GB"/>
        </w:rPr>
        <w:t xml:space="preserve">, 2021). In a recent commentary inspired by </w:t>
      </w:r>
      <w:proofErr w:type="spellStart"/>
      <w:r w:rsidRPr="002E4BFA">
        <w:rPr>
          <w:rFonts w:ascii="Arial" w:hAnsi="Arial" w:cs="Arial"/>
          <w:lang w:val="en-GB"/>
        </w:rPr>
        <w:t>Esping</w:t>
      </w:r>
      <w:proofErr w:type="spellEnd"/>
      <w:r w:rsidRPr="002E4BFA">
        <w:rPr>
          <w:rFonts w:ascii="Arial" w:hAnsi="Arial" w:cs="Arial"/>
          <w:lang w:val="en-GB"/>
        </w:rPr>
        <w:t xml:space="preserve"> Andersen’s typology of European welfare states, Laurent (</w:t>
      </w:r>
      <w:r w:rsidR="007A26BE" w:rsidRPr="002E4BFA">
        <w:rPr>
          <w:rFonts w:ascii="Arial" w:hAnsi="Arial" w:cs="Arial"/>
          <w:lang w:val="en-GB"/>
        </w:rPr>
        <w:t>2021a</w:t>
      </w:r>
      <w:r w:rsidRPr="002E4BFA">
        <w:rPr>
          <w:rFonts w:ascii="Arial" w:hAnsi="Arial" w:cs="Arial"/>
          <w:lang w:val="en-GB"/>
        </w:rPr>
        <w:t xml:space="preserve">) reflects on types of emerging eco-social states and their distinct linkages between the environment, </w:t>
      </w:r>
      <w:proofErr w:type="gramStart"/>
      <w:r w:rsidRPr="002E4BFA">
        <w:rPr>
          <w:rFonts w:ascii="Arial" w:hAnsi="Arial" w:cs="Arial"/>
          <w:lang w:val="en-GB"/>
        </w:rPr>
        <w:t>markets</w:t>
      </w:r>
      <w:proofErr w:type="gramEnd"/>
      <w:r w:rsidRPr="002E4BFA">
        <w:rPr>
          <w:rFonts w:ascii="Arial" w:hAnsi="Arial" w:cs="Arial"/>
          <w:lang w:val="en-GB"/>
        </w:rPr>
        <w:t xml:space="preserve"> and society. He describes EU countries as converging on a model of ‘economic naturalism’, meaning that:</w:t>
      </w:r>
    </w:p>
    <w:p w14:paraId="7D2082D1" w14:textId="7E9D4FE1" w:rsidR="00EA61C1" w:rsidRPr="002E4BFA" w:rsidRDefault="00EA61C1" w:rsidP="00C6263F">
      <w:pPr>
        <w:spacing w:line="360" w:lineRule="auto"/>
        <w:ind w:left="708" w:firstLine="3"/>
        <w:jc w:val="left"/>
        <w:rPr>
          <w:rFonts w:ascii="Arial" w:hAnsi="Arial" w:cs="Arial"/>
          <w:lang w:val="en-GB"/>
        </w:rPr>
      </w:pPr>
      <w:r w:rsidRPr="002E4BFA">
        <w:rPr>
          <w:rFonts w:ascii="Arial" w:hAnsi="Arial" w:cs="Arial"/>
          <w:lang w:val="en-GB"/>
        </w:rPr>
        <w:t>‘Unable to define together a new social-ecological regime calibrated for the 21st century, they have opted for a naturalisation of the economic system they have built in common since the 1950s — notions borrowed from the living world, such as growth and competition, ending up governing human societies and social systems.’</w:t>
      </w:r>
    </w:p>
    <w:p w14:paraId="634777E5" w14:textId="582F05DF" w:rsidR="00EA61C1" w:rsidRPr="002E4BFA" w:rsidRDefault="00EA61C1" w:rsidP="00C6263F">
      <w:pPr>
        <w:spacing w:line="360" w:lineRule="auto"/>
        <w:jc w:val="left"/>
        <w:rPr>
          <w:rFonts w:ascii="Arial" w:hAnsi="Arial" w:cs="Arial"/>
          <w:lang w:val="en-GB"/>
        </w:rPr>
      </w:pPr>
      <w:r w:rsidRPr="002E4BFA">
        <w:rPr>
          <w:rFonts w:ascii="Arial" w:hAnsi="Arial" w:cs="Arial"/>
          <w:lang w:val="en-GB"/>
        </w:rPr>
        <w:t xml:space="preserve">This strongly suggests that Europe is trapped in a 20th-century </w:t>
      </w:r>
      <w:proofErr w:type="spellStart"/>
      <w:r w:rsidRPr="002E4BFA">
        <w:rPr>
          <w:rFonts w:ascii="Arial" w:hAnsi="Arial" w:cs="Arial"/>
          <w:lang w:val="en-GB"/>
        </w:rPr>
        <w:t>productivist</w:t>
      </w:r>
      <w:proofErr w:type="spellEnd"/>
      <w:r w:rsidRPr="002E4BFA">
        <w:rPr>
          <w:rFonts w:ascii="Arial" w:hAnsi="Arial" w:cs="Arial"/>
          <w:lang w:val="en-GB"/>
        </w:rPr>
        <w:t xml:space="preserve"> paradigm putting economic growth instead of welfare at the centre of human activity.</w:t>
      </w:r>
    </w:p>
    <w:p w14:paraId="47CF82A7" w14:textId="6EF19F58" w:rsidR="00EA61C1" w:rsidRPr="002E4BFA" w:rsidRDefault="00EA61C1" w:rsidP="00C6263F">
      <w:pPr>
        <w:spacing w:line="360" w:lineRule="auto"/>
        <w:jc w:val="left"/>
        <w:rPr>
          <w:rFonts w:ascii="Arial" w:hAnsi="Arial" w:cs="Arial"/>
          <w:b/>
          <w:lang w:val="en-GB"/>
        </w:rPr>
      </w:pPr>
      <w:r w:rsidRPr="002E4BFA">
        <w:rPr>
          <w:rFonts w:ascii="Arial" w:hAnsi="Arial" w:cs="Arial"/>
          <w:b/>
          <w:lang w:val="en-GB"/>
        </w:rPr>
        <w:t>Table 1. Paradigms for linkages between the environment, the economy and society.</w:t>
      </w:r>
    </w:p>
    <w:tbl>
      <w:tblPr>
        <w:tblStyle w:val="TableGrid"/>
        <w:tblW w:w="0" w:type="auto"/>
        <w:tblLook w:val="04A0" w:firstRow="1" w:lastRow="0" w:firstColumn="1" w:lastColumn="0" w:noHBand="0" w:noVBand="1"/>
      </w:tblPr>
      <w:tblGrid>
        <w:gridCol w:w="1775"/>
        <w:gridCol w:w="1764"/>
        <w:gridCol w:w="2522"/>
        <w:gridCol w:w="3001"/>
      </w:tblGrid>
      <w:tr w:rsidR="00EA61C1" w:rsidRPr="002E4BFA" w14:paraId="7F998A8F" w14:textId="77777777" w:rsidTr="004D148B">
        <w:tc>
          <w:tcPr>
            <w:tcW w:w="1795" w:type="dxa"/>
          </w:tcPr>
          <w:p w14:paraId="7ED4212C" w14:textId="77777777" w:rsidR="00EA61C1" w:rsidRPr="002E4BFA" w:rsidRDefault="00EA61C1" w:rsidP="00C6263F">
            <w:pPr>
              <w:spacing w:after="160" w:line="360" w:lineRule="auto"/>
              <w:jc w:val="left"/>
              <w:rPr>
                <w:rFonts w:ascii="Arial" w:hAnsi="Arial" w:cs="Arial"/>
                <w:lang w:val="en-GB"/>
              </w:rPr>
            </w:pPr>
          </w:p>
        </w:tc>
        <w:tc>
          <w:tcPr>
            <w:tcW w:w="1539" w:type="dxa"/>
          </w:tcPr>
          <w:p w14:paraId="2B099364" w14:textId="77777777" w:rsidR="00EA61C1" w:rsidRPr="002E4BFA" w:rsidRDefault="00EA61C1" w:rsidP="00C6263F">
            <w:pPr>
              <w:spacing w:after="160" w:line="360" w:lineRule="auto"/>
              <w:jc w:val="left"/>
              <w:rPr>
                <w:rFonts w:ascii="Arial" w:hAnsi="Arial" w:cs="Arial"/>
                <w:b/>
                <w:bCs/>
                <w:lang w:val="en-GB"/>
              </w:rPr>
            </w:pPr>
            <w:r w:rsidRPr="002E4BFA">
              <w:rPr>
                <w:rFonts w:ascii="Arial" w:hAnsi="Arial" w:cs="Arial"/>
                <w:b/>
                <w:bCs/>
                <w:lang w:val="en-GB"/>
              </w:rPr>
              <w:t xml:space="preserve">Productivism </w:t>
            </w:r>
          </w:p>
        </w:tc>
        <w:tc>
          <w:tcPr>
            <w:tcW w:w="2601" w:type="dxa"/>
          </w:tcPr>
          <w:p w14:paraId="2968274A" w14:textId="77777777" w:rsidR="00EA61C1" w:rsidRPr="002E4BFA" w:rsidRDefault="00EA61C1" w:rsidP="00C6263F">
            <w:pPr>
              <w:spacing w:after="160" w:line="360" w:lineRule="auto"/>
              <w:jc w:val="left"/>
              <w:rPr>
                <w:rFonts w:ascii="Arial" w:hAnsi="Arial" w:cs="Arial"/>
                <w:b/>
                <w:bCs/>
                <w:lang w:val="en-GB"/>
              </w:rPr>
            </w:pPr>
            <w:r w:rsidRPr="002E4BFA">
              <w:rPr>
                <w:rFonts w:ascii="Arial" w:hAnsi="Arial" w:cs="Arial"/>
                <w:b/>
                <w:bCs/>
                <w:lang w:val="en-GB"/>
              </w:rPr>
              <w:t>EU green transition</w:t>
            </w:r>
          </w:p>
        </w:tc>
        <w:tc>
          <w:tcPr>
            <w:tcW w:w="3127" w:type="dxa"/>
          </w:tcPr>
          <w:p w14:paraId="1BB8120F" w14:textId="77777777" w:rsidR="00EA61C1" w:rsidRPr="002E4BFA" w:rsidRDefault="00EA61C1" w:rsidP="00C6263F">
            <w:pPr>
              <w:spacing w:after="160" w:line="360" w:lineRule="auto"/>
              <w:jc w:val="left"/>
              <w:rPr>
                <w:rFonts w:ascii="Arial" w:hAnsi="Arial" w:cs="Arial"/>
                <w:b/>
                <w:bCs/>
                <w:lang w:val="en-GB"/>
              </w:rPr>
            </w:pPr>
            <w:r w:rsidRPr="002E4BFA">
              <w:rPr>
                <w:rFonts w:ascii="Arial" w:hAnsi="Arial" w:cs="Arial"/>
                <w:b/>
                <w:bCs/>
                <w:lang w:val="en-GB"/>
              </w:rPr>
              <w:t>Just transition</w:t>
            </w:r>
          </w:p>
        </w:tc>
      </w:tr>
      <w:tr w:rsidR="00EA61C1" w:rsidRPr="002E4BFA" w14:paraId="44FC3963" w14:textId="77777777" w:rsidTr="004D148B">
        <w:tc>
          <w:tcPr>
            <w:tcW w:w="1795" w:type="dxa"/>
          </w:tcPr>
          <w:p w14:paraId="40658A3C" w14:textId="77777777" w:rsidR="00EA61C1" w:rsidRPr="002E4BFA" w:rsidRDefault="00EA61C1" w:rsidP="00C6263F">
            <w:pPr>
              <w:spacing w:after="160" w:line="360" w:lineRule="auto"/>
              <w:jc w:val="left"/>
              <w:rPr>
                <w:rFonts w:ascii="Arial" w:hAnsi="Arial" w:cs="Arial"/>
                <w:b/>
                <w:bCs/>
                <w:i/>
                <w:iCs/>
                <w:lang w:val="en-GB"/>
              </w:rPr>
            </w:pPr>
            <w:r w:rsidRPr="002E4BFA">
              <w:rPr>
                <w:rFonts w:ascii="Arial" w:hAnsi="Arial" w:cs="Arial"/>
                <w:b/>
                <w:bCs/>
                <w:i/>
                <w:iCs/>
                <w:lang w:val="en-GB"/>
              </w:rPr>
              <w:t>Primary driving principle</w:t>
            </w:r>
          </w:p>
        </w:tc>
        <w:tc>
          <w:tcPr>
            <w:tcW w:w="1539" w:type="dxa"/>
            <w:vAlign w:val="center"/>
          </w:tcPr>
          <w:p w14:paraId="1274E40F"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Economic growth</w:t>
            </w:r>
          </w:p>
        </w:tc>
        <w:tc>
          <w:tcPr>
            <w:tcW w:w="2601" w:type="dxa"/>
            <w:vAlign w:val="center"/>
          </w:tcPr>
          <w:p w14:paraId="295DD922"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Green growth</w:t>
            </w:r>
          </w:p>
        </w:tc>
        <w:tc>
          <w:tcPr>
            <w:tcW w:w="3127" w:type="dxa"/>
            <w:vAlign w:val="center"/>
          </w:tcPr>
          <w:p w14:paraId="105FC459" w14:textId="0ADAD06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Human health and well-being in a preserved environment</w:t>
            </w:r>
          </w:p>
        </w:tc>
      </w:tr>
      <w:tr w:rsidR="00EA61C1" w:rsidRPr="002E4BFA" w14:paraId="5A68A608" w14:textId="77777777" w:rsidTr="004D148B">
        <w:tc>
          <w:tcPr>
            <w:tcW w:w="1795" w:type="dxa"/>
          </w:tcPr>
          <w:p w14:paraId="1B326781" w14:textId="77777777" w:rsidR="00EA61C1" w:rsidRPr="002E4BFA" w:rsidRDefault="00EA61C1" w:rsidP="00C6263F">
            <w:pPr>
              <w:spacing w:after="160" w:line="360" w:lineRule="auto"/>
              <w:jc w:val="left"/>
              <w:rPr>
                <w:rFonts w:ascii="Arial" w:hAnsi="Arial" w:cs="Arial"/>
                <w:b/>
                <w:bCs/>
                <w:i/>
                <w:iCs/>
                <w:lang w:val="en-GB"/>
              </w:rPr>
            </w:pPr>
            <w:r w:rsidRPr="002E4BFA">
              <w:rPr>
                <w:rFonts w:ascii="Arial" w:hAnsi="Arial" w:cs="Arial"/>
                <w:b/>
                <w:bCs/>
                <w:i/>
                <w:iCs/>
                <w:lang w:val="en-GB"/>
              </w:rPr>
              <w:t xml:space="preserve">Institutional framework for social justice </w:t>
            </w:r>
          </w:p>
        </w:tc>
        <w:tc>
          <w:tcPr>
            <w:tcW w:w="1539" w:type="dxa"/>
            <w:vAlign w:val="center"/>
          </w:tcPr>
          <w:p w14:paraId="77B97FD9"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Welfare state</w:t>
            </w:r>
          </w:p>
        </w:tc>
        <w:tc>
          <w:tcPr>
            <w:tcW w:w="2601" w:type="dxa"/>
            <w:vAlign w:val="center"/>
          </w:tcPr>
          <w:p w14:paraId="226AACAF"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Investment state</w:t>
            </w:r>
          </w:p>
        </w:tc>
        <w:tc>
          <w:tcPr>
            <w:tcW w:w="3127" w:type="dxa"/>
            <w:vAlign w:val="center"/>
          </w:tcPr>
          <w:p w14:paraId="716F6AFF" w14:textId="501F7D43"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Eco-social state</w:t>
            </w:r>
          </w:p>
        </w:tc>
      </w:tr>
      <w:tr w:rsidR="00EA61C1" w:rsidRPr="002E4BFA" w14:paraId="11783251" w14:textId="77777777" w:rsidTr="004D148B">
        <w:tc>
          <w:tcPr>
            <w:tcW w:w="1795" w:type="dxa"/>
          </w:tcPr>
          <w:p w14:paraId="7BB6623C" w14:textId="77777777" w:rsidR="00EA61C1" w:rsidRPr="002E4BFA" w:rsidRDefault="00EA61C1" w:rsidP="00C6263F">
            <w:pPr>
              <w:spacing w:after="160" w:line="360" w:lineRule="auto"/>
              <w:jc w:val="left"/>
              <w:rPr>
                <w:rFonts w:ascii="Arial" w:hAnsi="Arial" w:cs="Arial"/>
                <w:b/>
                <w:bCs/>
                <w:i/>
                <w:iCs/>
                <w:lang w:val="en-GB"/>
              </w:rPr>
            </w:pPr>
            <w:r w:rsidRPr="002E4BFA">
              <w:rPr>
                <w:rFonts w:ascii="Arial" w:hAnsi="Arial" w:cs="Arial"/>
                <w:b/>
                <w:bCs/>
                <w:i/>
                <w:iCs/>
                <w:lang w:val="en-GB"/>
              </w:rPr>
              <w:t xml:space="preserve">Main source of social risks </w:t>
            </w:r>
          </w:p>
        </w:tc>
        <w:tc>
          <w:tcPr>
            <w:tcW w:w="1539" w:type="dxa"/>
            <w:vAlign w:val="center"/>
          </w:tcPr>
          <w:p w14:paraId="1EE39621" w14:textId="55CD967F"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Production/the labour market</w:t>
            </w:r>
          </w:p>
        </w:tc>
        <w:tc>
          <w:tcPr>
            <w:tcW w:w="2601" w:type="dxa"/>
            <w:vAlign w:val="center"/>
          </w:tcPr>
          <w:p w14:paraId="1C032D0F"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Climate change and environmental degradation</w:t>
            </w:r>
          </w:p>
        </w:tc>
        <w:tc>
          <w:tcPr>
            <w:tcW w:w="3127" w:type="dxa"/>
            <w:vAlign w:val="center"/>
          </w:tcPr>
          <w:p w14:paraId="40E44D59"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Climate change and environmental degradation</w:t>
            </w:r>
          </w:p>
        </w:tc>
      </w:tr>
      <w:tr w:rsidR="00EA61C1" w:rsidRPr="002E4BFA" w14:paraId="5F2462C9" w14:textId="77777777" w:rsidTr="004D148B">
        <w:tc>
          <w:tcPr>
            <w:tcW w:w="1795" w:type="dxa"/>
          </w:tcPr>
          <w:p w14:paraId="4B2EFEE1" w14:textId="77777777" w:rsidR="00EA61C1" w:rsidRPr="002E4BFA" w:rsidRDefault="00EA61C1" w:rsidP="00C6263F">
            <w:pPr>
              <w:spacing w:after="160" w:line="360" w:lineRule="auto"/>
              <w:jc w:val="left"/>
              <w:rPr>
                <w:rFonts w:ascii="Arial" w:hAnsi="Arial" w:cs="Arial"/>
                <w:b/>
                <w:bCs/>
                <w:i/>
                <w:iCs/>
                <w:lang w:val="en-GB"/>
              </w:rPr>
            </w:pPr>
            <w:r w:rsidRPr="002E4BFA">
              <w:rPr>
                <w:rFonts w:ascii="Arial" w:hAnsi="Arial" w:cs="Arial"/>
                <w:b/>
                <w:bCs/>
                <w:i/>
                <w:iCs/>
                <w:lang w:val="en-GB"/>
              </w:rPr>
              <w:t xml:space="preserve">Politics </w:t>
            </w:r>
          </w:p>
        </w:tc>
        <w:tc>
          <w:tcPr>
            <w:tcW w:w="1539" w:type="dxa"/>
            <w:vAlign w:val="center"/>
          </w:tcPr>
          <w:p w14:paraId="64F4D314"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Left-right</w:t>
            </w:r>
          </w:p>
          <w:p w14:paraId="1F52A233"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Essentially national</w:t>
            </w:r>
          </w:p>
          <w:p w14:paraId="402542A3" w14:textId="0779C481"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lastRenderedPageBreak/>
              <w:t>Top-down</w:t>
            </w:r>
          </w:p>
        </w:tc>
        <w:tc>
          <w:tcPr>
            <w:tcW w:w="2601" w:type="dxa"/>
            <w:vAlign w:val="center"/>
          </w:tcPr>
          <w:p w14:paraId="707A4552"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lastRenderedPageBreak/>
              <w:t>Left-right</w:t>
            </w:r>
          </w:p>
          <w:p w14:paraId="1DC26063" w14:textId="46D3580D"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Net contributors vs. net beneficiaries</w:t>
            </w:r>
          </w:p>
          <w:p w14:paraId="44F88AB5" w14:textId="6BB01122"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lastRenderedPageBreak/>
              <w:t>National vs. EU</w:t>
            </w:r>
          </w:p>
          <w:p w14:paraId="0DEE2C4E" w14:textId="65744E78"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Multi-level/top-down</w:t>
            </w:r>
          </w:p>
        </w:tc>
        <w:tc>
          <w:tcPr>
            <w:tcW w:w="3127" w:type="dxa"/>
            <w:vAlign w:val="center"/>
          </w:tcPr>
          <w:p w14:paraId="05266B0E" w14:textId="77777777"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lastRenderedPageBreak/>
              <w:t>Multi-level</w:t>
            </w:r>
          </w:p>
          <w:p w14:paraId="2DE5ACD6" w14:textId="451D41B9" w:rsidR="00EA61C1" w:rsidRPr="002E4BFA" w:rsidRDefault="00EA61C1" w:rsidP="00C6263F">
            <w:pPr>
              <w:spacing w:after="160" w:line="360" w:lineRule="auto"/>
              <w:jc w:val="left"/>
              <w:rPr>
                <w:rFonts w:ascii="Arial" w:hAnsi="Arial" w:cs="Arial"/>
                <w:lang w:val="en-GB"/>
              </w:rPr>
            </w:pPr>
            <w:r w:rsidRPr="002E4BFA">
              <w:rPr>
                <w:rFonts w:ascii="Arial" w:hAnsi="Arial" w:cs="Arial"/>
                <w:lang w:val="en-GB"/>
              </w:rPr>
              <w:t>Top-down and bottom-up – Social consensus</w:t>
            </w:r>
          </w:p>
        </w:tc>
      </w:tr>
    </w:tbl>
    <w:p w14:paraId="11EE9915" w14:textId="77777777" w:rsidR="00EA61C1" w:rsidRPr="002E4BFA" w:rsidRDefault="00EA61C1" w:rsidP="00C6263F">
      <w:pPr>
        <w:spacing w:line="360" w:lineRule="auto"/>
        <w:jc w:val="left"/>
        <w:rPr>
          <w:rFonts w:ascii="Arial" w:hAnsi="Arial" w:cs="Arial"/>
          <w:bCs/>
          <w:lang w:val="en-GB"/>
        </w:rPr>
      </w:pPr>
      <w:r w:rsidRPr="002E4BFA">
        <w:rPr>
          <w:rFonts w:ascii="Arial" w:hAnsi="Arial" w:cs="Arial"/>
          <w:bCs/>
          <w:lang w:val="en-GB"/>
        </w:rPr>
        <w:t>Source: Authors’ own compilation.</w:t>
      </w:r>
    </w:p>
    <w:p w14:paraId="097368DD" w14:textId="77777777" w:rsidR="00EA61C1" w:rsidRPr="002E4BFA" w:rsidRDefault="00EA61C1" w:rsidP="00C6263F">
      <w:pPr>
        <w:spacing w:line="360" w:lineRule="auto"/>
        <w:jc w:val="left"/>
        <w:rPr>
          <w:rFonts w:ascii="Arial" w:hAnsi="Arial" w:cs="Arial"/>
          <w:lang w:val="en-GB"/>
        </w:rPr>
      </w:pPr>
    </w:p>
    <w:p w14:paraId="2B8A9C89" w14:textId="6DEDEFB4"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In a nutshell, deep political lines of conflicts are behind the façade of the EU’s seemingly voluntarist agenda. For those embracing a more radical just transition vision, it ‘should not simply be a new growth strategy, as the Commission claims, but should serve as a </w:t>
      </w:r>
      <w:r w:rsidRPr="002E4BFA">
        <w:rPr>
          <w:rFonts w:ascii="Arial" w:hAnsi="Arial" w:cs="Arial"/>
          <w:i/>
          <w:lang w:val="en-GB"/>
        </w:rPr>
        <w:t>new and equitable social contract</w:t>
      </w:r>
      <w:r w:rsidRPr="002E4BFA">
        <w:rPr>
          <w:rFonts w:ascii="Arial" w:hAnsi="Arial" w:cs="Arial"/>
          <w:lang w:val="en-GB"/>
        </w:rPr>
        <w:t xml:space="preserve"> between society, the economy, and our living planet’ (Matthieu, 2022: 152). Way beyond targeted and small-scale mechanisms for compensating or buffering the negative distributive effects of transition policies, issues of fiscal justice will play a key role. As underlined by Matthieu, this raises the question of the limited competences of the EU in the fiscal and social realm and its historically entrenched bias towards market-based solutions. There is thus a high risk of the EU’s just transition model ending up as an ‘incremental reform’ with narrow distributional impacts or as a ‘top-down transition’ involving only a limited number of stakeholders as opposed to more inclusive and transformative forms of transition (</w:t>
      </w:r>
      <w:proofErr w:type="spellStart"/>
      <w:r w:rsidRPr="002E4BFA">
        <w:rPr>
          <w:rFonts w:ascii="Arial" w:hAnsi="Arial" w:cs="Arial"/>
          <w:lang w:val="en-GB"/>
        </w:rPr>
        <w:t>Holemans</w:t>
      </w:r>
      <w:proofErr w:type="spellEnd"/>
      <w:r w:rsidRPr="002E4BFA">
        <w:rPr>
          <w:rFonts w:ascii="Arial" w:hAnsi="Arial" w:cs="Arial"/>
          <w:lang w:val="en-GB"/>
        </w:rPr>
        <w:t xml:space="preserve"> and </w:t>
      </w:r>
      <w:proofErr w:type="spellStart"/>
      <w:r w:rsidRPr="002E4BFA">
        <w:rPr>
          <w:rFonts w:ascii="Arial" w:hAnsi="Arial" w:cs="Arial"/>
          <w:lang w:val="en-GB"/>
        </w:rPr>
        <w:t>Volo</w:t>
      </w:r>
      <w:r w:rsidR="009A3ADE" w:rsidRPr="002E4BFA">
        <w:rPr>
          <w:rFonts w:ascii="Arial" w:hAnsi="Arial" w:cs="Arial"/>
          <w:lang w:val="en-GB"/>
        </w:rPr>
        <w:t>d</w:t>
      </w:r>
      <w:r w:rsidRPr="002E4BFA">
        <w:rPr>
          <w:rFonts w:ascii="Arial" w:hAnsi="Arial" w:cs="Arial"/>
          <w:lang w:val="en-GB"/>
        </w:rPr>
        <w:t>chenko</w:t>
      </w:r>
      <w:proofErr w:type="spellEnd"/>
      <w:r w:rsidRPr="002E4BFA">
        <w:rPr>
          <w:rFonts w:ascii="Arial" w:hAnsi="Arial" w:cs="Arial"/>
          <w:lang w:val="en-GB"/>
        </w:rPr>
        <w:t xml:space="preserve">, 2022: 41).  </w:t>
      </w:r>
    </w:p>
    <w:p w14:paraId="7FA3FAB9" w14:textId="230D9634"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Two years after adoption of the EGD, the following question is therefore more acute than ever: To what extent does the emerging EU transition model provide an integrated response to intertwined social justice issues and the green transition of the economy? A good starting point lies in the social issues set to be exacerbated by the green transition. A summary (albeit not exhaustive) of the existing literature points to three key aspects (</w:t>
      </w:r>
      <w:proofErr w:type="spellStart"/>
      <w:r w:rsidRPr="002E4BFA">
        <w:rPr>
          <w:rFonts w:ascii="Arial" w:hAnsi="Arial" w:cs="Arial"/>
          <w:lang w:val="en-GB"/>
        </w:rPr>
        <w:t>Crespy</w:t>
      </w:r>
      <w:proofErr w:type="spellEnd"/>
      <w:r w:rsidRPr="002E4BFA">
        <w:rPr>
          <w:rFonts w:ascii="Arial" w:hAnsi="Arial" w:cs="Arial"/>
          <w:lang w:val="en-GB"/>
        </w:rPr>
        <w:t xml:space="preserve">, 2022: 202–204): </w:t>
      </w:r>
    </w:p>
    <w:p w14:paraId="50D68BEF" w14:textId="5B48056E" w:rsidR="00EA61C1" w:rsidRPr="002E4BFA" w:rsidRDefault="00EA61C1" w:rsidP="00C6263F">
      <w:pPr>
        <w:pStyle w:val="ListParagraph"/>
        <w:numPr>
          <w:ilvl w:val="1"/>
          <w:numId w:val="2"/>
        </w:numPr>
        <w:spacing w:line="360" w:lineRule="auto"/>
        <w:jc w:val="left"/>
        <w:rPr>
          <w:rFonts w:ascii="Arial" w:hAnsi="Arial" w:cs="Arial"/>
          <w:lang w:val="en-GB"/>
        </w:rPr>
      </w:pPr>
      <w:r w:rsidRPr="002E4BFA">
        <w:rPr>
          <w:rFonts w:ascii="Arial" w:hAnsi="Arial" w:cs="Arial"/>
          <w:lang w:val="en-GB"/>
        </w:rPr>
        <w:t>The unequally distributed generation of carbon emissions, the unequal distribution of environmental risks (especially related to health, quality of life, energy poverty</w:t>
      </w:r>
      <w:proofErr w:type="gramStart"/>
      <w:r w:rsidRPr="002E4BFA">
        <w:rPr>
          <w:rFonts w:ascii="Arial" w:hAnsi="Arial" w:cs="Arial"/>
          <w:lang w:val="en-GB"/>
        </w:rPr>
        <w:t>);</w:t>
      </w:r>
      <w:proofErr w:type="gramEnd"/>
      <w:r w:rsidRPr="002E4BFA">
        <w:rPr>
          <w:rFonts w:ascii="Arial" w:hAnsi="Arial" w:cs="Arial"/>
          <w:lang w:val="en-GB"/>
        </w:rPr>
        <w:t xml:space="preserve"> </w:t>
      </w:r>
    </w:p>
    <w:p w14:paraId="51C32C0F" w14:textId="66152572" w:rsidR="00EA61C1" w:rsidRPr="002E4BFA" w:rsidRDefault="00EA61C1" w:rsidP="00C6263F">
      <w:pPr>
        <w:pStyle w:val="ListParagraph"/>
        <w:numPr>
          <w:ilvl w:val="1"/>
          <w:numId w:val="2"/>
        </w:numPr>
        <w:spacing w:line="360" w:lineRule="auto"/>
        <w:jc w:val="left"/>
        <w:rPr>
          <w:rFonts w:ascii="Arial" w:hAnsi="Arial" w:cs="Arial"/>
          <w:lang w:val="en-GB"/>
        </w:rPr>
      </w:pPr>
      <w:r w:rsidRPr="002E4BFA">
        <w:rPr>
          <w:rFonts w:ascii="Arial" w:hAnsi="Arial" w:cs="Arial"/>
          <w:lang w:val="en-GB"/>
        </w:rPr>
        <w:t xml:space="preserve">the destruction of employment in sectors set to be decarbonised and the possibility of quality employment in new green </w:t>
      </w:r>
      <w:proofErr w:type="gramStart"/>
      <w:r w:rsidRPr="002E4BFA">
        <w:rPr>
          <w:rFonts w:ascii="Arial" w:hAnsi="Arial" w:cs="Arial"/>
          <w:lang w:val="en-GB"/>
        </w:rPr>
        <w:t>sectors;</w:t>
      </w:r>
      <w:proofErr w:type="gramEnd"/>
    </w:p>
    <w:p w14:paraId="477E2C4B" w14:textId="496EB4D4" w:rsidR="00EA61C1" w:rsidRPr="002E4BFA" w:rsidRDefault="00EA61C1" w:rsidP="00C6263F">
      <w:pPr>
        <w:pStyle w:val="ListParagraph"/>
        <w:numPr>
          <w:ilvl w:val="1"/>
          <w:numId w:val="2"/>
        </w:numPr>
        <w:spacing w:line="360" w:lineRule="auto"/>
        <w:jc w:val="left"/>
        <w:rPr>
          <w:rFonts w:ascii="Arial" w:hAnsi="Arial" w:cs="Arial"/>
          <w:lang w:val="en-GB"/>
        </w:rPr>
      </w:pPr>
      <w:r w:rsidRPr="002E4BFA">
        <w:rPr>
          <w:rFonts w:ascii="Arial" w:hAnsi="Arial" w:cs="Arial"/>
          <w:lang w:val="en-GB"/>
        </w:rPr>
        <w:t>the lack of social justice and the unequally distributed financial burden implied by the green transition, as well as the unequal fiscal capacity to invest in the technical means available to mitigate the problems.</w:t>
      </w:r>
    </w:p>
    <w:p w14:paraId="4E7601DA" w14:textId="52634D8D" w:rsidR="00EA61C1" w:rsidRPr="002E4BFA" w:rsidRDefault="00EA61C1" w:rsidP="00C6263F">
      <w:pPr>
        <w:spacing w:line="360" w:lineRule="auto"/>
        <w:jc w:val="left"/>
        <w:rPr>
          <w:rFonts w:ascii="Arial" w:hAnsi="Arial" w:cs="Arial"/>
          <w:lang w:val="en-GB"/>
        </w:rPr>
      </w:pPr>
      <w:r w:rsidRPr="002E4BFA">
        <w:rPr>
          <w:rFonts w:ascii="Arial" w:hAnsi="Arial" w:cs="Arial"/>
          <w:lang w:val="en-GB"/>
        </w:rPr>
        <w:lastRenderedPageBreak/>
        <w:t xml:space="preserve">All three issues can potentially lead to an increase in inequality in terms of health (and life expectancy), well-being and income. They therefore also bring about new distributional and political conflicts. </w:t>
      </w:r>
    </w:p>
    <w:p w14:paraId="2031E269" w14:textId="77777777" w:rsidR="00EA61C1" w:rsidRPr="002E4BFA" w:rsidRDefault="00EA61C1" w:rsidP="00C6263F">
      <w:pPr>
        <w:spacing w:line="360" w:lineRule="auto"/>
        <w:jc w:val="left"/>
        <w:rPr>
          <w:rFonts w:ascii="Arial" w:hAnsi="Arial" w:cs="Arial"/>
          <w:lang w:val="en-GB"/>
        </w:rPr>
      </w:pPr>
    </w:p>
    <w:p w14:paraId="34C7A44C" w14:textId="77777777" w:rsidR="00EA61C1" w:rsidRPr="002E4BFA" w:rsidRDefault="00EA61C1" w:rsidP="00C6263F">
      <w:pPr>
        <w:pStyle w:val="ListParagraph"/>
        <w:numPr>
          <w:ilvl w:val="0"/>
          <w:numId w:val="1"/>
        </w:numPr>
        <w:spacing w:line="360" w:lineRule="auto"/>
        <w:jc w:val="left"/>
        <w:rPr>
          <w:rFonts w:ascii="Arial" w:hAnsi="Arial" w:cs="Arial"/>
          <w:lang w:val="en-GB"/>
        </w:rPr>
      </w:pPr>
      <w:r w:rsidRPr="002E4BFA">
        <w:rPr>
          <w:rFonts w:ascii="Arial" w:hAnsi="Arial" w:cs="Arial"/>
          <w:b/>
          <w:lang w:val="en-GB"/>
        </w:rPr>
        <w:t>The Just Transition Fund: innovation or cohesion business as usual?</w:t>
      </w:r>
    </w:p>
    <w:p w14:paraId="69F6BC64" w14:textId="467AF3EC" w:rsidR="00EA61C1" w:rsidRPr="002E4BFA" w:rsidRDefault="00EA61C1" w:rsidP="00C6263F">
      <w:pPr>
        <w:spacing w:line="360" w:lineRule="auto"/>
        <w:jc w:val="left"/>
        <w:rPr>
          <w:rFonts w:ascii="Arial" w:hAnsi="Arial" w:cs="Arial"/>
          <w:lang w:val="en-GB"/>
        </w:rPr>
      </w:pPr>
      <w:r w:rsidRPr="002E4BFA">
        <w:rPr>
          <w:rFonts w:ascii="Arial" w:hAnsi="Arial" w:cs="Arial"/>
          <w:lang w:val="en-GB"/>
        </w:rPr>
        <w:t xml:space="preserve">The publication of the EGD in December 2019 was characterised by many observers as a potentially transformative moment for sustainable development in the EU (Dupont et al., 2020; Sabato and </w:t>
      </w:r>
      <w:proofErr w:type="spellStart"/>
      <w:r w:rsidRPr="002E4BFA">
        <w:rPr>
          <w:rFonts w:ascii="Arial" w:hAnsi="Arial" w:cs="Arial"/>
          <w:lang w:val="en-GB"/>
        </w:rPr>
        <w:t>Fronteddu</w:t>
      </w:r>
      <w:proofErr w:type="spellEnd"/>
      <w:r w:rsidRPr="002E4BFA">
        <w:rPr>
          <w:rFonts w:ascii="Arial" w:hAnsi="Arial" w:cs="Arial"/>
          <w:lang w:val="en-GB"/>
        </w:rPr>
        <w:t>, 202</w:t>
      </w:r>
      <w:r w:rsidR="007A2189" w:rsidRPr="002E4BFA">
        <w:rPr>
          <w:rFonts w:ascii="Arial" w:hAnsi="Arial" w:cs="Arial"/>
          <w:lang w:val="en-GB"/>
        </w:rPr>
        <w:t>0</w:t>
      </w:r>
      <w:r w:rsidRPr="002E4BFA">
        <w:rPr>
          <w:rFonts w:ascii="Arial" w:hAnsi="Arial" w:cs="Arial"/>
          <w:lang w:val="en-GB"/>
        </w:rPr>
        <w:t xml:space="preserve">; Dupont and Jordan, 2021). The EGD sets out a carbon-neutral future for the EU by 2050, for the first time putting climate and environmental concerns at the centre of EU medium- to long-term strategic thinking through designating them as </w:t>
      </w:r>
      <w:proofErr w:type="gramStart"/>
      <w:r w:rsidRPr="002E4BFA">
        <w:rPr>
          <w:rFonts w:ascii="Arial" w:hAnsi="Arial" w:cs="Arial"/>
          <w:lang w:val="en-GB"/>
        </w:rPr>
        <w:t>‘ [</w:t>
      </w:r>
      <w:proofErr w:type="gramEnd"/>
      <w:r w:rsidRPr="002E4BFA">
        <w:rPr>
          <w:rFonts w:ascii="Arial" w:hAnsi="Arial" w:cs="Arial"/>
          <w:lang w:val="en-GB"/>
        </w:rPr>
        <w:t>…] this generation’s defining task’ (European Commission, 2019</w:t>
      </w:r>
      <w:r w:rsidR="00DE6040" w:rsidRPr="002E4BFA">
        <w:rPr>
          <w:rFonts w:ascii="Arial" w:hAnsi="Arial" w:cs="Arial"/>
          <w:lang w:val="en-GB"/>
        </w:rPr>
        <w:t>b</w:t>
      </w:r>
      <w:r w:rsidRPr="002E4BFA">
        <w:rPr>
          <w:rFonts w:ascii="Arial" w:hAnsi="Arial" w:cs="Arial"/>
          <w:lang w:val="en-GB"/>
        </w:rPr>
        <w:t>). The EGD is also the EU’s new growth strategy, embracing the notion of green growth as the economic model of choice – fighting climate change and protecting the environment whilst achieving economic growth through modernisation (</w:t>
      </w:r>
      <w:proofErr w:type="spellStart"/>
      <w:r w:rsidRPr="002E4BFA">
        <w:rPr>
          <w:rFonts w:ascii="Arial" w:hAnsi="Arial" w:cs="Arial"/>
          <w:lang w:val="en-GB"/>
        </w:rPr>
        <w:t>Dryzek</w:t>
      </w:r>
      <w:proofErr w:type="spellEnd"/>
      <w:r w:rsidRPr="002E4BFA">
        <w:rPr>
          <w:rFonts w:ascii="Arial" w:hAnsi="Arial" w:cs="Arial"/>
          <w:lang w:val="en-GB"/>
        </w:rPr>
        <w:t xml:space="preserve">, 2013). However, the EGD, at least rhetorically, also seeks to achieve a balance between economic, </w:t>
      </w:r>
      <w:proofErr w:type="gramStart"/>
      <w:r w:rsidRPr="002E4BFA">
        <w:rPr>
          <w:rFonts w:ascii="Arial" w:hAnsi="Arial" w:cs="Arial"/>
          <w:lang w:val="en-GB"/>
        </w:rPr>
        <w:t>environmental</w:t>
      </w:r>
      <w:proofErr w:type="gramEnd"/>
      <w:r w:rsidRPr="002E4BFA">
        <w:rPr>
          <w:rFonts w:ascii="Arial" w:hAnsi="Arial" w:cs="Arial"/>
          <w:lang w:val="en-GB"/>
        </w:rPr>
        <w:t xml:space="preserve"> and social objectives in a comprehensive way, taking account of their interconnectedness, exploiting synergies and identifying trade-offs between different policies (European Commission, 2019</w:t>
      </w:r>
      <w:r w:rsidR="00816160" w:rsidRPr="002E4BFA">
        <w:rPr>
          <w:rFonts w:ascii="Arial" w:hAnsi="Arial" w:cs="Arial"/>
          <w:lang w:val="en-GB"/>
        </w:rPr>
        <w:t>b</w:t>
      </w:r>
      <w:r w:rsidRPr="002E4BFA">
        <w:rPr>
          <w:rFonts w:ascii="Arial" w:hAnsi="Arial" w:cs="Arial"/>
          <w:lang w:val="en-GB"/>
        </w:rPr>
        <w:t xml:space="preserve">: 3). One of the EGD’s underlying elements is its promise to ‘leave no one behind’ and to take account of the negative social consequences of greening the economy. To address the socio-ecological challenges stemming from </w:t>
      </w:r>
      <w:proofErr w:type="gramStart"/>
      <w:r w:rsidRPr="002E4BFA">
        <w:rPr>
          <w:rFonts w:ascii="Arial" w:hAnsi="Arial" w:cs="Arial"/>
          <w:lang w:val="en-GB"/>
        </w:rPr>
        <w:t>‘</w:t>
      </w:r>
      <w:r w:rsidR="00F55415" w:rsidRPr="002E4BFA">
        <w:rPr>
          <w:rFonts w:ascii="Arial" w:hAnsi="Arial" w:cs="Arial"/>
          <w:lang w:val="en-GB"/>
        </w:rPr>
        <w:t xml:space="preserve"> </w:t>
      </w:r>
      <w:r w:rsidRPr="002E4BFA">
        <w:rPr>
          <w:rFonts w:ascii="Arial" w:hAnsi="Arial" w:cs="Arial"/>
          <w:lang w:val="en-GB"/>
        </w:rPr>
        <w:t>[</w:t>
      </w:r>
      <w:proofErr w:type="gramEnd"/>
      <w:r w:rsidRPr="002E4BFA">
        <w:rPr>
          <w:rFonts w:ascii="Arial" w:hAnsi="Arial" w:cs="Arial"/>
          <w:lang w:val="en-GB"/>
        </w:rPr>
        <w:t>…] significant changes in business models, skill requirements and relative prices’ (European Commission, 2019</w:t>
      </w:r>
      <w:r w:rsidR="00531F22" w:rsidRPr="002E4BFA">
        <w:rPr>
          <w:rFonts w:ascii="Arial" w:hAnsi="Arial" w:cs="Arial"/>
          <w:lang w:val="en-GB"/>
        </w:rPr>
        <w:t>b</w:t>
      </w:r>
      <w:r w:rsidRPr="002E4BFA">
        <w:rPr>
          <w:rFonts w:ascii="Arial" w:hAnsi="Arial" w:cs="Arial"/>
          <w:lang w:val="en-GB"/>
        </w:rPr>
        <w:t xml:space="preserve">: 16) due to decarbonisation, the Commission proposed introducing a Just Transition Mechanism as a core instrument. </w:t>
      </w:r>
    </w:p>
    <w:p w14:paraId="39A63ECA" w14:textId="75EC6F6F"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The central pillar of the Just Transition Mechanism is the Just Transition Fund (hereinafter: JTF), alongside an </w:t>
      </w:r>
      <w:proofErr w:type="spellStart"/>
      <w:r w:rsidRPr="002E4BFA">
        <w:rPr>
          <w:rFonts w:ascii="Arial" w:hAnsi="Arial" w:cs="Arial"/>
          <w:lang w:val="en-GB"/>
        </w:rPr>
        <w:t>InvestEU</w:t>
      </w:r>
      <w:proofErr w:type="spellEnd"/>
      <w:r w:rsidRPr="002E4BFA">
        <w:rPr>
          <w:rFonts w:ascii="Arial" w:hAnsi="Arial" w:cs="Arial"/>
          <w:lang w:val="en-GB"/>
        </w:rPr>
        <w:t xml:space="preserve"> Just Transition scheme to mobilise private capital and a Public Sector Loan facility to mobilise public investment mostly through loans from the European Investment Bank. The JTF is equipped with €17.5bn (in 2018 prices) for the period 2021–2027, of which €10bn come from the Next Generation EU programme and €7.5bn from the 2021–2027 multi-annual budget. This amounts to €2.5bn a year or less than 1 per cent of the EU’s total financial budget for 2021–2027. Funding allocation is based on the criteria of levels of </w:t>
      </w:r>
      <w:r w:rsidRPr="002E4BFA">
        <w:rPr>
          <w:rFonts w:ascii="Arial" w:hAnsi="Arial" w:cs="Arial"/>
          <w:lang w:val="en-GB"/>
        </w:rPr>
        <w:lastRenderedPageBreak/>
        <w:t>industrial emissions in carbon-intensive regions, employment figures in fossil</w:t>
      </w:r>
      <w:r w:rsidR="00515235" w:rsidRPr="002E4BFA">
        <w:rPr>
          <w:rFonts w:ascii="Arial" w:hAnsi="Arial" w:cs="Arial"/>
          <w:lang w:val="en-GB"/>
        </w:rPr>
        <w:t xml:space="preserve"> </w:t>
      </w:r>
      <w:r w:rsidRPr="002E4BFA">
        <w:rPr>
          <w:rFonts w:ascii="Arial" w:hAnsi="Arial" w:cs="Arial"/>
          <w:lang w:val="en-GB"/>
        </w:rPr>
        <w:t>fuel industries and degrees of economic development (GDP). Access to funding is conditional on Member States committing to the 2050 EU climate neutrality target, as some countries have been reluctant to agree to the target (</w:t>
      </w:r>
      <w:proofErr w:type="gramStart"/>
      <w:r w:rsidRPr="002E4BFA">
        <w:rPr>
          <w:rFonts w:ascii="Arial" w:hAnsi="Arial" w:cs="Arial"/>
          <w:lang w:val="en-GB"/>
        </w:rPr>
        <w:t>e.g.</w:t>
      </w:r>
      <w:proofErr w:type="gramEnd"/>
      <w:r w:rsidRPr="002E4BFA">
        <w:rPr>
          <w:rFonts w:ascii="Arial" w:hAnsi="Arial" w:cs="Arial"/>
          <w:lang w:val="en-GB"/>
        </w:rPr>
        <w:t xml:space="preserve"> Poland). In the case of no commitment being given, a 50 per cent reduction in annual allocations can be enforced. Moreover, Member States need to draw up Territorial Just Transition Plans, based on the partnership principle with local and regional authorities and relevant stakeholders, and submit them to the European Commission. These plans outline the specific indicators intended to contribute to the selected JTF objectives.  </w:t>
      </w:r>
    </w:p>
    <w:p w14:paraId="39C3ABE4" w14:textId="77777777" w:rsidR="00EA61C1" w:rsidRPr="002E4BFA" w:rsidRDefault="00EA61C1" w:rsidP="00C6263F">
      <w:pPr>
        <w:pStyle w:val="ListParagraph"/>
        <w:numPr>
          <w:ilvl w:val="0"/>
          <w:numId w:val="3"/>
        </w:numPr>
        <w:spacing w:line="360" w:lineRule="auto"/>
        <w:jc w:val="left"/>
        <w:rPr>
          <w:rFonts w:ascii="Arial" w:hAnsi="Arial" w:cs="Arial"/>
          <w:b/>
          <w:bCs/>
          <w:i/>
          <w:iCs/>
          <w:lang w:val="en-GB"/>
        </w:rPr>
      </w:pPr>
      <w:r w:rsidRPr="002E4BFA">
        <w:rPr>
          <w:rFonts w:ascii="Arial" w:hAnsi="Arial" w:cs="Arial"/>
          <w:b/>
          <w:bCs/>
          <w:i/>
          <w:iCs/>
          <w:lang w:val="en-GB"/>
        </w:rPr>
        <w:t>Objectives</w:t>
      </w:r>
    </w:p>
    <w:p w14:paraId="22A621DF" w14:textId="2622274E" w:rsidR="00EA61C1" w:rsidRPr="002E4BFA" w:rsidRDefault="00EA61C1" w:rsidP="00C6263F">
      <w:pPr>
        <w:spacing w:line="360" w:lineRule="auto"/>
        <w:jc w:val="left"/>
        <w:rPr>
          <w:rFonts w:ascii="Arial" w:hAnsi="Arial" w:cs="Arial"/>
          <w:lang w:val="en-GB"/>
        </w:rPr>
      </w:pPr>
      <w:r w:rsidRPr="002E4BFA">
        <w:rPr>
          <w:rFonts w:ascii="Arial" w:hAnsi="Arial" w:cs="Arial"/>
          <w:lang w:val="en-GB"/>
        </w:rPr>
        <w:t xml:space="preserve">The JTF Regulation has a regional focus, reflecting the </w:t>
      </w:r>
      <w:proofErr w:type="gramStart"/>
      <w:r w:rsidRPr="002E4BFA">
        <w:rPr>
          <w:rFonts w:ascii="Arial" w:hAnsi="Arial" w:cs="Arial"/>
          <w:lang w:val="en-GB"/>
        </w:rPr>
        <w:t>assumption  that</w:t>
      </w:r>
      <w:proofErr w:type="gramEnd"/>
      <w:r w:rsidRPr="002E4BFA">
        <w:rPr>
          <w:rFonts w:ascii="Arial" w:hAnsi="Arial" w:cs="Arial"/>
          <w:lang w:val="en-GB"/>
        </w:rPr>
        <w:t xml:space="preserve"> different regions have different starting points and capacities to respond to the social, environmental and economic challenges of the green transition. It therefore targets only those EU regions which are heavily reliant on fossil fuels for generating energy (European Union, 2021, Recital 2). A further focus is on fostering the modernisation of local economies and addressing the transition’s negative impacts on workers and employment (European Union, 2021, Recital 5). The scope of JTF support therefore combines two categories of eligible activities: green investments and social investments (Sabato et al., 2021). The first consists of investments in innovation, </w:t>
      </w:r>
      <w:proofErr w:type="gramStart"/>
      <w:r w:rsidRPr="002E4BFA">
        <w:rPr>
          <w:rFonts w:ascii="Arial" w:hAnsi="Arial" w:cs="Arial"/>
          <w:lang w:val="en-GB"/>
        </w:rPr>
        <w:t>diversification</w:t>
      </w:r>
      <w:proofErr w:type="gramEnd"/>
      <w:r w:rsidRPr="002E4BFA">
        <w:rPr>
          <w:rFonts w:ascii="Arial" w:hAnsi="Arial" w:cs="Arial"/>
          <w:lang w:val="en-GB"/>
        </w:rPr>
        <w:t xml:space="preserve"> and the modernisation of companies, in the creation of new businesses and jobs, and in clean energy, energy efficiency, sustainable mobility, digitalisation and the circular economy. Social activities concern the upskilling and reskilling of the affected workforce, job-search assistance, active inclusion measures, the creation of child-care and elderly care facilities and training centres, and finally the reduction of energy poverty (Article 8). Furthermore, the Regulation acknowledges the importance of promoting gender equality and paying attention to vulnerable groups within carbon-intensive sectors, albeit only in the Regulation’s recitals.</w:t>
      </w:r>
    </w:p>
    <w:p w14:paraId="5A6E2BE5" w14:textId="6EE6E6D8"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Several observations can be made regarding the role of social policy and the welfare state in the green transition as envisaged in the JTF. </w:t>
      </w:r>
      <w:proofErr w:type="gramStart"/>
      <w:r w:rsidRPr="002E4BFA">
        <w:rPr>
          <w:rFonts w:ascii="Arial" w:hAnsi="Arial" w:cs="Arial"/>
          <w:lang w:val="en-GB"/>
        </w:rPr>
        <w:t>First of all</w:t>
      </w:r>
      <w:proofErr w:type="gramEnd"/>
      <w:r w:rsidRPr="002E4BFA">
        <w:rPr>
          <w:rFonts w:ascii="Arial" w:hAnsi="Arial" w:cs="Arial"/>
          <w:lang w:val="en-GB"/>
        </w:rPr>
        <w:t>, given the key importance of the relationship between the economy and the environment in the green growth agenda, the primary function of social policy in achieving the green transition is to invest in the ‘social implications of environmental challenges and policies’ (</w:t>
      </w:r>
      <w:proofErr w:type="spellStart"/>
      <w:r w:rsidRPr="002E4BFA">
        <w:rPr>
          <w:rFonts w:ascii="Arial" w:hAnsi="Arial" w:cs="Arial"/>
          <w:lang w:val="en-GB"/>
        </w:rPr>
        <w:t>Mandelli</w:t>
      </w:r>
      <w:proofErr w:type="spellEnd"/>
      <w:r w:rsidRPr="002E4BFA">
        <w:rPr>
          <w:rFonts w:ascii="Arial" w:hAnsi="Arial" w:cs="Arial"/>
          <w:lang w:val="en-GB"/>
        </w:rPr>
        <w:t xml:space="preserve">, 2022) so that the welfare state becomes a factor (productive </w:t>
      </w:r>
      <w:r w:rsidRPr="002E4BFA">
        <w:rPr>
          <w:rFonts w:ascii="Arial" w:hAnsi="Arial" w:cs="Arial"/>
          <w:lang w:val="en-GB"/>
        </w:rPr>
        <w:lastRenderedPageBreak/>
        <w:t xml:space="preserve">force) contributing to growth (Copeland, 2019). The welfare state is there to, first and foremost, enable the green transition through targeted supply-side measures, </w:t>
      </w:r>
      <w:proofErr w:type="gramStart"/>
      <w:r w:rsidRPr="002E4BFA">
        <w:rPr>
          <w:rFonts w:ascii="Arial" w:hAnsi="Arial" w:cs="Arial"/>
          <w:lang w:val="en-GB"/>
        </w:rPr>
        <w:t>e.g.</w:t>
      </w:r>
      <w:proofErr w:type="gramEnd"/>
      <w:r w:rsidRPr="002E4BFA">
        <w:rPr>
          <w:rFonts w:ascii="Arial" w:hAnsi="Arial" w:cs="Arial"/>
          <w:lang w:val="en-GB"/>
        </w:rPr>
        <w:t xml:space="preserve"> investing in green skills and competences, and second, creating buffers for a smooth transition through strong social and health-care services, social protection and income maintenance (Sabato et al., 2021; </w:t>
      </w:r>
      <w:proofErr w:type="spellStart"/>
      <w:r w:rsidRPr="002E4BFA">
        <w:rPr>
          <w:rFonts w:ascii="Arial" w:hAnsi="Arial" w:cs="Arial"/>
          <w:lang w:val="en-GB"/>
        </w:rPr>
        <w:t>Alcidi</w:t>
      </w:r>
      <w:proofErr w:type="spellEnd"/>
      <w:r w:rsidRPr="002E4BFA">
        <w:rPr>
          <w:rFonts w:ascii="Arial" w:hAnsi="Arial" w:cs="Arial"/>
          <w:lang w:val="en-GB"/>
        </w:rPr>
        <w:t xml:space="preserve"> et al., 2022). From the JTF’s social perspective, the just transition concept has therefore come to denote policies intended to cushion the effects of the transition on workers in declining sectors, most notably through social investment measures for their education, training, </w:t>
      </w:r>
      <w:proofErr w:type="gramStart"/>
      <w:r w:rsidRPr="002E4BFA">
        <w:rPr>
          <w:rFonts w:ascii="Arial" w:hAnsi="Arial" w:cs="Arial"/>
          <w:lang w:val="en-GB"/>
        </w:rPr>
        <w:t>reskilling</w:t>
      </w:r>
      <w:proofErr w:type="gramEnd"/>
      <w:r w:rsidRPr="002E4BFA">
        <w:rPr>
          <w:rFonts w:ascii="Arial" w:hAnsi="Arial" w:cs="Arial"/>
          <w:lang w:val="en-GB"/>
        </w:rPr>
        <w:t xml:space="preserve"> and upskilling (</w:t>
      </w:r>
      <w:proofErr w:type="spellStart"/>
      <w:r w:rsidRPr="002E4BFA">
        <w:rPr>
          <w:rFonts w:ascii="Arial" w:hAnsi="Arial" w:cs="Arial"/>
          <w:lang w:val="en-GB"/>
        </w:rPr>
        <w:t>Kyriazi</w:t>
      </w:r>
      <w:proofErr w:type="spellEnd"/>
      <w:r w:rsidRPr="002E4BFA">
        <w:rPr>
          <w:rFonts w:ascii="Arial" w:hAnsi="Arial" w:cs="Arial"/>
          <w:lang w:val="en-GB"/>
        </w:rPr>
        <w:t xml:space="preserve"> and Miro, 2022: 9). The buffering function is however suspiciously missing from the JTF, as witnessed by the absence of stronger social protection measures (</w:t>
      </w:r>
      <w:proofErr w:type="gramStart"/>
      <w:r w:rsidRPr="002E4BFA">
        <w:rPr>
          <w:rFonts w:ascii="Arial" w:hAnsi="Arial" w:cs="Arial"/>
          <w:lang w:val="en-GB"/>
        </w:rPr>
        <w:t>e.g.</w:t>
      </w:r>
      <w:proofErr w:type="gramEnd"/>
      <w:r w:rsidRPr="002E4BFA">
        <w:rPr>
          <w:rFonts w:ascii="Arial" w:hAnsi="Arial" w:cs="Arial"/>
          <w:lang w:val="en-GB"/>
        </w:rPr>
        <w:t xml:space="preserve"> income support) for redundant workers. Similarly, a social rights-based perspective is lacking, despite the basic call for Member States to ensure consistency with the European Pillar of Social Rights as today’s key reference framework for EU social policy (European Union, 2021, Article 11.4). The specific linkages in the nexus between the green transition and the EPSR are, however, not further developed, while the procedural requirements of just transition plans in no way oblige Member States to explicitly establish that link. Finally, no strict requirements on how the partnership principle should be applied in setting up just transition plans are established, thus leaving the question of social consensus wide open. In a nutshell, the JTF does not live up to the standards of a holistic just transition as promoted for instance by the ILO. </w:t>
      </w:r>
    </w:p>
    <w:p w14:paraId="4F96DFC2" w14:textId="679DB1CA"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Second, the JTF offers a ‘strongly territorially-focused and sectorial’ framework (Sabato and </w:t>
      </w:r>
      <w:proofErr w:type="spellStart"/>
      <w:r w:rsidRPr="002E4BFA">
        <w:rPr>
          <w:rFonts w:ascii="Arial" w:hAnsi="Arial" w:cs="Arial"/>
          <w:lang w:val="en-GB"/>
        </w:rPr>
        <w:t>Fronteddu</w:t>
      </w:r>
      <w:proofErr w:type="spellEnd"/>
      <w:r w:rsidRPr="002E4BFA">
        <w:rPr>
          <w:rFonts w:ascii="Arial" w:hAnsi="Arial" w:cs="Arial"/>
          <w:lang w:val="en-GB"/>
        </w:rPr>
        <w:t xml:space="preserve">, 2020) for dealing with the social consequences of decarbonisation, concentrating on employment, carbon-intensive sectors, and regions heavily reliant on fossil fuels. Some critics have pointed out that the narrow understanding of a just transition, confined to the specific groups, </w:t>
      </w:r>
      <w:proofErr w:type="gramStart"/>
      <w:r w:rsidRPr="002E4BFA">
        <w:rPr>
          <w:rFonts w:ascii="Arial" w:hAnsi="Arial" w:cs="Arial"/>
          <w:lang w:val="en-GB"/>
        </w:rPr>
        <w:t>industries</w:t>
      </w:r>
      <w:proofErr w:type="gramEnd"/>
      <w:r w:rsidRPr="002E4BFA">
        <w:rPr>
          <w:rFonts w:ascii="Arial" w:hAnsi="Arial" w:cs="Arial"/>
          <w:lang w:val="en-GB"/>
        </w:rPr>
        <w:t xml:space="preserve"> and regions most affected by decarbonisation, as employed in the JTF, will not be sufficient to meet the vast social (and health) impact of the climate crisis on whole societies and to ensure social equity and inclusiveness (</w:t>
      </w:r>
      <w:proofErr w:type="spellStart"/>
      <w:r w:rsidRPr="002E4BFA">
        <w:rPr>
          <w:rFonts w:ascii="Arial" w:hAnsi="Arial" w:cs="Arial"/>
          <w:lang w:val="en-GB"/>
        </w:rPr>
        <w:t>Petmesidou</w:t>
      </w:r>
      <w:proofErr w:type="spellEnd"/>
      <w:r w:rsidRPr="002E4BFA">
        <w:rPr>
          <w:rFonts w:ascii="Arial" w:hAnsi="Arial" w:cs="Arial"/>
          <w:lang w:val="en-GB"/>
        </w:rPr>
        <w:t xml:space="preserve"> and Guillen, 2021). According to that view, the JTF is just one part of a patchwork of potential initiatives to tackle the social consequences of the green transition, whereas a comprehensive approach systematically examining its social impact is largely missing in the EU agenda (</w:t>
      </w:r>
      <w:proofErr w:type="spellStart"/>
      <w:r w:rsidRPr="002E4BFA">
        <w:rPr>
          <w:rFonts w:ascii="Arial" w:hAnsi="Arial" w:cs="Arial"/>
          <w:lang w:val="en-GB"/>
        </w:rPr>
        <w:t>Akgüç</w:t>
      </w:r>
      <w:proofErr w:type="spellEnd"/>
      <w:r w:rsidRPr="002E4BFA">
        <w:rPr>
          <w:rFonts w:ascii="Arial" w:hAnsi="Arial" w:cs="Arial"/>
          <w:lang w:val="en-GB"/>
        </w:rPr>
        <w:t xml:space="preserve"> et al., 2022). Taken together, the JTF therefore blatantly </w:t>
      </w:r>
      <w:r w:rsidRPr="002E4BFA">
        <w:rPr>
          <w:rFonts w:ascii="Arial" w:hAnsi="Arial" w:cs="Arial"/>
          <w:lang w:val="en-GB"/>
        </w:rPr>
        <w:lastRenderedPageBreak/>
        <w:t xml:space="preserve">fails either to specifically address social protection and social rights issues, or to account for the broader distributional implications of climate and environmental risks. The JTF is thus a fragmented policy focused on one specific aspect of inequality, hence creating justice for some but not all – to paraphrase </w:t>
      </w:r>
      <w:proofErr w:type="spellStart"/>
      <w:r w:rsidRPr="002E4BFA">
        <w:rPr>
          <w:rFonts w:ascii="Arial" w:hAnsi="Arial" w:cs="Arial"/>
          <w:lang w:val="en-GB"/>
        </w:rPr>
        <w:t>Galgóczi</w:t>
      </w:r>
      <w:proofErr w:type="spellEnd"/>
      <w:r w:rsidRPr="002E4BFA">
        <w:rPr>
          <w:rFonts w:ascii="Arial" w:hAnsi="Arial" w:cs="Arial"/>
          <w:lang w:val="en-GB"/>
        </w:rPr>
        <w:t xml:space="preserve"> (2022).</w:t>
      </w:r>
    </w:p>
    <w:p w14:paraId="6A130112" w14:textId="3B5FB89F" w:rsidR="00EA61C1" w:rsidRPr="002E4BFA" w:rsidRDefault="00EA61C1" w:rsidP="00C6263F">
      <w:pPr>
        <w:pStyle w:val="ListParagraph"/>
        <w:numPr>
          <w:ilvl w:val="0"/>
          <w:numId w:val="3"/>
        </w:numPr>
        <w:spacing w:line="360" w:lineRule="auto"/>
        <w:jc w:val="left"/>
        <w:rPr>
          <w:rFonts w:ascii="Arial" w:hAnsi="Arial" w:cs="Arial"/>
          <w:b/>
          <w:bCs/>
          <w:i/>
          <w:iCs/>
          <w:lang w:val="en-GB"/>
        </w:rPr>
      </w:pPr>
      <w:r w:rsidRPr="002E4BFA">
        <w:rPr>
          <w:rFonts w:ascii="Arial" w:hAnsi="Arial" w:cs="Arial"/>
          <w:b/>
          <w:bCs/>
          <w:i/>
          <w:iCs/>
          <w:lang w:val="en-GB"/>
        </w:rPr>
        <w:t>Linkages to existing policy instruments</w:t>
      </w:r>
    </w:p>
    <w:p w14:paraId="761D0972" w14:textId="0A7BF934" w:rsidR="00EA61C1" w:rsidRPr="002E4BFA" w:rsidRDefault="00EA61C1" w:rsidP="00C6263F">
      <w:pPr>
        <w:spacing w:line="360" w:lineRule="auto"/>
        <w:jc w:val="left"/>
        <w:rPr>
          <w:rFonts w:ascii="Arial" w:hAnsi="Arial" w:cs="Arial"/>
          <w:lang w:val="en-GB"/>
        </w:rPr>
      </w:pPr>
      <w:r w:rsidRPr="002E4BFA">
        <w:rPr>
          <w:rFonts w:ascii="Arial" w:hAnsi="Arial" w:cs="Arial"/>
          <w:lang w:val="en-GB"/>
        </w:rPr>
        <w:t>From a governance perspective, the JTF is not a particularly innovative tool. As an instrument of cohesion policy seeking to address the ‘investments for jobs and growth’ goal of the Common Provisions Regulation (European Union</w:t>
      </w:r>
      <w:r w:rsidR="005914C1" w:rsidRPr="002E4BFA">
        <w:rPr>
          <w:rFonts w:ascii="Arial" w:hAnsi="Arial" w:cs="Arial"/>
          <w:lang w:val="en-GB"/>
        </w:rPr>
        <w:t>,</w:t>
      </w:r>
      <w:r w:rsidRPr="002E4BFA">
        <w:rPr>
          <w:rFonts w:ascii="Arial" w:hAnsi="Arial" w:cs="Arial"/>
          <w:lang w:val="en-GB"/>
        </w:rPr>
        <w:t xml:space="preserve"> 2021, Article 3), it builds on pre-existing initiatives to address the social consequences of the green transition in the coal mining regions of less developed countries and to foster regional convergence. For instance, the EU has set up a Modernisation Fund within the framework of the EU emissions trading system (European Commission, 2020) for the period 2021–2030 ‘to support investments in modernising energy systems and improving energy efficiency’ in 10 lower-income Member States. Drawing on revenues from the EU Emissions Trading System (ETS), the Modernisation Fund, much like the JTF, supports social investments for a just transition through various activation policies. Likewise, Member States can complement JTF funding, on a voluntary basis, with resources from other structural funds (the Cohesion Fund, European Social Fund+, European Regional Development Fund) and thus explore synergies within cohesion policy. As already highlighted, all these initiatives add a strong social investment dimension to the socio-ecological nexus. Several strings are attached to the use of the JTF. Besides the requirement for Member States to commit to achieving the net-zero emissions target by 2050 and the pre-defined allocation criteria, Member States are prohibited from using JTF funding to invest in fossil fuels and nuclear energy. Some relatively new governance features are introduced, such as the partial linkage of fund disbursements to performance, to appease the concerns of </w:t>
      </w:r>
      <w:r w:rsidR="009124CC" w:rsidRPr="002E4BFA">
        <w:rPr>
          <w:rFonts w:ascii="Arial" w:hAnsi="Arial" w:cs="Arial"/>
          <w:lang w:val="en-GB"/>
        </w:rPr>
        <w:t xml:space="preserve">fiscally conservative </w:t>
      </w:r>
      <w:r w:rsidRPr="002E4BFA">
        <w:rPr>
          <w:rFonts w:ascii="Arial" w:hAnsi="Arial" w:cs="Arial"/>
          <w:lang w:val="en-GB"/>
        </w:rPr>
        <w:t>Member States (the so-called ‘</w:t>
      </w:r>
      <w:proofErr w:type="spellStart"/>
      <w:r w:rsidRPr="002E4BFA">
        <w:rPr>
          <w:rFonts w:ascii="Arial" w:hAnsi="Arial" w:cs="Arial"/>
          <w:lang w:val="en-GB"/>
        </w:rPr>
        <w:t>Frugals</w:t>
      </w:r>
      <w:proofErr w:type="spellEnd"/>
      <w:r w:rsidRPr="002E4BFA">
        <w:rPr>
          <w:rFonts w:ascii="Arial" w:hAnsi="Arial" w:cs="Arial"/>
          <w:lang w:val="en-GB"/>
        </w:rPr>
        <w:t xml:space="preserve">’, </w:t>
      </w:r>
      <w:proofErr w:type="gramStart"/>
      <w:r w:rsidRPr="002E4BFA">
        <w:rPr>
          <w:rFonts w:ascii="Arial" w:hAnsi="Arial" w:cs="Arial"/>
          <w:lang w:val="en-GB"/>
        </w:rPr>
        <w:t>e.g.</w:t>
      </w:r>
      <w:proofErr w:type="gramEnd"/>
      <w:r w:rsidRPr="002E4BFA">
        <w:rPr>
          <w:rFonts w:ascii="Arial" w:hAnsi="Arial" w:cs="Arial"/>
          <w:lang w:val="en-GB"/>
        </w:rPr>
        <w:t xml:space="preserve"> Sweden, Denmark, the Netherlands and </w:t>
      </w:r>
      <w:r w:rsidR="009124CC" w:rsidRPr="002E4BFA">
        <w:rPr>
          <w:rFonts w:ascii="Arial" w:hAnsi="Arial" w:cs="Arial"/>
          <w:lang w:val="en-GB"/>
        </w:rPr>
        <w:t>Austria</w:t>
      </w:r>
      <w:r w:rsidRPr="002E4BFA">
        <w:rPr>
          <w:rFonts w:ascii="Arial" w:hAnsi="Arial" w:cs="Arial"/>
          <w:lang w:val="en-GB"/>
        </w:rPr>
        <w:t>) that the funding would not be spent prudently.</w:t>
      </w:r>
    </w:p>
    <w:p w14:paraId="5300488F" w14:textId="77777777" w:rsidR="00EA61C1" w:rsidRPr="002E4BFA" w:rsidRDefault="00EA61C1" w:rsidP="00C6263F">
      <w:pPr>
        <w:pStyle w:val="ListParagraph"/>
        <w:numPr>
          <w:ilvl w:val="0"/>
          <w:numId w:val="3"/>
        </w:numPr>
        <w:spacing w:line="360" w:lineRule="auto"/>
        <w:jc w:val="left"/>
        <w:rPr>
          <w:rFonts w:ascii="Arial" w:hAnsi="Arial" w:cs="Arial"/>
          <w:b/>
          <w:bCs/>
          <w:i/>
          <w:iCs/>
          <w:lang w:val="en-GB"/>
        </w:rPr>
      </w:pPr>
      <w:r w:rsidRPr="002E4BFA">
        <w:rPr>
          <w:rFonts w:ascii="Arial" w:hAnsi="Arial" w:cs="Arial"/>
          <w:b/>
          <w:bCs/>
          <w:i/>
          <w:iCs/>
          <w:lang w:val="en-GB"/>
        </w:rPr>
        <w:t>Patterns of political conflict</w:t>
      </w:r>
    </w:p>
    <w:p w14:paraId="4CEC7063" w14:textId="747D8C33" w:rsidR="00EA61C1" w:rsidRPr="002E4BFA" w:rsidRDefault="00EA61C1" w:rsidP="00C6263F">
      <w:pPr>
        <w:spacing w:line="360" w:lineRule="auto"/>
        <w:jc w:val="left"/>
        <w:rPr>
          <w:rFonts w:ascii="Arial" w:hAnsi="Arial" w:cs="Arial"/>
          <w:lang w:val="en-GB"/>
        </w:rPr>
      </w:pPr>
      <w:r w:rsidRPr="002E4BFA">
        <w:rPr>
          <w:rFonts w:ascii="Arial" w:hAnsi="Arial" w:cs="Arial"/>
          <w:lang w:val="en-GB"/>
        </w:rPr>
        <w:t xml:space="preserve">Issues of size, conditionalities, investments in fossil fuel industries and the scope and weight of the social objectives have been the subject of contention and political </w:t>
      </w:r>
      <w:r w:rsidRPr="002E4BFA">
        <w:rPr>
          <w:rFonts w:ascii="Arial" w:hAnsi="Arial" w:cs="Arial"/>
          <w:lang w:val="en-GB"/>
        </w:rPr>
        <w:lastRenderedPageBreak/>
        <w:t>conflict along different fault lines, whether ideological (left/right), geographical, national/EU or net contributor/recipient relations. Although an exhaustive overview of all fault lines is outside the scope of this article (</w:t>
      </w:r>
      <w:proofErr w:type="spellStart"/>
      <w:r w:rsidRPr="002E4BFA">
        <w:rPr>
          <w:rFonts w:ascii="Arial" w:hAnsi="Arial" w:cs="Arial"/>
          <w:lang w:val="en-GB"/>
        </w:rPr>
        <w:t>Kyriazi</w:t>
      </w:r>
      <w:proofErr w:type="spellEnd"/>
      <w:r w:rsidRPr="002E4BFA">
        <w:rPr>
          <w:rFonts w:ascii="Arial" w:hAnsi="Arial" w:cs="Arial"/>
          <w:lang w:val="en-GB"/>
        </w:rPr>
        <w:t xml:space="preserve"> and </w:t>
      </w:r>
      <w:r w:rsidR="0064470B" w:rsidRPr="002E4BFA">
        <w:rPr>
          <w:rFonts w:ascii="Arial" w:hAnsi="Arial" w:cs="Arial"/>
          <w:lang w:val="en-GB"/>
        </w:rPr>
        <w:t>Miró</w:t>
      </w:r>
      <w:r w:rsidRPr="002E4BFA">
        <w:rPr>
          <w:rFonts w:ascii="Arial" w:hAnsi="Arial" w:cs="Arial"/>
          <w:lang w:val="en-GB"/>
        </w:rPr>
        <w:t>, 2022), it is worth noting that some of these disputes crucially influenced the JTF’s degree of distributional justice. As regards size, Eastern European countries insisted on a much more generous budget, given their reliance on fossil fuels, whereas net contributors, particularly the ‘</w:t>
      </w:r>
      <w:proofErr w:type="spellStart"/>
      <w:r w:rsidRPr="002E4BFA">
        <w:rPr>
          <w:rFonts w:ascii="Arial" w:hAnsi="Arial" w:cs="Arial"/>
          <w:lang w:val="en-GB"/>
        </w:rPr>
        <w:t>Frugals</w:t>
      </w:r>
      <w:proofErr w:type="spellEnd"/>
      <w:r w:rsidRPr="002E4BFA">
        <w:rPr>
          <w:rFonts w:ascii="Arial" w:hAnsi="Arial" w:cs="Arial"/>
          <w:lang w:val="en-GB"/>
        </w:rPr>
        <w:t>’ called for a responsible and modernisation-centred budget and for the downsizing of agricultural and cohesion spending during the overlapping negotiations on the 2021–2027 MFF throughout 2020. Due to the ‘</w:t>
      </w:r>
      <w:proofErr w:type="spellStart"/>
      <w:r w:rsidRPr="002E4BFA">
        <w:rPr>
          <w:rFonts w:ascii="Arial" w:hAnsi="Arial" w:cs="Arial"/>
          <w:lang w:val="en-GB"/>
        </w:rPr>
        <w:t>Frugals</w:t>
      </w:r>
      <w:proofErr w:type="spellEnd"/>
      <w:r w:rsidRPr="002E4BFA">
        <w:rPr>
          <w:rFonts w:ascii="Arial" w:hAnsi="Arial" w:cs="Arial"/>
          <w:lang w:val="en-GB"/>
        </w:rPr>
        <w:t>’ opposition, the final figure of €17.5bn agreed by the European Council in July 2020 was significantly lower than what the European Commission, the European Parliament and Eastern European Member States would have wished for (</w:t>
      </w:r>
      <w:proofErr w:type="spellStart"/>
      <w:r w:rsidRPr="002E4BFA">
        <w:rPr>
          <w:rFonts w:ascii="Arial" w:hAnsi="Arial" w:cs="Arial"/>
          <w:lang w:val="en-GB"/>
        </w:rPr>
        <w:t>Kyriazi</w:t>
      </w:r>
      <w:proofErr w:type="spellEnd"/>
      <w:r w:rsidRPr="002E4BFA">
        <w:rPr>
          <w:rFonts w:ascii="Arial" w:hAnsi="Arial" w:cs="Arial"/>
          <w:lang w:val="en-GB"/>
        </w:rPr>
        <w:t xml:space="preserve"> and Mir</w:t>
      </w:r>
      <w:r w:rsidR="0064470B" w:rsidRPr="002E4BFA">
        <w:rPr>
          <w:rFonts w:ascii="Arial" w:hAnsi="Arial" w:cs="Arial"/>
          <w:lang w:val="en-GB"/>
        </w:rPr>
        <w:t>ó</w:t>
      </w:r>
      <w:r w:rsidRPr="002E4BFA">
        <w:rPr>
          <w:rFonts w:ascii="Arial" w:hAnsi="Arial" w:cs="Arial"/>
          <w:lang w:val="en-GB"/>
        </w:rPr>
        <w:t xml:space="preserve">, 2022: 16; </w:t>
      </w:r>
      <w:proofErr w:type="spellStart"/>
      <w:r w:rsidRPr="002E4BFA">
        <w:rPr>
          <w:rFonts w:ascii="Arial" w:hAnsi="Arial" w:cs="Arial"/>
          <w:lang w:val="en-GB"/>
        </w:rPr>
        <w:t>Agence</w:t>
      </w:r>
      <w:proofErr w:type="spellEnd"/>
      <w:r w:rsidRPr="002E4BFA">
        <w:rPr>
          <w:rFonts w:ascii="Arial" w:hAnsi="Arial" w:cs="Arial"/>
          <w:lang w:val="en-GB"/>
        </w:rPr>
        <w:t xml:space="preserve"> Europe, </w:t>
      </w:r>
      <w:r w:rsidR="00CF4858" w:rsidRPr="002E4BFA">
        <w:rPr>
          <w:rFonts w:ascii="Arial" w:hAnsi="Arial" w:cs="Arial"/>
          <w:lang w:val="en-GB"/>
        </w:rPr>
        <w:t>2020a</w:t>
      </w:r>
      <w:r w:rsidRPr="002E4BFA">
        <w:rPr>
          <w:rFonts w:ascii="Arial" w:hAnsi="Arial" w:cs="Arial"/>
          <w:lang w:val="en-GB"/>
        </w:rPr>
        <w:t>). In contrast to the issue of size, the European Parliament and the Baltic states were able to exert influence on the JTF’s social dimension, against the will of several net contributors</w:t>
      </w:r>
      <w:r w:rsidRPr="002E4BFA">
        <w:rPr>
          <w:rFonts w:ascii="Arial" w:hAnsi="Arial" w:cs="Arial"/>
          <w:vertAlign w:val="superscript"/>
          <w:lang w:val="en-GB"/>
        </w:rPr>
        <w:footnoteReference w:id="3"/>
      </w:r>
      <w:r w:rsidRPr="002E4BFA">
        <w:rPr>
          <w:rFonts w:ascii="Arial" w:hAnsi="Arial" w:cs="Arial"/>
          <w:lang w:val="en-GB"/>
        </w:rPr>
        <w:t xml:space="preserve">, by broadening the scope of eligible investment activities financed under the JTF. These now include micro-enterprises, universities and public research institutions, digital innovation, and activities </w:t>
      </w:r>
      <w:proofErr w:type="gramStart"/>
      <w:r w:rsidRPr="002E4BFA">
        <w:rPr>
          <w:rFonts w:ascii="Arial" w:hAnsi="Arial" w:cs="Arial"/>
          <w:lang w:val="en-GB"/>
        </w:rPr>
        <w:t>in the area of</w:t>
      </w:r>
      <w:proofErr w:type="gramEnd"/>
      <w:r w:rsidRPr="002E4BFA">
        <w:rPr>
          <w:rFonts w:ascii="Arial" w:hAnsi="Arial" w:cs="Arial"/>
          <w:lang w:val="en-GB"/>
        </w:rPr>
        <w:t xml:space="preserve"> education and social inclusion, notably investments in training centres, child-care and elderly care facilities (European Parliament, 2022; </w:t>
      </w:r>
      <w:proofErr w:type="spellStart"/>
      <w:r w:rsidRPr="002E4BFA">
        <w:rPr>
          <w:rFonts w:ascii="Arial" w:hAnsi="Arial" w:cs="Arial"/>
          <w:lang w:val="en-GB"/>
        </w:rPr>
        <w:t>Agence</w:t>
      </w:r>
      <w:proofErr w:type="spellEnd"/>
      <w:r w:rsidRPr="002E4BFA">
        <w:rPr>
          <w:rFonts w:ascii="Arial" w:hAnsi="Arial" w:cs="Arial"/>
          <w:lang w:val="en-GB"/>
        </w:rPr>
        <w:t xml:space="preserve"> Europe, </w:t>
      </w:r>
      <w:r w:rsidR="00CF4858" w:rsidRPr="002E4BFA">
        <w:rPr>
          <w:rFonts w:ascii="Arial" w:hAnsi="Arial" w:cs="Arial"/>
          <w:lang w:val="en-GB"/>
        </w:rPr>
        <w:t>2020b</w:t>
      </w:r>
      <w:r w:rsidRPr="002E4BFA">
        <w:rPr>
          <w:rFonts w:ascii="Arial" w:hAnsi="Arial" w:cs="Arial"/>
          <w:lang w:val="en-GB"/>
        </w:rPr>
        <w:t xml:space="preserve">; </w:t>
      </w:r>
      <w:r w:rsidR="006E1AF2" w:rsidRPr="002E4BFA">
        <w:rPr>
          <w:rFonts w:ascii="Arial" w:hAnsi="Arial" w:cs="Arial"/>
          <w:lang w:val="en-GB"/>
        </w:rPr>
        <w:t>2020c</w:t>
      </w:r>
      <w:r w:rsidRPr="002E4BFA">
        <w:rPr>
          <w:rFonts w:ascii="Arial" w:hAnsi="Arial" w:cs="Arial"/>
          <w:lang w:val="en-GB"/>
        </w:rPr>
        <w:t xml:space="preserve">; </w:t>
      </w:r>
      <w:r w:rsidR="006E1AF2" w:rsidRPr="002E4BFA">
        <w:rPr>
          <w:rFonts w:ascii="Arial" w:hAnsi="Arial" w:cs="Arial"/>
          <w:lang w:val="en-GB"/>
        </w:rPr>
        <w:t>2020d</w:t>
      </w:r>
      <w:r w:rsidRPr="002E4BFA">
        <w:rPr>
          <w:rFonts w:ascii="Arial" w:hAnsi="Arial" w:cs="Arial"/>
          <w:lang w:val="en-GB"/>
        </w:rPr>
        <w:t>). The financing of further buffering welfare measures such as income support, and a more explicit link to gender equality as a social rights-based measure – both advocated by the European Parliament – were not however granted due to the Council’s concern that ‘adding additional objectives would make the Fund too binding and restrictive’ and that they would not fit the tight budget (</w:t>
      </w:r>
      <w:proofErr w:type="spellStart"/>
      <w:r w:rsidRPr="002E4BFA">
        <w:rPr>
          <w:rFonts w:ascii="Arial" w:hAnsi="Arial" w:cs="Arial"/>
          <w:lang w:val="en-GB"/>
        </w:rPr>
        <w:t>Agence</w:t>
      </w:r>
      <w:proofErr w:type="spellEnd"/>
      <w:r w:rsidRPr="002E4BFA">
        <w:rPr>
          <w:rFonts w:ascii="Arial" w:hAnsi="Arial" w:cs="Arial"/>
          <w:lang w:val="en-GB"/>
        </w:rPr>
        <w:t xml:space="preserve"> Europe, </w:t>
      </w:r>
      <w:r w:rsidR="00225847" w:rsidRPr="002E4BFA">
        <w:rPr>
          <w:rFonts w:ascii="Arial" w:hAnsi="Arial" w:cs="Arial"/>
          <w:lang w:val="en-GB"/>
        </w:rPr>
        <w:t>2020</w:t>
      </w:r>
      <w:r w:rsidR="006E1AF2" w:rsidRPr="002E4BFA">
        <w:rPr>
          <w:rFonts w:ascii="Arial" w:hAnsi="Arial" w:cs="Arial"/>
          <w:lang w:val="en-GB"/>
        </w:rPr>
        <w:t>e</w:t>
      </w:r>
      <w:r w:rsidRPr="002E4BFA">
        <w:rPr>
          <w:rFonts w:ascii="Arial" w:hAnsi="Arial" w:cs="Arial"/>
          <w:lang w:val="en-GB"/>
        </w:rPr>
        <w:t xml:space="preserve">). Whereas the scope of interventions was indeed widened, the nature of the socio-ecological nexus remained intact, while the budget remained modest. The final text effectively cemented the supporting/enabling function of the welfare state in a territorially, </w:t>
      </w:r>
      <w:proofErr w:type="gramStart"/>
      <w:r w:rsidRPr="002E4BFA">
        <w:rPr>
          <w:rFonts w:ascii="Arial" w:hAnsi="Arial" w:cs="Arial"/>
          <w:lang w:val="en-GB"/>
        </w:rPr>
        <w:t>occupationally</w:t>
      </w:r>
      <w:proofErr w:type="gramEnd"/>
      <w:r w:rsidRPr="002E4BFA">
        <w:rPr>
          <w:rFonts w:ascii="Arial" w:hAnsi="Arial" w:cs="Arial"/>
          <w:lang w:val="en-GB"/>
        </w:rPr>
        <w:t xml:space="preserve"> and </w:t>
      </w:r>
      <w:proofErr w:type="spellStart"/>
      <w:r w:rsidRPr="002E4BFA">
        <w:rPr>
          <w:rFonts w:ascii="Arial" w:hAnsi="Arial" w:cs="Arial"/>
          <w:lang w:val="en-GB"/>
        </w:rPr>
        <w:t>sectorially</w:t>
      </w:r>
      <w:proofErr w:type="spellEnd"/>
      <w:r w:rsidRPr="002E4BFA">
        <w:rPr>
          <w:rFonts w:ascii="Arial" w:hAnsi="Arial" w:cs="Arial"/>
          <w:lang w:val="en-GB"/>
        </w:rPr>
        <w:t xml:space="preserve"> restricted just transition, with any socio-ecological concerns subordinated to the imperative of the EGD’s green growth approach.</w:t>
      </w:r>
    </w:p>
    <w:p w14:paraId="25A06906" w14:textId="77777777" w:rsidR="00EA61C1" w:rsidRPr="002E4BFA" w:rsidRDefault="00EA61C1" w:rsidP="00C6263F">
      <w:pPr>
        <w:spacing w:line="360" w:lineRule="auto"/>
        <w:jc w:val="left"/>
        <w:rPr>
          <w:rFonts w:ascii="Arial" w:hAnsi="Arial" w:cs="Arial"/>
          <w:lang w:val="en-GB"/>
        </w:rPr>
      </w:pPr>
    </w:p>
    <w:p w14:paraId="15E9C39B" w14:textId="0F78842E" w:rsidR="00EA61C1" w:rsidRPr="002E4BFA" w:rsidRDefault="00EA61C1" w:rsidP="00C6263F">
      <w:pPr>
        <w:pStyle w:val="ListParagraph"/>
        <w:numPr>
          <w:ilvl w:val="0"/>
          <w:numId w:val="1"/>
        </w:numPr>
        <w:spacing w:line="360" w:lineRule="auto"/>
        <w:jc w:val="left"/>
        <w:rPr>
          <w:rFonts w:ascii="Arial" w:hAnsi="Arial" w:cs="Arial"/>
          <w:b/>
          <w:lang w:val="en-GB"/>
        </w:rPr>
      </w:pPr>
      <w:r w:rsidRPr="002E4BFA">
        <w:rPr>
          <w:rFonts w:ascii="Arial" w:hAnsi="Arial" w:cs="Arial"/>
          <w:b/>
          <w:lang w:val="en-GB"/>
        </w:rPr>
        <w:lastRenderedPageBreak/>
        <w:t xml:space="preserve">The Social Climate Fund: reconciling markets, </w:t>
      </w:r>
      <w:proofErr w:type="gramStart"/>
      <w:r w:rsidRPr="002E4BFA">
        <w:rPr>
          <w:rFonts w:ascii="Arial" w:hAnsi="Arial" w:cs="Arial"/>
          <w:b/>
          <w:lang w:val="en-GB"/>
        </w:rPr>
        <w:t>redistribution</w:t>
      </w:r>
      <w:proofErr w:type="gramEnd"/>
      <w:r w:rsidRPr="002E4BFA">
        <w:rPr>
          <w:rFonts w:ascii="Arial" w:hAnsi="Arial" w:cs="Arial"/>
          <w:b/>
          <w:lang w:val="en-GB"/>
        </w:rPr>
        <w:t xml:space="preserve"> and social investment?</w:t>
      </w:r>
    </w:p>
    <w:p w14:paraId="4401BC2B" w14:textId="2B5FD2C5" w:rsidR="00EA61C1" w:rsidRPr="002E4BFA" w:rsidRDefault="00EA61C1" w:rsidP="00C6263F">
      <w:pPr>
        <w:spacing w:line="360" w:lineRule="auto"/>
        <w:jc w:val="left"/>
        <w:rPr>
          <w:rFonts w:ascii="Arial" w:hAnsi="Arial" w:cs="Arial"/>
          <w:lang w:val="en-GB"/>
        </w:rPr>
      </w:pPr>
      <w:r w:rsidRPr="002E4BFA">
        <w:rPr>
          <w:rFonts w:ascii="Arial" w:hAnsi="Arial" w:cs="Arial"/>
          <w:lang w:val="en-GB"/>
        </w:rPr>
        <w:t xml:space="preserve">In July 2021, the European Commission proposed the Social Climate Fund (SCF) – starting in 2026 – as part of the ‘Fit for 55’ package. A provisional agreement between the Council and the European Parliament was struck in late December 2022. Rather than an </w:t>
      </w:r>
      <w:proofErr w:type="gramStart"/>
      <w:r w:rsidRPr="002E4BFA">
        <w:rPr>
          <w:rFonts w:ascii="Arial" w:hAnsi="Arial" w:cs="Arial"/>
          <w:lang w:val="en-GB"/>
        </w:rPr>
        <w:t>instrument in its own right, the</w:t>
      </w:r>
      <w:proofErr w:type="gramEnd"/>
      <w:r w:rsidRPr="002E4BFA">
        <w:rPr>
          <w:rFonts w:ascii="Arial" w:hAnsi="Arial" w:cs="Arial"/>
          <w:lang w:val="en-GB"/>
        </w:rPr>
        <w:t xml:space="preserve"> Fund is directly based on another policy, the Emissions Trading Systems (ETS) in its extension to the building and transport sectors, a measure dubbed ETS2. Since this is set to increase prices for households, the SCF is aimed at offsetting the negative impact on the most vulnerable individuals and on small companies by providing resources for Member States to grant direct income support and fund investments in clean housing and transport. The Commission’s initial proposal foresaw an SCF budget of approximately €72bn, with Member States co-financing 50 per cent thereof. As of January 2023, co-legislators agreed (in trialogue negotiations) on a €65bn budget, with an additional 25 per cent share from Member States bringing the total available to €86bn. The EU’s financial contribution to the SCF therefore amounts to roughly 3.6 per cent of its 2021–2027 budget, including Next Generation EU.  The current deal, scheduled for EP approval in February 2023, provides for carbon pricing through ETS2 to also apply to households – and not only to commercial road transport and commercial buildings – from 2027 onwards (</w:t>
      </w:r>
      <w:proofErr w:type="spellStart"/>
      <w:r w:rsidRPr="002E4BFA">
        <w:rPr>
          <w:rFonts w:ascii="Arial" w:hAnsi="Arial" w:cs="Arial"/>
          <w:lang w:val="en-GB"/>
        </w:rPr>
        <w:t>Agence</w:t>
      </w:r>
      <w:proofErr w:type="spellEnd"/>
      <w:r w:rsidRPr="002E4BFA">
        <w:rPr>
          <w:rFonts w:ascii="Arial" w:hAnsi="Arial" w:cs="Arial"/>
          <w:lang w:val="en-GB"/>
        </w:rPr>
        <w:t xml:space="preserve"> Europe,</w:t>
      </w:r>
      <w:r w:rsidR="00F34E76" w:rsidRPr="002E4BFA">
        <w:rPr>
          <w:rFonts w:ascii="Arial" w:hAnsi="Arial" w:cs="Arial"/>
          <w:lang w:val="en-GB"/>
        </w:rPr>
        <w:t xml:space="preserve"> 2022</w:t>
      </w:r>
      <w:r w:rsidR="00987D94" w:rsidRPr="002E4BFA">
        <w:rPr>
          <w:rFonts w:ascii="Arial" w:hAnsi="Arial" w:cs="Arial"/>
          <w:lang w:val="en-GB"/>
        </w:rPr>
        <w:t>a</w:t>
      </w:r>
      <w:r w:rsidRPr="002E4BFA">
        <w:rPr>
          <w:rFonts w:ascii="Arial" w:hAnsi="Arial" w:cs="Arial"/>
          <w:lang w:val="en-GB"/>
        </w:rPr>
        <w:t>).</w:t>
      </w:r>
    </w:p>
    <w:p w14:paraId="119C9391" w14:textId="77777777" w:rsidR="00EA61C1" w:rsidRPr="002E4BFA" w:rsidRDefault="00EA61C1" w:rsidP="00C6263F">
      <w:pPr>
        <w:pStyle w:val="ListParagraph"/>
        <w:numPr>
          <w:ilvl w:val="0"/>
          <w:numId w:val="4"/>
        </w:numPr>
        <w:spacing w:line="360" w:lineRule="auto"/>
        <w:jc w:val="left"/>
        <w:rPr>
          <w:rFonts w:ascii="Arial" w:hAnsi="Arial" w:cs="Arial"/>
          <w:b/>
          <w:i/>
          <w:lang w:val="en-GB"/>
        </w:rPr>
      </w:pPr>
      <w:r w:rsidRPr="002E4BFA">
        <w:rPr>
          <w:rFonts w:ascii="Arial" w:hAnsi="Arial" w:cs="Arial"/>
          <w:b/>
          <w:i/>
          <w:lang w:val="en-GB"/>
        </w:rPr>
        <w:t>Objectives</w:t>
      </w:r>
    </w:p>
    <w:p w14:paraId="3ED5E244" w14:textId="65F93363" w:rsidR="00EA61C1" w:rsidRPr="002E4BFA" w:rsidRDefault="00EA61C1" w:rsidP="00C6263F">
      <w:pPr>
        <w:spacing w:line="360" w:lineRule="auto"/>
        <w:jc w:val="left"/>
        <w:rPr>
          <w:rFonts w:ascii="Arial" w:hAnsi="Arial" w:cs="Arial"/>
          <w:lang w:val="en-GB"/>
        </w:rPr>
      </w:pPr>
      <w:r w:rsidRPr="002E4BFA">
        <w:rPr>
          <w:rFonts w:ascii="Arial" w:hAnsi="Arial" w:cs="Arial"/>
          <w:lang w:val="en-GB"/>
        </w:rPr>
        <w:t xml:space="preserve">Compared to existing EU instruments, the innovative nature of the SCF lies in its twin compensatory and redistributive nature. Unlike the JTF or the European Social Fund+ (ESF+), it does not target territories or project holders but explicitly serves to fund ‘temporary direct income support to vulnerable households that are transport users to absorb the increase in road transport and heating fuel prices’ (European Commission, 2021, Article 6). In addition, the SCF is designed to fund investments geared towards decarbonisation, ‘provided they principally benefit vulnerable households, vulnerable micro-enterprises, or vulnerable transport users’ (Article 6, para. 21). The strong emphasis on vulnerable groups thus contrasts with the often-undifferentiated emergency income support measures taken for instance by Germany, Italy, </w:t>
      </w:r>
      <w:proofErr w:type="gramStart"/>
      <w:r w:rsidRPr="002E4BFA">
        <w:rPr>
          <w:rFonts w:ascii="Arial" w:hAnsi="Arial" w:cs="Arial"/>
          <w:lang w:val="en-GB"/>
        </w:rPr>
        <w:t>France</w:t>
      </w:r>
      <w:proofErr w:type="gramEnd"/>
      <w:r w:rsidRPr="002E4BFA">
        <w:rPr>
          <w:rFonts w:ascii="Arial" w:hAnsi="Arial" w:cs="Arial"/>
          <w:lang w:val="en-GB"/>
        </w:rPr>
        <w:t xml:space="preserve"> or Spain, which are both socially regressive and </w:t>
      </w:r>
      <w:r w:rsidRPr="002E4BFA">
        <w:rPr>
          <w:rFonts w:ascii="Arial" w:hAnsi="Arial" w:cs="Arial"/>
          <w:lang w:val="en-GB"/>
        </w:rPr>
        <w:lastRenderedPageBreak/>
        <w:t>counterproductive from a price signal/environmental point of view (</w:t>
      </w:r>
      <w:proofErr w:type="spellStart"/>
      <w:r w:rsidRPr="002E4BFA">
        <w:rPr>
          <w:rFonts w:ascii="Arial" w:hAnsi="Arial" w:cs="Arial"/>
          <w:lang w:val="en-GB"/>
        </w:rPr>
        <w:t>Defard</w:t>
      </w:r>
      <w:proofErr w:type="spellEnd"/>
      <w:r w:rsidRPr="002E4BFA">
        <w:rPr>
          <w:rFonts w:ascii="Arial" w:hAnsi="Arial" w:cs="Arial"/>
          <w:lang w:val="en-GB"/>
        </w:rPr>
        <w:t xml:space="preserve">, 2022: 4–5). </w:t>
      </w:r>
    </w:p>
    <w:p w14:paraId="2E561436" w14:textId="6916FFAA"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The SCF’s investment strand would also address unequal financial capacities to invest in the technical measures to mitigate environmental risks, such as building renovation measures. In practice, it may however be difficult to ensure that investments in public transport infrastructures or building renovation benefit the vulnerable rather than the wealthy. Furthermore, allocations to Member States are calculated </w:t>
      </w:r>
      <w:proofErr w:type="gramStart"/>
      <w:r w:rsidRPr="002E4BFA">
        <w:rPr>
          <w:rFonts w:ascii="Arial" w:hAnsi="Arial" w:cs="Arial"/>
          <w:lang w:val="en-GB"/>
        </w:rPr>
        <w:t>on the basis of</w:t>
      </w:r>
      <w:proofErr w:type="gramEnd"/>
      <w:r w:rsidRPr="002E4BFA">
        <w:rPr>
          <w:rFonts w:ascii="Arial" w:hAnsi="Arial" w:cs="Arial"/>
          <w:lang w:val="en-GB"/>
        </w:rPr>
        <w:t xml:space="preserve"> six criteria including total population, gross national income (GNI) per capita and several indicators of the population at risk of poverty and a country’s economic dependence on carbon. Poland, France, Italy, </w:t>
      </w:r>
      <w:proofErr w:type="gramStart"/>
      <w:r w:rsidRPr="002E4BFA">
        <w:rPr>
          <w:rFonts w:ascii="Arial" w:hAnsi="Arial" w:cs="Arial"/>
          <w:lang w:val="en-GB"/>
        </w:rPr>
        <w:t>Spain</w:t>
      </w:r>
      <w:proofErr w:type="gramEnd"/>
      <w:r w:rsidRPr="002E4BFA">
        <w:rPr>
          <w:rFonts w:ascii="Arial" w:hAnsi="Arial" w:cs="Arial"/>
          <w:lang w:val="en-GB"/>
        </w:rPr>
        <w:t xml:space="preserve"> and Romania are consequently expected to be the main SCF recipients, accounting for almost 60 per cent of the available funding (</w:t>
      </w:r>
      <w:r w:rsidR="00C70929" w:rsidRPr="002E4BFA">
        <w:rPr>
          <w:rFonts w:ascii="Arial" w:hAnsi="Arial" w:cs="Arial"/>
          <w:lang w:val="en-GB"/>
        </w:rPr>
        <w:t>European Commission, 2021).</w:t>
      </w:r>
      <w:r w:rsidRPr="002E4BFA">
        <w:rPr>
          <w:rFonts w:ascii="Arial" w:hAnsi="Arial" w:cs="Arial"/>
          <w:lang w:val="en-GB"/>
        </w:rPr>
        <w:t xml:space="preserve"> Therefore, the SCF is designed to address both vertical inequalities within societies and horizontal inequalities between EU countries. Member States will have to draw up national Social Climate Plans in which 37.5 per cent of the available funding can be directed towards income support, a share meant to decrease over time (</w:t>
      </w:r>
      <w:proofErr w:type="spellStart"/>
      <w:r w:rsidRPr="002E4BFA">
        <w:rPr>
          <w:rFonts w:ascii="Arial" w:hAnsi="Arial" w:cs="Arial"/>
          <w:lang w:val="en-GB"/>
        </w:rPr>
        <w:t>Agence</w:t>
      </w:r>
      <w:proofErr w:type="spellEnd"/>
      <w:r w:rsidRPr="002E4BFA">
        <w:rPr>
          <w:rFonts w:ascii="Arial" w:hAnsi="Arial" w:cs="Arial"/>
          <w:lang w:val="en-GB"/>
        </w:rPr>
        <w:t xml:space="preserve"> Europe</w:t>
      </w:r>
      <w:r w:rsidR="008630C6" w:rsidRPr="002E4BFA">
        <w:rPr>
          <w:rFonts w:ascii="Arial" w:hAnsi="Arial" w:cs="Arial"/>
          <w:lang w:val="en-GB"/>
        </w:rPr>
        <w:t>, 2022</w:t>
      </w:r>
      <w:r w:rsidR="00987D94" w:rsidRPr="002E4BFA">
        <w:rPr>
          <w:rFonts w:ascii="Arial" w:hAnsi="Arial" w:cs="Arial"/>
          <w:lang w:val="en-GB"/>
        </w:rPr>
        <w:t>a</w:t>
      </w:r>
      <w:r w:rsidRPr="002E4BFA">
        <w:rPr>
          <w:rFonts w:ascii="Arial" w:hAnsi="Arial" w:cs="Arial"/>
          <w:lang w:val="en-GB"/>
        </w:rPr>
        <w:t>).</w:t>
      </w:r>
    </w:p>
    <w:p w14:paraId="3752165D" w14:textId="71194A41"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At the same time, its narrow focus on the distributional impact of carbon pricing for individuals and households leaves some major inequality aspects unaddressed. The first is at the root of the problems in terms of carbon emissions. Numerous studies provide evidence that wealthier people emit more due to their lifestyles (Kenner, 2019). This has not only environmental but also political consequences since income inequality generates resistance to climate-friendly policies both from capital owners benefiting from the status quo and from </w:t>
      </w:r>
      <w:r w:rsidR="00EC377C" w:rsidRPr="002E4BFA">
        <w:rPr>
          <w:rFonts w:ascii="Arial" w:hAnsi="Arial" w:cs="Arial"/>
          <w:lang w:val="en-GB"/>
        </w:rPr>
        <w:t xml:space="preserve">vulnerable households </w:t>
      </w:r>
      <w:r w:rsidRPr="002E4BFA">
        <w:rPr>
          <w:rFonts w:ascii="Arial" w:hAnsi="Arial" w:cs="Arial"/>
          <w:lang w:val="en-GB"/>
        </w:rPr>
        <w:t xml:space="preserve">feeling that the transition measures will lead to inflation and therefore threaten their well-being (Green and Healy, 2022: 639). </w:t>
      </w:r>
      <w:proofErr w:type="gramStart"/>
      <w:r w:rsidRPr="002E4BFA">
        <w:rPr>
          <w:rFonts w:ascii="Arial" w:hAnsi="Arial" w:cs="Arial"/>
          <w:lang w:val="en-GB"/>
        </w:rPr>
        <w:t>In an attempt to</w:t>
      </w:r>
      <w:proofErr w:type="gramEnd"/>
      <w:r w:rsidRPr="002E4BFA">
        <w:rPr>
          <w:rFonts w:ascii="Arial" w:hAnsi="Arial" w:cs="Arial"/>
          <w:lang w:val="en-GB"/>
        </w:rPr>
        <w:t xml:space="preserve"> address this issue, the current agreement on the SCF will include the first-ever definition of energy and transport poverty (</w:t>
      </w:r>
      <w:proofErr w:type="spellStart"/>
      <w:r w:rsidRPr="002E4BFA">
        <w:rPr>
          <w:rFonts w:ascii="Arial" w:hAnsi="Arial" w:cs="Arial"/>
          <w:lang w:val="en-GB"/>
        </w:rPr>
        <w:t>Agence</w:t>
      </w:r>
      <w:proofErr w:type="spellEnd"/>
      <w:r w:rsidRPr="002E4BFA">
        <w:rPr>
          <w:rFonts w:ascii="Arial" w:hAnsi="Arial" w:cs="Arial"/>
          <w:lang w:val="en-GB"/>
        </w:rPr>
        <w:t xml:space="preserve"> Europe</w:t>
      </w:r>
      <w:r w:rsidR="008630C6" w:rsidRPr="002E4BFA">
        <w:rPr>
          <w:rFonts w:ascii="Arial" w:hAnsi="Arial" w:cs="Arial"/>
          <w:lang w:val="en-GB"/>
        </w:rPr>
        <w:t>, 2022</w:t>
      </w:r>
      <w:r w:rsidR="00987D94" w:rsidRPr="002E4BFA">
        <w:rPr>
          <w:rFonts w:ascii="Arial" w:hAnsi="Arial" w:cs="Arial"/>
          <w:lang w:val="en-GB"/>
        </w:rPr>
        <w:t>a</w:t>
      </w:r>
      <w:r w:rsidRPr="002E4BFA">
        <w:rPr>
          <w:rFonts w:ascii="Arial" w:hAnsi="Arial" w:cs="Arial"/>
          <w:lang w:val="en-GB"/>
        </w:rPr>
        <w:t xml:space="preserve">). However, there are grounds to suspect that the available money will be insufficient to tackle the extra burden levied by carbon pricing on vulnerable households. Another important form of inequality concerns the unequal distribution of environmental risks related to quality of life and health. Living in highly polluted environments, areas at risk of flooding or in energy poverty can lead to an increase in health issues and reduced life expectancy (Paavola, 2017), an aspect not </w:t>
      </w:r>
      <w:r w:rsidRPr="002E4BFA">
        <w:rPr>
          <w:rFonts w:ascii="Arial" w:hAnsi="Arial" w:cs="Arial"/>
          <w:lang w:val="en-GB"/>
        </w:rPr>
        <w:lastRenderedPageBreak/>
        <w:t>considered by the SCF. In turn, by funding investment in activities generating ‘low emissions’ as opposed to ‘zero emissions’ as foreseen by the latest agreement, the SCF could end up keeping people at the bottom of the social ladder in carbon-based mobility and housing, as some NGOs have argued (</w:t>
      </w:r>
      <w:proofErr w:type="spellStart"/>
      <w:r w:rsidRPr="002E4BFA">
        <w:rPr>
          <w:rFonts w:ascii="Arial" w:hAnsi="Arial" w:cs="Arial"/>
          <w:lang w:val="en-GB"/>
        </w:rPr>
        <w:t>Agence</w:t>
      </w:r>
      <w:proofErr w:type="spellEnd"/>
      <w:r w:rsidRPr="002E4BFA">
        <w:rPr>
          <w:rFonts w:ascii="Arial" w:hAnsi="Arial" w:cs="Arial"/>
          <w:lang w:val="en-GB"/>
        </w:rPr>
        <w:t xml:space="preserve"> Europe</w:t>
      </w:r>
      <w:r w:rsidR="00987D94" w:rsidRPr="002E4BFA">
        <w:rPr>
          <w:rFonts w:ascii="Arial" w:hAnsi="Arial" w:cs="Arial"/>
          <w:lang w:val="en-GB"/>
        </w:rPr>
        <w:t>, 2022b</w:t>
      </w:r>
      <w:r w:rsidRPr="002E4BFA">
        <w:rPr>
          <w:rFonts w:ascii="Arial" w:hAnsi="Arial" w:cs="Arial"/>
          <w:lang w:val="en-GB"/>
        </w:rPr>
        <w:t>). In many ways, introducing carbon pricing before proper regulatory and investment policies are in place to protect the most vulnerable households from having to foot (excessive) bills is tantamount to ‘putting the cart before the horse’ (</w:t>
      </w:r>
      <w:proofErr w:type="spellStart"/>
      <w:r w:rsidRPr="002E4BFA">
        <w:rPr>
          <w:rFonts w:ascii="Arial" w:hAnsi="Arial" w:cs="Arial"/>
          <w:lang w:val="en-GB"/>
        </w:rPr>
        <w:t>Defard</w:t>
      </w:r>
      <w:proofErr w:type="spellEnd"/>
      <w:r w:rsidR="005A2E09" w:rsidRPr="002E4BFA">
        <w:rPr>
          <w:rFonts w:ascii="Arial" w:hAnsi="Arial" w:cs="Arial"/>
          <w:lang w:val="en-GB"/>
        </w:rPr>
        <w:t>,</w:t>
      </w:r>
      <w:r w:rsidRPr="002E4BFA">
        <w:rPr>
          <w:rFonts w:ascii="Arial" w:hAnsi="Arial" w:cs="Arial"/>
          <w:lang w:val="en-GB"/>
        </w:rPr>
        <w:t xml:space="preserve"> 2021, 2022). </w:t>
      </w:r>
    </w:p>
    <w:p w14:paraId="6330B0D8" w14:textId="00532E2D" w:rsidR="00EA61C1" w:rsidRPr="002E4BFA" w:rsidRDefault="00EA61C1" w:rsidP="00C6263F">
      <w:pPr>
        <w:pStyle w:val="ListParagraph"/>
        <w:numPr>
          <w:ilvl w:val="0"/>
          <w:numId w:val="5"/>
        </w:numPr>
        <w:spacing w:line="360" w:lineRule="auto"/>
        <w:jc w:val="left"/>
        <w:rPr>
          <w:rFonts w:ascii="Arial" w:hAnsi="Arial" w:cs="Arial"/>
          <w:b/>
          <w:i/>
          <w:lang w:val="en-GB"/>
        </w:rPr>
      </w:pPr>
      <w:r w:rsidRPr="002E4BFA">
        <w:rPr>
          <w:rFonts w:ascii="Arial" w:hAnsi="Arial" w:cs="Arial"/>
          <w:b/>
          <w:i/>
          <w:lang w:val="en-GB"/>
        </w:rPr>
        <w:t xml:space="preserve">Linkages to existing policy instruments </w:t>
      </w:r>
    </w:p>
    <w:p w14:paraId="5DFD3E1C" w14:textId="1A3A4008" w:rsidR="00EA61C1" w:rsidRPr="002E4BFA" w:rsidRDefault="00EA61C1" w:rsidP="00C6263F">
      <w:pPr>
        <w:spacing w:line="360" w:lineRule="auto"/>
        <w:jc w:val="left"/>
        <w:rPr>
          <w:rFonts w:ascii="Arial" w:hAnsi="Arial" w:cs="Arial"/>
          <w:lang w:val="en-GB"/>
        </w:rPr>
      </w:pPr>
      <w:r w:rsidRPr="002E4BFA">
        <w:rPr>
          <w:rFonts w:ascii="Arial" w:hAnsi="Arial" w:cs="Arial"/>
          <w:lang w:val="en-GB"/>
        </w:rPr>
        <w:t>While the SCF is supposed to be consistent with other EU instruments, notably the European Social Fund+ and the European Pillar of Social Rights Action Plan, no specific linkage is obvious. The focus on direct income support for vulnerable households and micro-enterprises can be seen as complementing the ESF+ and JTF approaches, both of which focus to a large extent on labour market inclusion through reskilling and upskilling. At the same time, overlaps may arise between the SCF and the ESF</w:t>
      </w:r>
      <w:r w:rsidR="00392934" w:rsidRPr="002E4BFA">
        <w:rPr>
          <w:rFonts w:ascii="Arial" w:hAnsi="Arial" w:cs="Arial"/>
          <w:lang w:val="en-GB"/>
        </w:rPr>
        <w:t>+</w:t>
      </w:r>
      <w:r w:rsidRPr="002E4BFA">
        <w:rPr>
          <w:rFonts w:ascii="Arial" w:hAnsi="Arial" w:cs="Arial"/>
          <w:lang w:val="en-GB"/>
        </w:rPr>
        <w:t xml:space="preserve"> in terms of support for </w:t>
      </w:r>
      <w:r w:rsidR="00392934" w:rsidRPr="002E4BFA">
        <w:rPr>
          <w:rFonts w:ascii="Arial" w:hAnsi="Arial" w:cs="Arial"/>
          <w:lang w:val="en-GB"/>
        </w:rPr>
        <w:t xml:space="preserve">the most </w:t>
      </w:r>
      <w:r w:rsidRPr="002E4BFA">
        <w:rPr>
          <w:rFonts w:ascii="Arial" w:hAnsi="Arial" w:cs="Arial"/>
          <w:lang w:val="en-GB"/>
        </w:rPr>
        <w:t xml:space="preserve">vulnerable, and between the SCF and RRF in terms of investment. While the European Pillar of Social Rights is mentioned a few times in the Regulation proposal, the connection is not obvious, mainly because the EPSR has no explicit environmental dimension and the rights featured therein were not conceived in the light of how climate change reinforces existing inequalities (for instance with relation to health). Nevertheless, the Commission sees the SCF as contributing to implementing EPSR Principle 20: ‘Everyone has the right to access essential services of good quality, including water, sanitation, energy, transport, financial </w:t>
      </w:r>
      <w:proofErr w:type="gramStart"/>
      <w:r w:rsidRPr="002E4BFA">
        <w:rPr>
          <w:rFonts w:ascii="Arial" w:hAnsi="Arial" w:cs="Arial"/>
          <w:lang w:val="en-GB"/>
        </w:rPr>
        <w:t>services</w:t>
      </w:r>
      <w:proofErr w:type="gramEnd"/>
      <w:r w:rsidRPr="002E4BFA">
        <w:rPr>
          <w:rFonts w:ascii="Arial" w:hAnsi="Arial" w:cs="Arial"/>
          <w:lang w:val="en-GB"/>
        </w:rPr>
        <w:t xml:space="preserve"> and digital communications. Support for access to such services shall be available for those in need.’ This clearly relates to the SCF’s investment strand. </w:t>
      </w:r>
    </w:p>
    <w:p w14:paraId="5744AABC" w14:textId="1BC695D2" w:rsidR="00EA61C1"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In terms of governance, the initial Commission proposal listed three conditions attached to the distribution of the funds: performance, the ‘do no harm principle’ and additionality, all three of which are also to be found in other EU instruments. Following the same ‘performance-based approach’ as the RRF (Corti and </w:t>
      </w:r>
      <w:proofErr w:type="spellStart"/>
      <w:r w:rsidRPr="002E4BFA">
        <w:rPr>
          <w:rFonts w:ascii="Arial" w:hAnsi="Arial" w:cs="Arial"/>
          <w:lang w:val="en-GB"/>
        </w:rPr>
        <w:t>Vesan</w:t>
      </w:r>
      <w:proofErr w:type="spellEnd"/>
      <w:r w:rsidRPr="002E4BFA">
        <w:rPr>
          <w:rFonts w:ascii="Arial" w:hAnsi="Arial" w:cs="Arial"/>
          <w:lang w:val="en-GB"/>
        </w:rPr>
        <w:t xml:space="preserve">, </w:t>
      </w:r>
      <w:r w:rsidR="006E1AF2" w:rsidRPr="002E4BFA">
        <w:rPr>
          <w:rFonts w:ascii="Arial" w:hAnsi="Arial" w:cs="Arial"/>
          <w:lang w:val="en-GB"/>
        </w:rPr>
        <w:t>2023</w:t>
      </w:r>
      <w:r w:rsidRPr="002E4BFA">
        <w:rPr>
          <w:rFonts w:ascii="Arial" w:hAnsi="Arial" w:cs="Arial"/>
          <w:lang w:val="en-GB"/>
        </w:rPr>
        <w:t xml:space="preserve">) and the JTF, the national Social Climate Plans will have to include qualitative ‘milestones’ and quantitative ‘targets’ which will have to be achieved through the planned measures and investments to be completed by July 2032 (Article 4). This approach is supposed to be conducive to smoother implementation and a higher </w:t>
      </w:r>
      <w:r w:rsidRPr="002E4BFA">
        <w:rPr>
          <w:rFonts w:ascii="Arial" w:hAnsi="Arial" w:cs="Arial"/>
          <w:lang w:val="en-GB"/>
        </w:rPr>
        <w:lastRenderedPageBreak/>
        <w:t xml:space="preserve">level of funding absorption. The planned measures should also reflect the ‘do no significant harm’ principle referred to in Article 17 of Regulation (EU) 2020/852 on the establishment of a framework to facilitate sustainable investment. In practice, conflicts between the protection of biodiversity and the construction of sustainable infrastructure or housing have been increasingly frequent, leading to political dilemmas. Finally, Member States are expected to co-finance 25 per cent of the SCF, akin to the additionality principle in EU cohesion policy which stipulates that EU financial support to Member States must complement and not replace national funding dedicated to certain policies. </w:t>
      </w:r>
    </w:p>
    <w:p w14:paraId="0056E417" w14:textId="77777777" w:rsidR="00EA61C1" w:rsidRPr="002E4BFA" w:rsidRDefault="00EA61C1" w:rsidP="00C6263F">
      <w:pPr>
        <w:pStyle w:val="ListParagraph"/>
        <w:numPr>
          <w:ilvl w:val="0"/>
          <w:numId w:val="6"/>
        </w:numPr>
        <w:spacing w:line="360" w:lineRule="auto"/>
        <w:jc w:val="left"/>
        <w:rPr>
          <w:rFonts w:ascii="Arial" w:hAnsi="Arial" w:cs="Arial"/>
          <w:b/>
          <w:bCs/>
          <w:i/>
          <w:iCs/>
          <w:lang w:val="en-GB"/>
        </w:rPr>
      </w:pPr>
      <w:r w:rsidRPr="002E4BFA">
        <w:rPr>
          <w:rFonts w:ascii="Arial" w:hAnsi="Arial" w:cs="Arial"/>
          <w:b/>
          <w:bCs/>
          <w:i/>
          <w:iCs/>
          <w:lang w:val="en-GB"/>
        </w:rPr>
        <w:t>Patterns of political conflict</w:t>
      </w:r>
    </w:p>
    <w:p w14:paraId="2078E826" w14:textId="37FDA647" w:rsidR="00EA61C1" w:rsidRPr="002E4BFA" w:rsidRDefault="00EA61C1" w:rsidP="00C6263F">
      <w:pPr>
        <w:spacing w:line="360" w:lineRule="auto"/>
        <w:jc w:val="left"/>
        <w:rPr>
          <w:rFonts w:ascii="Arial" w:hAnsi="Arial" w:cs="Arial"/>
          <w:lang w:val="en-GB"/>
        </w:rPr>
      </w:pPr>
      <w:r w:rsidRPr="002E4BFA">
        <w:rPr>
          <w:rFonts w:ascii="Arial" w:hAnsi="Arial" w:cs="Arial"/>
          <w:lang w:val="en-GB"/>
        </w:rPr>
        <w:t>Examining the heated debates surrounding the new carbon pricing for road transport and buildings (ETS2) and the accompanying SCF, the typical lines of conflict existing in other policy areas can be observed, namely the overlapping of ideological conflicts (mainly left-right), material conflicts (EU budget</w:t>
      </w:r>
      <w:r w:rsidRPr="002E4BFA" w:rsidDel="00EC0E16">
        <w:rPr>
          <w:rFonts w:ascii="Arial" w:hAnsi="Arial" w:cs="Arial"/>
          <w:lang w:val="en-GB"/>
        </w:rPr>
        <w:t xml:space="preserve"> </w:t>
      </w:r>
      <w:r w:rsidRPr="002E4BFA">
        <w:rPr>
          <w:rFonts w:ascii="Arial" w:hAnsi="Arial" w:cs="Arial"/>
          <w:lang w:val="en-GB"/>
        </w:rPr>
        <w:t xml:space="preserve">net contributors vs net recipients) and inter-institutional confrontations (European Parliament vs. Council). Contention has crystallised around three issues: the very relevance of using carbon pricing and especially of extending it to household mobility and buildings, the amount and sources of funding, and the extent to which the SCF should be geared to direct income support rather than investment. </w:t>
      </w:r>
    </w:p>
    <w:p w14:paraId="596ED092" w14:textId="2DE22161" w:rsidR="00EA61C1" w:rsidRPr="002E4BFA" w:rsidRDefault="00EA61C1" w:rsidP="00C6263F">
      <w:pPr>
        <w:spacing w:line="360" w:lineRule="auto"/>
        <w:jc w:val="left"/>
        <w:rPr>
          <w:rFonts w:ascii="Arial" w:hAnsi="Arial" w:cs="Arial"/>
          <w:lang w:val="en-GB"/>
        </w:rPr>
      </w:pPr>
      <w:r w:rsidRPr="002E4BFA">
        <w:rPr>
          <w:rFonts w:ascii="Arial" w:hAnsi="Arial" w:cs="Arial"/>
          <w:lang w:val="en-GB"/>
        </w:rPr>
        <w:t xml:space="preserve">From an interinstitutional point of view, we have seen the Commission fighting to defend its proposal – under fire from both the Council and the European Parliament – and searching for a compromise acceptable to both institutions with their </w:t>
      </w:r>
      <w:proofErr w:type="gramStart"/>
      <w:r w:rsidRPr="002E4BFA">
        <w:rPr>
          <w:rFonts w:ascii="Arial" w:hAnsi="Arial" w:cs="Arial"/>
          <w:lang w:val="en-GB"/>
        </w:rPr>
        <w:t>often opposing</w:t>
      </w:r>
      <w:proofErr w:type="gramEnd"/>
      <w:r w:rsidRPr="002E4BFA">
        <w:rPr>
          <w:rFonts w:ascii="Arial" w:hAnsi="Arial" w:cs="Arial"/>
          <w:lang w:val="en-GB"/>
        </w:rPr>
        <w:t xml:space="preserve"> views. While many MEPs see the SCF as insufficient to compensate for higher prices for households, the Council is divided, needing to overcome a potential veto from governments unwilling to endorse a new instrument implying greater financial solidarity across Member States.</w:t>
      </w:r>
    </w:p>
    <w:p w14:paraId="0B44664E" w14:textId="1E4F3B80" w:rsidR="00EC3FA7" w:rsidRPr="002E4BFA" w:rsidRDefault="00EA61C1" w:rsidP="00C6263F">
      <w:pPr>
        <w:spacing w:line="360" w:lineRule="auto"/>
        <w:ind w:firstLine="360"/>
        <w:jc w:val="left"/>
        <w:rPr>
          <w:rFonts w:ascii="Arial" w:hAnsi="Arial" w:cs="Arial"/>
          <w:lang w:val="en-GB"/>
        </w:rPr>
      </w:pPr>
      <w:r w:rsidRPr="002E4BFA">
        <w:rPr>
          <w:rFonts w:ascii="Arial" w:hAnsi="Arial" w:cs="Arial"/>
          <w:lang w:val="en-GB"/>
        </w:rPr>
        <w:t xml:space="preserve">From the outset, the twin proposals for the ETS2 and SCF sparked criticism from many MEPs, with the spectre of the French Yellow Vests revolt looming over deliberations. Pascal </w:t>
      </w:r>
      <w:proofErr w:type="spellStart"/>
      <w:r w:rsidRPr="002E4BFA">
        <w:rPr>
          <w:rFonts w:ascii="Arial" w:hAnsi="Arial" w:cs="Arial"/>
          <w:lang w:val="en-GB"/>
        </w:rPr>
        <w:t>Canfin</w:t>
      </w:r>
      <w:proofErr w:type="spellEnd"/>
      <w:r w:rsidRPr="002E4BFA">
        <w:rPr>
          <w:rFonts w:ascii="Arial" w:hAnsi="Arial" w:cs="Arial"/>
          <w:lang w:val="en-GB"/>
        </w:rPr>
        <w:t xml:space="preserve"> (Renew Europe, France), Chair of the Parliament’s Committee on the Environment, Public Health and Food Safety (ENVI) declared for instance that he was ‘</w:t>
      </w:r>
      <w:r w:rsidRPr="002E4BFA">
        <w:rPr>
          <w:rFonts w:ascii="Arial" w:hAnsi="Arial" w:cs="Arial"/>
          <w:i/>
          <w:iCs/>
          <w:lang w:val="en-GB"/>
        </w:rPr>
        <w:t xml:space="preserve">very sceptical about [...] extending the carbon market to buildings and transport, because we consider the political cost to be very high and </w:t>
      </w:r>
      <w:r w:rsidRPr="002E4BFA">
        <w:rPr>
          <w:rFonts w:ascii="Arial" w:hAnsi="Arial" w:cs="Arial"/>
          <w:i/>
          <w:iCs/>
          <w:lang w:val="en-GB"/>
        </w:rPr>
        <w:lastRenderedPageBreak/>
        <w:t>the climate impact to be very low</w:t>
      </w:r>
      <w:r w:rsidRPr="002E4BFA">
        <w:rPr>
          <w:rFonts w:ascii="Arial" w:hAnsi="Arial" w:cs="Arial"/>
          <w:lang w:val="en-GB"/>
        </w:rPr>
        <w:t>’, a Renew position also shared by the Social Democrats (S&amp;D) and the Greens (</w:t>
      </w:r>
      <w:proofErr w:type="spellStart"/>
      <w:r w:rsidRPr="002E4BFA">
        <w:rPr>
          <w:rFonts w:ascii="Arial" w:hAnsi="Arial" w:cs="Arial"/>
          <w:lang w:val="en-GB"/>
        </w:rPr>
        <w:t>Agence</w:t>
      </w:r>
      <w:proofErr w:type="spellEnd"/>
      <w:r w:rsidRPr="002E4BFA">
        <w:rPr>
          <w:rFonts w:ascii="Arial" w:hAnsi="Arial" w:cs="Arial"/>
          <w:lang w:val="en-GB"/>
        </w:rPr>
        <w:t xml:space="preserve"> Europe, </w:t>
      </w:r>
      <w:r w:rsidR="00E73BDA" w:rsidRPr="002E4BFA">
        <w:rPr>
          <w:rFonts w:ascii="Arial" w:hAnsi="Arial" w:cs="Arial"/>
          <w:lang w:val="en-GB"/>
        </w:rPr>
        <w:t>2021</w:t>
      </w:r>
      <w:r w:rsidR="00C47582" w:rsidRPr="002E4BFA">
        <w:rPr>
          <w:rFonts w:ascii="Arial" w:hAnsi="Arial" w:cs="Arial"/>
          <w:lang w:val="en-GB"/>
        </w:rPr>
        <w:t>a</w:t>
      </w:r>
      <w:r w:rsidRPr="002E4BFA">
        <w:rPr>
          <w:rFonts w:ascii="Arial" w:hAnsi="Arial" w:cs="Arial"/>
          <w:lang w:val="en-GB"/>
        </w:rPr>
        <w:t>). Eurosceptics from the European Conservatives and Reformists </w:t>
      </w:r>
      <w:r w:rsidRPr="002E4BFA">
        <w:rPr>
          <w:rFonts w:ascii="Arial" w:hAnsi="Arial" w:cs="Arial"/>
          <w:bCs/>
          <w:lang w:val="en-GB"/>
        </w:rPr>
        <w:t>Group similarly feared a popul</w:t>
      </w:r>
      <w:r w:rsidR="00392934" w:rsidRPr="002E4BFA">
        <w:rPr>
          <w:rFonts w:ascii="Arial" w:hAnsi="Arial" w:cs="Arial"/>
          <w:bCs/>
          <w:lang w:val="en-GB"/>
        </w:rPr>
        <w:t>ist</w:t>
      </w:r>
      <w:r w:rsidRPr="002E4BFA">
        <w:rPr>
          <w:rFonts w:ascii="Arial" w:hAnsi="Arial" w:cs="Arial"/>
          <w:bCs/>
          <w:lang w:val="en-GB"/>
        </w:rPr>
        <w:t xml:space="preserve"> backlash against the EU’s green policy. Moreover, the three Leftist groups </w:t>
      </w:r>
      <w:r w:rsidRPr="002E4BFA">
        <w:rPr>
          <w:rFonts w:ascii="Arial" w:hAnsi="Arial" w:cs="Arial"/>
          <w:lang w:val="en-GB"/>
        </w:rPr>
        <w:t>called for a much earlier abolition of free emissions allowances for industry (</w:t>
      </w:r>
      <w:proofErr w:type="gramStart"/>
      <w:r w:rsidRPr="002E4BFA">
        <w:rPr>
          <w:rFonts w:ascii="Arial" w:hAnsi="Arial" w:cs="Arial"/>
          <w:lang w:val="en-GB"/>
        </w:rPr>
        <w:t>e.g.</w:t>
      </w:r>
      <w:proofErr w:type="gramEnd"/>
      <w:r w:rsidRPr="002E4BFA">
        <w:rPr>
          <w:rFonts w:ascii="Arial" w:hAnsi="Arial" w:cs="Arial"/>
          <w:lang w:val="en-GB"/>
        </w:rPr>
        <w:t xml:space="preserve"> aviation) in order to ensure sufficient funding, if needed, via the existing ETS system of emissions allowances for energy suppliers and industry (</w:t>
      </w:r>
      <w:proofErr w:type="spellStart"/>
      <w:r w:rsidRPr="002E4BFA">
        <w:rPr>
          <w:rFonts w:ascii="Arial" w:hAnsi="Arial" w:cs="Arial"/>
          <w:lang w:val="en-GB"/>
        </w:rPr>
        <w:t>Agence</w:t>
      </w:r>
      <w:proofErr w:type="spellEnd"/>
      <w:r w:rsidRPr="002E4BFA">
        <w:rPr>
          <w:rFonts w:ascii="Arial" w:hAnsi="Arial" w:cs="Arial"/>
          <w:lang w:val="en-GB"/>
        </w:rPr>
        <w:t xml:space="preserve"> Europe, </w:t>
      </w:r>
      <w:r w:rsidR="00C47582" w:rsidRPr="002E4BFA">
        <w:rPr>
          <w:rFonts w:ascii="Arial" w:hAnsi="Arial" w:cs="Arial"/>
          <w:lang w:val="en-GB"/>
        </w:rPr>
        <w:t>2021b</w:t>
      </w:r>
      <w:r w:rsidRPr="002E4BFA">
        <w:rPr>
          <w:rFonts w:ascii="Arial" w:hAnsi="Arial" w:cs="Arial"/>
          <w:lang w:val="en-GB"/>
        </w:rPr>
        <w:t>). Some Left, S&amp;D and Green MEPs even advocated completely disconnecting the SCF from ETS2 (</w:t>
      </w:r>
      <w:proofErr w:type="spellStart"/>
      <w:r w:rsidRPr="002E4BFA">
        <w:rPr>
          <w:rFonts w:ascii="Arial" w:hAnsi="Arial" w:cs="Arial"/>
          <w:lang w:val="en-GB"/>
        </w:rPr>
        <w:t>Agence</w:t>
      </w:r>
      <w:proofErr w:type="spellEnd"/>
      <w:r w:rsidRPr="002E4BFA">
        <w:rPr>
          <w:rFonts w:ascii="Arial" w:hAnsi="Arial" w:cs="Arial"/>
          <w:lang w:val="en-GB"/>
        </w:rPr>
        <w:t xml:space="preserve"> Europe, </w:t>
      </w:r>
      <w:r w:rsidR="008E64EB" w:rsidRPr="002E4BFA">
        <w:rPr>
          <w:rFonts w:ascii="Arial" w:hAnsi="Arial" w:cs="Arial"/>
          <w:lang w:val="en-GB"/>
        </w:rPr>
        <w:t>2022</w:t>
      </w:r>
      <w:r w:rsidR="00A97BF0" w:rsidRPr="002E4BFA">
        <w:rPr>
          <w:rFonts w:ascii="Arial" w:hAnsi="Arial" w:cs="Arial"/>
          <w:lang w:val="en-GB"/>
        </w:rPr>
        <w:t>c</w:t>
      </w:r>
      <w:r w:rsidRPr="002E4BFA">
        <w:rPr>
          <w:rFonts w:ascii="Arial" w:hAnsi="Arial" w:cs="Arial"/>
          <w:lang w:val="en-GB"/>
        </w:rPr>
        <w:t>). By contrast, the European People’s Party Group was generally supportive of the Commission’s initiative (</w:t>
      </w:r>
      <w:proofErr w:type="spellStart"/>
      <w:r w:rsidRPr="002E4BFA">
        <w:rPr>
          <w:rFonts w:ascii="Arial" w:hAnsi="Arial" w:cs="Arial"/>
          <w:lang w:val="en-GB"/>
        </w:rPr>
        <w:t>Agence</w:t>
      </w:r>
      <w:proofErr w:type="spellEnd"/>
      <w:r w:rsidRPr="002E4BFA">
        <w:rPr>
          <w:rFonts w:ascii="Arial" w:hAnsi="Arial" w:cs="Arial"/>
          <w:lang w:val="en-GB"/>
        </w:rPr>
        <w:t xml:space="preserve"> Europe, </w:t>
      </w:r>
      <w:r w:rsidR="00E73BDA" w:rsidRPr="002E4BFA">
        <w:rPr>
          <w:rFonts w:ascii="Arial" w:hAnsi="Arial" w:cs="Arial"/>
          <w:lang w:val="en-GB"/>
        </w:rPr>
        <w:t>2021</w:t>
      </w:r>
      <w:r w:rsidR="00C47582" w:rsidRPr="002E4BFA">
        <w:rPr>
          <w:rFonts w:ascii="Arial" w:hAnsi="Arial" w:cs="Arial"/>
          <w:lang w:val="en-GB"/>
        </w:rPr>
        <w:t>a</w:t>
      </w:r>
      <w:r w:rsidR="002115D9" w:rsidRPr="002E4BFA">
        <w:rPr>
          <w:rFonts w:ascii="Arial" w:hAnsi="Arial" w:cs="Arial"/>
          <w:lang w:val="en-GB"/>
        </w:rPr>
        <w:t xml:space="preserve">; </w:t>
      </w:r>
      <w:r w:rsidR="00A97BF0" w:rsidRPr="002E4BFA">
        <w:rPr>
          <w:rFonts w:ascii="Arial" w:hAnsi="Arial" w:cs="Arial"/>
          <w:lang w:val="en-GB"/>
        </w:rPr>
        <w:t>2022c</w:t>
      </w:r>
      <w:r w:rsidRPr="002E4BFA">
        <w:rPr>
          <w:rFonts w:ascii="Arial" w:hAnsi="Arial" w:cs="Arial"/>
          <w:lang w:val="en-GB"/>
        </w:rPr>
        <w:t>). Ideological divisions among political groups initially</w:t>
      </w:r>
      <w:r w:rsidRPr="002E4BFA" w:rsidDel="0013158F">
        <w:rPr>
          <w:rFonts w:ascii="Arial" w:hAnsi="Arial" w:cs="Arial"/>
          <w:lang w:val="en-GB"/>
        </w:rPr>
        <w:t xml:space="preserve"> </w:t>
      </w:r>
      <w:r w:rsidRPr="002E4BFA">
        <w:rPr>
          <w:rFonts w:ascii="Arial" w:hAnsi="Arial" w:cs="Arial"/>
          <w:lang w:val="en-GB"/>
        </w:rPr>
        <w:t>followed a left-right pattern, albeit with the caveat that the far-right was similarly sceptical of the initiative, fearing that it would become a ‘political bomb’. Following a heated political debate which led to the motion to adopt the overall ‘Fit for 55’ package being defeated in the plenary session of 6–7 June 2022</w:t>
      </w:r>
      <w:r w:rsidRPr="002E4BFA">
        <w:rPr>
          <w:rStyle w:val="FootnoteReference"/>
          <w:rFonts w:ascii="Arial" w:hAnsi="Arial" w:cs="Arial"/>
          <w:lang w:val="en-GB"/>
        </w:rPr>
        <w:footnoteReference w:id="4"/>
      </w:r>
      <w:r w:rsidRPr="002E4BFA">
        <w:rPr>
          <w:rFonts w:ascii="Arial" w:hAnsi="Arial" w:cs="Arial"/>
          <w:lang w:val="en-GB"/>
        </w:rPr>
        <w:t>,</w:t>
      </w:r>
      <w:r w:rsidR="00EC3FA7" w:rsidRPr="002E4BFA">
        <w:rPr>
          <w:rFonts w:ascii="Arial" w:hAnsi="Arial" w:cs="Arial"/>
          <w:lang w:val="en-GB"/>
        </w:rPr>
        <w:t xml:space="preserve"> a large majority (479 in </w:t>
      </w:r>
      <w:r w:rsidR="00E71DB8" w:rsidRPr="002E4BFA">
        <w:rPr>
          <w:rFonts w:ascii="Arial" w:hAnsi="Arial" w:cs="Arial"/>
          <w:lang w:val="en-GB"/>
        </w:rPr>
        <w:t>favour</w:t>
      </w:r>
      <w:r w:rsidR="00EC3FA7" w:rsidRPr="002E4BFA">
        <w:rPr>
          <w:rFonts w:ascii="Arial" w:hAnsi="Arial" w:cs="Arial"/>
          <w:lang w:val="en-GB"/>
        </w:rPr>
        <w:t xml:space="preserve">, 103 against, 48 abstentions) eventually adopted a resolution later </w:t>
      </w:r>
      <w:r w:rsidR="00356392" w:rsidRPr="002E4BFA">
        <w:rPr>
          <w:rFonts w:ascii="Arial" w:hAnsi="Arial" w:cs="Arial"/>
          <w:lang w:val="en-GB"/>
        </w:rPr>
        <w:t>that month with</w:t>
      </w:r>
      <w:r w:rsidR="00EC3FA7" w:rsidRPr="002E4BFA">
        <w:rPr>
          <w:rFonts w:ascii="Arial" w:hAnsi="Arial" w:cs="Arial"/>
          <w:lang w:val="en-GB"/>
        </w:rPr>
        <w:t xml:space="preserve"> </w:t>
      </w:r>
      <w:r w:rsidR="00356392" w:rsidRPr="002E4BFA">
        <w:rPr>
          <w:rFonts w:ascii="Arial" w:hAnsi="Arial" w:cs="Arial"/>
          <w:lang w:val="en-GB"/>
        </w:rPr>
        <w:t xml:space="preserve">major </w:t>
      </w:r>
      <w:r w:rsidR="00EC3FA7" w:rsidRPr="002E4BFA">
        <w:rPr>
          <w:rFonts w:ascii="Arial" w:hAnsi="Arial" w:cs="Arial"/>
          <w:lang w:val="en-GB"/>
        </w:rPr>
        <w:t xml:space="preserve">changes to the Commission’s proposal. </w:t>
      </w:r>
      <w:r w:rsidR="00A728F4" w:rsidRPr="002E4BFA">
        <w:rPr>
          <w:rFonts w:ascii="Arial" w:hAnsi="Arial" w:cs="Arial"/>
          <w:lang w:val="en-GB"/>
        </w:rPr>
        <w:t xml:space="preserve">Despite being </w:t>
      </w:r>
      <w:r w:rsidR="00EC3FA7" w:rsidRPr="002E4BFA">
        <w:rPr>
          <w:rFonts w:ascii="Arial" w:hAnsi="Arial" w:cs="Arial"/>
          <w:lang w:val="en-GB"/>
        </w:rPr>
        <w:t>a red line for the E</w:t>
      </w:r>
      <w:r w:rsidR="00DB1914" w:rsidRPr="002E4BFA">
        <w:rPr>
          <w:rFonts w:ascii="Arial" w:hAnsi="Arial" w:cs="Arial"/>
          <w:lang w:val="en-GB"/>
        </w:rPr>
        <w:t xml:space="preserve">uropean </w:t>
      </w:r>
      <w:r w:rsidR="00EC3FA7" w:rsidRPr="002E4BFA">
        <w:rPr>
          <w:rFonts w:ascii="Arial" w:hAnsi="Arial" w:cs="Arial"/>
          <w:lang w:val="en-GB"/>
        </w:rPr>
        <w:t>P</w:t>
      </w:r>
      <w:r w:rsidR="00DB1914" w:rsidRPr="002E4BFA">
        <w:rPr>
          <w:rFonts w:ascii="Arial" w:hAnsi="Arial" w:cs="Arial"/>
          <w:lang w:val="en-GB"/>
        </w:rPr>
        <w:t>arliament</w:t>
      </w:r>
      <w:r w:rsidR="00EC3FA7" w:rsidRPr="002E4BFA">
        <w:rPr>
          <w:rFonts w:ascii="Arial" w:hAnsi="Arial" w:cs="Arial"/>
          <w:lang w:val="en-GB"/>
        </w:rPr>
        <w:t xml:space="preserve">, the </w:t>
      </w:r>
      <w:r w:rsidR="00A728F4" w:rsidRPr="002E4BFA">
        <w:rPr>
          <w:rFonts w:ascii="Arial" w:hAnsi="Arial" w:cs="Arial"/>
          <w:lang w:val="en-GB"/>
        </w:rPr>
        <w:t>exclusion of</w:t>
      </w:r>
      <w:r w:rsidR="00EC3FA7" w:rsidRPr="002E4BFA">
        <w:rPr>
          <w:rFonts w:ascii="Arial" w:hAnsi="Arial" w:cs="Arial"/>
          <w:lang w:val="en-GB"/>
        </w:rPr>
        <w:t xml:space="preserve"> households </w:t>
      </w:r>
      <w:r w:rsidR="00A728F4" w:rsidRPr="002E4BFA">
        <w:rPr>
          <w:rFonts w:ascii="Arial" w:hAnsi="Arial" w:cs="Arial"/>
          <w:lang w:val="en-GB"/>
        </w:rPr>
        <w:t xml:space="preserve">from carbon pricing </w:t>
      </w:r>
      <w:r w:rsidR="00EC3FA7" w:rsidRPr="002E4BFA">
        <w:rPr>
          <w:rFonts w:ascii="Arial" w:hAnsi="Arial" w:cs="Arial"/>
          <w:lang w:val="en-GB"/>
        </w:rPr>
        <w:t>at least until 2029 could not be maintained</w:t>
      </w:r>
      <w:r w:rsidR="00A728F4" w:rsidRPr="002E4BFA">
        <w:rPr>
          <w:rFonts w:ascii="Arial" w:hAnsi="Arial" w:cs="Arial"/>
          <w:lang w:val="en-GB"/>
        </w:rPr>
        <w:t xml:space="preserve">. They </w:t>
      </w:r>
      <w:r w:rsidR="00EC3FA7" w:rsidRPr="002E4BFA">
        <w:rPr>
          <w:rFonts w:ascii="Arial" w:hAnsi="Arial" w:cs="Arial"/>
          <w:lang w:val="en-GB"/>
        </w:rPr>
        <w:t>are now foreseen to be covered by ETS2 from 2027</w:t>
      </w:r>
      <w:r w:rsidR="00A728F4" w:rsidRPr="002E4BFA">
        <w:rPr>
          <w:rFonts w:ascii="Arial" w:hAnsi="Arial" w:cs="Arial"/>
          <w:lang w:val="en-GB"/>
        </w:rPr>
        <w:t xml:space="preserve"> onwards</w:t>
      </w:r>
      <w:r w:rsidR="00EC3FA7" w:rsidRPr="002E4BFA">
        <w:rPr>
          <w:rFonts w:ascii="Arial" w:hAnsi="Arial" w:cs="Arial"/>
          <w:lang w:val="en-GB"/>
        </w:rPr>
        <w:t>.</w:t>
      </w:r>
    </w:p>
    <w:p w14:paraId="5A157C13" w14:textId="23D711A5" w:rsidR="00EC3FA7" w:rsidRPr="002E4BFA" w:rsidRDefault="00EC3FA7" w:rsidP="00C6263F">
      <w:pPr>
        <w:spacing w:line="360" w:lineRule="auto"/>
        <w:ind w:firstLine="360"/>
        <w:jc w:val="left"/>
        <w:rPr>
          <w:rFonts w:ascii="Arial" w:hAnsi="Arial" w:cs="Arial"/>
          <w:lang w:val="en-GB"/>
        </w:rPr>
      </w:pPr>
      <w:r w:rsidRPr="002E4BFA">
        <w:rPr>
          <w:rFonts w:ascii="Arial" w:hAnsi="Arial" w:cs="Arial"/>
          <w:lang w:val="en-GB"/>
        </w:rPr>
        <w:t xml:space="preserve">In the Council, </w:t>
      </w:r>
      <w:r w:rsidR="00A728F4" w:rsidRPr="002E4BFA">
        <w:rPr>
          <w:rFonts w:ascii="Arial" w:hAnsi="Arial" w:cs="Arial"/>
          <w:lang w:val="en-GB"/>
        </w:rPr>
        <w:t xml:space="preserve">divisions between </w:t>
      </w:r>
      <w:r w:rsidRPr="002E4BFA">
        <w:rPr>
          <w:rFonts w:ascii="Arial" w:hAnsi="Arial" w:cs="Arial"/>
          <w:lang w:val="en-GB"/>
        </w:rPr>
        <w:t xml:space="preserve">Member States </w:t>
      </w:r>
      <w:r w:rsidR="00A728F4" w:rsidRPr="002E4BFA">
        <w:rPr>
          <w:rFonts w:ascii="Arial" w:hAnsi="Arial" w:cs="Arial"/>
          <w:lang w:val="en-GB"/>
        </w:rPr>
        <w:t xml:space="preserve">typically reflected </w:t>
      </w:r>
      <w:r w:rsidRPr="002E4BFA">
        <w:rPr>
          <w:rFonts w:ascii="Arial" w:hAnsi="Arial" w:cs="Arial"/>
          <w:lang w:val="en-GB"/>
        </w:rPr>
        <w:t xml:space="preserve">net contributor vs. </w:t>
      </w:r>
      <w:r w:rsidR="00A728F4" w:rsidRPr="002E4BFA">
        <w:rPr>
          <w:rFonts w:ascii="Arial" w:hAnsi="Arial" w:cs="Arial"/>
          <w:lang w:val="en-GB"/>
        </w:rPr>
        <w:t xml:space="preserve">net </w:t>
      </w:r>
      <w:r w:rsidRPr="002E4BFA">
        <w:rPr>
          <w:rFonts w:ascii="Arial" w:hAnsi="Arial" w:cs="Arial"/>
          <w:lang w:val="en-GB"/>
        </w:rPr>
        <w:t xml:space="preserve">recipient </w:t>
      </w:r>
      <w:r w:rsidR="00A728F4" w:rsidRPr="002E4BFA">
        <w:rPr>
          <w:rFonts w:ascii="Arial" w:hAnsi="Arial" w:cs="Arial"/>
          <w:lang w:val="en-GB"/>
        </w:rPr>
        <w:t>positions</w:t>
      </w:r>
      <w:r w:rsidRPr="002E4BFA">
        <w:rPr>
          <w:rFonts w:ascii="Arial" w:hAnsi="Arial" w:cs="Arial"/>
          <w:lang w:val="en-GB"/>
        </w:rPr>
        <w:t xml:space="preserve">. </w:t>
      </w:r>
      <w:r w:rsidR="00A728F4" w:rsidRPr="002E4BFA">
        <w:rPr>
          <w:rFonts w:ascii="Arial" w:hAnsi="Arial" w:cs="Arial"/>
          <w:lang w:val="en-GB"/>
        </w:rPr>
        <w:t>Many</w:t>
      </w:r>
      <w:r w:rsidRPr="002E4BFA">
        <w:rPr>
          <w:rFonts w:ascii="Arial" w:hAnsi="Arial" w:cs="Arial"/>
          <w:lang w:val="en-GB"/>
        </w:rPr>
        <w:t xml:space="preserve"> governments were concerned about the political cost of extending carbon </w:t>
      </w:r>
      <w:r w:rsidR="00A728F4" w:rsidRPr="002E4BFA">
        <w:rPr>
          <w:rFonts w:ascii="Arial" w:hAnsi="Arial" w:cs="Arial"/>
          <w:lang w:val="en-GB"/>
        </w:rPr>
        <w:t xml:space="preserve">pricing </w:t>
      </w:r>
      <w:r w:rsidRPr="002E4BFA">
        <w:rPr>
          <w:rFonts w:ascii="Arial" w:hAnsi="Arial" w:cs="Arial"/>
          <w:lang w:val="en-GB"/>
        </w:rPr>
        <w:t xml:space="preserve">to buildings and road transport. </w:t>
      </w:r>
      <w:r w:rsidR="00A728F4" w:rsidRPr="002E4BFA">
        <w:rPr>
          <w:rFonts w:ascii="Arial" w:hAnsi="Arial" w:cs="Arial"/>
          <w:lang w:val="en-GB"/>
        </w:rPr>
        <w:t>Moreover</w:t>
      </w:r>
      <w:r w:rsidRPr="002E4BFA">
        <w:rPr>
          <w:rFonts w:ascii="Arial" w:hAnsi="Arial" w:cs="Arial"/>
          <w:lang w:val="en-GB"/>
        </w:rPr>
        <w:t xml:space="preserve">, the </w:t>
      </w:r>
      <w:r w:rsidR="00E71DB8" w:rsidRPr="002E4BFA">
        <w:rPr>
          <w:rFonts w:ascii="Arial" w:hAnsi="Arial" w:cs="Arial"/>
          <w:lang w:val="en-GB"/>
        </w:rPr>
        <w:t>‘</w:t>
      </w:r>
      <w:proofErr w:type="spellStart"/>
      <w:r w:rsidRPr="002E4BFA">
        <w:rPr>
          <w:rFonts w:ascii="Arial" w:hAnsi="Arial" w:cs="Arial"/>
          <w:lang w:val="en-GB"/>
        </w:rPr>
        <w:t>Frugals</w:t>
      </w:r>
      <w:proofErr w:type="spellEnd"/>
      <w:r w:rsidR="00E71DB8" w:rsidRPr="002E4BFA">
        <w:rPr>
          <w:rFonts w:ascii="Arial" w:hAnsi="Arial" w:cs="Arial"/>
          <w:lang w:val="en-GB"/>
        </w:rPr>
        <w:t>’</w:t>
      </w:r>
      <w:r w:rsidRPr="002E4BFA">
        <w:rPr>
          <w:rFonts w:ascii="Arial" w:hAnsi="Arial" w:cs="Arial"/>
          <w:lang w:val="en-GB"/>
        </w:rPr>
        <w:t xml:space="preserve"> </w:t>
      </w:r>
      <w:r w:rsidR="00A728F4" w:rsidRPr="002E4BFA">
        <w:rPr>
          <w:rFonts w:ascii="Arial" w:hAnsi="Arial" w:cs="Arial"/>
          <w:lang w:val="en-GB"/>
        </w:rPr>
        <w:t xml:space="preserve">considered </w:t>
      </w:r>
      <w:r w:rsidRPr="002E4BFA">
        <w:rPr>
          <w:rFonts w:ascii="Arial" w:hAnsi="Arial" w:cs="Arial"/>
          <w:lang w:val="en-GB"/>
        </w:rPr>
        <w:t xml:space="preserve">that the EU already had sufficient policy tools to ensure a fair transition and that social issues </w:t>
      </w:r>
      <w:r w:rsidR="00A728F4" w:rsidRPr="002E4BFA">
        <w:rPr>
          <w:rFonts w:ascii="Arial" w:hAnsi="Arial" w:cs="Arial"/>
          <w:lang w:val="en-GB"/>
        </w:rPr>
        <w:t xml:space="preserve">had </w:t>
      </w:r>
      <w:r w:rsidRPr="002E4BFA">
        <w:rPr>
          <w:rFonts w:ascii="Arial" w:hAnsi="Arial" w:cs="Arial"/>
          <w:lang w:val="en-GB"/>
        </w:rPr>
        <w:t>mainly to be addressed at national level (</w:t>
      </w:r>
      <w:proofErr w:type="spellStart"/>
      <w:r w:rsidRPr="002E4BFA">
        <w:rPr>
          <w:rFonts w:ascii="Arial" w:hAnsi="Arial" w:cs="Arial"/>
          <w:lang w:val="en-GB"/>
        </w:rPr>
        <w:t>Agence</w:t>
      </w:r>
      <w:proofErr w:type="spellEnd"/>
      <w:r w:rsidRPr="002E4BFA">
        <w:rPr>
          <w:rFonts w:ascii="Arial" w:hAnsi="Arial" w:cs="Arial"/>
          <w:lang w:val="en-GB"/>
        </w:rPr>
        <w:t xml:space="preserve"> Europe, </w:t>
      </w:r>
      <w:r w:rsidR="00FE1CD0" w:rsidRPr="002E4BFA">
        <w:rPr>
          <w:rFonts w:ascii="Arial" w:hAnsi="Arial" w:cs="Arial"/>
          <w:lang w:val="en-GB"/>
        </w:rPr>
        <w:t>2022</w:t>
      </w:r>
      <w:r w:rsidR="006E1AF2" w:rsidRPr="002E4BFA">
        <w:rPr>
          <w:rFonts w:ascii="Arial" w:hAnsi="Arial" w:cs="Arial"/>
          <w:lang w:val="en-GB"/>
        </w:rPr>
        <w:t>d</w:t>
      </w:r>
      <w:r w:rsidRPr="002E4BFA">
        <w:rPr>
          <w:rFonts w:ascii="Arial" w:hAnsi="Arial" w:cs="Arial"/>
          <w:lang w:val="en-GB"/>
        </w:rPr>
        <w:t xml:space="preserve">). Denmark, </w:t>
      </w:r>
      <w:proofErr w:type="gramStart"/>
      <w:r w:rsidR="00E71DB8" w:rsidRPr="002E4BFA">
        <w:rPr>
          <w:rFonts w:ascii="Arial" w:hAnsi="Arial" w:cs="Arial"/>
          <w:lang w:val="en-GB"/>
        </w:rPr>
        <w:t>Sweden</w:t>
      </w:r>
      <w:proofErr w:type="gramEnd"/>
      <w:r w:rsidRPr="002E4BFA">
        <w:rPr>
          <w:rFonts w:ascii="Arial" w:hAnsi="Arial" w:cs="Arial"/>
          <w:lang w:val="en-GB"/>
        </w:rPr>
        <w:t xml:space="preserve"> and Finland in particular expressed their objection to the Council’s common position </w:t>
      </w:r>
      <w:r w:rsidR="00A728F4" w:rsidRPr="002E4BFA">
        <w:rPr>
          <w:rFonts w:ascii="Arial" w:hAnsi="Arial" w:cs="Arial"/>
          <w:lang w:val="en-GB"/>
        </w:rPr>
        <w:t xml:space="preserve">of </w:t>
      </w:r>
      <w:r w:rsidRPr="002E4BFA">
        <w:rPr>
          <w:rFonts w:ascii="Arial" w:hAnsi="Arial" w:cs="Arial"/>
          <w:lang w:val="en-GB"/>
        </w:rPr>
        <w:t>June 2022 in a political statement.</w:t>
      </w:r>
      <w:r w:rsidR="00A728F4" w:rsidRPr="002E4BFA">
        <w:rPr>
          <w:rFonts w:ascii="Arial" w:hAnsi="Arial" w:cs="Arial"/>
          <w:lang w:val="en-GB"/>
        </w:rPr>
        <w:t xml:space="preserve"> N</w:t>
      </w:r>
      <w:r w:rsidRPr="002E4BFA">
        <w:rPr>
          <w:rFonts w:ascii="Arial" w:hAnsi="Arial" w:cs="Arial"/>
          <w:lang w:val="en-GB"/>
        </w:rPr>
        <w:t>egotiations with the E</w:t>
      </w:r>
      <w:r w:rsidR="00945AF9" w:rsidRPr="002E4BFA">
        <w:rPr>
          <w:rFonts w:ascii="Arial" w:hAnsi="Arial" w:cs="Arial"/>
          <w:lang w:val="en-GB"/>
        </w:rPr>
        <w:t xml:space="preserve">uropean </w:t>
      </w:r>
      <w:r w:rsidRPr="002E4BFA">
        <w:rPr>
          <w:rFonts w:ascii="Arial" w:hAnsi="Arial" w:cs="Arial"/>
          <w:lang w:val="en-GB"/>
        </w:rPr>
        <w:t>P</w:t>
      </w:r>
      <w:r w:rsidR="00945AF9" w:rsidRPr="002E4BFA">
        <w:rPr>
          <w:rFonts w:ascii="Arial" w:hAnsi="Arial" w:cs="Arial"/>
          <w:lang w:val="en-GB"/>
        </w:rPr>
        <w:t>arliament</w:t>
      </w:r>
      <w:r w:rsidRPr="002E4BFA">
        <w:rPr>
          <w:rFonts w:ascii="Arial" w:hAnsi="Arial" w:cs="Arial"/>
          <w:lang w:val="en-GB"/>
        </w:rPr>
        <w:t xml:space="preserve"> have further shaped the proposed </w:t>
      </w:r>
      <w:r w:rsidR="00A728F4" w:rsidRPr="002E4BFA">
        <w:rPr>
          <w:rFonts w:ascii="Arial" w:hAnsi="Arial" w:cs="Arial"/>
          <w:lang w:val="en-GB"/>
        </w:rPr>
        <w:t>SCF</w:t>
      </w:r>
      <w:r w:rsidRPr="002E4BFA">
        <w:rPr>
          <w:rFonts w:ascii="Arial" w:hAnsi="Arial" w:cs="Arial"/>
          <w:lang w:val="en-GB"/>
        </w:rPr>
        <w:t xml:space="preserve">. The Council’s attempt to </w:t>
      </w:r>
      <w:r w:rsidR="00A728F4" w:rsidRPr="002E4BFA">
        <w:rPr>
          <w:rFonts w:ascii="Arial" w:hAnsi="Arial" w:cs="Arial"/>
          <w:lang w:val="en-GB"/>
        </w:rPr>
        <w:t xml:space="preserve">completely do away with Member State </w:t>
      </w:r>
      <w:r w:rsidRPr="002E4BFA">
        <w:rPr>
          <w:rFonts w:ascii="Arial" w:hAnsi="Arial" w:cs="Arial"/>
          <w:lang w:val="en-GB"/>
        </w:rPr>
        <w:t xml:space="preserve">co-financing proved </w:t>
      </w:r>
      <w:r w:rsidR="00A728F4" w:rsidRPr="002E4BFA">
        <w:rPr>
          <w:rFonts w:ascii="Arial" w:hAnsi="Arial" w:cs="Arial"/>
          <w:lang w:val="en-GB"/>
        </w:rPr>
        <w:t>un</w:t>
      </w:r>
      <w:r w:rsidRPr="002E4BFA">
        <w:rPr>
          <w:rFonts w:ascii="Arial" w:hAnsi="Arial" w:cs="Arial"/>
          <w:lang w:val="en-GB"/>
        </w:rPr>
        <w:t>successful</w:t>
      </w:r>
      <w:r w:rsidR="00A728F4" w:rsidRPr="002E4BFA">
        <w:rPr>
          <w:rFonts w:ascii="Arial" w:hAnsi="Arial" w:cs="Arial"/>
          <w:lang w:val="en-GB"/>
        </w:rPr>
        <w:t>,</w:t>
      </w:r>
      <w:r w:rsidRPr="002E4BFA">
        <w:rPr>
          <w:rFonts w:ascii="Arial" w:hAnsi="Arial" w:cs="Arial"/>
          <w:lang w:val="en-GB"/>
        </w:rPr>
        <w:t xml:space="preserve"> </w:t>
      </w:r>
      <w:r w:rsidR="00A728F4" w:rsidRPr="002E4BFA">
        <w:rPr>
          <w:rFonts w:ascii="Arial" w:hAnsi="Arial" w:cs="Arial"/>
          <w:lang w:val="en-GB"/>
        </w:rPr>
        <w:t xml:space="preserve">with </w:t>
      </w:r>
      <w:r w:rsidRPr="002E4BFA">
        <w:rPr>
          <w:rFonts w:ascii="Arial" w:hAnsi="Arial" w:cs="Arial"/>
          <w:lang w:val="en-GB"/>
        </w:rPr>
        <w:t xml:space="preserve">national </w:t>
      </w:r>
      <w:r w:rsidR="00A728F4" w:rsidRPr="002E4BFA">
        <w:rPr>
          <w:rFonts w:ascii="Arial" w:hAnsi="Arial" w:cs="Arial"/>
          <w:lang w:val="en-GB"/>
        </w:rPr>
        <w:t xml:space="preserve">funding </w:t>
      </w:r>
      <w:r w:rsidRPr="002E4BFA">
        <w:rPr>
          <w:rFonts w:ascii="Arial" w:hAnsi="Arial" w:cs="Arial"/>
          <w:lang w:val="en-GB"/>
        </w:rPr>
        <w:t>now account</w:t>
      </w:r>
      <w:r w:rsidR="00A728F4" w:rsidRPr="002E4BFA">
        <w:rPr>
          <w:rFonts w:ascii="Arial" w:hAnsi="Arial" w:cs="Arial"/>
          <w:lang w:val="en-GB"/>
        </w:rPr>
        <w:t>ing</w:t>
      </w:r>
      <w:r w:rsidRPr="002E4BFA">
        <w:rPr>
          <w:rFonts w:ascii="Arial" w:hAnsi="Arial" w:cs="Arial"/>
          <w:lang w:val="en-GB"/>
        </w:rPr>
        <w:t xml:space="preserve"> for 25</w:t>
      </w:r>
      <w:r w:rsidR="00C80A3D" w:rsidRPr="002E4BFA">
        <w:rPr>
          <w:rFonts w:ascii="Arial" w:hAnsi="Arial" w:cs="Arial"/>
          <w:lang w:val="en-GB"/>
        </w:rPr>
        <w:t xml:space="preserve"> per cent</w:t>
      </w:r>
      <w:r w:rsidRPr="002E4BFA">
        <w:rPr>
          <w:rFonts w:ascii="Arial" w:hAnsi="Arial" w:cs="Arial"/>
          <w:lang w:val="en-GB"/>
        </w:rPr>
        <w:t xml:space="preserve"> of available </w:t>
      </w:r>
      <w:r w:rsidR="00A728F4" w:rsidRPr="002E4BFA">
        <w:rPr>
          <w:rFonts w:ascii="Arial" w:hAnsi="Arial" w:cs="Arial"/>
          <w:lang w:val="en-GB"/>
        </w:rPr>
        <w:t>funding</w:t>
      </w:r>
      <w:r w:rsidRPr="002E4BFA">
        <w:rPr>
          <w:rFonts w:ascii="Arial" w:hAnsi="Arial" w:cs="Arial"/>
          <w:lang w:val="en-GB"/>
        </w:rPr>
        <w:t>. Another bone of contention concerned the share of direct income support in the national plans</w:t>
      </w:r>
      <w:r w:rsidR="00A728F4" w:rsidRPr="002E4BFA">
        <w:rPr>
          <w:rFonts w:ascii="Arial" w:hAnsi="Arial" w:cs="Arial"/>
          <w:lang w:val="en-GB"/>
        </w:rPr>
        <w:t>. While</w:t>
      </w:r>
      <w:r w:rsidRPr="002E4BFA">
        <w:rPr>
          <w:rFonts w:ascii="Arial" w:hAnsi="Arial" w:cs="Arial"/>
          <w:lang w:val="en-GB"/>
        </w:rPr>
        <w:t xml:space="preserve"> the Council </w:t>
      </w:r>
      <w:r w:rsidR="00A728F4" w:rsidRPr="002E4BFA">
        <w:rPr>
          <w:rFonts w:ascii="Arial" w:hAnsi="Arial" w:cs="Arial"/>
          <w:lang w:val="en-GB"/>
        </w:rPr>
        <w:t xml:space="preserve">called for </w:t>
      </w:r>
      <w:r w:rsidRPr="002E4BFA">
        <w:rPr>
          <w:rFonts w:ascii="Arial" w:hAnsi="Arial" w:cs="Arial"/>
          <w:lang w:val="en-GB"/>
        </w:rPr>
        <w:t xml:space="preserve">a higher </w:t>
      </w:r>
      <w:r w:rsidR="00A728F4" w:rsidRPr="002E4BFA">
        <w:rPr>
          <w:rFonts w:ascii="Arial" w:hAnsi="Arial" w:cs="Arial"/>
          <w:lang w:val="en-GB"/>
        </w:rPr>
        <w:t xml:space="preserve">share, </w:t>
      </w:r>
      <w:r w:rsidRPr="002E4BFA">
        <w:rPr>
          <w:rFonts w:ascii="Arial" w:hAnsi="Arial" w:cs="Arial"/>
          <w:lang w:val="en-GB"/>
        </w:rPr>
        <w:t>the E</w:t>
      </w:r>
      <w:r w:rsidR="00DB1914" w:rsidRPr="002E4BFA">
        <w:rPr>
          <w:rFonts w:ascii="Arial" w:hAnsi="Arial" w:cs="Arial"/>
          <w:lang w:val="en-GB"/>
        </w:rPr>
        <w:t xml:space="preserve">uropean </w:t>
      </w:r>
      <w:r w:rsidRPr="002E4BFA">
        <w:rPr>
          <w:rFonts w:ascii="Arial" w:hAnsi="Arial" w:cs="Arial"/>
          <w:lang w:val="en-GB"/>
        </w:rPr>
        <w:lastRenderedPageBreak/>
        <w:t>P</w:t>
      </w:r>
      <w:r w:rsidR="00DB1914" w:rsidRPr="002E4BFA">
        <w:rPr>
          <w:rFonts w:ascii="Arial" w:hAnsi="Arial" w:cs="Arial"/>
          <w:lang w:val="en-GB"/>
        </w:rPr>
        <w:t>arliament</w:t>
      </w:r>
      <w:r w:rsidRPr="002E4BFA">
        <w:rPr>
          <w:rFonts w:ascii="Arial" w:hAnsi="Arial" w:cs="Arial"/>
          <w:lang w:val="en-GB"/>
        </w:rPr>
        <w:t xml:space="preserve"> argu</w:t>
      </w:r>
      <w:r w:rsidR="00A728F4" w:rsidRPr="002E4BFA">
        <w:rPr>
          <w:rFonts w:ascii="Arial" w:hAnsi="Arial" w:cs="Arial"/>
          <w:lang w:val="en-GB"/>
        </w:rPr>
        <w:t xml:space="preserve">ed </w:t>
      </w:r>
      <w:r w:rsidRPr="002E4BFA">
        <w:rPr>
          <w:rFonts w:ascii="Arial" w:hAnsi="Arial" w:cs="Arial"/>
          <w:lang w:val="en-GB"/>
        </w:rPr>
        <w:t xml:space="preserve">for more investment. </w:t>
      </w:r>
      <w:r w:rsidR="00A728F4" w:rsidRPr="002E4BFA">
        <w:rPr>
          <w:rFonts w:ascii="Arial" w:hAnsi="Arial" w:cs="Arial"/>
          <w:lang w:val="en-GB"/>
        </w:rPr>
        <w:t>The compromise share is now</w:t>
      </w:r>
      <w:r w:rsidRPr="002E4BFA">
        <w:rPr>
          <w:rFonts w:ascii="Arial" w:hAnsi="Arial" w:cs="Arial"/>
          <w:lang w:val="en-GB"/>
        </w:rPr>
        <w:t xml:space="preserve"> 37</w:t>
      </w:r>
      <w:r w:rsidR="00A728F4" w:rsidRPr="002E4BFA">
        <w:rPr>
          <w:rFonts w:ascii="Arial" w:hAnsi="Arial" w:cs="Arial"/>
          <w:lang w:val="en-GB"/>
        </w:rPr>
        <w:t>.</w:t>
      </w:r>
      <w:r w:rsidRPr="002E4BFA">
        <w:rPr>
          <w:rFonts w:ascii="Arial" w:hAnsi="Arial" w:cs="Arial"/>
          <w:lang w:val="en-GB"/>
        </w:rPr>
        <w:t>5</w:t>
      </w:r>
      <w:r w:rsidR="00C80A3D" w:rsidRPr="002E4BFA">
        <w:rPr>
          <w:rFonts w:ascii="Arial" w:hAnsi="Arial" w:cs="Arial"/>
          <w:lang w:val="en-GB"/>
        </w:rPr>
        <w:t xml:space="preserve"> per cent</w:t>
      </w:r>
      <w:r w:rsidR="00E71DB8" w:rsidRPr="002E4BFA">
        <w:rPr>
          <w:rFonts w:ascii="Arial" w:hAnsi="Arial" w:cs="Arial"/>
          <w:lang w:val="en-GB"/>
        </w:rPr>
        <w:t>. All</w:t>
      </w:r>
      <w:r w:rsidRPr="002E4BFA">
        <w:rPr>
          <w:rFonts w:ascii="Arial" w:hAnsi="Arial" w:cs="Arial"/>
          <w:lang w:val="en-GB"/>
        </w:rPr>
        <w:t xml:space="preserve"> in all, the SCF is </w:t>
      </w:r>
      <w:r w:rsidR="00A728F4" w:rsidRPr="002E4BFA">
        <w:rPr>
          <w:rFonts w:ascii="Arial" w:hAnsi="Arial" w:cs="Arial"/>
          <w:lang w:val="en-GB"/>
        </w:rPr>
        <w:t>designed</w:t>
      </w:r>
      <w:r w:rsidRPr="002E4BFA">
        <w:rPr>
          <w:rFonts w:ascii="Arial" w:hAnsi="Arial" w:cs="Arial"/>
          <w:lang w:val="en-GB"/>
        </w:rPr>
        <w:t xml:space="preserve"> as a hybrid instrument patching together market mechanisms, direct </w:t>
      </w:r>
      <w:proofErr w:type="gramStart"/>
      <w:r w:rsidR="00E71DB8" w:rsidRPr="002E4BFA">
        <w:rPr>
          <w:rFonts w:ascii="Arial" w:hAnsi="Arial" w:cs="Arial"/>
          <w:lang w:val="en-GB"/>
        </w:rPr>
        <w:t>compensation</w:t>
      </w:r>
      <w:proofErr w:type="gramEnd"/>
      <w:r w:rsidRPr="002E4BFA">
        <w:rPr>
          <w:rFonts w:ascii="Arial" w:hAnsi="Arial" w:cs="Arial"/>
          <w:lang w:val="en-GB"/>
        </w:rPr>
        <w:t xml:space="preserve"> and social investment. </w:t>
      </w:r>
      <w:proofErr w:type="gramStart"/>
      <w:r w:rsidR="00A728F4" w:rsidRPr="002E4BFA">
        <w:rPr>
          <w:rFonts w:ascii="Arial" w:hAnsi="Arial" w:cs="Arial"/>
          <w:lang w:val="en-GB"/>
        </w:rPr>
        <w:t>Similar to</w:t>
      </w:r>
      <w:proofErr w:type="gramEnd"/>
      <w:r w:rsidRPr="002E4BFA">
        <w:rPr>
          <w:rFonts w:ascii="Arial" w:hAnsi="Arial" w:cs="Arial"/>
          <w:lang w:val="en-GB"/>
        </w:rPr>
        <w:t xml:space="preserve"> national </w:t>
      </w:r>
      <w:r w:rsidR="00D25155" w:rsidRPr="002E4BFA">
        <w:rPr>
          <w:rFonts w:ascii="Arial" w:hAnsi="Arial" w:cs="Arial"/>
          <w:lang w:val="en-GB"/>
        </w:rPr>
        <w:t xml:space="preserve">Recovery and Resilience Plans </w:t>
      </w:r>
      <w:r w:rsidRPr="002E4BFA">
        <w:rPr>
          <w:rFonts w:ascii="Arial" w:hAnsi="Arial" w:cs="Arial"/>
          <w:lang w:val="en-GB"/>
        </w:rPr>
        <w:t xml:space="preserve">or </w:t>
      </w:r>
      <w:r w:rsidR="00D25155" w:rsidRPr="002E4BFA">
        <w:rPr>
          <w:rFonts w:ascii="Arial" w:hAnsi="Arial" w:cs="Arial"/>
          <w:lang w:val="en-GB"/>
        </w:rPr>
        <w:t>Just Transition Plans</w:t>
      </w:r>
      <w:r w:rsidRPr="002E4BFA">
        <w:rPr>
          <w:rFonts w:ascii="Arial" w:hAnsi="Arial" w:cs="Arial"/>
          <w:lang w:val="en-GB"/>
        </w:rPr>
        <w:t xml:space="preserve">, </w:t>
      </w:r>
      <w:r w:rsidR="00D25155" w:rsidRPr="002E4BFA">
        <w:rPr>
          <w:rFonts w:ascii="Arial" w:hAnsi="Arial" w:cs="Arial"/>
          <w:lang w:val="en-GB"/>
        </w:rPr>
        <w:t>Social Climate Plans</w:t>
      </w:r>
      <w:r w:rsidRPr="002E4BFA">
        <w:rPr>
          <w:rFonts w:ascii="Arial" w:hAnsi="Arial" w:cs="Arial"/>
          <w:lang w:val="en-GB"/>
        </w:rPr>
        <w:t xml:space="preserve"> rely on a number of conditionalities, </w:t>
      </w:r>
      <w:r w:rsidR="00D25155" w:rsidRPr="002E4BFA">
        <w:rPr>
          <w:rFonts w:ascii="Arial" w:hAnsi="Arial" w:cs="Arial"/>
          <w:lang w:val="en-GB"/>
        </w:rPr>
        <w:t xml:space="preserve">though </w:t>
      </w:r>
      <w:r w:rsidRPr="002E4BFA">
        <w:rPr>
          <w:rFonts w:ascii="Arial" w:hAnsi="Arial" w:cs="Arial"/>
          <w:lang w:val="en-GB"/>
        </w:rPr>
        <w:t xml:space="preserve">the specific </w:t>
      </w:r>
      <w:r w:rsidR="00D25155" w:rsidRPr="002E4BFA">
        <w:rPr>
          <w:rFonts w:ascii="Arial" w:hAnsi="Arial" w:cs="Arial"/>
          <w:lang w:val="en-GB"/>
        </w:rPr>
        <w:t xml:space="preserve">criteria </w:t>
      </w:r>
      <w:r w:rsidRPr="002E4BFA">
        <w:rPr>
          <w:rFonts w:ascii="Arial" w:hAnsi="Arial" w:cs="Arial"/>
          <w:lang w:val="en-GB"/>
        </w:rPr>
        <w:t xml:space="preserve">will be the result of discussions between national administrations and Commission </w:t>
      </w:r>
      <w:r w:rsidR="00D25155" w:rsidRPr="002E4BFA">
        <w:rPr>
          <w:rFonts w:ascii="Arial" w:hAnsi="Arial" w:cs="Arial"/>
          <w:lang w:val="en-GB"/>
        </w:rPr>
        <w:t>departments</w:t>
      </w:r>
      <w:r w:rsidRPr="002E4BFA">
        <w:rPr>
          <w:rFonts w:ascii="Arial" w:hAnsi="Arial" w:cs="Arial"/>
          <w:lang w:val="en-GB"/>
        </w:rPr>
        <w:t xml:space="preserve">. It is uncertain, at this stage, whether these bilateral interactions will ensure consistency, </w:t>
      </w:r>
      <w:proofErr w:type="gramStart"/>
      <w:r w:rsidR="00E71DB8" w:rsidRPr="002E4BFA">
        <w:rPr>
          <w:rFonts w:ascii="Arial" w:hAnsi="Arial" w:cs="Arial"/>
          <w:lang w:val="en-GB"/>
        </w:rPr>
        <w:t>coherence</w:t>
      </w:r>
      <w:proofErr w:type="gramEnd"/>
      <w:r w:rsidRPr="002E4BFA">
        <w:rPr>
          <w:rFonts w:ascii="Arial" w:hAnsi="Arial" w:cs="Arial"/>
          <w:lang w:val="en-GB"/>
        </w:rPr>
        <w:t xml:space="preserve"> and complementarity between the SCF and the other instruments, especially the ESF+, the JTF and the RRF. </w:t>
      </w:r>
      <w:r w:rsidR="00D25155" w:rsidRPr="002E4BFA">
        <w:rPr>
          <w:rFonts w:ascii="Arial" w:hAnsi="Arial" w:cs="Arial"/>
          <w:lang w:val="en-GB"/>
        </w:rPr>
        <w:t xml:space="preserve">Any EPSR </w:t>
      </w:r>
      <w:r w:rsidRPr="002E4BFA">
        <w:rPr>
          <w:rFonts w:ascii="Arial" w:hAnsi="Arial" w:cs="Arial"/>
          <w:lang w:val="en-GB"/>
        </w:rPr>
        <w:t xml:space="preserve">relevance seems </w:t>
      </w:r>
      <w:r w:rsidR="00D25155" w:rsidRPr="002E4BFA">
        <w:rPr>
          <w:rFonts w:ascii="Arial" w:hAnsi="Arial" w:cs="Arial"/>
          <w:lang w:val="en-GB"/>
        </w:rPr>
        <w:t xml:space="preserve">to be </w:t>
      </w:r>
      <w:r w:rsidRPr="002E4BFA">
        <w:rPr>
          <w:rFonts w:ascii="Arial" w:hAnsi="Arial" w:cs="Arial"/>
          <w:lang w:val="en-GB"/>
        </w:rPr>
        <w:t xml:space="preserve">lost. </w:t>
      </w:r>
    </w:p>
    <w:p w14:paraId="0545D885" w14:textId="77777777" w:rsidR="00EC3FA7" w:rsidRPr="002E4BFA" w:rsidRDefault="00EC3FA7" w:rsidP="00C6263F">
      <w:pPr>
        <w:spacing w:line="360" w:lineRule="auto"/>
        <w:jc w:val="left"/>
        <w:rPr>
          <w:rFonts w:ascii="Arial" w:hAnsi="Arial" w:cs="Arial"/>
          <w:lang w:val="en-GB"/>
        </w:rPr>
      </w:pPr>
    </w:p>
    <w:p w14:paraId="63902435" w14:textId="77777777" w:rsidR="00EC3FA7" w:rsidRPr="002E4BFA" w:rsidRDefault="00EC3FA7" w:rsidP="00C6263F">
      <w:pPr>
        <w:numPr>
          <w:ilvl w:val="0"/>
          <w:numId w:val="1"/>
        </w:numPr>
        <w:spacing w:line="360" w:lineRule="auto"/>
        <w:jc w:val="left"/>
        <w:rPr>
          <w:rFonts w:ascii="Arial" w:hAnsi="Arial" w:cs="Arial"/>
          <w:b/>
          <w:lang w:val="en-GB"/>
        </w:rPr>
      </w:pPr>
      <w:r w:rsidRPr="002E4BFA">
        <w:rPr>
          <w:rFonts w:ascii="Arial" w:hAnsi="Arial" w:cs="Arial"/>
          <w:b/>
          <w:lang w:val="en-GB"/>
        </w:rPr>
        <w:t>Conclusions: from green growth to a just transition</w:t>
      </w:r>
    </w:p>
    <w:p w14:paraId="2BC9E071" w14:textId="06C69EEC" w:rsidR="00EC3FA7" w:rsidRPr="002E4BFA" w:rsidRDefault="00EC3FA7" w:rsidP="00C6263F">
      <w:pPr>
        <w:spacing w:line="360" w:lineRule="auto"/>
        <w:jc w:val="left"/>
        <w:rPr>
          <w:rFonts w:ascii="Arial" w:hAnsi="Arial" w:cs="Arial"/>
          <w:bCs/>
          <w:lang w:val="en-GB"/>
        </w:rPr>
      </w:pPr>
      <w:r w:rsidRPr="002E4BFA">
        <w:rPr>
          <w:rFonts w:ascii="Arial" w:hAnsi="Arial" w:cs="Arial"/>
          <w:bCs/>
          <w:lang w:val="en-GB"/>
        </w:rPr>
        <w:t xml:space="preserve">The starting point of this </w:t>
      </w:r>
      <w:r w:rsidR="00C66B04" w:rsidRPr="002E4BFA">
        <w:rPr>
          <w:rFonts w:ascii="Arial" w:hAnsi="Arial" w:cs="Arial"/>
          <w:bCs/>
          <w:lang w:val="en-GB"/>
        </w:rPr>
        <w:t xml:space="preserve">article </w:t>
      </w:r>
      <w:r w:rsidRPr="002E4BFA">
        <w:rPr>
          <w:rFonts w:ascii="Arial" w:hAnsi="Arial" w:cs="Arial"/>
          <w:bCs/>
          <w:lang w:val="en-GB"/>
        </w:rPr>
        <w:t>was to examine whether the just transition agenda could be seen as a breakthrough</w:t>
      </w:r>
      <w:r w:rsidR="00D25155" w:rsidRPr="002E4BFA">
        <w:rPr>
          <w:rFonts w:ascii="Arial" w:hAnsi="Arial" w:cs="Arial"/>
          <w:bCs/>
          <w:lang w:val="en-GB"/>
        </w:rPr>
        <w:t>,</w:t>
      </w:r>
      <w:r w:rsidRPr="002E4BFA">
        <w:rPr>
          <w:rFonts w:ascii="Arial" w:hAnsi="Arial" w:cs="Arial"/>
          <w:bCs/>
          <w:lang w:val="en-GB"/>
        </w:rPr>
        <w:t xml:space="preserve"> allowing social justice </w:t>
      </w:r>
      <w:r w:rsidR="00D25155" w:rsidRPr="002E4BFA">
        <w:rPr>
          <w:rFonts w:ascii="Arial" w:hAnsi="Arial" w:cs="Arial"/>
          <w:bCs/>
          <w:lang w:val="en-GB"/>
        </w:rPr>
        <w:t xml:space="preserve">to become </w:t>
      </w:r>
      <w:r w:rsidRPr="002E4BFA">
        <w:rPr>
          <w:rFonts w:ascii="Arial" w:hAnsi="Arial" w:cs="Arial"/>
          <w:bCs/>
          <w:lang w:val="en-GB"/>
        </w:rPr>
        <w:t xml:space="preserve">an integral element of the EU’s green transition framework. Focusing on the two key policy tools set up so far to tackle social issues </w:t>
      </w:r>
      <w:r w:rsidR="00D25155" w:rsidRPr="002E4BFA">
        <w:rPr>
          <w:rFonts w:ascii="Arial" w:hAnsi="Arial" w:cs="Arial"/>
          <w:bCs/>
          <w:lang w:val="en-GB"/>
        </w:rPr>
        <w:t xml:space="preserve">arising from </w:t>
      </w:r>
      <w:r w:rsidRPr="002E4BFA">
        <w:rPr>
          <w:rFonts w:ascii="Arial" w:hAnsi="Arial" w:cs="Arial"/>
          <w:bCs/>
          <w:lang w:val="en-GB"/>
        </w:rPr>
        <w:t xml:space="preserve">the green transition, we see a lot of path dependency. Like other funds established in the past, both the JTF and the SCF have narrow objectives anchored in a reactive investment logic of </w:t>
      </w:r>
      <w:r w:rsidRPr="002E4BFA">
        <w:rPr>
          <w:rFonts w:ascii="Arial" w:hAnsi="Arial" w:cs="Arial"/>
          <w:bCs/>
          <w:iCs/>
          <w:lang w:val="en-GB"/>
        </w:rPr>
        <w:t>eco-social policy integration</w:t>
      </w:r>
      <w:r w:rsidR="00D25155" w:rsidRPr="002E4BFA">
        <w:rPr>
          <w:rFonts w:ascii="Arial" w:hAnsi="Arial" w:cs="Arial"/>
          <w:bCs/>
          <w:iCs/>
          <w:lang w:val="en-GB"/>
        </w:rPr>
        <w:t>, i</w:t>
      </w:r>
      <w:r w:rsidRPr="002E4BFA">
        <w:rPr>
          <w:rFonts w:ascii="Arial" w:hAnsi="Arial" w:cs="Arial"/>
          <w:bCs/>
          <w:lang w:val="en-GB"/>
        </w:rPr>
        <w:t>n this case, decarboni</w:t>
      </w:r>
      <w:r w:rsidR="00D25155" w:rsidRPr="002E4BFA">
        <w:rPr>
          <w:rFonts w:ascii="Arial" w:hAnsi="Arial" w:cs="Arial"/>
          <w:bCs/>
          <w:lang w:val="en-GB"/>
        </w:rPr>
        <w:t>s</w:t>
      </w:r>
      <w:r w:rsidRPr="002E4BFA">
        <w:rPr>
          <w:rFonts w:ascii="Arial" w:hAnsi="Arial" w:cs="Arial"/>
          <w:bCs/>
          <w:lang w:val="en-GB"/>
        </w:rPr>
        <w:t xml:space="preserve">ing the economy through market-based mechanisms such as carbon pricing. While the </w:t>
      </w:r>
      <w:r w:rsidR="00D25155" w:rsidRPr="002E4BFA">
        <w:rPr>
          <w:rFonts w:ascii="Arial" w:hAnsi="Arial" w:cs="Arial"/>
          <w:bCs/>
          <w:lang w:val="en-GB"/>
        </w:rPr>
        <w:t xml:space="preserve">funds target </w:t>
      </w:r>
      <w:r w:rsidRPr="002E4BFA">
        <w:rPr>
          <w:rFonts w:ascii="Arial" w:hAnsi="Arial" w:cs="Arial"/>
          <w:bCs/>
          <w:lang w:val="en-GB"/>
        </w:rPr>
        <w:t xml:space="preserve">specific categories of people, the only innovative </w:t>
      </w:r>
      <w:r w:rsidR="00D25155" w:rsidRPr="002E4BFA">
        <w:rPr>
          <w:rFonts w:ascii="Arial" w:hAnsi="Arial" w:cs="Arial"/>
          <w:bCs/>
          <w:lang w:val="en-GB"/>
        </w:rPr>
        <w:t xml:space="preserve">strand, i.e., that </w:t>
      </w:r>
      <w:r w:rsidRPr="002E4BFA">
        <w:rPr>
          <w:rFonts w:ascii="Arial" w:hAnsi="Arial" w:cs="Arial"/>
          <w:bCs/>
          <w:lang w:val="en-GB"/>
        </w:rPr>
        <w:t>introducing a protective instrument of income support, is kept to a minimum. At the same time, the social investment logic</w:t>
      </w:r>
      <w:r w:rsidR="00D25155" w:rsidRPr="002E4BFA">
        <w:rPr>
          <w:rFonts w:ascii="Arial" w:hAnsi="Arial" w:cs="Arial"/>
          <w:bCs/>
          <w:lang w:val="en-GB"/>
        </w:rPr>
        <w:t xml:space="preserve"> is upheld,</w:t>
      </w:r>
      <w:r w:rsidRPr="002E4BFA">
        <w:rPr>
          <w:rFonts w:ascii="Arial" w:hAnsi="Arial" w:cs="Arial"/>
          <w:bCs/>
          <w:lang w:val="en-GB"/>
        </w:rPr>
        <w:t xml:space="preserve"> with a focus on reskilling </w:t>
      </w:r>
      <w:r w:rsidR="00D25155" w:rsidRPr="002E4BFA">
        <w:rPr>
          <w:rFonts w:ascii="Arial" w:hAnsi="Arial" w:cs="Arial"/>
          <w:bCs/>
          <w:lang w:val="en-GB"/>
        </w:rPr>
        <w:t>workers hit</w:t>
      </w:r>
      <w:r w:rsidRPr="002E4BFA">
        <w:rPr>
          <w:rFonts w:ascii="Arial" w:hAnsi="Arial" w:cs="Arial"/>
          <w:bCs/>
          <w:lang w:val="en-GB"/>
        </w:rPr>
        <w:t xml:space="preserve"> by decarbon</w:t>
      </w:r>
      <w:r w:rsidR="00D25155" w:rsidRPr="002E4BFA">
        <w:rPr>
          <w:rFonts w:ascii="Arial" w:hAnsi="Arial" w:cs="Arial"/>
          <w:bCs/>
          <w:lang w:val="en-GB"/>
        </w:rPr>
        <w:t>is</w:t>
      </w:r>
      <w:r w:rsidRPr="002E4BFA">
        <w:rPr>
          <w:rFonts w:ascii="Arial" w:hAnsi="Arial" w:cs="Arial"/>
          <w:bCs/>
          <w:lang w:val="en-GB"/>
        </w:rPr>
        <w:t xml:space="preserve">ation. </w:t>
      </w:r>
      <w:r w:rsidR="00D25155" w:rsidRPr="002E4BFA">
        <w:rPr>
          <w:rFonts w:ascii="Arial" w:hAnsi="Arial" w:cs="Arial"/>
          <w:bCs/>
          <w:lang w:val="en-GB"/>
        </w:rPr>
        <w:t>A</w:t>
      </w:r>
      <w:r w:rsidRPr="002E4BFA">
        <w:rPr>
          <w:rFonts w:ascii="Arial" w:hAnsi="Arial" w:cs="Arial"/>
          <w:bCs/>
          <w:lang w:val="en-GB"/>
        </w:rPr>
        <w:t xml:space="preserve">wareness of the crucial importance of public services, public infrastructures and common goods seems to emerge as a concern, </w:t>
      </w:r>
      <w:r w:rsidR="00D25155" w:rsidRPr="002E4BFA">
        <w:rPr>
          <w:rFonts w:ascii="Arial" w:hAnsi="Arial" w:cs="Arial"/>
          <w:bCs/>
          <w:lang w:val="en-GB"/>
        </w:rPr>
        <w:t xml:space="preserve">though </w:t>
      </w:r>
      <w:r w:rsidRPr="002E4BFA">
        <w:rPr>
          <w:rFonts w:ascii="Arial" w:hAnsi="Arial" w:cs="Arial"/>
          <w:bCs/>
          <w:lang w:val="en-GB"/>
        </w:rPr>
        <w:t>it remains nascent and insufficiently connected to the specific</w:t>
      </w:r>
      <w:r w:rsidR="00D25155" w:rsidRPr="002E4BFA">
        <w:rPr>
          <w:rFonts w:ascii="Arial" w:hAnsi="Arial" w:cs="Arial"/>
          <w:bCs/>
          <w:lang w:val="en-GB"/>
        </w:rPr>
        <w:t xml:space="preserve"> feature</w:t>
      </w:r>
      <w:r w:rsidRPr="002E4BFA">
        <w:rPr>
          <w:rFonts w:ascii="Arial" w:hAnsi="Arial" w:cs="Arial"/>
          <w:bCs/>
          <w:lang w:val="en-GB"/>
        </w:rPr>
        <w:t>s of social stratification and inequalit</w:t>
      </w:r>
      <w:r w:rsidR="00D25155" w:rsidRPr="002E4BFA">
        <w:rPr>
          <w:rFonts w:ascii="Arial" w:hAnsi="Arial" w:cs="Arial"/>
          <w:bCs/>
          <w:lang w:val="en-GB"/>
        </w:rPr>
        <w:t>y</w:t>
      </w:r>
      <w:r w:rsidRPr="002E4BFA">
        <w:rPr>
          <w:rFonts w:ascii="Arial" w:hAnsi="Arial" w:cs="Arial"/>
          <w:bCs/>
          <w:lang w:val="en-GB"/>
        </w:rPr>
        <w:t xml:space="preserve">. </w:t>
      </w:r>
      <w:r w:rsidR="00D25155" w:rsidRPr="002E4BFA">
        <w:rPr>
          <w:rFonts w:ascii="Arial" w:hAnsi="Arial" w:cs="Arial"/>
          <w:bCs/>
          <w:lang w:val="en-GB"/>
        </w:rPr>
        <w:t xml:space="preserve">One </w:t>
      </w:r>
      <w:r w:rsidRPr="002E4BFA">
        <w:rPr>
          <w:rFonts w:ascii="Arial" w:hAnsi="Arial" w:cs="Arial"/>
          <w:bCs/>
          <w:lang w:val="en-GB"/>
        </w:rPr>
        <w:t xml:space="preserve">striking point is the relative irrelevance of the EPSR in these debates, </w:t>
      </w:r>
      <w:r w:rsidR="00D25155" w:rsidRPr="002E4BFA">
        <w:rPr>
          <w:rFonts w:ascii="Arial" w:hAnsi="Arial" w:cs="Arial"/>
          <w:bCs/>
          <w:lang w:val="en-GB"/>
        </w:rPr>
        <w:t xml:space="preserve">despite it being </w:t>
      </w:r>
      <w:r w:rsidR="00E341B7" w:rsidRPr="002E4BFA">
        <w:rPr>
          <w:rFonts w:ascii="Arial" w:hAnsi="Arial" w:cs="Arial"/>
          <w:bCs/>
          <w:lang w:val="en-GB"/>
        </w:rPr>
        <w:t>intended</w:t>
      </w:r>
      <w:r w:rsidRPr="002E4BFA">
        <w:rPr>
          <w:rFonts w:ascii="Arial" w:hAnsi="Arial" w:cs="Arial"/>
          <w:bCs/>
          <w:lang w:val="en-GB"/>
        </w:rPr>
        <w:t xml:space="preserve"> to serve as a broad compass for EU social policy action in the coming decades. Unsurprisingly, the JTF and the SCF are the outcome of major struggles and necessary compromises </w:t>
      </w:r>
      <w:r w:rsidR="00E341B7" w:rsidRPr="002E4BFA">
        <w:rPr>
          <w:rFonts w:ascii="Arial" w:hAnsi="Arial" w:cs="Arial"/>
          <w:bCs/>
          <w:lang w:val="en-GB"/>
        </w:rPr>
        <w:t xml:space="preserve">along </w:t>
      </w:r>
      <w:r w:rsidRPr="002E4BFA">
        <w:rPr>
          <w:rFonts w:ascii="Arial" w:hAnsi="Arial" w:cs="Arial"/>
          <w:bCs/>
          <w:lang w:val="en-GB"/>
        </w:rPr>
        <w:t xml:space="preserve">well-known patterns. Left-right confrontations revolve around the standards of social justice </w:t>
      </w:r>
      <w:r w:rsidR="00E341B7" w:rsidRPr="002E4BFA">
        <w:rPr>
          <w:rFonts w:ascii="Arial" w:hAnsi="Arial" w:cs="Arial"/>
          <w:bCs/>
          <w:lang w:val="en-GB"/>
        </w:rPr>
        <w:t>to</w:t>
      </w:r>
      <w:r w:rsidRPr="002E4BFA">
        <w:rPr>
          <w:rFonts w:ascii="Arial" w:hAnsi="Arial" w:cs="Arial"/>
          <w:bCs/>
          <w:lang w:val="en-GB"/>
        </w:rPr>
        <w:t xml:space="preserve"> be pursued at EU level, and the degree </w:t>
      </w:r>
      <w:r w:rsidR="00E341B7" w:rsidRPr="002E4BFA">
        <w:rPr>
          <w:rFonts w:ascii="Arial" w:hAnsi="Arial" w:cs="Arial"/>
          <w:bCs/>
          <w:lang w:val="en-GB"/>
        </w:rPr>
        <w:t xml:space="preserve">of </w:t>
      </w:r>
      <w:r w:rsidRPr="002E4BFA">
        <w:rPr>
          <w:rFonts w:ascii="Arial" w:hAnsi="Arial" w:cs="Arial"/>
          <w:bCs/>
          <w:lang w:val="en-GB"/>
        </w:rPr>
        <w:t xml:space="preserve">constraint put on economic operators or public administrations. At the same time, we observe an ongoing battle between net </w:t>
      </w:r>
      <w:r w:rsidR="00E341B7" w:rsidRPr="002E4BFA">
        <w:rPr>
          <w:rFonts w:ascii="Arial" w:hAnsi="Arial" w:cs="Arial"/>
          <w:bCs/>
          <w:lang w:val="en-GB"/>
        </w:rPr>
        <w:t xml:space="preserve">EU budget </w:t>
      </w:r>
      <w:r w:rsidRPr="002E4BFA">
        <w:rPr>
          <w:rFonts w:ascii="Arial" w:hAnsi="Arial" w:cs="Arial"/>
          <w:bCs/>
          <w:lang w:val="en-GB"/>
        </w:rPr>
        <w:t xml:space="preserve">contributors who are trying to contain the redistributive dimension of the green transition, </w:t>
      </w:r>
      <w:r w:rsidR="00E341B7" w:rsidRPr="002E4BFA">
        <w:rPr>
          <w:rFonts w:ascii="Arial" w:hAnsi="Arial" w:cs="Arial"/>
          <w:bCs/>
          <w:lang w:val="en-GB"/>
        </w:rPr>
        <w:t xml:space="preserve">and </w:t>
      </w:r>
      <w:r w:rsidRPr="002E4BFA">
        <w:rPr>
          <w:rFonts w:ascii="Arial" w:hAnsi="Arial" w:cs="Arial"/>
          <w:bCs/>
          <w:lang w:val="en-GB"/>
        </w:rPr>
        <w:t xml:space="preserve">net </w:t>
      </w:r>
      <w:r w:rsidR="00E341B7" w:rsidRPr="002E4BFA">
        <w:rPr>
          <w:rFonts w:ascii="Arial" w:hAnsi="Arial" w:cs="Arial"/>
          <w:bCs/>
          <w:lang w:val="en-GB"/>
        </w:rPr>
        <w:lastRenderedPageBreak/>
        <w:t xml:space="preserve">recipients – a competition </w:t>
      </w:r>
      <w:r w:rsidRPr="002E4BFA">
        <w:rPr>
          <w:rFonts w:ascii="Arial" w:hAnsi="Arial" w:cs="Arial"/>
          <w:bCs/>
          <w:lang w:val="en-GB"/>
        </w:rPr>
        <w:t xml:space="preserve">for EU </w:t>
      </w:r>
      <w:r w:rsidR="00E341B7" w:rsidRPr="002E4BFA">
        <w:rPr>
          <w:rFonts w:ascii="Arial" w:hAnsi="Arial" w:cs="Arial"/>
          <w:bCs/>
          <w:lang w:val="en-GB"/>
        </w:rPr>
        <w:t xml:space="preserve">funding reflecting </w:t>
      </w:r>
      <w:r w:rsidRPr="002E4BFA">
        <w:rPr>
          <w:rFonts w:ascii="Arial" w:hAnsi="Arial" w:cs="Arial"/>
          <w:bCs/>
          <w:lang w:val="en-GB"/>
        </w:rPr>
        <w:t xml:space="preserve">specific </w:t>
      </w:r>
      <w:r w:rsidR="00E341B7" w:rsidRPr="002E4BFA">
        <w:rPr>
          <w:rFonts w:ascii="Arial" w:hAnsi="Arial" w:cs="Arial"/>
          <w:bCs/>
          <w:lang w:val="en-GB"/>
        </w:rPr>
        <w:t xml:space="preserve">(national) </w:t>
      </w:r>
      <w:r w:rsidRPr="002E4BFA">
        <w:rPr>
          <w:rFonts w:ascii="Arial" w:hAnsi="Arial" w:cs="Arial"/>
          <w:bCs/>
          <w:lang w:val="en-GB"/>
        </w:rPr>
        <w:t xml:space="preserve">patterns of carbon dependence, territorial and social imbalances. While a deeper examination of this issue was beyond the scope of this </w:t>
      </w:r>
      <w:r w:rsidR="00C66B04" w:rsidRPr="002E4BFA">
        <w:rPr>
          <w:rFonts w:ascii="Arial" w:hAnsi="Arial" w:cs="Arial"/>
          <w:bCs/>
          <w:lang w:val="en-GB"/>
        </w:rPr>
        <w:t>article</w:t>
      </w:r>
      <w:r w:rsidRPr="002E4BFA">
        <w:rPr>
          <w:rFonts w:ascii="Arial" w:hAnsi="Arial" w:cs="Arial"/>
          <w:bCs/>
          <w:lang w:val="en-GB"/>
        </w:rPr>
        <w:t xml:space="preserve">, this may be an important topic for further research. </w:t>
      </w:r>
    </w:p>
    <w:p w14:paraId="7AB42B0F" w14:textId="29422452" w:rsidR="00EC3FA7" w:rsidRPr="002E4BFA" w:rsidRDefault="00E341B7" w:rsidP="00C6263F">
      <w:pPr>
        <w:spacing w:line="360" w:lineRule="auto"/>
        <w:ind w:firstLine="360"/>
        <w:jc w:val="left"/>
        <w:rPr>
          <w:rFonts w:ascii="Arial" w:hAnsi="Arial" w:cs="Arial"/>
          <w:lang w:val="en-GB"/>
        </w:rPr>
      </w:pPr>
      <w:r w:rsidRPr="002E4BFA">
        <w:rPr>
          <w:rFonts w:ascii="Arial" w:hAnsi="Arial" w:cs="Arial"/>
          <w:bCs/>
          <w:lang w:val="en-GB"/>
        </w:rPr>
        <w:t xml:space="preserve">In the wake of </w:t>
      </w:r>
      <w:r w:rsidR="00EC3FA7" w:rsidRPr="002E4BFA">
        <w:rPr>
          <w:rFonts w:ascii="Arial" w:hAnsi="Arial" w:cs="Arial"/>
          <w:bCs/>
          <w:lang w:val="en-GB"/>
        </w:rPr>
        <w:t xml:space="preserve">the Fit for 55 package and criticism </w:t>
      </w:r>
      <w:r w:rsidRPr="002E4BFA">
        <w:rPr>
          <w:rFonts w:ascii="Arial" w:hAnsi="Arial" w:cs="Arial"/>
          <w:bCs/>
          <w:lang w:val="en-GB"/>
        </w:rPr>
        <w:t>of</w:t>
      </w:r>
      <w:r w:rsidR="00EC3FA7" w:rsidRPr="002E4BFA">
        <w:rPr>
          <w:rFonts w:ascii="Arial" w:hAnsi="Arial" w:cs="Arial"/>
          <w:bCs/>
          <w:lang w:val="en-GB"/>
        </w:rPr>
        <w:t xml:space="preserve"> the fragmented nature of </w:t>
      </w:r>
      <w:r w:rsidR="004575BF" w:rsidRPr="002E4BFA">
        <w:rPr>
          <w:rFonts w:ascii="Arial" w:hAnsi="Arial" w:cs="Arial"/>
          <w:bCs/>
          <w:lang w:val="en-GB"/>
        </w:rPr>
        <w:t xml:space="preserve">the </w:t>
      </w:r>
      <w:r w:rsidR="00EC3FA7" w:rsidRPr="002E4BFA">
        <w:rPr>
          <w:rFonts w:ascii="Arial" w:hAnsi="Arial" w:cs="Arial"/>
          <w:bCs/>
          <w:lang w:val="en-GB"/>
        </w:rPr>
        <w:t xml:space="preserve">EU’s just transition efforts, the Council </w:t>
      </w:r>
      <w:r w:rsidRPr="002E4BFA">
        <w:rPr>
          <w:rFonts w:ascii="Arial" w:hAnsi="Arial" w:cs="Arial"/>
          <w:bCs/>
          <w:lang w:val="en-GB"/>
        </w:rPr>
        <w:t xml:space="preserve">adopted </w:t>
      </w:r>
      <w:r w:rsidR="00EC3FA7" w:rsidRPr="002E4BFA">
        <w:rPr>
          <w:rFonts w:ascii="Arial" w:hAnsi="Arial" w:cs="Arial"/>
          <w:bCs/>
          <w:lang w:val="en-GB"/>
        </w:rPr>
        <w:t xml:space="preserve">a </w:t>
      </w:r>
      <w:r w:rsidRPr="002E4BFA">
        <w:rPr>
          <w:rFonts w:ascii="Arial" w:hAnsi="Arial" w:cs="Arial"/>
          <w:bCs/>
          <w:lang w:val="en-GB"/>
        </w:rPr>
        <w:t xml:space="preserve">Recommendation </w:t>
      </w:r>
      <w:r w:rsidR="00EC3FA7" w:rsidRPr="002E4BFA">
        <w:rPr>
          <w:rFonts w:ascii="Arial" w:hAnsi="Arial" w:cs="Arial"/>
          <w:bCs/>
          <w:lang w:val="en-GB"/>
        </w:rPr>
        <w:t>for ensuring a fair transition towards climate neutrality (Council</w:t>
      </w:r>
      <w:r w:rsidR="00293552" w:rsidRPr="002E4BFA">
        <w:rPr>
          <w:rFonts w:ascii="Arial" w:hAnsi="Arial" w:cs="Arial"/>
          <w:bCs/>
          <w:lang w:val="en-GB"/>
        </w:rPr>
        <w:t xml:space="preserve"> of the European Union</w:t>
      </w:r>
      <w:r w:rsidR="00EC3FA7" w:rsidRPr="002E4BFA">
        <w:rPr>
          <w:rFonts w:ascii="Arial" w:hAnsi="Arial" w:cs="Arial"/>
          <w:bCs/>
          <w:lang w:val="en-GB"/>
        </w:rPr>
        <w:t xml:space="preserve">, 2022) </w:t>
      </w:r>
      <w:proofErr w:type="gramStart"/>
      <w:r w:rsidRPr="002E4BFA">
        <w:rPr>
          <w:rFonts w:ascii="Arial" w:hAnsi="Arial" w:cs="Arial"/>
          <w:bCs/>
          <w:lang w:val="en-GB"/>
        </w:rPr>
        <w:t xml:space="preserve">in </w:t>
      </w:r>
      <w:r w:rsidR="00EC3FA7" w:rsidRPr="002E4BFA">
        <w:rPr>
          <w:rFonts w:ascii="Arial" w:hAnsi="Arial" w:cs="Arial"/>
          <w:bCs/>
          <w:lang w:val="en-GB"/>
        </w:rPr>
        <w:t>an attempt to</w:t>
      </w:r>
      <w:proofErr w:type="gramEnd"/>
      <w:r w:rsidR="00EC3FA7" w:rsidRPr="002E4BFA">
        <w:rPr>
          <w:rFonts w:ascii="Arial" w:hAnsi="Arial" w:cs="Arial"/>
          <w:bCs/>
          <w:lang w:val="en-GB"/>
        </w:rPr>
        <w:t xml:space="preserve"> address the</w:t>
      </w:r>
      <w:r w:rsidRPr="002E4BFA">
        <w:rPr>
          <w:rFonts w:ascii="Arial" w:hAnsi="Arial" w:cs="Arial"/>
          <w:bCs/>
          <w:lang w:val="en-GB"/>
        </w:rPr>
        <w:t xml:space="preserve"> EGD’s</w:t>
      </w:r>
      <w:r w:rsidR="00EC3FA7" w:rsidRPr="002E4BFA">
        <w:rPr>
          <w:rFonts w:ascii="Arial" w:hAnsi="Arial" w:cs="Arial"/>
          <w:bCs/>
          <w:lang w:val="en-GB"/>
        </w:rPr>
        <w:t xml:space="preserve"> weak social dimension. The </w:t>
      </w:r>
      <w:r w:rsidR="004575BF" w:rsidRPr="002E4BFA">
        <w:rPr>
          <w:rFonts w:ascii="Arial" w:hAnsi="Arial" w:cs="Arial"/>
          <w:bCs/>
          <w:lang w:val="en-GB"/>
        </w:rPr>
        <w:t xml:space="preserve">Recommendation </w:t>
      </w:r>
      <w:r w:rsidR="00EC3FA7" w:rsidRPr="002E4BFA">
        <w:rPr>
          <w:rFonts w:ascii="Arial" w:hAnsi="Arial" w:cs="Arial"/>
          <w:bCs/>
          <w:lang w:val="en-GB"/>
        </w:rPr>
        <w:t>addresses relevant policy dimensions and objectives</w:t>
      </w:r>
      <w:r w:rsidRPr="002E4BFA">
        <w:rPr>
          <w:rFonts w:ascii="Arial" w:hAnsi="Arial" w:cs="Arial"/>
          <w:bCs/>
          <w:lang w:val="en-GB"/>
        </w:rPr>
        <w:t>,</w:t>
      </w:r>
      <w:r w:rsidR="00EC3FA7" w:rsidRPr="002E4BFA">
        <w:rPr>
          <w:rFonts w:ascii="Arial" w:hAnsi="Arial" w:cs="Arial"/>
          <w:bCs/>
          <w:lang w:val="en-GB"/>
        </w:rPr>
        <w:t xml:space="preserve"> including </w:t>
      </w:r>
      <w:r w:rsidR="00E71DB8" w:rsidRPr="002E4BFA">
        <w:rPr>
          <w:rFonts w:ascii="Arial" w:hAnsi="Arial" w:cs="Arial"/>
          <w:bCs/>
          <w:lang w:val="en-GB"/>
        </w:rPr>
        <w:t>labour</w:t>
      </w:r>
      <w:r w:rsidR="00EC3FA7" w:rsidRPr="002E4BFA">
        <w:rPr>
          <w:rFonts w:ascii="Arial" w:hAnsi="Arial" w:cs="Arial"/>
          <w:bCs/>
          <w:lang w:val="en-GB"/>
        </w:rPr>
        <w:t xml:space="preserve"> market and education policy (</w:t>
      </w:r>
      <w:proofErr w:type="gramStart"/>
      <w:r w:rsidR="00C80A3D" w:rsidRPr="002E4BFA">
        <w:rPr>
          <w:rFonts w:ascii="Arial" w:hAnsi="Arial" w:cs="Arial"/>
          <w:bCs/>
          <w:lang w:val="en-GB"/>
        </w:rPr>
        <w:t>e.g.</w:t>
      </w:r>
      <w:proofErr w:type="gramEnd"/>
      <w:r w:rsidR="00EC3FA7" w:rsidRPr="002E4BFA">
        <w:rPr>
          <w:rFonts w:ascii="Arial" w:hAnsi="Arial" w:cs="Arial"/>
          <w:bCs/>
          <w:lang w:val="en-GB"/>
        </w:rPr>
        <w:t xml:space="preserve"> the </w:t>
      </w:r>
      <w:r w:rsidR="00BA00BB" w:rsidRPr="002E4BFA">
        <w:rPr>
          <w:rFonts w:ascii="Arial" w:hAnsi="Arial" w:cs="Arial"/>
          <w:bCs/>
          <w:lang w:val="en-GB"/>
        </w:rPr>
        <w:t>‘</w:t>
      </w:r>
      <w:r w:rsidR="00EC3FA7" w:rsidRPr="002E4BFA">
        <w:rPr>
          <w:rFonts w:ascii="Arial" w:hAnsi="Arial" w:cs="Arial"/>
          <w:bCs/>
          <w:lang w:val="en-GB"/>
        </w:rPr>
        <w:t>skills</w:t>
      </w:r>
      <w:r w:rsidR="00BA00BB" w:rsidRPr="002E4BFA">
        <w:rPr>
          <w:rFonts w:ascii="Arial" w:hAnsi="Arial" w:cs="Arial"/>
          <w:bCs/>
          <w:lang w:val="en-GB"/>
        </w:rPr>
        <w:t xml:space="preserve">’ </w:t>
      </w:r>
      <w:r w:rsidR="00EC3FA7" w:rsidRPr="002E4BFA">
        <w:rPr>
          <w:rFonts w:ascii="Arial" w:hAnsi="Arial" w:cs="Arial"/>
          <w:bCs/>
          <w:lang w:val="en-GB"/>
        </w:rPr>
        <w:t>agenda), exclusion and poverty aspects, fiscal policy, as well as governance and participation issues.</w:t>
      </w:r>
      <w:r w:rsidR="00EC3FA7" w:rsidRPr="002E4BFA">
        <w:rPr>
          <w:rFonts w:ascii="Arial" w:hAnsi="Arial" w:cs="Arial"/>
          <w:lang w:val="en-GB"/>
        </w:rPr>
        <w:t xml:space="preserve"> </w:t>
      </w:r>
      <w:r w:rsidR="00EC3FA7" w:rsidRPr="002E4BFA">
        <w:rPr>
          <w:rFonts w:ascii="Arial" w:hAnsi="Arial" w:cs="Arial"/>
          <w:bCs/>
          <w:lang w:val="en-GB"/>
        </w:rPr>
        <w:t xml:space="preserve">However, without legally binding effect, the </w:t>
      </w:r>
      <w:r w:rsidRPr="002E4BFA">
        <w:rPr>
          <w:rFonts w:ascii="Arial" w:hAnsi="Arial" w:cs="Arial"/>
          <w:bCs/>
          <w:lang w:val="en-GB"/>
        </w:rPr>
        <w:t xml:space="preserve">Recommendation’s </w:t>
      </w:r>
      <w:r w:rsidR="00EC3FA7" w:rsidRPr="002E4BFA">
        <w:rPr>
          <w:rFonts w:ascii="Arial" w:hAnsi="Arial" w:cs="Arial"/>
          <w:bCs/>
          <w:lang w:val="en-GB"/>
        </w:rPr>
        <w:t>main feature</w:t>
      </w:r>
      <w:r w:rsidRPr="002E4BFA">
        <w:rPr>
          <w:rFonts w:ascii="Arial" w:hAnsi="Arial" w:cs="Arial"/>
          <w:bCs/>
          <w:lang w:val="en-GB"/>
        </w:rPr>
        <w:t xml:space="preserve"> is a long </w:t>
      </w:r>
      <w:r w:rsidR="00EC3FA7" w:rsidRPr="002E4BFA">
        <w:rPr>
          <w:rFonts w:ascii="Arial" w:hAnsi="Arial" w:cs="Arial"/>
          <w:bCs/>
          <w:lang w:val="en-GB"/>
        </w:rPr>
        <w:t xml:space="preserve">list of principles, </w:t>
      </w:r>
      <w:proofErr w:type="gramStart"/>
      <w:r w:rsidR="00E71DB8" w:rsidRPr="002E4BFA">
        <w:rPr>
          <w:rFonts w:ascii="Arial" w:hAnsi="Arial" w:cs="Arial"/>
          <w:bCs/>
          <w:lang w:val="en-GB"/>
        </w:rPr>
        <w:t>objectives</w:t>
      </w:r>
      <w:proofErr w:type="gramEnd"/>
      <w:r w:rsidR="00EC3FA7" w:rsidRPr="002E4BFA">
        <w:rPr>
          <w:rFonts w:ascii="Arial" w:hAnsi="Arial" w:cs="Arial"/>
          <w:bCs/>
          <w:lang w:val="en-GB"/>
        </w:rPr>
        <w:t xml:space="preserve"> and tasks for Member States to aim for. References to available EU instruments and funds often take the form of an unordered list</w:t>
      </w:r>
      <w:r w:rsidRPr="002E4BFA">
        <w:rPr>
          <w:rFonts w:ascii="Arial" w:hAnsi="Arial" w:cs="Arial"/>
          <w:bCs/>
          <w:lang w:val="en-GB"/>
        </w:rPr>
        <w:t xml:space="preserve">, </w:t>
      </w:r>
      <w:r w:rsidR="00EC3FA7" w:rsidRPr="002E4BFA">
        <w:rPr>
          <w:rFonts w:ascii="Arial" w:hAnsi="Arial" w:cs="Arial"/>
          <w:bCs/>
          <w:lang w:val="en-GB"/>
        </w:rPr>
        <w:t>leav</w:t>
      </w:r>
      <w:r w:rsidRPr="002E4BFA">
        <w:rPr>
          <w:rFonts w:ascii="Arial" w:hAnsi="Arial" w:cs="Arial"/>
          <w:bCs/>
          <w:lang w:val="en-GB"/>
        </w:rPr>
        <w:t xml:space="preserve">ing it up </w:t>
      </w:r>
      <w:r w:rsidR="00EC3FA7" w:rsidRPr="002E4BFA">
        <w:rPr>
          <w:rFonts w:ascii="Arial" w:hAnsi="Arial" w:cs="Arial"/>
          <w:bCs/>
          <w:lang w:val="en-GB"/>
        </w:rPr>
        <w:t>to Member States to choose whether, when and how to use them and suggest</w:t>
      </w:r>
      <w:r w:rsidRPr="002E4BFA">
        <w:rPr>
          <w:rFonts w:ascii="Arial" w:hAnsi="Arial" w:cs="Arial"/>
          <w:bCs/>
          <w:lang w:val="en-GB"/>
        </w:rPr>
        <w:t>ing</w:t>
      </w:r>
      <w:r w:rsidR="00EC3FA7" w:rsidRPr="002E4BFA">
        <w:rPr>
          <w:rFonts w:ascii="Arial" w:hAnsi="Arial" w:cs="Arial"/>
          <w:bCs/>
          <w:lang w:val="en-GB"/>
        </w:rPr>
        <w:t xml:space="preserve"> there is no political consensus on what role EU </w:t>
      </w:r>
      <w:proofErr w:type="gramStart"/>
      <w:r w:rsidR="00644395" w:rsidRPr="002E4BFA">
        <w:rPr>
          <w:rFonts w:ascii="Arial" w:hAnsi="Arial" w:cs="Arial"/>
          <w:bCs/>
          <w:lang w:val="en-GB"/>
        </w:rPr>
        <w:t>policy</w:t>
      </w:r>
      <w:r w:rsidR="00601FC6" w:rsidRPr="002E4BFA">
        <w:rPr>
          <w:rFonts w:ascii="Arial" w:hAnsi="Arial" w:cs="Arial"/>
          <w:bCs/>
          <w:lang w:val="en-GB"/>
        </w:rPr>
        <w:t>-</w:t>
      </w:r>
      <w:r w:rsidR="00644395" w:rsidRPr="002E4BFA">
        <w:rPr>
          <w:rFonts w:ascii="Arial" w:hAnsi="Arial" w:cs="Arial"/>
          <w:bCs/>
          <w:lang w:val="en-GB"/>
        </w:rPr>
        <w:t>making</w:t>
      </w:r>
      <w:proofErr w:type="gramEnd"/>
      <w:r w:rsidR="00EC3FA7" w:rsidRPr="002E4BFA">
        <w:rPr>
          <w:rFonts w:ascii="Arial" w:hAnsi="Arial" w:cs="Arial"/>
          <w:bCs/>
          <w:lang w:val="en-GB"/>
        </w:rPr>
        <w:t xml:space="preserve"> should play on the eco-social front. Finally, on a more symbolic note, the </w:t>
      </w:r>
      <w:r w:rsidRPr="002E4BFA">
        <w:rPr>
          <w:rFonts w:ascii="Arial" w:hAnsi="Arial" w:cs="Arial"/>
          <w:bCs/>
          <w:lang w:val="en-GB"/>
        </w:rPr>
        <w:t xml:space="preserve">Recommendation </w:t>
      </w:r>
      <w:r w:rsidR="00EC3FA7" w:rsidRPr="002E4BFA">
        <w:rPr>
          <w:rFonts w:ascii="Arial" w:hAnsi="Arial" w:cs="Arial"/>
          <w:bCs/>
          <w:lang w:val="en-GB"/>
        </w:rPr>
        <w:t xml:space="preserve">does not embrace the notion of </w:t>
      </w:r>
      <w:r w:rsidRPr="002E4BFA">
        <w:rPr>
          <w:rFonts w:ascii="Arial" w:hAnsi="Arial" w:cs="Arial"/>
          <w:bCs/>
          <w:lang w:val="en-GB"/>
        </w:rPr>
        <w:t xml:space="preserve">a </w:t>
      </w:r>
      <w:r w:rsidR="00BA00BB" w:rsidRPr="002E4BFA">
        <w:rPr>
          <w:rFonts w:ascii="Arial" w:hAnsi="Arial" w:cs="Arial"/>
          <w:bCs/>
          <w:lang w:val="en-GB"/>
        </w:rPr>
        <w:t>‘</w:t>
      </w:r>
      <w:r w:rsidR="00EC3FA7" w:rsidRPr="002E4BFA">
        <w:rPr>
          <w:rFonts w:ascii="Arial" w:hAnsi="Arial" w:cs="Arial"/>
          <w:bCs/>
          <w:lang w:val="en-GB"/>
        </w:rPr>
        <w:t>just transition</w:t>
      </w:r>
      <w:r w:rsidR="00BA00BB" w:rsidRPr="002E4BFA">
        <w:rPr>
          <w:rFonts w:ascii="Arial" w:hAnsi="Arial" w:cs="Arial"/>
          <w:bCs/>
          <w:lang w:val="en-GB"/>
        </w:rPr>
        <w:t>’</w:t>
      </w:r>
      <w:r w:rsidR="00EC3FA7" w:rsidRPr="002E4BFA">
        <w:rPr>
          <w:rFonts w:ascii="Arial" w:hAnsi="Arial" w:cs="Arial"/>
          <w:bCs/>
          <w:lang w:val="en-GB"/>
        </w:rPr>
        <w:t xml:space="preserve">. The text refers to </w:t>
      </w:r>
      <w:r w:rsidRPr="002E4BFA">
        <w:rPr>
          <w:rFonts w:ascii="Arial" w:hAnsi="Arial" w:cs="Arial"/>
          <w:bCs/>
          <w:lang w:val="en-GB"/>
        </w:rPr>
        <w:t xml:space="preserve">a certain </w:t>
      </w:r>
      <w:r w:rsidR="00EC3FA7" w:rsidRPr="002E4BFA">
        <w:rPr>
          <w:rFonts w:ascii="Arial" w:hAnsi="Arial" w:cs="Arial"/>
          <w:bCs/>
          <w:lang w:val="en-GB"/>
        </w:rPr>
        <w:t xml:space="preserve">extent to a </w:t>
      </w:r>
      <w:r w:rsidR="00BA00BB" w:rsidRPr="002E4BFA">
        <w:rPr>
          <w:rFonts w:ascii="Arial" w:hAnsi="Arial" w:cs="Arial"/>
          <w:bCs/>
          <w:lang w:val="en-GB"/>
        </w:rPr>
        <w:t>‘</w:t>
      </w:r>
      <w:r w:rsidR="00EC3FA7" w:rsidRPr="002E4BFA">
        <w:rPr>
          <w:rFonts w:ascii="Arial" w:hAnsi="Arial" w:cs="Arial"/>
          <w:bCs/>
          <w:lang w:val="en-GB"/>
        </w:rPr>
        <w:t>fair</w:t>
      </w:r>
      <w:r w:rsidR="00BA00BB" w:rsidRPr="002E4BFA">
        <w:rPr>
          <w:rFonts w:ascii="Arial" w:hAnsi="Arial" w:cs="Arial"/>
          <w:bCs/>
          <w:lang w:val="en-GB"/>
        </w:rPr>
        <w:t>’</w:t>
      </w:r>
      <w:r w:rsidR="00EC3FA7" w:rsidRPr="002E4BFA">
        <w:rPr>
          <w:rFonts w:ascii="Arial" w:hAnsi="Arial" w:cs="Arial"/>
          <w:bCs/>
          <w:lang w:val="en-GB"/>
        </w:rPr>
        <w:t xml:space="preserve"> transition (24 occurrences) but to a much larger extent to the more neutral notion of </w:t>
      </w:r>
      <w:r w:rsidRPr="002E4BFA">
        <w:rPr>
          <w:rFonts w:ascii="Arial" w:hAnsi="Arial" w:cs="Arial"/>
          <w:bCs/>
          <w:lang w:val="en-GB"/>
        </w:rPr>
        <w:t xml:space="preserve">a </w:t>
      </w:r>
      <w:r w:rsidR="00BA00BB" w:rsidRPr="002E4BFA">
        <w:rPr>
          <w:rFonts w:ascii="Arial" w:hAnsi="Arial" w:cs="Arial"/>
          <w:bCs/>
          <w:lang w:val="en-GB"/>
        </w:rPr>
        <w:t>‘</w:t>
      </w:r>
      <w:r w:rsidR="00EC3FA7" w:rsidRPr="002E4BFA">
        <w:rPr>
          <w:rFonts w:ascii="Arial" w:hAnsi="Arial" w:cs="Arial"/>
          <w:bCs/>
          <w:lang w:val="en-GB"/>
        </w:rPr>
        <w:t>green transition</w:t>
      </w:r>
      <w:r w:rsidR="00BA00BB" w:rsidRPr="002E4BFA">
        <w:rPr>
          <w:rFonts w:ascii="Arial" w:hAnsi="Arial" w:cs="Arial"/>
          <w:bCs/>
          <w:lang w:val="en-GB"/>
        </w:rPr>
        <w:t>’</w:t>
      </w:r>
      <w:r w:rsidR="00EC3FA7" w:rsidRPr="002E4BFA">
        <w:rPr>
          <w:rFonts w:ascii="Arial" w:hAnsi="Arial" w:cs="Arial"/>
          <w:bCs/>
          <w:lang w:val="en-GB"/>
        </w:rPr>
        <w:t xml:space="preserve"> (64 occurrences)</w:t>
      </w:r>
      <w:r w:rsidRPr="002E4BFA">
        <w:rPr>
          <w:rFonts w:ascii="Arial" w:hAnsi="Arial" w:cs="Arial"/>
          <w:bCs/>
          <w:lang w:val="en-GB"/>
        </w:rPr>
        <w:t xml:space="preserve">, inferring </w:t>
      </w:r>
      <w:r w:rsidR="00EC3FA7" w:rsidRPr="002E4BFA">
        <w:rPr>
          <w:rFonts w:ascii="Arial" w:hAnsi="Arial" w:cs="Arial"/>
          <w:bCs/>
          <w:lang w:val="en-GB"/>
        </w:rPr>
        <w:t xml:space="preserve">that, even at discursive and ideational levels, there is no consensus within the EU </w:t>
      </w:r>
      <w:r w:rsidRPr="002E4BFA">
        <w:rPr>
          <w:rFonts w:ascii="Arial" w:hAnsi="Arial" w:cs="Arial"/>
          <w:bCs/>
          <w:lang w:val="en-GB"/>
        </w:rPr>
        <w:t xml:space="preserve">over </w:t>
      </w:r>
      <w:r w:rsidR="00EC3FA7" w:rsidRPr="002E4BFA">
        <w:rPr>
          <w:rFonts w:ascii="Arial" w:hAnsi="Arial" w:cs="Arial"/>
          <w:bCs/>
          <w:lang w:val="en-GB"/>
        </w:rPr>
        <w:t>what is slowly crystalli</w:t>
      </w:r>
      <w:r w:rsidRPr="002E4BFA">
        <w:rPr>
          <w:rFonts w:ascii="Arial" w:hAnsi="Arial" w:cs="Arial"/>
          <w:bCs/>
          <w:lang w:val="en-GB"/>
        </w:rPr>
        <w:t>s</w:t>
      </w:r>
      <w:r w:rsidR="00EC3FA7" w:rsidRPr="002E4BFA">
        <w:rPr>
          <w:rFonts w:ascii="Arial" w:hAnsi="Arial" w:cs="Arial"/>
          <w:bCs/>
          <w:lang w:val="en-GB"/>
        </w:rPr>
        <w:t xml:space="preserve">ing as a common understanding of the </w:t>
      </w:r>
      <w:r w:rsidR="00BA00BB" w:rsidRPr="002E4BFA">
        <w:rPr>
          <w:rFonts w:ascii="Arial" w:hAnsi="Arial" w:cs="Arial"/>
          <w:bCs/>
          <w:lang w:val="en-GB"/>
        </w:rPr>
        <w:t>‘</w:t>
      </w:r>
      <w:r w:rsidR="00EC3FA7" w:rsidRPr="002E4BFA">
        <w:rPr>
          <w:rFonts w:ascii="Arial" w:hAnsi="Arial" w:cs="Arial"/>
          <w:bCs/>
          <w:lang w:val="en-GB"/>
        </w:rPr>
        <w:t>just transition</w:t>
      </w:r>
      <w:r w:rsidR="00BA00BB" w:rsidRPr="002E4BFA">
        <w:rPr>
          <w:rFonts w:ascii="Arial" w:hAnsi="Arial" w:cs="Arial"/>
          <w:bCs/>
          <w:lang w:val="en-GB"/>
        </w:rPr>
        <w:t>’</w:t>
      </w:r>
      <w:r w:rsidR="00EC3FA7" w:rsidRPr="002E4BFA">
        <w:rPr>
          <w:rFonts w:ascii="Arial" w:hAnsi="Arial" w:cs="Arial"/>
          <w:bCs/>
          <w:lang w:val="en-GB"/>
        </w:rPr>
        <w:t xml:space="preserve">. </w:t>
      </w:r>
    </w:p>
    <w:p w14:paraId="6CE4E0BF" w14:textId="58C9034D" w:rsidR="00EC3FA7" w:rsidRPr="002E4BFA" w:rsidRDefault="00E341B7" w:rsidP="00C6263F">
      <w:pPr>
        <w:spacing w:line="360" w:lineRule="auto"/>
        <w:ind w:firstLine="360"/>
        <w:jc w:val="left"/>
        <w:rPr>
          <w:rFonts w:ascii="Arial" w:hAnsi="Arial" w:cs="Arial"/>
          <w:bCs/>
          <w:lang w:val="en-GB"/>
        </w:rPr>
      </w:pPr>
      <w:r w:rsidRPr="002E4BFA">
        <w:rPr>
          <w:rFonts w:ascii="Arial" w:hAnsi="Arial" w:cs="Arial"/>
          <w:bCs/>
          <w:lang w:val="en-GB"/>
        </w:rPr>
        <w:t>Against this background, can we</w:t>
      </w:r>
      <w:r w:rsidR="00EC3FA7" w:rsidRPr="002E4BFA">
        <w:rPr>
          <w:rFonts w:ascii="Arial" w:hAnsi="Arial" w:cs="Arial"/>
          <w:bCs/>
          <w:lang w:val="en-GB"/>
        </w:rPr>
        <w:t xml:space="preserve"> detect an emerging European model </w:t>
      </w:r>
      <w:r w:rsidR="00AD53E0" w:rsidRPr="002E4BFA">
        <w:rPr>
          <w:rFonts w:ascii="Arial" w:hAnsi="Arial" w:cs="Arial"/>
          <w:bCs/>
          <w:lang w:val="en-GB"/>
        </w:rPr>
        <w:t>embracing</w:t>
      </w:r>
      <w:r w:rsidRPr="002E4BFA">
        <w:rPr>
          <w:rFonts w:ascii="Arial" w:hAnsi="Arial" w:cs="Arial"/>
          <w:bCs/>
          <w:lang w:val="en-GB"/>
        </w:rPr>
        <w:t xml:space="preserve"> </w:t>
      </w:r>
      <w:r w:rsidR="00EC3FA7" w:rsidRPr="002E4BFA">
        <w:rPr>
          <w:rFonts w:ascii="Arial" w:hAnsi="Arial" w:cs="Arial"/>
          <w:bCs/>
          <w:lang w:val="en-GB"/>
        </w:rPr>
        <w:t xml:space="preserve">the economy, </w:t>
      </w:r>
      <w:proofErr w:type="gramStart"/>
      <w:r w:rsidR="00EC3FA7" w:rsidRPr="002E4BFA">
        <w:rPr>
          <w:rFonts w:ascii="Arial" w:hAnsi="Arial" w:cs="Arial"/>
          <w:bCs/>
          <w:lang w:val="en-GB"/>
        </w:rPr>
        <w:t>societ</w:t>
      </w:r>
      <w:r w:rsidR="00AD53E0" w:rsidRPr="002E4BFA">
        <w:rPr>
          <w:rFonts w:ascii="Arial" w:hAnsi="Arial" w:cs="Arial"/>
          <w:bCs/>
          <w:lang w:val="en-GB"/>
        </w:rPr>
        <w:t>y</w:t>
      </w:r>
      <w:proofErr w:type="gramEnd"/>
      <w:r w:rsidR="00EC3FA7" w:rsidRPr="002E4BFA">
        <w:rPr>
          <w:rFonts w:ascii="Arial" w:hAnsi="Arial" w:cs="Arial"/>
          <w:bCs/>
          <w:lang w:val="en-GB"/>
        </w:rPr>
        <w:t xml:space="preserve"> and the environment</w:t>
      </w:r>
      <w:r w:rsidR="00AD53E0" w:rsidRPr="002E4BFA">
        <w:rPr>
          <w:rFonts w:ascii="Arial" w:hAnsi="Arial" w:cs="Arial"/>
          <w:bCs/>
          <w:lang w:val="en-GB"/>
        </w:rPr>
        <w:t xml:space="preserve"> in a common blueprint</w:t>
      </w:r>
      <w:r w:rsidR="00EC3FA7" w:rsidRPr="002E4BFA">
        <w:rPr>
          <w:rFonts w:ascii="Arial" w:hAnsi="Arial" w:cs="Arial"/>
          <w:bCs/>
          <w:lang w:val="en-GB"/>
        </w:rPr>
        <w:t>? We find evidence that</w:t>
      </w:r>
      <w:r w:rsidR="00AD53E0" w:rsidRPr="002E4BFA">
        <w:rPr>
          <w:rFonts w:ascii="Arial" w:hAnsi="Arial" w:cs="Arial"/>
          <w:bCs/>
          <w:lang w:val="en-GB"/>
        </w:rPr>
        <w:t>, while</w:t>
      </w:r>
      <w:r w:rsidR="00EC3FA7" w:rsidRPr="002E4BFA">
        <w:rPr>
          <w:rFonts w:ascii="Arial" w:hAnsi="Arial" w:cs="Arial"/>
          <w:bCs/>
          <w:lang w:val="en-GB"/>
        </w:rPr>
        <w:t xml:space="preserve"> EU policy tools </w:t>
      </w:r>
      <w:r w:rsidR="00AD53E0" w:rsidRPr="002E4BFA">
        <w:rPr>
          <w:rFonts w:ascii="Arial" w:hAnsi="Arial" w:cs="Arial"/>
          <w:bCs/>
          <w:lang w:val="en-GB"/>
        </w:rPr>
        <w:t xml:space="preserve">are </w:t>
      </w:r>
      <w:r w:rsidR="00EC3FA7" w:rsidRPr="002E4BFA">
        <w:rPr>
          <w:rFonts w:ascii="Arial" w:hAnsi="Arial" w:cs="Arial"/>
          <w:bCs/>
          <w:lang w:val="en-GB"/>
        </w:rPr>
        <w:t>promot</w:t>
      </w:r>
      <w:r w:rsidR="00AD53E0" w:rsidRPr="002E4BFA">
        <w:rPr>
          <w:rFonts w:ascii="Arial" w:hAnsi="Arial" w:cs="Arial"/>
          <w:bCs/>
          <w:lang w:val="en-GB"/>
        </w:rPr>
        <w:t>ing</w:t>
      </w:r>
      <w:r w:rsidR="00EC3FA7" w:rsidRPr="002E4BFA">
        <w:rPr>
          <w:rFonts w:ascii="Arial" w:hAnsi="Arial" w:cs="Arial"/>
          <w:bCs/>
          <w:lang w:val="en-GB"/>
        </w:rPr>
        <w:t xml:space="preserve"> a distinct </w:t>
      </w:r>
      <w:r w:rsidR="00AD53E0" w:rsidRPr="002E4BFA">
        <w:rPr>
          <w:rFonts w:ascii="Arial" w:hAnsi="Arial" w:cs="Arial"/>
          <w:bCs/>
          <w:lang w:val="en-GB"/>
        </w:rPr>
        <w:t xml:space="preserve">transition </w:t>
      </w:r>
      <w:r w:rsidR="00EC3FA7" w:rsidRPr="002E4BFA">
        <w:rPr>
          <w:rFonts w:ascii="Arial" w:hAnsi="Arial" w:cs="Arial"/>
          <w:bCs/>
          <w:lang w:val="en-GB"/>
        </w:rPr>
        <w:t xml:space="preserve">model </w:t>
      </w:r>
      <w:r w:rsidR="00AD53E0" w:rsidRPr="002E4BFA">
        <w:rPr>
          <w:rFonts w:ascii="Arial" w:hAnsi="Arial" w:cs="Arial"/>
          <w:bCs/>
          <w:lang w:val="en-GB"/>
        </w:rPr>
        <w:t>doing away with</w:t>
      </w:r>
      <w:r w:rsidR="00EC3FA7" w:rsidRPr="002E4BFA">
        <w:rPr>
          <w:rFonts w:ascii="Arial" w:hAnsi="Arial" w:cs="Arial"/>
          <w:bCs/>
          <w:lang w:val="en-GB"/>
        </w:rPr>
        <w:t xml:space="preserve"> many of the obsolete features of the 20</w:t>
      </w:r>
      <w:r w:rsidR="0041424A" w:rsidRPr="002E4BFA">
        <w:rPr>
          <w:rFonts w:ascii="Arial" w:hAnsi="Arial" w:cs="Arial"/>
          <w:bCs/>
          <w:lang w:val="en-GB"/>
        </w:rPr>
        <w:t>th</w:t>
      </w:r>
      <w:r w:rsidR="00AD53E0" w:rsidRPr="002E4BFA">
        <w:rPr>
          <w:rFonts w:ascii="Arial" w:hAnsi="Arial" w:cs="Arial"/>
          <w:bCs/>
          <w:lang w:val="en-GB"/>
        </w:rPr>
        <w:t>-</w:t>
      </w:r>
      <w:r w:rsidR="00EC3FA7" w:rsidRPr="002E4BFA">
        <w:rPr>
          <w:rFonts w:ascii="Arial" w:hAnsi="Arial" w:cs="Arial"/>
          <w:bCs/>
          <w:lang w:val="en-GB"/>
        </w:rPr>
        <w:t xml:space="preserve">century </w:t>
      </w:r>
      <w:proofErr w:type="spellStart"/>
      <w:r w:rsidR="00EC3FA7" w:rsidRPr="002E4BFA">
        <w:rPr>
          <w:rFonts w:ascii="Arial" w:hAnsi="Arial" w:cs="Arial"/>
          <w:bCs/>
          <w:lang w:val="en-GB"/>
        </w:rPr>
        <w:t>productivist</w:t>
      </w:r>
      <w:proofErr w:type="spellEnd"/>
      <w:r w:rsidR="00EC3FA7" w:rsidRPr="002E4BFA">
        <w:rPr>
          <w:rFonts w:ascii="Arial" w:hAnsi="Arial" w:cs="Arial"/>
          <w:bCs/>
          <w:lang w:val="en-GB"/>
        </w:rPr>
        <w:t xml:space="preserve"> </w:t>
      </w:r>
      <w:r w:rsidR="00E71DB8" w:rsidRPr="002E4BFA">
        <w:rPr>
          <w:rFonts w:ascii="Arial" w:hAnsi="Arial" w:cs="Arial"/>
          <w:bCs/>
          <w:lang w:val="en-GB"/>
        </w:rPr>
        <w:t>model</w:t>
      </w:r>
      <w:r w:rsidR="00AD53E0" w:rsidRPr="002E4BFA">
        <w:rPr>
          <w:rFonts w:ascii="Arial" w:hAnsi="Arial" w:cs="Arial"/>
          <w:bCs/>
          <w:lang w:val="en-GB"/>
        </w:rPr>
        <w:t xml:space="preserve">, they do not reflect </w:t>
      </w:r>
      <w:r w:rsidR="00EC3FA7" w:rsidRPr="002E4BFA">
        <w:rPr>
          <w:rFonts w:ascii="Arial" w:hAnsi="Arial" w:cs="Arial"/>
          <w:bCs/>
          <w:lang w:val="en-GB"/>
        </w:rPr>
        <w:t>a genuine just transition model as conceived by environmental movements or international organi</w:t>
      </w:r>
      <w:r w:rsidR="00AD53E0" w:rsidRPr="002E4BFA">
        <w:rPr>
          <w:rFonts w:ascii="Arial" w:hAnsi="Arial" w:cs="Arial"/>
          <w:bCs/>
          <w:lang w:val="en-GB"/>
        </w:rPr>
        <w:t>s</w:t>
      </w:r>
      <w:r w:rsidR="00EC3FA7" w:rsidRPr="002E4BFA">
        <w:rPr>
          <w:rFonts w:ascii="Arial" w:hAnsi="Arial" w:cs="Arial"/>
          <w:bCs/>
          <w:lang w:val="en-GB"/>
        </w:rPr>
        <w:t xml:space="preserve">ations such as the ILO. The EGD and its </w:t>
      </w:r>
      <w:r w:rsidR="00AD53E0" w:rsidRPr="002E4BFA">
        <w:rPr>
          <w:rFonts w:ascii="Arial" w:hAnsi="Arial" w:cs="Arial"/>
          <w:bCs/>
          <w:lang w:val="en-GB"/>
        </w:rPr>
        <w:t xml:space="preserve">associated </w:t>
      </w:r>
      <w:r w:rsidR="00EC3FA7" w:rsidRPr="002E4BFA">
        <w:rPr>
          <w:rFonts w:ascii="Arial" w:hAnsi="Arial" w:cs="Arial"/>
          <w:bCs/>
          <w:lang w:val="en-GB"/>
        </w:rPr>
        <w:t xml:space="preserve">social policy instruments revolve around the key principle of promoting green growth </w:t>
      </w:r>
      <w:r w:rsidR="00AD53E0" w:rsidRPr="002E4BFA">
        <w:rPr>
          <w:rFonts w:ascii="Arial" w:hAnsi="Arial" w:cs="Arial"/>
          <w:bCs/>
          <w:lang w:val="en-GB"/>
        </w:rPr>
        <w:t>–</w:t>
      </w:r>
      <w:r w:rsidR="00EC3FA7" w:rsidRPr="002E4BFA">
        <w:rPr>
          <w:rFonts w:ascii="Arial" w:hAnsi="Arial" w:cs="Arial"/>
          <w:bCs/>
          <w:lang w:val="en-GB"/>
        </w:rPr>
        <w:t xml:space="preserve"> through carbon markets and efficient </w:t>
      </w:r>
      <w:r w:rsidR="00E71DB8" w:rsidRPr="002E4BFA">
        <w:rPr>
          <w:rFonts w:ascii="Arial" w:hAnsi="Arial" w:cs="Arial"/>
          <w:bCs/>
          <w:lang w:val="en-GB"/>
        </w:rPr>
        <w:t>labour</w:t>
      </w:r>
      <w:r w:rsidR="00EC3FA7" w:rsidRPr="002E4BFA">
        <w:rPr>
          <w:rFonts w:ascii="Arial" w:hAnsi="Arial" w:cs="Arial"/>
          <w:bCs/>
          <w:lang w:val="en-GB"/>
        </w:rPr>
        <w:t xml:space="preserve"> markets </w:t>
      </w:r>
      <w:r w:rsidR="00AD53E0" w:rsidRPr="002E4BFA">
        <w:rPr>
          <w:rFonts w:ascii="Arial" w:hAnsi="Arial" w:cs="Arial"/>
          <w:bCs/>
          <w:lang w:val="en-GB"/>
        </w:rPr>
        <w:t>–</w:t>
      </w:r>
      <w:r w:rsidR="00EC3FA7" w:rsidRPr="002E4BFA">
        <w:rPr>
          <w:rFonts w:ascii="Arial" w:hAnsi="Arial" w:cs="Arial"/>
          <w:bCs/>
          <w:lang w:val="en-GB"/>
        </w:rPr>
        <w:t xml:space="preserve"> rather than </w:t>
      </w:r>
      <w:r w:rsidR="00AD53E0" w:rsidRPr="002E4BFA">
        <w:rPr>
          <w:rFonts w:ascii="Arial" w:hAnsi="Arial" w:cs="Arial"/>
          <w:bCs/>
          <w:lang w:val="en-GB"/>
        </w:rPr>
        <w:t xml:space="preserve">spotlighting </w:t>
      </w:r>
      <w:r w:rsidR="00EC3FA7" w:rsidRPr="002E4BFA">
        <w:rPr>
          <w:rFonts w:ascii="Arial" w:hAnsi="Arial" w:cs="Arial"/>
          <w:lang w:val="en-GB"/>
        </w:rPr>
        <w:t xml:space="preserve">human health and </w:t>
      </w:r>
      <w:r w:rsidR="00E8715C" w:rsidRPr="002E4BFA">
        <w:rPr>
          <w:rFonts w:ascii="Arial" w:hAnsi="Arial" w:cs="Arial"/>
          <w:lang w:val="en-GB"/>
        </w:rPr>
        <w:t>well-being</w:t>
      </w:r>
      <w:r w:rsidR="00EC3FA7" w:rsidRPr="002E4BFA">
        <w:rPr>
          <w:rFonts w:ascii="Arial" w:hAnsi="Arial" w:cs="Arial"/>
          <w:lang w:val="en-GB"/>
        </w:rPr>
        <w:t xml:space="preserve"> in a preserved environment. They </w:t>
      </w:r>
      <w:r w:rsidR="00AD53E0" w:rsidRPr="002E4BFA">
        <w:rPr>
          <w:rFonts w:ascii="Arial" w:hAnsi="Arial" w:cs="Arial"/>
          <w:lang w:val="en-GB"/>
        </w:rPr>
        <w:t xml:space="preserve">reflect </w:t>
      </w:r>
      <w:r w:rsidR="00EC3FA7" w:rsidRPr="002E4BFA">
        <w:rPr>
          <w:rFonts w:ascii="Arial" w:hAnsi="Arial" w:cs="Arial"/>
          <w:lang w:val="en-GB"/>
        </w:rPr>
        <w:t xml:space="preserve">a new form of investment state, rather than a genuine eco-social state simultaneously addressing environmental and social problems, their mutual trade-offs and </w:t>
      </w:r>
      <w:proofErr w:type="spellStart"/>
      <w:r w:rsidR="00EC3FA7" w:rsidRPr="002E4BFA">
        <w:rPr>
          <w:rFonts w:ascii="Arial" w:hAnsi="Arial" w:cs="Arial"/>
          <w:lang w:val="en-GB"/>
        </w:rPr>
        <w:t>spillover</w:t>
      </w:r>
      <w:proofErr w:type="spellEnd"/>
      <w:r w:rsidR="00EC3FA7" w:rsidRPr="002E4BFA">
        <w:rPr>
          <w:rFonts w:ascii="Arial" w:hAnsi="Arial" w:cs="Arial"/>
          <w:lang w:val="en-GB"/>
        </w:rPr>
        <w:t xml:space="preserve"> effects in a </w:t>
      </w:r>
      <w:r w:rsidR="00EC3FA7" w:rsidRPr="002E4BFA">
        <w:rPr>
          <w:rFonts w:ascii="Arial" w:hAnsi="Arial" w:cs="Arial"/>
          <w:lang w:val="en-GB"/>
        </w:rPr>
        <w:lastRenderedPageBreak/>
        <w:t xml:space="preserve">holistic way. </w:t>
      </w:r>
      <w:proofErr w:type="gramStart"/>
      <w:r w:rsidR="00EC3FA7" w:rsidRPr="002E4BFA">
        <w:rPr>
          <w:rFonts w:ascii="Arial" w:hAnsi="Arial" w:cs="Arial"/>
          <w:lang w:val="en-GB"/>
        </w:rPr>
        <w:t>Going forward, there</w:t>
      </w:r>
      <w:proofErr w:type="gramEnd"/>
      <w:r w:rsidR="00EC3FA7" w:rsidRPr="002E4BFA">
        <w:rPr>
          <w:rFonts w:ascii="Arial" w:hAnsi="Arial" w:cs="Arial"/>
          <w:lang w:val="en-GB"/>
        </w:rPr>
        <w:t xml:space="preserve"> is a real danger that the limited EU social action</w:t>
      </w:r>
      <w:r w:rsidR="00AD53E0" w:rsidRPr="002E4BFA">
        <w:rPr>
          <w:rFonts w:ascii="Arial" w:hAnsi="Arial" w:cs="Arial"/>
          <w:lang w:val="en-GB"/>
        </w:rPr>
        <w:t>s</w:t>
      </w:r>
      <w:r w:rsidR="00EC3FA7" w:rsidRPr="002E4BFA">
        <w:rPr>
          <w:rFonts w:ascii="Arial" w:hAnsi="Arial" w:cs="Arial"/>
          <w:lang w:val="en-GB"/>
        </w:rPr>
        <w:t xml:space="preserve"> will be </w:t>
      </w:r>
      <w:r w:rsidR="00AD53E0" w:rsidRPr="002E4BFA">
        <w:rPr>
          <w:rFonts w:ascii="Arial" w:hAnsi="Arial" w:cs="Arial"/>
          <w:lang w:val="en-GB"/>
        </w:rPr>
        <w:t xml:space="preserve">insufficient </w:t>
      </w:r>
      <w:r w:rsidR="00EC3FA7" w:rsidRPr="002E4BFA">
        <w:rPr>
          <w:rFonts w:ascii="Arial" w:hAnsi="Arial" w:cs="Arial"/>
          <w:lang w:val="en-GB"/>
        </w:rPr>
        <w:t>to tackle the sheer scale of inequalit</w:t>
      </w:r>
      <w:r w:rsidR="00AD53E0" w:rsidRPr="002E4BFA">
        <w:rPr>
          <w:rFonts w:ascii="Arial" w:hAnsi="Arial" w:cs="Arial"/>
          <w:lang w:val="en-GB"/>
        </w:rPr>
        <w:t>y</w:t>
      </w:r>
      <w:r w:rsidR="00EC3FA7" w:rsidRPr="002E4BFA">
        <w:rPr>
          <w:rFonts w:ascii="Arial" w:hAnsi="Arial" w:cs="Arial"/>
          <w:lang w:val="en-GB"/>
        </w:rPr>
        <w:t xml:space="preserve"> when climate change </w:t>
      </w:r>
      <w:r w:rsidR="00EC3FA7" w:rsidRPr="002E4BFA">
        <w:rPr>
          <w:rFonts w:ascii="Arial" w:hAnsi="Arial" w:cs="Arial"/>
          <w:i/>
          <w:lang w:val="en-GB"/>
        </w:rPr>
        <w:t xml:space="preserve">and </w:t>
      </w:r>
      <w:r w:rsidR="00EC3FA7" w:rsidRPr="002E4BFA">
        <w:rPr>
          <w:rFonts w:ascii="Arial" w:hAnsi="Arial" w:cs="Arial"/>
          <w:lang w:val="en-GB"/>
        </w:rPr>
        <w:t xml:space="preserve">transition policy reach full speed. While the ideal of a social consensus underpinning a just transition may be utopian, we </w:t>
      </w:r>
      <w:r w:rsidR="00AD53E0" w:rsidRPr="002E4BFA">
        <w:rPr>
          <w:rFonts w:ascii="Arial" w:hAnsi="Arial" w:cs="Arial"/>
          <w:lang w:val="en-GB"/>
        </w:rPr>
        <w:t xml:space="preserve">are </w:t>
      </w:r>
      <w:r w:rsidR="00EC3FA7" w:rsidRPr="002E4BFA">
        <w:rPr>
          <w:rFonts w:ascii="Arial" w:hAnsi="Arial" w:cs="Arial"/>
          <w:lang w:val="en-GB"/>
        </w:rPr>
        <w:t>currently see</w:t>
      </w:r>
      <w:r w:rsidR="00AD53E0" w:rsidRPr="002E4BFA">
        <w:rPr>
          <w:rFonts w:ascii="Arial" w:hAnsi="Arial" w:cs="Arial"/>
          <w:lang w:val="en-GB"/>
        </w:rPr>
        <w:t>ing</w:t>
      </w:r>
      <w:r w:rsidR="00EC3FA7" w:rsidRPr="002E4BFA">
        <w:rPr>
          <w:rFonts w:ascii="Arial" w:hAnsi="Arial" w:cs="Arial"/>
          <w:lang w:val="en-GB"/>
        </w:rPr>
        <w:t xml:space="preserve"> multiple </w:t>
      </w:r>
      <w:r w:rsidR="00AD53E0" w:rsidRPr="002E4BFA">
        <w:rPr>
          <w:rFonts w:ascii="Arial" w:hAnsi="Arial" w:cs="Arial"/>
          <w:lang w:val="en-GB"/>
        </w:rPr>
        <w:t xml:space="preserve">divisions </w:t>
      </w:r>
      <w:r w:rsidR="00E71DB8" w:rsidRPr="002E4BFA">
        <w:rPr>
          <w:rFonts w:ascii="Arial" w:hAnsi="Arial" w:cs="Arial"/>
          <w:lang w:val="en-GB"/>
        </w:rPr>
        <w:t>fuelling</w:t>
      </w:r>
      <w:r w:rsidR="00EC3FA7" w:rsidRPr="002E4BFA">
        <w:rPr>
          <w:rFonts w:ascii="Arial" w:hAnsi="Arial" w:cs="Arial"/>
          <w:lang w:val="en-GB"/>
        </w:rPr>
        <w:t xml:space="preserve"> various forms of political conflicts.  </w:t>
      </w:r>
    </w:p>
    <w:p w14:paraId="238EFACC" w14:textId="2EFB0069" w:rsidR="00EC3FA7" w:rsidRPr="002E4BFA" w:rsidRDefault="00EC3FA7" w:rsidP="00C6263F">
      <w:pPr>
        <w:spacing w:line="360" w:lineRule="auto"/>
        <w:ind w:firstLine="360"/>
        <w:jc w:val="left"/>
        <w:rPr>
          <w:rFonts w:ascii="Arial" w:hAnsi="Arial" w:cs="Arial"/>
          <w:lang w:val="en-GB"/>
        </w:rPr>
      </w:pPr>
      <w:proofErr w:type="gramStart"/>
      <w:r w:rsidRPr="002E4BFA">
        <w:rPr>
          <w:rFonts w:ascii="Arial" w:hAnsi="Arial" w:cs="Arial"/>
          <w:lang w:val="en-GB"/>
        </w:rPr>
        <w:t>A number of</w:t>
      </w:r>
      <w:proofErr w:type="gramEnd"/>
      <w:r w:rsidRPr="002E4BFA">
        <w:rPr>
          <w:rFonts w:ascii="Arial" w:hAnsi="Arial" w:cs="Arial"/>
          <w:lang w:val="en-GB"/>
        </w:rPr>
        <w:t xml:space="preserve"> actions could be pursued to alleviate those problems. Considering the underlying philosophy of the EU’s transition model, EU institutions should invest more intellectual and financial resources in producing an in-depth analysis of the intersection between environmental damage and social inequality. In </w:t>
      </w:r>
      <w:r w:rsidR="00BB3C40" w:rsidRPr="002E4BFA">
        <w:rPr>
          <w:rFonts w:ascii="Arial" w:hAnsi="Arial" w:cs="Arial"/>
          <w:lang w:val="en-GB"/>
        </w:rPr>
        <w:t xml:space="preserve">an </w:t>
      </w:r>
      <w:r w:rsidRPr="002E4BFA">
        <w:rPr>
          <w:rFonts w:ascii="Arial" w:hAnsi="Arial" w:cs="Arial"/>
          <w:lang w:val="en-GB"/>
        </w:rPr>
        <w:t xml:space="preserve">era of </w:t>
      </w:r>
      <w:r w:rsidR="00BA00BB" w:rsidRPr="002E4BFA">
        <w:rPr>
          <w:rFonts w:ascii="Arial" w:hAnsi="Arial" w:cs="Arial"/>
          <w:lang w:val="en-GB"/>
        </w:rPr>
        <w:t>‘</w:t>
      </w:r>
      <w:r w:rsidRPr="002E4BFA">
        <w:rPr>
          <w:rFonts w:ascii="Arial" w:hAnsi="Arial" w:cs="Arial"/>
          <w:lang w:val="en-GB"/>
        </w:rPr>
        <w:t>evidence-based</w:t>
      </w:r>
      <w:r w:rsidR="00BA00BB" w:rsidRPr="002E4BFA">
        <w:rPr>
          <w:rFonts w:ascii="Arial" w:hAnsi="Arial" w:cs="Arial"/>
          <w:lang w:val="en-GB"/>
        </w:rPr>
        <w:t>’</w:t>
      </w:r>
      <w:r w:rsidRPr="002E4BFA">
        <w:rPr>
          <w:rFonts w:ascii="Arial" w:hAnsi="Arial" w:cs="Arial"/>
          <w:lang w:val="en-GB"/>
        </w:rPr>
        <w:t xml:space="preserve"> </w:t>
      </w:r>
      <w:proofErr w:type="gramStart"/>
      <w:r w:rsidRPr="002E4BFA">
        <w:rPr>
          <w:rFonts w:ascii="Arial" w:hAnsi="Arial" w:cs="Arial"/>
          <w:lang w:val="en-GB"/>
        </w:rPr>
        <w:t>policy</w:t>
      </w:r>
      <w:r w:rsidR="0041424A" w:rsidRPr="002E4BFA">
        <w:rPr>
          <w:rFonts w:ascii="Arial" w:hAnsi="Arial" w:cs="Arial"/>
          <w:lang w:val="en-GB"/>
        </w:rPr>
        <w:t>-</w:t>
      </w:r>
      <w:r w:rsidRPr="002E4BFA">
        <w:rPr>
          <w:rFonts w:ascii="Arial" w:hAnsi="Arial" w:cs="Arial"/>
          <w:lang w:val="en-GB"/>
        </w:rPr>
        <w:t>making</w:t>
      </w:r>
      <w:proofErr w:type="gramEnd"/>
      <w:r w:rsidRPr="002E4BFA">
        <w:rPr>
          <w:rFonts w:ascii="Arial" w:hAnsi="Arial" w:cs="Arial"/>
          <w:lang w:val="en-GB"/>
        </w:rPr>
        <w:t>, the focus on workers from carbon</w:t>
      </w:r>
      <w:r w:rsidR="00BB3C40" w:rsidRPr="002E4BFA">
        <w:rPr>
          <w:rFonts w:ascii="Arial" w:hAnsi="Arial" w:cs="Arial"/>
          <w:lang w:val="en-GB"/>
        </w:rPr>
        <w:t>-</w:t>
      </w:r>
      <w:r w:rsidRPr="002E4BFA">
        <w:rPr>
          <w:rFonts w:ascii="Arial" w:hAnsi="Arial" w:cs="Arial"/>
          <w:lang w:val="en-GB"/>
        </w:rPr>
        <w:t xml:space="preserve">dependent sectors or on people defined in a generic way as </w:t>
      </w:r>
      <w:r w:rsidR="00BA00BB" w:rsidRPr="002E4BFA">
        <w:rPr>
          <w:rFonts w:ascii="Arial" w:hAnsi="Arial" w:cs="Arial"/>
          <w:lang w:val="en-GB"/>
        </w:rPr>
        <w:t>‘</w:t>
      </w:r>
      <w:r w:rsidRPr="002E4BFA">
        <w:rPr>
          <w:rFonts w:ascii="Arial" w:hAnsi="Arial" w:cs="Arial"/>
          <w:lang w:val="en-GB"/>
        </w:rPr>
        <w:t>vulnerable</w:t>
      </w:r>
      <w:r w:rsidR="00BA00BB" w:rsidRPr="002E4BFA">
        <w:rPr>
          <w:rFonts w:ascii="Arial" w:hAnsi="Arial" w:cs="Arial"/>
          <w:lang w:val="en-GB"/>
        </w:rPr>
        <w:t>’</w:t>
      </w:r>
      <w:r w:rsidRPr="002E4BFA">
        <w:rPr>
          <w:rFonts w:ascii="Arial" w:hAnsi="Arial" w:cs="Arial"/>
          <w:lang w:val="en-GB"/>
        </w:rPr>
        <w:t xml:space="preserve"> is disappointing. Th</w:t>
      </w:r>
      <w:r w:rsidR="00BB3C40" w:rsidRPr="002E4BFA">
        <w:rPr>
          <w:rFonts w:ascii="Arial" w:hAnsi="Arial" w:cs="Arial"/>
          <w:lang w:val="en-GB"/>
        </w:rPr>
        <w:t>at</w:t>
      </w:r>
      <w:r w:rsidRPr="002E4BFA">
        <w:rPr>
          <w:rFonts w:ascii="Arial" w:hAnsi="Arial" w:cs="Arial"/>
          <w:lang w:val="en-GB"/>
        </w:rPr>
        <w:t xml:space="preserve"> said, the nascent notions of energy poverty or mobility poverty could be fruitful for future </w:t>
      </w:r>
      <w:proofErr w:type="gramStart"/>
      <w:r w:rsidRPr="002E4BFA">
        <w:rPr>
          <w:rFonts w:ascii="Arial" w:hAnsi="Arial" w:cs="Arial"/>
          <w:lang w:val="en-GB"/>
        </w:rPr>
        <w:t>policy</w:t>
      </w:r>
      <w:r w:rsidR="0041424A" w:rsidRPr="002E4BFA">
        <w:rPr>
          <w:rFonts w:ascii="Arial" w:hAnsi="Arial" w:cs="Arial"/>
          <w:lang w:val="en-GB"/>
        </w:rPr>
        <w:t>-</w:t>
      </w:r>
      <w:r w:rsidRPr="002E4BFA">
        <w:rPr>
          <w:rFonts w:ascii="Arial" w:hAnsi="Arial" w:cs="Arial"/>
          <w:lang w:val="en-GB"/>
        </w:rPr>
        <w:t>making</w:t>
      </w:r>
      <w:proofErr w:type="gramEnd"/>
      <w:r w:rsidRPr="002E4BFA">
        <w:rPr>
          <w:rFonts w:ascii="Arial" w:hAnsi="Arial" w:cs="Arial"/>
          <w:lang w:val="en-GB"/>
        </w:rPr>
        <w:t xml:space="preserve">. The unequal distribution of new social risks such as health </w:t>
      </w:r>
      <w:r w:rsidR="00BB3C40" w:rsidRPr="002E4BFA">
        <w:rPr>
          <w:rFonts w:ascii="Arial" w:hAnsi="Arial" w:cs="Arial"/>
          <w:lang w:val="en-GB"/>
        </w:rPr>
        <w:t xml:space="preserve">impairments </w:t>
      </w:r>
      <w:r w:rsidRPr="002E4BFA">
        <w:rPr>
          <w:rFonts w:ascii="Arial" w:hAnsi="Arial" w:cs="Arial"/>
          <w:lang w:val="en-GB"/>
        </w:rPr>
        <w:t xml:space="preserve">due to air pollution, water pollution or toxic food has a </w:t>
      </w:r>
      <w:r w:rsidR="00BB3C40" w:rsidRPr="002E4BFA">
        <w:rPr>
          <w:rFonts w:ascii="Arial" w:hAnsi="Arial" w:cs="Arial"/>
          <w:lang w:val="en-GB"/>
        </w:rPr>
        <w:t xml:space="preserve">major </w:t>
      </w:r>
      <w:r w:rsidRPr="002E4BFA">
        <w:rPr>
          <w:rFonts w:ascii="Arial" w:hAnsi="Arial" w:cs="Arial"/>
          <w:lang w:val="en-GB"/>
        </w:rPr>
        <w:t xml:space="preserve">impact not only on health but also on life chances, </w:t>
      </w:r>
      <w:proofErr w:type="gramStart"/>
      <w:r w:rsidR="00E71DB8" w:rsidRPr="002E4BFA">
        <w:rPr>
          <w:rFonts w:ascii="Arial" w:hAnsi="Arial" w:cs="Arial"/>
          <w:lang w:val="en-GB"/>
        </w:rPr>
        <w:t>education</w:t>
      </w:r>
      <w:proofErr w:type="gramEnd"/>
      <w:r w:rsidRPr="002E4BFA">
        <w:rPr>
          <w:rFonts w:ascii="Arial" w:hAnsi="Arial" w:cs="Arial"/>
          <w:lang w:val="en-GB"/>
        </w:rPr>
        <w:t xml:space="preserve"> and productivity, even if individuals </w:t>
      </w:r>
      <w:r w:rsidR="00BB3C40" w:rsidRPr="002E4BFA">
        <w:rPr>
          <w:rFonts w:ascii="Arial" w:hAnsi="Arial" w:cs="Arial"/>
          <w:lang w:val="en-GB"/>
        </w:rPr>
        <w:t xml:space="preserve">are successfully </w:t>
      </w:r>
      <w:r w:rsidRPr="002E4BFA">
        <w:rPr>
          <w:rFonts w:ascii="Arial" w:hAnsi="Arial" w:cs="Arial"/>
          <w:lang w:val="en-GB"/>
        </w:rPr>
        <w:t>integrate</w:t>
      </w:r>
      <w:r w:rsidR="00BB3C40" w:rsidRPr="002E4BFA">
        <w:rPr>
          <w:rFonts w:ascii="Arial" w:hAnsi="Arial" w:cs="Arial"/>
          <w:lang w:val="en-GB"/>
        </w:rPr>
        <w:t>d</w:t>
      </w:r>
      <w:r w:rsidRPr="002E4BFA">
        <w:rPr>
          <w:rFonts w:ascii="Arial" w:hAnsi="Arial" w:cs="Arial"/>
          <w:lang w:val="en-GB"/>
        </w:rPr>
        <w:t xml:space="preserve"> into the </w:t>
      </w:r>
      <w:r w:rsidR="00E71DB8" w:rsidRPr="002E4BFA">
        <w:rPr>
          <w:rFonts w:ascii="Arial" w:hAnsi="Arial" w:cs="Arial"/>
          <w:lang w:val="en-GB"/>
        </w:rPr>
        <w:t>labour</w:t>
      </w:r>
      <w:r w:rsidRPr="002E4BFA">
        <w:rPr>
          <w:rFonts w:ascii="Arial" w:hAnsi="Arial" w:cs="Arial"/>
          <w:lang w:val="en-GB"/>
        </w:rPr>
        <w:t xml:space="preserve"> market. In other words, effective political action for a just transition must tackle existing imbalances at their roots</w:t>
      </w:r>
      <w:r w:rsidR="00BB3C40" w:rsidRPr="002E4BFA">
        <w:rPr>
          <w:rFonts w:ascii="Arial" w:hAnsi="Arial" w:cs="Arial"/>
          <w:lang w:val="en-GB"/>
        </w:rPr>
        <w:t>,</w:t>
      </w:r>
      <w:r w:rsidRPr="002E4BFA">
        <w:rPr>
          <w:rFonts w:ascii="Arial" w:hAnsi="Arial" w:cs="Arial"/>
          <w:lang w:val="en-GB"/>
        </w:rPr>
        <w:t xml:space="preserve"> rather than </w:t>
      </w:r>
      <w:r w:rsidR="00BB3C40" w:rsidRPr="002E4BFA">
        <w:rPr>
          <w:rFonts w:ascii="Arial" w:hAnsi="Arial" w:cs="Arial"/>
          <w:lang w:val="en-GB"/>
        </w:rPr>
        <w:t xml:space="preserve">merely </w:t>
      </w:r>
      <w:r w:rsidRPr="002E4BFA">
        <w:rPr>
          <w:rFonts w:ascii="Arial" w:hAnsi="Arial" w:cs="Arial"/>
          <w:lang w:val="en-GB"/>
        </w:rPr>
        <w:t xml:space="preserve">treating the symptoms. This goes hand in hand with </w:t>
      </w:r>
      <w:r w:rsidR="00BB3C40" w:rsidRPr="002E4BFA">
        <w:rPr>
          <w:rFonts w:ascii="Arial" w:hAnsi="Arial" w:cs="Arial"/>
          <w:lang w:val="en-GB"/>
        </w:rPr>
        <w:t xml:space="preserve">consistently </w:t>
      </w:r>
      <w:r w:rsidRPr="002E4BFA">
        <w:rPr>
          <w:rFonts w:ascii="Arial" w:hAnsi="Arial" w:cs="Arial"/>
          <w:lang w:val="en-GB"/>
        </w:rPr>
        <w:t xml:space="preserve">enforcing the </w:t>
      </w:r>
      <w:r w:rsidR="00BA00BB" w:rsidRPr="002E4BFA">
        <w:rPr>
          <w:rFonts w:ascii="Arial" w:hAnsi="Arial" w:cs="Arial"/>
          <w:lang w:val="en-GB"/>
        </w:rPr>
        <w:t>‘</w:t>
      </w:r>
      <w:r w:rsidRPr="002E4BFA">
        <w:rPr>
          <w:rFonts w:ascii="Arial" w:hAnsi="Arial" w:cs="Arial"/>
          <w:lang w:val="en-GB"/>
        </w:rPr>
        <w:t>polluter</w:t>
      </w:r>
      <w:r w:rsidR="00BB3C40" w:rsidRPr="002E4BFA">
        <w:rPr>
          <w:rFonts w:ascii="Arial" w:hAnsi="Arial" w:cs="Arial"/>
          <w:lang w:val="en-GB"/>
        </w:rPr>
        <w:t xml:space="preserve"> </w:t>
      </w:r>
      <w:r w:rsidRPr="002E4BFA">
        <w:rPr>
          <w:rFonts w:ascii="Arial" w:hAnsi="Arial" w:cs="Arial"/>
          <w:lang w:val="en-GB"/>
        </w:rPr>
        <w:t>pay</w:t>
      </w:r>
      <w:r w:rsidR="00BB3C40" w:rsidRPr="002E4BFA">
        <w:rPr>
          <w:rFonts w:ascii="Arial" w:hAnsi="Arial" w:cs="Arial"/>
          <w:lang w:val="en-GB"/>
        </w:rPr>
        <w:t>s</w:t>
      </w:r>
      <w:r w:rsidR="00BA00BB" w:rsidRPr="002E4BFA">
        <w:rPr>
          <w:rFonts w:ascii="Arial" w:hAnsi="Arial" w:cs="Arial"/>
          <w:lang w:val="en-GB"/>
        </w:rPr>
        <w:t>’</w:t>
      </w:r>
      <w:r w:rsidRPr="002E4BFA">
        <w:rPr>
          <w:rFonts w:ascii="Arial" w:hAnsi="Arial" w:cs="Arial"/>
          <w:lang w:val="en-GB"/>
        </w:rPr>
        <w:t xml:space="preserve"> principle. Taking negative externalities seriously means that those who produce </w:t>
      </w:r>
      <w:r w:rsidR="00BB3C40" w:rsidRPr="002E4BFA">
        <w:rPr>
          <w:rFonts w:ascii="Arial" w:hAnsi="Arial" w:cs="Arial"/>
          <w:lang w:val="en-GB"/>
        </w:rPr>
        <w:t xml:space="preserve">the </w:t>
      </w:r>
      <w:r w:rsidRPr="002E4BFA">
        <w:rPr>
          <w:rFonts w:ascii="Arial" w:hAnsi="Arial" w:cs="Arial"/>
          <w:lang w:val="en-GB"/>
        </w:rPr>
        <w:t>most CO</w:t>
      </w:r>
      <w:r w:rsidRPr="002E4BFA">
        <w:rPr>
          <w:rFonts w:ascii="Arial" w:hAnsi="Arial" w:cs="Arial"/>
          <w:vertAlign w:val="subscript"/>
          <w:lang w:val="en-GB"/>
        </w:rPr>
        <w:t>2</w:t>
      </w:r>
      <w:r w:rsidRPr="002E4BFA">
        <w:rPr>
          <w:rFonts w:ascii="Arial" w:hAnsi="Arial" w:cs="Arial"/>
          <w:lang w:val="en-GB"/>
        </w:rPr>
        <w:t xml:space="preserve"> emissions need to contribute more to </w:t>
      </w:r>
      <w:r w:rsidR="00BB3C40" w:rsidRPr="002E4BFA">
        <w:rPr>
          <w:rFonts w:ascii="Arial" w:hAnsi="Arial" w:cs="Arial"/>
          <w:lang w:val="en-GB"/>
        </w:rPr>
        <w:t xml:space="preserve">financially </w:t>
      </w:r>
      <w:r w:rsidRPr="002E4BFA">
        <w:rPr>
          <w:rFonts w:ascii="Arial" w:hAnsi="Arial" w:cs="Arial"/>
          <w:lang w:val="en-GB"/>
        </w:rPr>
        <w:t xml:space="preserve">supporting the transition. This concerns both economic </w:t>
      </w:r>
      <w:r w:rsidR="00BB3C40" w:rsidRPr="002E4BFA">
        <w:rPr>
          <w:rFonts w:ascii="Arial" w:hAnsi="Arial" w:cs="Arial"/>
          <w:lang w:val="en-GB"/>
        </w:rPr>
        <w:t xml:space="preserve">operators </w:t>
      </w:r>
      <w:r w:rsidRPr="002E4BFA">
        <w:rPr>
          <w:rFonts w:ascii="Arial" w:hAnsi="Arial" w:cs="Arial"/>
          <w:lang w:val="en-GB"/>
        </w:rPr>
        <w:t xml:space="preserve">and individual households. </w:t>
      </w:r>
      <w:r w:rsidR="00BB3C40" w:rsidRPr="002E4BFA">
        <w:rPr>
          <w:rFonts w:ascii="Arial" w:hAnsi="Arial" w:cs="Arial"/>
          <w:lang w:val="en-GB"/>
        </w:rPr>
        <w:t xml:space="preserve"> </w:t>
      </w:r>
    </w:p>
    <w:p w14:paraId="3F381DE1" w14:textId="5F43A8D5" w:rsidR="00EC3FA7" w:rsidRPr="002E4BFA" w:rsidRDefault="00EC3FA7" w:rsidP="00C6263F">
      <w:pPr>
        <w:spacing w:line="360" w:lineRule="auto"/>
        <w:ind w:firstLine="360"/>
        <w:jc w:val="left"/>
        <w:rPr>
          <w:rFonts w:ascii="Arial" w:hAnsi="Arial" w:cs="Arial"/>
          <w:lang w:val="en-GB"/>
        </w:rPr>
      </w:pPr>
      <w:r w:rsidRPr="002E4BFA">
        <w:rPr>
          <w:rFonts w:ascii="Arial" w:hAnsi="Arial" w:cs="Arial"/>
          <w:lang w:val="en-GB"/>
        </w:rPr>
        <w:t>A second direction relates to governance. While the EGD can be regarded as a first breakthrough, a more mature European strategy for a just transition needs to reorgani</w:t>
      </w:r>
      <w:r w:rsidR="00BB3C40" w:rsidRPr="002E4BFA">
        <w:rPr>
          <w:rFonts w:ascii="Arial" w:hAnsi="Arial" w:cs="Arial"/>
          <w:lang w:val="en-GB"/>
        </w:rPr>
        <w:t>s</w:t>
      </w:r>
      <w:r w:rsidRPr="002E4BFA">
        <w:rPr>
          <w:rFonts w:ascii="Arial" w:hAnsi="Arial" w:cs="Arial"/>
          <w:lang w:val="en-GB"/>
        </w:rPr>
        <w:t xml:space="preserve">e and </w:t>
      </w:r>
      <w:r w:rsidR="00BB3C40" w:rsidRPr="002E4BFA">
        <w:rPr>
          <w:rFonts w:ascii="Arial" w:hAnsi="Arial" w:cs="Arial"/>
          <w:lang w:val="en-GB"/>
        </w:rPr>
        <w:t>consolidate</w:t>
      </w:r>
      <w:r w:rsidRPr="002E4BFA">
        <w:rPr>
          <w:rFonts w:ascii="Arial" w:hAnsi="Arial" w:cs="Arial"/>
          <w:lang w:val="en-GB"/>
        </w:rPr>
        <w:t xml:space="preserve"> </w:t>
      </w:r>
      <w:r w:rsidR="00BB3C40" w:rsidRPr="002E4BFA">
        <w:rPr>
          <w:rFonts w:ascii="Arial" w:hAnsi="Arial" w:cs="Arial"/>
          <w:lang w:val="en-GB"/>
        </w:rPr>
        <w:t xml:space="preserve">EU </w:t>
      </w:r>
      <w:r w:rsidRPr="002E4BFA">
        <w:rPr>
          <w:rFonts w:ascii="Arial" w:hAnsi="Arial" w:cs="Arial"/>
          <w:lang w:val="en-GB"/>
        </w:rPr>
        <w:t xml:space="preserve">policies and instruments in a broader, more consistent fashion. As far as social policy is concerned, this means for instance revising the EPSR to include environmental justice and </w:t>
      </w:r>
      <w:r w:rsidR="00BB3C40" w:rsidRPr="002E4BFA">
        <w:rPr>
          <w:rFonts w:ascii="Arial" w:hAnsi="Arial" w:cs="Arial"/>
          <w:lang w:val="en-GB"/>
        </w:rPr>
        <w:t xml:space="preserve">the </w:t>
      </w:r>
      <w:r w:rsidRPr="002E4BFA">
        <w:rPr>
          <w:rFonts w:ascii="Arial" w:hAnsi="Arial" w:cs="Arial"/>
          <w:lang w:val="en-GB"/>
        </w:rPr>
        <w:t xml:space="preserve">right to a healthy life and a preserved environment in general </w:t>
      </w:r>
      <w:r w:rsidRPr="002E4BFA">
        <w:rPr>
          <w:rFonts w:ascii="Arial" w:hAnsi="Arial" w:cs="Arial"/>
          <w:i/>
          <w:lang w:val="en-GB"/>
        </w:rPr>
        <w:t xml:space="preserve">and </w:t>
      </w:r>
      <w:r w:rsidRPr="002E4BFA">
        <w:rPr>
          <w:rFonts w:ascii="Arial" w:hAnsi="Arial" w:cs="Arial"/>
          <w:lang w:val="en-GB"/>
        </w:rPr>
        <w:t xml:space="preserve">specific terms. This </w:t>
      </w:r>
      <w:r w:rsidR="00BB3C40" w:rsidRPr="002E4BFA">
        <w:rPr>
          <w:rFonts w:ascii="Arial" w:hAnsi="Arial" w:cs="Arial"/>
          <w:lang w:val="en-GB"/>
        </w:rPr>
        <w:t xml:space="preserve">will involve </w:t>
      </w:r>
      <w:r w:rsidRPr="002E4BFA">
        <w:rPr>
          <w:rFonts w:ascii="Arial" w:hAnsi="Arial" w:cs="Arial"/>
          <w:lang w:val="en-GB"/>
        </w:rPr>
        <w:t xml:space="preserve">better </w:t>
      </w:r>
      <w:r w:rsidR="00BB3C40" w:rsidRPr="002E4BFA">
        <w:rPr>
          <w:rFonts w:ascii="Arial" w:hAnsi="Arial" w:cs="Arial"/>
          <w:lang w:val="en-GB"/>
        </w:rPr>
        <w:t xml:space="preserve">linking </w:t>
      </w:r>
      <w:r w:rsidRPr="002E4BFA">
        <w:rPr>
          <w:rFonts w:ascii="Arial" w:hAnsi="Arial" w:cs="Arial"/>
          <w:lang w:val="en-GB"/>
        </w:rPr>
        <w:t xml:space="preserve">the ESF </w:t>
      </w:r>
      <w:r w:rsidR="00BB3C40" w:rsidRPr="002E4BFA">
        <w:rPr>
          <w:rFonts w:ascii="Arial" w:hAnsi="Arial" w:cs="Arial"/>
          <w:lang w:val="en-GB"/>
        </w:rPr>
        <w:t xml:space="preserve">to </w:t>
      </w:r>
      <w:r w:rsidRPr="002E4BFA">
        <w:rPr>
          <w:rFonts w:ascii="Arial" w:hAnsi="Arial" w:cs="Arial"/>
          <w:lang w:val="en-GB"/>
        </w:rPr>
        <w:t xml:space="preserve">the JTF and the SCF. Furthermore, policies </w:t>
      </w:r>
      <w:r w:rsidR="00BB3C40" w:rsidRPr="002E4BFA">
        <w:rPr>
          <w:rFonts w:ascii="Arial" w:hAnsi="Arial" w:cs="Arial"/>
          <w:lang w:val="en-GB"/>
        </w:rPr>
        <w:t>currently out of focus</w:t>
      </w:r>
      <w:r w:rsidRPr="002E4BFA">
        <w:rPr>
          <w:rFonts w:ascii="Arial" w:hAnsi="Arial" w:cs="Arial"/>
          <w:lang w:val="en-GB"/>
        </w:rPr>
        <w:t xml:space="preserve"> need to </w:t>
      </w:r>
      <w:r w:rsidR="00BB3C40" w:rsidRPr="002E4BFA">
        <w:rPr>
          <w:rFonts w:ascii="Arial" w:hAnsi="Arial" w:cs="Arial"/>
          <w:lang w:val="en-GB"/>
        </w:rPr>
        <w:t xml:space="preserve">be considered, </w:t>
      </w:r>
      <w:proofErr w:type="gramStart"/>
      <w:r w:rsidR="00BB3C40" w:rsidRPr="002E4BFA">
        <w:rPr>
          <w:rFonts w:ascii="Arial" w:hAnsi="Arial" w:cs="Arial"/>
          <w:lang w:val="en-GB"/>
        </w:rPr>
        <w:t xml:space="preserve">in particular </w:t>
      </w:r>
      <w:r w:rsidRPr="002E4BFA">
        <w:rPr>
          <w:rFonts w:ascii="Arial" w:hAnsi="Arial" w:cs="Arial"/>
          <w:lang w:val="en-GB"/>
        </w:rPr>
        <w:t>the</w:t>
      </w:r>
      <w:proofErr w:type="gramEnd"/>
      <w:r w:rsidRPr="002E4BFA">
        <w:rPr>
          <w:rFonts w:ascii="Arial" w:hAnsi="Arial" w:cs="Arial"/>
          <w:lang w:val="en-GB"/>
        </w:rPr>
        <w:t xml:space="preserve"> Common Agricultural Policy, </w:t>
      </w:r>
      <w:r w:rsidR="00BB3C40" w:rsidRPr="002E4BFA">
        <w:rPr>
          <w:rFonts w:ascii="Arial" w:hAnsi="Arial" w:cs="Arial"/>
          <w:lang w:val="en-GB"/>
        </w:rPr>
        <w:t xml:space="preserve">a policy which </w:t>
      </w:r>
      <w:r w:rsidRPr="002E4BFA">
        <w:rPr>
          <w:rFonts w:ascii="Arial" w:hAnsi="Arial" w:cs="Arial"/>
          <w:lang w:val="en-GB"/>
        </w:rPr>
        <w:t xml:space="preserve">remains to a large extent anchored in the old </w:t>
      </w:r>
      <w:proofErr w:type="spellStart"/>
      <w:r w:rsidRPr="002E4BFA">
        <w:rPr>
          <w:rFonts w:ascii="Arial" w:hAnsi="Arial" w:cs="Arial"/>
          <w:lang w:val="en-GB"/>
        </w:rPr>
        <w:t>productivist</w:t>
      </w:r>
      <w:proofErr w:type="spellEnd"/>
      <w:r w:rsidRPr="002E4BFA">
        <w:rPr>
          <w:rFonts w:ascii="Arial" w:hAnsi="Arial" w:cs="Arial"/>
          <w:lang w:val="en-GB"/>
        </w:rPr>
        <w:t xml:space="preserve"> model. </w:t>
      </w:r>
      <w:r w:rsidR="00BB3C40" w:rsidRPr="002E4BFA">
        <w:rPr>
          <w:rFonts w:ascii="Arial" w:hAnsi="Arial" w:cs="Arial"/>
          <w:lang w:val="en-GB"/>
        </w:rPr>
        <w:t>But a</w:t>
      </w:r>
      <w:r w:rsidRPr="002E4BFA">
        <w:rPr>
          <w:rFonts w:ascii="Arial" w:hAnsi="Arial" w:cs="Arial"/>
          <w:lang w:val="en-GB"/>
        </w:rPr>
        <w:t xml:space="preserve">bove all, this concerns fiscal policy, where the EU </w:t>
      </w:r>
      <w:r w:rsidR="00BB3C40" w:rsidRPr="002E4BFA">
        <w:rPr>
          <w:rFonts w:ascii="Arial" w:hAnsi="Arial" w:cs="Arial"/>
          <w:lang w:val="en-GB"/>
        </w:rPr>
        <w:t xml:space="preserve">needs to draw up </w:t>
      </w:r>
      <w:r w:rsidRPr="002E4BFA">
        <w:rPr>
          <w:rFonts w:ascii="Arial" w:hAnsi="Arial" w:cs="Arial"/>
          <w:lang w:val="en-GB"/>
        </w:rPr>
        <w:t xml:space="preserve">an assertive strategy for green taxation systems, both at EU and national level. This </w:t>
      </w:r>
      <w:r w:rsidR="00BB3C40" w:rsidRPr="002E4BFA">
        <w:rPr>
          <w:rFonts w:ascii="Arial" w:hAnsi="Arial" w:cs="Arial"/>
          <w:lang w:val="en-GB"/>
        </w:rPr>
        <w:t xml:space="preserve">aspect is linked </w:t>
      </w:r>
      <w:r w:rsidRPr="002E4BFA">
        <w:rPr>
          <w:rFonts w:ascii="Arial" w:hAnsi="Arial" w:cs="Arial"/>
          <w:lang w:val="en-GB"/>
        </w:rPr>
        <w:t xml:space="preserve">to the debates on EU </w:t>
      </w:r>
      <w:r w:rsidRPr="002E4BFA">
        <w:rPr>
          <w:rFonts w:ascii="Arial" w:hAnsi="Arial" w:cs="Arial"/>
          <w:lang w:val="en-GB"/>
        </w:rPr>
        <w:lastRenderedPageBreak/>
        <w:t xml:space="preserve">own resources on </w:t>
      </w:r>
      <w:r w:rsidR="00BB3C40" w:rsidRPr="002E4BFA">
        <w:rPr>
          <w:rFonts w:ascii="Arial" w:hAnsi="Arial" w:cs="Arial"/>
          <w:lang w:val="en-GB"/>
        </w:rPr>
        <w:t xml:space="preserve">the </w:t>
      </w:r>
      <w:r w:rsidRPr="002E4BFA">
        <w:rPr>
          <w:rFonts w:ascii="Arial" w:hAnsi="Arial" w:cs="Arial"/>
          <w:lang w:val="en-GB"/>
        </w:rPr>
        <w:t>one hand, and to the above</w:t>
      </w:r>
      <w:r w:rsidR="00BB3C40" w:rsidRPr="002E4BFA">
        <w:rPr>
          <w:rFonts w:ascii="Arial" w:hAnsi="Arial" w:cs="Arial"/>
          <w:lang w:val="en-GB"/>
        </w:rPr>
        <w:t>-</w:t>
      </w:r>
      <w:r w:rsidRPr="002E4BFA">
        <w:rPr>
          <w:rFonts w:ascii="Arial" w:hAnsi="Arial" w:cs="Arial"/>
          <w:lang w:val="en-GB"/>
        </w:rPr>
        <w:t xml:space="preserve">mentioned </w:t>
      </w:r>
      <w:r w:rsidR="00BA00BB" w:rsidRPr="002E4BFA">
        <w:rPr>
          <w:rFonts w:ascii="Arial" w:hAnsi="Arial" w:cs="Arial"/>
          <w:lang w:val="en-GB"/>
        </w:rPr>
        <w:t>‘</w:t>
      </w:r>
      <w:r w:rsidRPr="002E4BFA">
        <w:rPr>
          <w:rFonts w:ascii="Arial" w:hAnsi="Arial" w:cs="Arial"/>
          <w:lang w:val="en-GB"/>
        </w:rPr>
        <w:t>polluter</w:t>
      </w:r>
      <w:r w:rsidR="00BB3C40" w:rsidRPr="002E4BFA">
        <w:rPr>
          <w:rFonts w:ascii="Arial" w:hAnsi="Arial" w:cs="Arial"/>
          <w:lang w:val="en-GB"/>
        </w:rPr>
        <w:t xml:space="preserve"> </w:t>
      </w:r>
      <w:r w:rsidRPr="002E4BFA">
        <w:rPr>
          <w:rFonts w:ascii="Arial" w:hAnsi="Arial" w:cs="Arial"/>
          <w:lang w:val="en-GB"/>
        </w:rPr>
        <w:t>pay</w:t>
      </w:r>
      <w:r w:rsidR="00BB3C40" w:rsidRPr="002E4BFA">
        <w:rPr>
          <w:rFonts w:ascii="Arial" w:hAnsi="Arial" w:cs="Arial"/>
          <w:lang w:val="en-GB"/>
        </w:rPr>
        <w:t>s</w:t>
      </w:r>
      <w:r w:rsidR="00BA00BB" w:rsidRPr="002E4BFA">
        <w:rPr>
          <w:rFonts w:ascii="Arial" w:hAnsi="Arial" w:cs="Arial"/>
          <w:lang w:val="en-GB"/>
        </w:rPr>
        <w:t>’</w:t>
      </w:r>
      <w:r w:rsidRPr="002E4BFA">
        <w:rPr>
          <w:rFonts w:ascii="Arial" w:hAnsi="Arial" w:cs="Arial"/>
          <w:lang w:val="en-GB"/>
        </w:rPr>
        <w:t xml:space="preserve"> principle</w:t>
      </w:r>
      <w:r w:rsidR="00BB3C40" w:rsidRPr="002E4BFA">
        <w:rPr>
          <w:rFonts w:ascii="Arial" w:hAnsi="Arial" w:cs="Arial"/>
          <w:lang w:val="en-GB"/>
        </w:rPr>
        <w:t xml:space="preserve"> on the other</w:t>
      </w:r>
      <w:r w:rsidRPr="002E4BFA">
        <w:rPr>
          <w:rFonts w:ascii="Arial" w:hAnsi="Arial" w:cs="Arial"/>
          <w:lang w:val="en-GB"/>
        </w:rPr>
        <w:t>.</w:t>
      </w:r>
    </w:p>
    <w:p w14:paraId="66DF1C4C" w14:textId="483983C3" w:rsidR="00EC3FA7" w:rsidRPr="002E4BFA" w:rsidRDefault="00EC3FA7" w:rsidP="00C6263F">
      <w:pPr>
        <w:spacing w:line="360" w:lineRule="auto"/>
        <w:ind w:firstLine="360"/>
        <w:jc w:val="left"/>
        <w:rPr>
          <w:rFonts w:ascii="Arial" w:hAnsi="Arial" w:cs="Arial"/>
          <w:lang w:val="en-GB"/>
        </w:rPr>
      </w:pPr>
      <w:r w:rsidRPr="002E4BFA">
        <w:rPr>
          <w:rFonts w:ascii="Arial" w:hAnsi="Arial" w:cs="Arial"/>
          <w:lang w:val="en-GB"/>
        </w:rPr>
        <w:t xml:space="preserve">From a political point of view, it is striking that the fierce debates surrounding the JTF and SCF at EU level have hardly </w:t>
      </w:r>
      <w:r w:rsidR="00BB3C40" w:rsidRPr="002E4BFA">
        <w:rPr>
          <w:rFonts w:ascii="Arial" w:hAnsi="Arial" w:cs="Arial"/>
          <w:lang w:val="en-GB"/>
        </w:rPr>
        <w:t xml:space="preserve">filtered down </w:t>
      </w:r>
      <w:r w:rsidR="009D2E4D" w:rsidRPr="002E4BFA">
        <w:rPr>
          <w:rFonts w:ascii="Arial" w:hAnsi="Arial" w:cs="Arial"/>
          <w:lang w:val="en-GB"/>
        </w:rPr>
        <w:t xml:space="preserve">to the </w:t>
      </w:r>
      <w:r w:rsidRPr="002E4BFA">
        <w:rPr>
          <w:rFonts w:ascii="Arial" w:hAnsi="Arial" w:cs="Arial"/>
          <w:lang w:val="en-GB"/>
        </w:rPr>
        <w:t xml:space="preserve">national </w:t>
      </w:r>
      <w:r w:rsidR="009D2E4D" w:rsidRPr="002E4BFA">
        <w:rPr>
          <w:rFonts w:ascii="Arial" w:hAnsi="Arial" w:cs="Arial"/>
          <w:lang w:val="en-GB"/>
        </w:rPr>
        <w:t>level</w:t>
      </w:r>
      <w:r w:rsidRPr="002E4BFA">
        <w:rPr>
          <w:rFonts w:ascii="Arial" w:hAnsi="Arial" w:cs="Arial"/>
          <w:lang w:val="en-GB"/>
        </w:rPr>
        <w:t xml:space="preserve">. </w:t>
      </w:r>
      <w:r w:rsidR="009D2E4D" w:rsidRPr="002E4BFA">
        <w:rPr>
          <w:rFonts w:ascii="Arial" w:hAnsi="Arial" w:cs="Arial"/>
          <w:lang w:val="en-GB"/>
        </w:rPr>
        <w:t>The</w:t>
      </w:r>
      <w:r w:rsidRPr="002E4BFA">
        <w:rPr>
          <w:rFonts w:ascii="Arial" w:hAnsi="Arial" w:cs="Arial"/>
          <w:lang w:val="en-GB"/>
        </w:rPr>
        <w:t xml:space="preserve"> Russian invasion o</w:t>
      </w:r>
      <w:r w:rsidR="009D2E4D" w:rsidRPr="002E4BFA">
        <w:rPr>
          <w:rFonts w:ascii="Arial" w:hAnsi="Arial" w:cs="Arial"/>
          <w:lang w:val="en-GB"/>
        </w:rPr>
        <w:t>f</w:t>
      </w:r>
      <w:r w:rsidRPr="002E4BFA">
        <w:rPr>
          <w:rFonts w:ascii="Arial" w:hAnsi="Arial" w:cs="Arial"/>
          <w:lang w:val="en-GB"/>
        </w:rPr>
        <w:t xml:space="preserve"> Ukraine and the subsequent energy and cost</w:t>
      </w:r>
      <w:r w:rsidR="009D2E4D" w:rsidRPr="002E4BFA">
        <w:rPr>
          <w:rFonts w:ascii="Arial" w:hAnsi="Arial" w:cs="Arial"/>
          <w:lang w:val="en-GB"/>
        </w:rPr>
        <w:t>-</w:t>
      </w:r>
      <w:r w:rsidRPr="002E4BFA">
        <w:rPr>
          <w:rFonts w:ascii="Arial" w:hAnsi="Arial" w:cs="Arial"/>
          <w:lang w:val="en-GB"/>
        </w:rPr>
        <w:t>of</w:t>
      </w:r>
      <w:r w:rsidR="009D2E4D" w:rsidRPr="002E4BFA">
        <w:rPr>
          <w:rFonts w:ascii="Arial" w:hAnsi="Arial" w:cs="Arial"/>
          <w:lang w:val="en-GB"/>
        </w:rPr>
        <w:t>-</w:t>
      </w:r>
      <w:r w:rsidRPr="002E4BFA">
        <w:rPr>
          <w:rFonts w:ascii="Arial" w:hAnsi="Arial" w:cs="Arial"/>
          <w:lang w:val="en-GB"/>
        </w:rPr>
        <w:t xml:space="preserve">living crisis </w:t>
      </w:r>
      <w:r w:rsidR="009D2E4D" w:rsidRPr="002E4BFA">
        <w:rPr>
          <w:rFonts w:ascii="Arial" w:hAnsi="Arial" w:cs="Arial"/>
          <w:lang w:val="en-GB"/>
        </w:rPr>
        <w:t xml:space="preserve">were needed for </w:t>
      </w:r>
      <w:r w:rsidRPr="002E4BFA">
        <w:rPr>
          <w:rFonts w:ascii="Arial" w:hAnsi="Arial" w:cs="Arial"/>
          <w:lang w:val="en-GB"/>
        </w:rPr>
        <w:t xml:space="preserve">the social consequences of the energy transition </w:t>
      </w:r>
      <w:r w:rsidR="009D2E4D" w:rsidRPr="002E4BFA">
        <w:rPr>
          <w:rFonts w:ascii="Arial" w:hAnsi="Arial" w:cs="Arial"/>
          <w:lang w:val="en-GB"/>
        </w:rPr>
        <w:t xml:space="preserve">to start </w:t>
      </w:r>
      <w:r w:rsidRPr="002E4BFA">
        <w:rPr>
          <w:rFonts w:ascii="Arial" w:hAnsi="Arial" w:cs="Arial"/>
          <w:lang w:val="en-GB"/>
        </w:rPr>
        <w:t xml:space="preserve">making headlines </w:t>
      </w:r>
      <w:r w:rsidR="009D2E4D" w:rsidRPr="002E4BFA">
        <w:rPr>
          <w:rFonts w:ascii="Arial" w:hAnsi="Arial" w:cs="Arial"/>
          <w:lang w:val="en-GB"/>
        </w:rPr>
        <w:t xml:space="preserve">and for </w:t>
      </w:r>
      <w:r w:rsidRPr="002E4BFA">
        <w:rPr>
          <w:rFonts w:ascii="Arial" w:hAnsi="Arial" w:cs="Arial"/>
          <w:lang w:val="en-GB"/>
        </w:rPr>
        <w:t xml:space="preserve">the </w:t>
      </w:r>
      <w:r w:rsidR="009D2E4D" w:rsidRPr="002E4BFA">
        <w:rPr>
          <w:rFonts w:ascii="Arial" w:hAnsi="Arial" w:cs="Arial"/>
          <w:lang w:val="en-GB"/>
        </w:rPr>
        <w:t xml:space="preserve">EU’s </w:t>
      </w:r>
      <w:r w:rsidRPr="002E4BFA">
        <w:rPr>
          <w:rFonts w:ascii="Arial" w:hAnsi="Arial" w:cs="Arial"/>
          <w:lang w:val="en-GB"/>
        </w:rPr>
        <w:t xml:space="preserve">role in the just transition </w:t>
      </w:r>
      <w:r w:rsidR="009D2E4D" w:rsidRPr="002E4BFA">
        <w:rPr>
          <w:rFonts w:ascii="Arial" w:hAnsi="Arial" w:cs="Arial"/>
          <w:lang w:val="en-GB"/>
        </w:rPr>
        <w:t xml:space="preserve">to become </w:t>
      </w:r>
      <w:r w:rsidRPr="002E4BFA">
        <w:rPr>
          <w:rFonts w:ascii="Arial" w:hAnsi="Arial" w:cs="Arial"/>
          <w:lang w:val="en-GB"/>
        </w:rPr>
        <w:t xml:space="preserve">more pronounced. At times where security threats and inflation are feeding collective anxieties, constraints imposed by the EU on national societies can </w:t>
      </w:r>
      <w:r w:rsidR="009D2E4D" w:rsidRPr="002E4BFA">
        <w:rPr>
          <w:rFonts w:ascii="Arial" w:hAnsi="Arial" w:cs="Arial"/>
          <w:lang w:val="en-GB"/>
        </w:rPr>
        <w:t xml:space="preserve">result in a dangerous </w:t>
      </w:r>
      <w:r w:rsidRPr="002E4BFA">
        <w:rPr>
          <w:rFonts w:ascii="Arial" w:hAnsi="Arial" w:cs="Arial"/>
          <w:lang w:val="en-GB"/>
        </w:rPr>
        <w:t xml:space="preserve">backlash if the accompanying financial support is ineffective. </w:t>
      </w:r>
      <w:r w:rsidR="009D2E4D" w:rsidRPr="002E4BFA">
        <w:rPr>
          <w:rFonts w:ascii="Arial" w:hAnsi="Arial" w:cs="Arial"/>
          <w:lang w:val="en-GB"/>
        </w:rPr>
        <w:t>A</w:t>
      </w:r>
      <w:r w:rsidRPr="002E4BFA">
        <w:rPr>
          <w:rFonts w:ascii="Arial" w:hAnsi="Arial" w:cs="Arial"/>
          <w:lang w:val="en-GB"/>
        </w:rPr>
        <w:t xml:space="preserve">d hoc citizen consultations with no effect on decisions are </w:t>
      </w:r>
      <w:r w:rsidR="009D2E4D" w:rsidRPr="002E4BFA">
        <w:rPr>
          <w:rFonts w:ascii="Arial" w:hAnsi="Arial" w:cs="Arial"/>
          <w:lang w:val="en-GB"/>
        </w:rPr>
        <w:t xml:space="preserve">all </w:t>
      </w:r>
      <w:r w:rsidRPr="002E4BFA">
        <w:rPr>
          <w:rFonts w:ascii="Arial" w:hAnsi="Arial" w:cs="Arial"/>
          <w:lang w:val="en-GB"/>
        </w:rPr>
        <w:t xml:space="preserve">too often a fig leaf </w:t>
      </w:r>
      <w:r w:rsidR="009D2E4D" w:rsidRPr="002E4BFA">
        <w:rPr>
          <w:rFonts w:ascii="Arial" w:hAnsi="Arial" w:cs="Arial"/>
          <w:lang w:val="en-GB"/>
        </w:rPr>
        <w:t xml:space="preserve">concealing </w:t>
      </w:r>
      <w:proofErr w:type="gramStart"/>
      <w:r w:rsidRPr="002E4BFA">
        <w:rPr>
          <w:rFonts w:ascii="Arial" w:hAnsi="Arial" w:cs="Arial"/>
          <w:lang w:val="en-GB"/>
        </w:rPr>
        <w:t>top-down processes</w:t>
      </w:r>
      <w:proofErr w:type="gramEnd"/>
      <w:r w:rsidRPr="002E4BFA">
        <w:rPr>
          <w:rFonts w:ascii="Arial" w:hAnsi="Arial" w:cs="Arial"/>
          <w:lang w:val="en-GB"/>
        </w:rPr>
        <w:t xml:space="preserve">. </w:t>
      </w:r>
      <w:r w:rsidR="009D2E4D" w:rsidRPr="002E4BFA">
        <w:rPr>
          <w:rFonts w:ascii="Arial" w:hAnsi="Arial" w:cs="Arial"/>
          <w:lang w:val="en-GB"/>
        </w:rPr>
        <w:t xml:space="preserve">It would be much better to </w:t>
      </w:r>
      <w:r w:rsidRPr="002E4BFA">
        <w:rPr>
          <w:rFonts w:ascii="Arial" w:hAnsi="Arial" w:cs="Arial"/>
          <w:lang w:val="en-GB"/>
        </w:rPr>
        <w:t xml:space="preserve">find </w:t>
      </w:r>
      <w:r w:rsidR="009D2E4D" w:rsidRPr="002E4BFA">
        <w:rPr>
          <w:rFonts w:ascii="Arial" w:hAnsi="Arial" w:cs="Arial"/>
          <w:lang w:val="en-GB"/>
        </w:rPr>
        <w:t>a</w:t>
      </w:r>
      <w:r w:rsidRPr="002E4BFA">
        <w:rPr>
          <w:rFonts w:ascii="Arial" w:hAnsi="Arial" w:cs="Arial"/>
          <w:lang w:val="en-GB"/>
        </w:rPr>
        <w:t xml:space="preserve"> way to involve national parliaments in </w:t>
      </w:r>
      <w:r w:rsidR="009D2E4D" w:rsidRPr="002E4BFA">
        <w:rPr>
          <w:rFonts w:ascii="Arial" w:hAnsi="Arial" w:cs="Arial"/>
          <w:lang w:val="en-GB"/>
        </w:rPr>
        <w:t xml:space="preserve">drawing up </w:t>
      </w:r>
      <w:r w:rsidRPr="002E4BFA">
        <w:rPr>
          <w:rFonts w:ascii="Arial" w:hAnsi="Arial" w:cs="Arial"/>
          <w:lang w:val="en-GB"/>
        </w:rPr>
        <w:t xml:space="preserve">a comprehensive, multi-level just transition strategy </w:t>
      </w:r>
      <w:r w:rsidR="009D2E4D" w:rsidRPr="002E4BFA">
        <w:rPr>
          <w:rFonts w:ascii="Arial" w:hAnsi="Arial" w:cs="Arial"/>
          <w:lang w:val="en-GB"/>
        </w:rPr>
        <w:t>taking account of</w:t>
      </w:r>
      <w:r w:rsidRPr="002E4BFA">
        <w:rPr>
          <w:rFonts w:ascii="Arial" w:hAnsi="Arial" w:cs="Arial"/>
          <w:lang w:val="en-GB"/>
        </w:rPr>
        <w:t xml:space="preserve"> key national competences</w:t>
      </w:r>
      <w:r w:rsidR="009D2E4D" w:rsidRPr="002E4BFA">
        <w:rPr>
          <w:rFonts w:ascii="Arial" w:hAnsi="Arial" w:cs="Arial"/>
          <w:lang w:val="en-GB"/>
        </w:rPr>
        <w:t>,</w:t>
      </w:r>
      <w:r w:rsidRPr="002E4BFA">
        <w:rPr>
          <w:rFonts w:ascii="Arial" w:hAnsi="Arial" w:cs="Arial"/>
          <w:lang w:val="en-GB"/>
        </w:rPr>
        <w:t xml:space="preserve"> </w:t>
      </w:r>
      <w:proofErr w:type="gramStart"/>
      <w:r w:rsidR="00C80A3D" w:rsidRPr="002E4BFA">
        <w:rPr>
          <w:rFonts w:ascii="Arial" w:hAnsi="Arial" w:cs="Arial"/>
          <w:lang w:val="en-GB"/>
        </w:rPr>
        <w:t>e.g.</w:t>
      </w:r>
      <w:proofErr w:type="gramEnd"/>
      <w:r w:rsidRPr="002E4BFA">
        <w:rPr>
          <w:rFonts w:ascii="Arial" w:hAnsi="Arial" w:cs="Arial"/>
          <w:lang w:val="en-GB"/>
        </w:rPr>
        <w:t xml:space="preserve"> fiscal policy</w:t>
      </w:r>
      <w:r w:rsidR="009D2E4D" w:rsidRPr="002E4BFA">
        <w:rPr>
          <w:rFonts w:ascii="Arial" w:hAnsi="Arial" w:cs="Arial"/>
          <w:lang w:val="en-GB"/>
        </w:rPr>
        <w:t>.</w:t>
      </w:r>
      <w:r w:rsidRPr="002E4BFA">
        <w:rPr>
          <w:rFonts w:ascii="Arial" w:hAnsi="Arial" w:cs="Arial"/>
          <w:lang w:val="en-GB"/>
        </w:rPr>
        <w:t xml:space="preserve"> The importance of comprehensive policy packages becomes evident with the growing recognition that the degree of public support for eco-social policies </w:t>
      </w:r>
      <w:r w:rsidR="009D2E4D" w:rsidRPr="002E4BFA">
        <w:rPr>
          <w:rFonts w:ascii="Arial" w:hAnsi="Arial" w:cs="Arial"/>
          <w:lang w:val="en-GB"/>
        </w:rPr>
        <w:t xml:space="preserve">is highly </w:t>
      </w:r>
      <w:r w:rsidRPr="002E4BFA">
        <w:rPr>
          <w:rFonts w:ascii="Arial" w:hAnsi="Arial" w:cs="Arial"/>
          <w:lang w:val="en-GB"/>
        </w:rPr>
        <w:t>depend</w:t>
      </w:r>
      <w:r w:rsidR="009D2E4D" w:rsidRPr="002E4BFA">
        <w:rPr>
          <w:rFonts w:ascii="Arial" w:hAnsi="Arial" w:cs="Arial"/>
          <w:lang w:val="en-GB"/>
        </w:rPr>
        <w:t xml:space="preserve">ent </w:t>
      </w:r>
      <w:r w:rsidRPr="002E4BFA">
        <w:rPr>
          <w:rFonts w:ascii="Arial" w:hAnsi="Arial" w:cs="Arial"/>
          <w:lang w:val="en-GB"/>
        </w:rPr>
        <w:t>on how well states address the complexities of different social concerns emanating from the green transition (Boasson and Tatham, 2022).</w:t>
      </w:r>
    </w:p>
    <w:p w14:paraId="6C0755AC" w14:textId="7FC8F6ED" w:rsidR="000A49CA" w:rsidRPr="002E4BFA" w:rsidRDefault="00EC3FA7" w:rsidP="002E4BFA">
      <w:pPr>
        <w:spacing w:line="360" w:lineRule="auto"/>
        <w:ind w:firstLine="360"/>
        <w:jc w:val="left"/>
        <w:rPr>
          <w:rFonts w:ascii="Arial" w:hAnsi="Arial" w:cs="Arial"/>
          <w:lang w:val="en-GB"/>
        </w:rPr>
      </w:pPr>
      <w:r w:rsidRPr="002E4BFA">
        <w:rPr>
          <w:rFonts w:ascii="Arial" w:hAnsi="Arial" w:cs="Arial"/>
          <w:lang w:val="en-GB"/>
        </w:rPr>
        <w:t xml:space="preserve">The question remains as to whether the EU can effectively achieve a socially just transition and embody a new kind of multi-level socio-ecological state. As EU action is undermined by </w:t>
      </w:r>
      <w:r w:rsidR="009D2E4D" w:rsidRPr="002E4BFA">
        <w:rPr>
          <w:rFonts w:ascii="Arial" w:hAnsi="Arial" w:cs="Arial"/>
          <w:lang w:val="en-GB"/>
        </w:rPr>
        <w:t xml:space="preserve">a </w:t>
      </w:r>
      <w:r w:rsidRPr="002E4BFA">
        <w:rPr>
          <w:rFonts w:ascii="Arial" w:hAnsi="Arial" w:cs="Arial"/>
          <w:lang w:val="en-GB"/>
        </w:rPr>
        <w:t>lack of redistributive power and entangled in political compromises which often seem to give in to political inertia, societal conservativism and predatory markets, the risk is high that the EU apparatus will end</w:t>
      </w:r>
      <w:r w:rsidR="009D2E4D" w:rsidRPr="002E4BFA">
        <w:rPr>
          <w:rFonts w:ascii="Arial" w:hAnsi="Arial" w:cs="Arial"/>
          <w:lang w:val="en-GB"/>
        </w:rPr>
        <w:t xml:space="preserve"> </w:t>
      </w:r>
      <w:r w:rsidRPr="002E4BFA">
        <w:rPr>
          <w:rFonts w:ascii="Arial" w:hAnsi="Arial" w:cs="Arial"/>
          <w:lang w:val="en-GB"/>
        </w:rPr>
        <w:t xml:space="preserve">up </w:t>
      </w:r>
      <w:r w:rsidR="009D2E4D" w:rsidRPr="002E4BFA">
        <w:rPr>
          <w:rFonts w:ascii="Arial" w:hAnsi="Arial" w:cs="Arial"/>
          <w:lang w:val="en-GB"/>
        </w:rPr>
        <w:t xml:space="preserve">doing little more than </w:t>
      </w:r>
      <w:r w:rsidRPr="002E4BFA">
        <w:rPr>
          <w:rFonts w:ascii="Arial" w:hAnsi="Arial" w:cs="Arial"/>
          <w:lang w:val="en-GB"/>
        </w:rPr>
        <w:t>greenwashing. This would give credence to the most radical critics arguing that the EU’s transition agenda is the new name for a hegemonic project allowing the redeployment of capital through a new (green) growth model.</w:t>
      </w:r>
      <w:r w:rsidR="000A49CA" w:rsidRPr="002E4BFA">
        <w:rPr>
          <w:rFonts w:ascii="Arial" w:hAnsi="Arial" w:cs="Arial"/>
          <w:b/>
          <w:bCs/>
          <w:lang w:val="en-GB"/>
        </w:rPr>
        <w:br w:type="page"/>
      </w:r>
    </w:p>
    <w:p w14:paraId="49239527" w14:textId="75ADDD41" w:rsidR="00EC3FA7" w:rsidRPr="002E4BFA" w:rsidRDefault="00EC3FA7" w:rsidP="00C6263F">
      <w:pPr>
        <w:spacing w:line="360" w:lineRule="auto"/>
        <w:jc w:val="left"/>
        <w:rPr>
          <w:rFonts w:ascii="Arial" w:hAnsi="Arial" w:cs="Arial"/>
          <w:b/>
          <w:bCs/>
          <w:lang w:val="en-GB"/>
        </w:rPr>
      </w:pPr>
      <w:r w:rsidRPr="002E4BFA">
        <w:rPr>
          <w:rFonts w:ascii="Arial" w:hAnsi="Arial" w:cs="Arial"/>
          <w:b/>
          <w:bCs/>
          <w:lang w:val="en-GB"/>
        </w:rPr>
        <w:lastRenderedPageBreak/>
        <w:t>References</w:t>
      </w:r>
    </w:p>
    <w:p w14:paraId="7FD2EE3F" w14:textId="0E82A71D" w:rsidR="00CF4858" w:rsidRPr="002E4BFA" w:rsidRDefault="00CF4858"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w:t>
      </w:r>
      <w:r w:rsidRPr="002E4BFA">
        <w:rPr>
          <w:rFonts w:ascii="Arial" w:hAnsi="Arial" w:cs="Arial"/>
          <w:lang w:val="en-GB"/>
        </w:rPr>
        <w:t>(2020a)</w:t>
      </w:r>
      <w:r w:rsidR="006E1AF2" w:rsidRPr="002E4BFA">
        <w:rPr>
          <w:rFonts w:ascii="Arial" w:hAnsi="Arial" w:cs="Arial"/>
          <w:lang w:val="en-GB"/>
        </w:rPr>
        <w:t xml:space="preserve"> </w:t>
      </w:r>
      <w:r w:rsidR="006E1AF2" w:rsidRPr="002E4BFA">
        <w:rPr>
          <w:rFonts w:ascii="Arial" w:hAnsi="Arial" w:cs="Arial"/>
        </w:rPr>
        <w:t xml:space="preserve">European Parliament rapporteur on Just Transition Fund is bitter </w:t>
      </w:r>
      <w:proofErr w:type="gramStart"/>
      <w:r w:rsidR="006E1AF2" w:rsidRPr="002E4BFA">
        <w:rPr>
          <w:rFonts w:ascii="Arial" w:hAnsi="Arial" w:cs="Arial"/>
        </w:rPr>
        <w:t>in light of</w:t>
      </w:r>
      <w:proofErr w:type="gramEnd"/>
      <w:r w:rsidR="006E1AF2" w:rsidRPr="002E4BFA">
        <w:rPr>
          <w:rFonts w:ascii="Arial" w:hAnsi="Arial" w:cs="Arial"/>
        </w:rPr>
        <w:t xml:space="preserve"> European Council outcome</w:t>
      </w:r>
      <w:r w:rsidRPr="002E4BFA">
        <w:rPr>
          <w:rFonts w:ascii="Arial" w:hAnsi="Arial" w:cs="Arial"/>
        </w:rPr>
        <w:t xml:space="preserve">. </w:t>
      </w:r>
      <w:r w:rsidRPr="002E4BFA">
        <w:rPr>
          <w:rFonts w:ascii="Arial" w:hAnsi="Arial" w:cs="Arial"/>
          <w:i/>
          <w:iCs/>
          <w:lang w:val="en-GB"/>
        </w:rPr>
        <w:t>Europe Daily Bulletin</w:t>
      </w:r>
      <w:r w:rsidRPr="002E4BFA">
        <w:rPr>
          <w:rFonts w:ascii="Arial" w:hAnsi="Arial" w:cs="Arial"/>
          <w:lang w:val="en-GB"/>
        </w:rPr>
        <w:t xml:space="preserve"> No. </w:t>
      </w:r>
      <w:r w:rsidRPr="002E4BFA">
        <w:rPr>
          <w:rFonts w:ascii="Arial" w:hAnsi="Arial" w:cs="Arial"/>
        </w:rPr>
        <w:t>12533</w:t>
      </w:r>
      <w:r w:rsidRPr="002E4BFA">
        <w:rPr>
          <w:rFonts w:ascii="Arial" w:hAnsi="Arial" w:cs="Arial"/>
          <w:lang w:val="en-GB"/>
        </w:rPr>
        <w:t xml:space="preserve">, </w:t>
      </w:r>
      <w:r w:rsidR="00C65BF4" w:rsidRPr="002E4BFA">
        <w:rPr>
          <w:rFonts w:ascii="Arial" w:hAnsi="Arial" w:cs="Arial"/>
        </w:rPr>
        <w:t xml:space="preserve">23 July </w:t>
      </w:r>
      <w:r w:rsidRPr="002E4BFA">
        <w:rPr>
          <w:rFonts w:ascii="Arial" w:hAnsi="Arial" w:cs="Arial"/>
        </w:rPr>
        <w:t>2020</w:t>
      </w:r>
      <w:r w:rsidRPr="002E4BFA">
        <w:rPr>
          <w:rFonts w:ascii="Arial" w:hAnsi="Arial" w:cs="Arial"/>
          <w:lang w:val="en-GB"/>
        </w:rPr>
        <w:t>.</w:t>
      </w:r>
      <w:r w:rsidR="002115D9" w:rsidRPr="002E4BFA">
        <w:rPr>
          <w:rFonts w:ascii="Arial" w:hAnsi="Arial" w:cs="Arial"/>
          <w:lang w:val="en-GB"/>
        </w:rPr>
        <w:t xml:space="preserve"> Available at</w:t>
      </w:r>
      <w:r w:rsidR="003765B6" w:rsidRPr="002E4BFA">
        <w:rPr>
          <w:rFonts w:ascii="Arial" w:hAnsi="Arial" w:cs="Arial"/>
          <w:lang w:val="en-GB"/>
        </w:rPr>
        <w:t>:</w:t>
      </w:r>
      <w:r w:rsidR="001123D3" w:rsidRPr="002E4BFA">
        <w:rPr>
          <w:rFonts w:ascii="Arial" w:hAnsi="Arial" w:cs="Arial"/>
          <w:lang w:val="en-GB"/>
        </w:rPr>
        <w:t xml:space="preserve"> https://agenceurope.eu/en/bulletin/article/12533/3</w:t>
      </w:r>
      <w:r w:rsidR="003765B6" w:rsidRPr="002E4BFA">
        <w:rPr>
          <w:rFonts w:ascii="Arial" w:hAnsi="Arial" w:cs="Arial"/>
          <w:lang w:val="en-GB"/>
        </w:rPr>
        <w:t xml:space="preserve"> (accessed 20 March 2023).</w:t>
      </w:r>
      <w:r w:rsidRPr="002E4BFA">
        <w:rPr>
          <w:rFonts w:ascii="Arial" w:hAnsi="Arial" w:cs="Arial"/>
          <w:lang w:val="en-GB"/>
        </w:rPr>
        <w:t xml:space="preserve"> </w:t>
      </w:r>
    </w:p>
    <w:p w14:paraId="259FA5DB" w14:textId="45F1EDF0" w:rsidR="00CF4858" w:rsidRPr="002E4BFA" w:rsidRDefault="00CF4858"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w:t>
      </w:r>
      <w:r w:rsidRPr="002E4BFA">
        <w:rPr>
          <w:rFonts w:ascii="Arial" w:hAnsi="Arial" w:cs="Arial"/>
          <w:lang w:val="en-GB"/>
        </w:rPr>
        <w:t xml:space="preserve">(2020b) </w:t>
      </w:r>
      <w:r w:rsidR="004003E3" w:rsidRPr="002E4BFA">
        <w:rPr>
          <w:rFonts w:ascii="Arial" w:hAnsi="Arial" w:cs="Arial"/>
          <w:lang w:val="en-GB"/>
        </w:rPr>
        <w:t xml:space="preserve">Just Transition Fund, co-legislators exclude gas investments and include a green reward mechanism. </w:t>
      </w:r>
      <w:r w:rsidRPr="002E4BFA">
        <w:rPr>
          <w:rFonts w:ascii="Arial" w:hAnsi="Arial" w:cs="Arial"/>
          <w:i/>
          <w:iCs/>
          <w:lang w:val="en-GB"/>
        </w:rPr>
        <w:t>Europe Daily Bulletin</w:t>
      </w:r>
      <w:r w:rsidRPr="002E4BFA">
        <w:rPr>
          <w:rFonts w:ascii="Arial" w:hAnsi="Arial" w:cs="Arial"/>
          <w:lang w:val="en-GB"/>
        </w:rPr>
        <w:t xml:space="preserve"> No</w:t>
      </w:r>
      <w:r w:rsidRPr="002E4BFA">
        <w:rPr>
          <w:rFonts w:ascii="Arial" w:hAnsi="Arial" w:cs="Arial"/>
        </w:rPr>
        <w:t xml:space="preserve">. 12620, </w:t>
      </w:r>
      <w:r w:rsidR="00C65BF4" w:rsidRPr="002E4BFA">
        <w:rPr>
          <w:rFonts w:ascii="Arial" w:hAnsi="Arial" w:cs="Arial"/>
        </w:rPr>
        <w:t xml:space="preserve">11 December </w:t>
      </w:r>
      <w:r w:rsidRPr="002E4BFA">
        <w:rPr>
          <w:rFonts w:ascii="Arial" w:hAnsi="Arial" w:cs="Arial"/>
        </w:rPr>
        <w:t>2020.</w:t>
      </w:r>
      <w:r w:rsidRPr="002E4BFA">
        <w:rPr>
          <w:rFonts w:ascii="Arial" w:hAnsi="Arial" w:cs="Arial"/>
          <w:lang w:val="en-GB"/>
        </w:rPr>
        <w:t xml:space="preserve"> </w:t>
      </w:r>
      <w:r w:rsidR="003765B6" w:rsidRPr="002E4BFA">
        <w:rPr>
          <w:rFonts w:ascii="Arial" w:hAnsi="Arial" w:cs="Arial"/>
          <w:lang w:val="en-GB"/>
        </w:rPr>
        <w:t>Available at:</w:t>
      </w:r>
      <w:r w:rsidR="001123D3" w:rsidRPr="002E4BFA">
        <w:rPr>
          <w:rFonts w:ascii="Arial" w:hAnsi="Arial" w:cs="Arial"/>
          <w:lang w:val="en-GB"/>
        </w:rPr>
        <w:t xml:space="preserve"> https://agenceurope.eu/en/bulletin/article/12620/12</w:t>
      </w:r>
      <w:r w:rsidR="003765B6" w:rsidRPr="002E4BFA">
        <w:rPr>
          <w:rFonts w:ascii="Arial" w:hAnsi="Arial" w:cs="Arial"/>
          <w:lang w:val="en-GB"/>
        </w:rPr>
        <w:t xml:space="preserve"> (accessed 20 March 2023).</w:t>
      </w:r>
    </w:p>
    <w:p w14:paraId="1893313A" w14:textId="18C0FC70" w:rsidR="006E1AF2" w:rsidRPr="002E4BFA" w:rsidRDefault="006E1AF2"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(2020c)</w:t>
      </w:r>
      <w:r w:rsidRPr="002E4BFA">
        <w:rPr>
          <w:rFonts w:ascii="Arial" w:hAnsi="Arial" w:cs="Arial"/>
          <w:color w:val="00ABD6"/>
        </w:rPr>
        <w:t xml:space="preserve"> </w:t>
      </w:r>
      <w:r w:rsidR="004003E3" w:rsidRPr="002E4BFA">
        <w:rPr>
          <w:rFonts w:ascii="Arial" w:hAnsi="Arial" w:cs="Arial"/>
          <w:lang w:val="en-GB"/>
        </w:rPr>
        <w:t>European Parliament substantially increases budget for Just Transition Fund.</w:t>
      </w:r>
      <w:r w:rsidR="004003E3" w:rsidRPr="002E4BFA">
        <w:rPr>
          <w:rFonts w:ascii="Arial" w:hAnsi="Arial" w:cs="Arial"/>
          <w:color w:val="00ABD6"/>
          <w:lang w:val="hr-HR"/>
        </w:rPr>
        <w:t xml:space="preserve"> </w:t>
      </w:r>
      <w:r w:rsidRPr="002E4BFA">
        <w:rPr>
          <w:rFonts w:ascii="Arial" w:hAnsi="Arial" w:cs="Arial"/>
          <w:i/>
          <w:iCs/>
          <w:lang w:val="en-GB"/>
        </w:rPr>
        <w:t>Europe Daily Bulletin</w:t>
      </w:r>
      <w:r w:rsidRPr="002E4BFA">
        <w:rPr>
          <w:rFonts w:ascii="Arial" w:hAnsi="Arial" w:cs="Arial"/>
          <w:lang w:val="en-GB"/>
        </w:rPr>
        <w:t xml:space="preserve"> No</w:t>
      </w:r>
      <w:r w:rsidRPr="002E4BFA">
        <w:rPr>
          <w:rFonts w:ascii="Arial" w:hAnsi="Arial" w:cs="Arial"/>
        </w:rPr>
        <w:t>. 12521, 7 July 2020.</w:t>
      </w:r>
      <w:r w:rsidRPr="002E4BFA">
        <w:rPr>
          <w:rFonts w:ascii="Arial" w:hAnsi="Arial" w:cs="Arial"/>
          <w:lang w:val="en-GB"/>
        </w:rPr>
        <w:t xml:space="preserve"> </w:t>
      </w:r>
      <w:r w:rsidR="003765B6" w:rsidRPr="002E4BFA">
        <w:rPr>
          <w:rFonts w:ascii="Arial" w:hAnsi="Arial" w:cs="Arial"/>
          <w:lang w:val="en-GB"/>
        </w:rPr>
        <w:t>Available at:</w:t>
      </w:r>
      <w:r w:rsidR="001123D3" w:rsidRPr="002E4BFA">
        <w:rPr>
          <w:rFonts w:ascii="Arial" w:hAnsi="Arial" w:cs="Arial"/>
          <w:lang w:val="en-GB"/>
        </w:rPr>
        <w:t xml:space="preserve"> https://agenceurope.eu/en/bulletin/article/12521/1</w:t>
      </w:r>
      <w:r w:rsidR="003765B6" w:rsidRPr="002E4BFA">
        <w:rPr>
          <w:rFonts w:ascii="Arial" w:hAnsi="Arial" w:cs="Arial"/>
          <w:lang w:val="en-GB"/>
        </w:rPr>
        <w:t xml:space="preserve"> (accessed 20 March 2023).</w:t>
      </w:r>
    </w:p>
    <w:p w14:paraId="5B0B9977" w14:textId="6947F005" w:rsidR="00B873C3" w:rsidRPr="002E4BFA" w:rsidRDefault="00B873C3"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w:t>
      </w:r>
      <w:r w:rsidRPr="002E4BFA">
        <w:rPr>
          <w:rFonts w:ascii="Arial" w:hAnsi="Arial" w:cs="Arial"/>
          <w:lang w:val="en-GB"/>
        </w:rPr>
        <w:t xml:space="preserve">(2020d) </w:t>
      </w:r>
      <w:r w:rsidRPr="002E4BFA">
        <w:rPr>
          <w:rFonts w:ascii="Arial" w:hAnsi="Arial" w:cs="Arial"/>
        </w:rPr>
        <w:t>EU Council broadens scope of Just Transition Fund in a limited way.</w:t>
      </w:r>
      <w:r w:rsidRPr="002E4BFA">
        <w:rPr>
          <w:rFonts w:ascii="Arial" w:hAnsi="Arial" w:cs="Arial"/>
          <w:lang w:val="en-GB"/>
        </w:rPr>
        <w:t xml:space="preserve"> </w:t>
      </w:r>
      <w:r w:rsidRPr="002E4BFA">
        <w:rPr>
          <w:rFonts w:ascii="Arial" w:hAnsi="Arial" w:cs="Arial"/>
          <w:i/>
          <w:iCs/>
          <w:lang w:val="en-GB"/>
        </w:rPr>
        <w:t>Europe Daily Bulletin</w:t>
      </w:r>
      <w:r w:rsidRPr="002E4BFA">
        <w:rPr>
          <w:rFonts w:ascii="Arial" w:hAnsi="Arial" w:cs="Arial"/>
          <w:lang w:val="en-GB"/>
        </w:rPr>
        <w:t xml:space="preserve"> No. 12513, 25 June 2020.</w:t>
      </w:r>
      <w:r w:rsidR="003765B6" w:rsidRPr="002E4BFA">
        <w:rPr>
          <w:rFonts w:ascii="Arial" w:hAnsi="Arial" w:cs="Arial"/>
          <w:lang w:val="en-GB"/>
        </w:rPr>
        <w:t xml:space="preserve"> Available at:</w:t>
      </w:r>
      <w:r w:rsidR="002074CE" w:rsidRPr="002E4BFA">
        <w:rPr>
          <w:rFonts w:ascii="Arial" w:hAnsi="Arial" w:cs="Arial"/>
          <w:lang w:val="en-GB"/>
        </w:rPr>
        <w:t xml:space="preserve"> https://agenceurope.eu/en/bulletin/article/12513/9</w:t>
      </w:r>
      <w:r w:rsidR="003765B6" w:rsidRPr="002E4BFA">
        <w:rPr>
          <w:rFonts w:ascii="Arial" w:hAnsi="Arial" w:cs="Arial"/>
          <w:lang w:val="en-GB"/>
        </w:rPr>
        <w:t xml:space="preserve"> (accessed 20 March 2023).</w:t>
      </w:r>
    </w:p>
    <w:p w14:paraId="7B72FC03" w14:textId="6E1AB9BE" w:rsidR="006E1AF2" w:rsidRPr="002E4BFA" w:rsidRDefault="00CF4858"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w:t>
      </w:r>
      <w:r w:rsidRPr="002E4BFA">
        <w:rPr>
          <w:rFonts w:ascii="Arial" w:hAnsi="Arial" w:cs="Arial"/>
          <w:lang w:val="en-GB"/>
        </w:rPr>
        <w:t>(</w:t>
      </w:r>
      <w:r w:rsidR="00225847" w:rsidRPr="002E4BFA">
        <w:rPr>
          <w:rFonts w:ascii="Arial" w:hAnsi="Arial" w:cs="Arial"/>
          <w:lang w:val="en-GB"/>
        </w:rPr>
        <w:t>2020</w:t>
      </w:r>
      <w:r w:rsidR="00B873C3" w:rsidRPr="002E4BFA">
        <w:rPr>
          <w:rFonts w:ascii="Arial" w:hAnsi="Arial" w:cs="Arial"/>
          <w:lang w:val="en-GB"/>
        </w:rPr>
        <w:t>e</w:t>
      </w:r>
      <w:r w:rsidRPr="002E4BFA">
        <w:rPr>
          <w:rFonts w:ascii="Arial" w:hAnsi="Arial" w:cs="Arial"/>
          <w:lang w:val="en-GB"/>
        </w:rPr>
        <w:t xml:space="preserve">) </w:t>
      </w:r>
      <w:r w:rsidR="00D055AA" w:rsidRPr="002E4BFA">
        <w:rPr>
          <w:rFonts w:ascii="Arial" w:hAnsi="Arial" w:cs="Arial"/>
        </w:rPr>
        <w:t xml:space="preserve">Just Transition Fund, European </w:t>
      </w:r>
      <w:proofErr w:type="gramStart"/>
      <w:r w:rsidR="00D055AA" w:rsidRPr="002E4BFA">
        <w:rPr>
          <w:rFonts w:ascii="Arial" w:hAnsi="Arial" w:cs="Arial"/>
        </w:rPr>
        <w:t>Parliament</w:t>
      </w:r>
      <w:proofErr w:type="gramEnd"/>
      <w:r w:rsidR="00D055AA" w:rsidRPr="002E4BFA">
        <w:rPr>
          <w:rFonts w:ascii="Arial" w:hAnsi="Arial" w:cs="Arial"/>
        </w:rPr>
        <w:t xml:space="preserve"> and EU Council struggle forward on social issues</w:t>
      </w:r>
      <w:r w:rsidRPr="002E4BFA">
        <w:rPr>
          <w:rFonts w:ascii="Arial" w:hAnsi="Arial" w:cs="Arial"/>
        </w:rPr>
        <w:t>.</w:t>
      </w:r>
      <w:r w:rsidRPr="002E4BFA">
        <w:rPr>
          <w:rFonts w:ascii="Arial" w:hAnsi="Arial" w:cs="Arial"/>
          <w:lang w:val="en-GB"/>
        </w:rPr>
        <w:t xml:space="preserve"> </w:t>
      </w:r>
      <w:r w:rsidRPr="002E4BFA">
        <w:rPr>
          <w:rFonts w:ascii="Arial" w:hAnsi="Arial" w:cs="Arial"/>
          <w:i/>
          <w:iCs/>
          <w:lang w:val="en-GB"/>
        </w:rPr>
        <w:t>Europe Daily Bulletin</w:t>
      </w:r>
      <w:r w:rsidRPr="002E4BFA">
        <w:rPr>
          <w:rFonts w:ascii="Arial" w:hAnsi="Arial" w:cs="Arial"/>
          <w:lang w:val="en-GB"/>
        </w:rPr>
        <w:t xml:space="preserve"> No.</w:t>
      </w:r>
      <w:r w:rsidR="007548F9" w:rsidRPr="002E4BFA">
        <w:rPr>
          <w:rFonts w:ascii="Arial" w:hAnsi="Arial" w:cs="Arial"/>
          <w:lang w:val="en-GB"/>
        </w:rPr>
        <w:t xml:space="preserve"> </w:t>
      </w:r>
      <w:r w:rsidR="007548F9" w:rsidRPr="002E4BFA">
        <w:rPr>
          <w:rFonts w:ascii="Arial" w:hAnsi="Arial" w:cs="Arial"/>
        </w:rPr>
        <w:t>12599</w:t>
      </w:r>
      <w:r w:rsidRPr="002E4BFA">
        <w:rPr>
          <w:rFonts w:ascii="Arial" w:hAnsi="Arial" w:cs="Arial"/>
        </w:rPr>
        <w:t>,</w:t>
      </w:r>
      <w:r w:rsidRPr="002E4BFA">
        <w:rPr>
          <w:rFonts w:ascii="Arial" w:hAnsi="Arial" w:cs="Arial"/>
          <w:lang w:val="en-GB"/>
        </w:rPr>
        <w:t xml:space="preserve"> </w:t>
      </w:r>
      <w:r w:rsidR="00C65BF4" w:rsidRPr="002E4BFA">
        <w:rPr>
          <w:rFonts w:ascii="Arial" w:hAnsi="Arial" w:cs="Arial"/>
        </w:rPr>
        <w:t xml:space="preserve">11 November </w:t>
      </w:r>
      <w:r w:rsidR="003B4DB8" w:rsidRPr="002E4BFA">
        <w:rPr>
          <w:rFonts w:ascii="Arial" w:hAnsi="Arial" w:cs="Arial"/>
        </w:rPr>
        <w:t>2020</w:t>
      </w:r>
      <w:r w:rsidRPr="002E4BFA">
        <w:rPr>
          <w:rFonts w:ascii="Arial" w:hAnsi="Arial" w:cs="Arial"/>
        </w:rPr>
        <w:t>.</w:t>
      </w:r>
      <w:r w:rsidRPr="002E4BFA">
        <w:rPr>
          <w:rFonts w:ascii="Arial" w:hAnsi="Arial" w:cs="Arial"/>
          <w:lang w:val="en-GB"/>
        </w:rPr>
        <w:t xml:space="preserve"> </w:t>
      </w:r>
      <w:r w:rsidR="003765B6" w:rsidRPr="002E4BFA">
        <w:rPr>
          <w:rFonts w:ascii="Arial" w:hAnsi="Arial" w:cs="Arial"/>
          <w:lang w:val="en-GB"/>
        </w:rPr>
        <w:t>Available at:</w:t>
      </w:r>
      <w:r w:rsidR="001123D3" w:rsidRPr="002E4BFA">
        <w:rPr>
          <w:rFonts w:ascii="Arial" w:hAnsi="Arial" w:cs="Arial"/>
          <w:lang w:val="en-GB"/>
        </w:rPr>
        <w:t xml:space="preserve"> https://agenceurope.eu/en/bulletin/article/12599/11</w:t>
      </w:r>
      <w:r w:rsidR="003765B6" w:rsidRPr="002E4BFA">
        <w:rPr>
          <w:rFonts w:ascii="Arial" w:hAnsi="Arial" w:cs="Arial"/>
          <w:lang w:val="en-GB"/>
        </w:rPr>
        <w:t xml:space="preserve"> (accessed 20 March 2023).</w:t>
      </w:r>
    </w:p>
    <w:p w14:paraId="11149E8E" w14:textId="7816E703" w:rsidR="00E73BDA" w:rsidRPr="002E4BFA" w:rsidRDefault="00E73BDA"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w:t>
      </w:r>
      <w:r w:rsidRPr="002E4BFA">
        <w:rPr>
          <w:rFonts w:ascii="Arial" w:hAnsi="Arial" w:cs="Arial"/>
          <w:lang w:val="en-GB"/>
        </w:rPr>
        <w:t>(2021</w:t>
      </w:r>
      <w:r w:rsidR="00C47582" w:rsidRPr="002E4BFA">
        <w:rPr>
          <w:rFonts w:ascii="Arial" w:hAnsi="Arial" w:cs="Arial"/>
          <w:lang w:val="en-GB"/>
        </w:rPr>
        <w:t>a</w:t>
      </w:r>
      <w:r w:rsidRPr="002E4BFA">
        <w:rPr>
          <w:rFonts w:ascii="Arial" w:hAnsi="Arial" w:cs="Arial"/>
          <w:lang w:val="en-GB"/>
        </w:rPr>
        <w:t xml:space="preserve">) </w:t>
      </w:r>
      <w:r w:rsidR="00EF6B02" w:rsidRPr="002E4BFA">
        <w:rPr>
          <w:rFonts w:ascii="Arial" w:hAnsi="Arial" w:cs="Arial"/>
        </w:rPr>
        <w:t>Commission struggles to convince MEPs of benefits of a new carbon market for road transport and buildings</w:t>
      </w:r>
      <w:r w:rsidRPr="002E4BFA">
        <w:rPr>
          <w:rFonts w:ascii="Arial" w:hAnsi="Arial" w:cs="Arial"/>
        </w:rPr>
        <w:t>.</w:t>
      </w:r>
      <w:r w:rsidRPr="002E4BFA">
        <w:rPr>
          <w:rFonts w:ascii="Arial" w:hAnsi="Arial" w:cs="Arial"/>
          <w:lang w:val="en-GB"/>
        </w:rPr>
        <w:t xml:space="preserve"> </w:t>
      </w:r>
      <w:r w:rsidRPr="002E4BFA">
        <w:rPr>
          <w:rFonts w:ascii="Arial" w:hAnsi="Arial" w:cs="Arial"/>
          <w:i/>
          <w:iCs/>
          <w:lang w:val="en-GB"/>
        </w:rPr>
        <w:t>Europe Daily Bulletin</w:t>
      </w:r>
      <w:r w:rsidRPr="002E4BFA">
        <w:rPr>
          <w:rFonts w:ascii="Arial" w:hAnsi="Arial" w:cs="Arial"/>
          <w:lang w:val="en-GB"/>
        </w:rPr>
        <w:t xml:space="preserve"> </w:t>
      </w:r>
      <w:r w:rsidRPr="002E4BFA">
        <w:rPr>
          <w:rFonts w:ascii="Arial" w:eastAsiaTheme="majorEastAsia" w:hAnsi="Arial" w:cs="Arial"/>
        </w:rPr>
        <w:t>No. 12787,</w:t>
      </w:r>
      <w:r w:rsidRPr="002E4BFA">
        <w:rPr>
          <w:rFonts w:ascii="Arial" w:hAnsi="Arial" w:cs="Arial"/>
          <w:lang w:val="en-GB"/>
        </w:rPr>
        <w:t xml:space="preserve"> 10 September 2021. </w:t>
      </w:r>
      <w:r w:rsidR="003765B6" w:rsidRPr="002E4BFA">
        <w:rPr>
          <w:rFonts w:ascii="Arial" w:hAnsi="Arial" w:cs="Arial"/>
          <w:lang w:val="en-GB"/>
        </w:rPr>
        <w:t xml:space="preserve">Available at: </w:t>
      </w:r>
      <w:r w:rsidR="00D44E01" w:rsidRPr="002E4BFA">
        <w:rPr>
          <w:rFonts w:ascii="Arial" w:hAnsi="Arial" w:cs="Arial"/>
          <w:lang w:val="en-GB"/>
        </w:rPr>
        <w:t xml:space="preserve">https://agenceurope.eu/en/bulletin/article/12787/9 </w:t>
      </w:r>
      <w:r w:rsidR="003765B6" w:rsidRPr="002E4BFA">
        <w:rPr>
          <w:rFonts w:ascii="Arial" w:hAnsi="Arial" w:cs="Arial"/>
          <w:lang w:val="en-GB"/>
        </w:rPr>
        <w:t>(accessed 20 March 2023).</w:t>
      </w:r>
    </w:p>
    <w:p w14:paraId="0E21D64C" w14:textId="25D8D5C0" w:rsidR="00DD2480" w:rsidRPr="002E4BFA" w:rsidRDefault="00DD2480"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(2021b) </w:t>
      </w:r>
      <w:r w:rsidR="001C639A" w:rsidRPr="002E4BFA">
        <w:rPr>
          <w:rFonts w:ascii="Arial" w:hAnsi="Arial" w:cs="Arial"/>
          <w:color w:val="122F3B"/>
          <w:shd w:val="clear" w:color="auto" w:fill="FFFFFF"/>
        </w:rPr>
        <w:t>Greens/EFA urge European Commission to speed up introduction of ‘</w:t>
      </w:r>
      <w:r w:rsidR="001C639A" w:rsidRPr="002E4BFA">
        <w:rPr>
          <w:rStyle w:val="Emphasis"/>
          <w:rFonts w:ascii="Arial" w:hAnsi="Arial" w:cs="Arial"/>
          <w:color w:val="122F3B"/>
          <w:shd w:val="clear" w:color="auto" w:fill="FFFFFF"/>
        </w:rPr>
        <w:t>Fit for 55</w:t>
      </w:r>
      <w:r w:rsidR="001C639A" w:rsidRPr="002E4BFA">
        <w:rPr>
          <w:rFonts w:ascii="Arial" w:hAnsi="Arial" w:cs="Arial"/>
          <w:color w:val="122F3B"/>
          <w:shd w:val="clear" w:color="auto" w:fill="FFFFFF"/>
        </w:rPr>
        <w:t>’ package</w:t>
      </w:r>
      <w:r w:rsidRPr="002E4BFA">
        <w:rPr>
          <w:rFonts w:ascii="Arial" w:hAnsi="Arial" w:cs="Arial"/>
        </w:rPr>
        <w:t xml:space="preserve">. </w:t>
      </w:r>
      <w:r w:rsidRPr="002E4BFA">
        <w:rPr>
          <w:rFonts w:ascii="Arial" w:hAnsi="Arial" w:cs="Arial"/>
          <w:i/>
          <w:iCs/>
        </w:rPr>
        <w:t>Europe Daily Bulletin</w:t>
      </w:r>
      <w:r w:rsidRPr="002E4BFA">
        <w:rPr>
          <w:rFonts w:ascii="Arial" w:hAnsi="Arial" w:cs="Arial"/>
        </w:rPr>
        <w:t xml:space="preserve"> No. 12790, 15 September 2021. </w:t>
      </w:r>
      <w:r w:rsidR="003765B6" w:rsidRPr="002E4BFA">
        <w:rPr>
          <w:rFonts w:ascii="Arial" w:hAnsi="Arial" w:cs="Arial"/>
          <w:lang w:val="en-GB"/>
        </w:rPr>
        <w:t>Available at:</w:t>
      </w:r>
      <w:r w:rsidR="001123D3" w:rsidRPr="002E4BFA">
        <w:rPr>
          <w:rFonts w:ascii="Arial" w:hAnsi="Arial" w:cs="Arial"/>
          <w:lang w:val="en-GB"/>
        </w:rPr>
        <w:t xml:space="preserve"> https://agenceurope.eu/en/bulletin/article/12790/5</w:t>
      </w:r>
      <w:r w:rsidR="003765B6" w:rsidRPr="002E4BFA">
        <w:rPr>
          <w:rFonts w:ascii="Arial" w:hAnsi="Arial" w:cs="Arial"/>
          <w:lang w:val="en-GB"/>
        </w:rPr>
        <w:t xml:space="preserve"> (accessed 20 March 2023).</w:t>
      </w:r>
    </w:p>
    <w:p w14:paraId="58CD22B1" w14:textId="21EA2A1A" w:rsidR="00E73BDA" w:rsidRPr="002E4BFA" w:rsidRDefault="00FC3A7C" w:rsidP="00C6263F">
      <w:pPr>
        <w:spacing w:line="360" w:lineRule="auto"/>
        <w:ind w:left="284" w:hanging="284"/>
        <w:jc w:val="left"/>
        <w:rPr>
          <w:rFonts w:ascii="Arial" w:hAnsi="Arial" w:cs="Arial"/>
          <w:lang w:val="en-GB"/>
        </w:rPr>
      </w:pPr>
      <w:proofErr w:type="spellStart"/>
      <w:r w:rsidRPr="002E4BFA">
        <w:rPr>
          <w:rFonts w:ascii="Arial" w:hAnsi="Arial" w:cs="Arial"/>
          <w:lang w:val="en-GB"/>
        </w:rPr>
        <w:t>Agence</w:t>
      </w:r>
      <w:proofErr w:type="spellEnd"/>
      <w:r w:rsidRPr="002E4BFA">
        <w:rPr>
          <w:rFonts w:ascii="Arial" w:hAnsi="Arial" w:cs="Arial"/>
          <w:lang w:val="en-GB"/>
        </w:rPr>
        <w:t xml:space="preserve"> Europe (2022</w:t>
      </w:r>
      <w:r w:rsidR="00987D94" w:rsidRPr="002E4BFA">
        <w:rPr>
          <w:rFonts w:ascii="Arial" w:hAnsi="Arial" w:cs="Arial"/>
          <w:lang w:val="en-GB"/>
        </w:rPr>
        <w:t>a</w:t>
      </w:r>
      <w:r w:rsidRPr="002E4BFA">
        <w:rPr>
          <w:rFonts w:ascii="Arial" w:hAnsi="Arial" w:cs="Arial"/>
          <w:lang w:val="en-GB"/>
        </w:rPr>
        <w:t xml:space="preserve">) </w:t>
      </w:r>
      <w:r w:rsidR="00D960D2" w:rsidRPr="002E4BFA">
        <w:rPr>
          <w:rFonts w:ascii="Arial" w:eastAsiaTheme="majorEastAsia" w:hAnsi="Arial" w:cs="Arial"/>
        </w:rPr>
        <w:t>Co-legislators define shape of future Social Climate Fund with increased budget and national co-financing</w:t>
      </w:r>
      <w:r w:rsidRPr="002E4BFA">
        <w:rPr>
          <w:rFonts w:ascii="Arial" w:hAnsi="Arial" w:cs="Arial"/>
          <w:lang w:val="en-GB"/>
        </w:rPr>
        <w:t>.</w:t>
      </w:r>
      <w:r w:rsidR="00D960D2" w:rsidRPr="002E4BFA">
        <w:rPr>
          <w:rFonts w:ascii="Arial" w:hAnsi="Arial" w:cs="Arial"/>
          <w:lang w:val="en-GB"/>
        </w:rPr>
        <w:t xml:space="preserve"> </w:t>
      </w:r>
      <w:r w:rsidRPr="002E4BFA">
        <w:rPr>
          <w:rFonts w:ascii="Arial" w:hAnsi="Arial" w:cs="Arial"/>
          <w:i/>
          <w:iCs/>
          <w:lang w:val="en-GB"/>
        </w:rPr>
        <w:t>Europe Daily Bulletin</w:t>
      </w:r>
      <w:r w:rsidRPr="002E4BFA">
        <w:rPr>
          <w:rFonts w:ascii="Arial" w:hAnsi="Arial" w:cs="Arial"/>
          <w:lang w:val="en-GB"/>
        </w:rPr>
        <w:t xml:space="preserve"> No. 13087, 20 December 2022. </w:t>
      </w:r>
      <w:r w:rsidR="003765B6" w:rsidRPr="002E4BFA">
        <w:rPr>
          <w:rFonts w:ascii="Arial" w:hAnsi="Arial" w:cs="Arial"/>
          <w:lang w:val="en-GB"/>
        </w:rPr>
        <w:t>Available at:</w:t>
      </w:r>
      <w:r w:rsidR="001123D3" w:rsidRPr="002E4BFA">
        <w:rPr>
          <w:rFonts w:ascii="Arial" w:hAnsi="Arial" w:cs="Arial"/>
          <w:lang w:val="en-GB"/>
        </w:rPr>
        <w:t xml:space="preserve"> https://agenceurope.eu/en/bulletin/article/13087/17</w:t>
      </w:r>
      <w:r w:rsidR="003765B6" w:rsidRPr="002E4BFA">
        <w:rPr>
          <w:rFonts w:ascii="Arial" w:hAnsi="Arial" w:cs="Arial"/>
          <w:lang w:val="en-GB"/>
        </w:rPr>
        <w:t xml:space="preserve"> (accessed 20 March 2023).</w:t>
      </w:r>
    </w:p>
    <w:p w14:paraId="0A9110CE" w14:textId="4275B570" w:rsidR="00C47582" w:rsidRPr="002E4BFA" w:rsidRDefault="00CF4858" w:rsidP="00C6263F">
      <w:pPr>
        <w:spacing w:line="360" w:lineRule="auto"/>
        <w:ind w:left="284" w:hanging="284"/>
        <w:jc w:val="left"/>
        <w:rPr>
          <w:rFonts w:ascii="Arial" w:hAnsi="Arial" w:cs="Arial"/>
          <w:lang w:val="en-GB"/>
        </w:rPr>
      </w:pPr>
      <w:proofErr w:type="spellStart"/>
      <w:r w:rsidRPr="002E4BFA">
        <w:rPr>
          <w:rFonts w:ascii="Arial" w:hAnsi="Arial" w:cs="Arial"/>
        </w:rPr>
        <w:lastRenderedPageBreak/>
        <w:t>Agence</w:t>
      </w:r>
      <w:proofErr w:type="spellEnd"/>
      <w:r w:rsidRPr="002E4BFA">
        <w:rPr>
          <w:rFonts w:ascii="Arial" w:hAnsi="Arial" w:cs="Arial"/>
        </w:rPr>
        <w:t xml:space="preserve"> Europe </w:t>
      </w:r>
      <w:r w:rsidRPr="002E4BFA">
        <w:rPr>
          <w:rFonts w:ascii="Arial" w:hAnsi="Arial" w:cs="Arial"/>
          <w:lang w:val="en-GB"/>
        </w:rPr>
        <w:t>(</w:t>
      </w:r>
      <w:r w:rsidR="00987D94" w:rsidRPr="002E4BFA">
        <w:rPr>
          <w:rFonts w:ascii="Arial" w:hAnsi="Arial" w:cs="Arial"/>
          <w:lang w:val="en-GB"/>
        </w:rPr>
        <w:t>2022b</w:t>
      </w:r>
      <w:r w:rsidRPr="002E4BFA">
        <w:rPr>
          <w:rFonts w:ascii="Arial" w:hAnsi="Arial" w:cs="Arial"/>
          <w:lang w:val="en-GB"/>
        </w:rPr>
        <w:t xml:space="preserve">) </w:t>
      </w:r>
      <w:r w:rsidR="00D960D2" w:rsidRPr="002E4BFA">
        <w:rPr>
          <w:rFonts w:ascii="Arial" w:eastAsiaTheme="majorEastAsia" w:hAnsi="Arial" w:cs="Arial"/>
        </w:rPr>
        <w:t>Budgetary architecture of Social Climate Fund and the extension of ETS 2 to households remain among key issues at next meeting of co-legislators</w:t>
      </w:r>
      <w:r w:rsidRPr="002E4BFA">
        <w:rPr>
          <w:rFonts w:ascii="Arial" w:hAnsi="Arial" w:cs="Arial"/>
          <w:lang w:val="en-GB"/>
        </w:rPr>
        <w:t xml:space="preserve">. </w:t>
      </w:r>
      <w:r w:rsidRPr="002E4BFA">
        <w:rPr>
          <w:rFonts w:ascii="Arial" w:hAnsi="Arial" w:cs="Arial"/>
          <w:i/>
          <w:iCs/>
          <w:lang w:val="en-GB"/>
        </w:rPr>
        <w:t>Europe Daily Bulletin</w:t>
      </w:r>
      <w:r w:rsidRPr="002E4BFA">
        <w:rPr>
          <w:rFonts w:ascii="Arial" w:hAnsi="Arial" w:cs="Arial"/>
          <w:lang w:val="en-GB"/>
        </w:rPr>
        <w:t xml:space="preserve"> No.</w:t>
      </w:r>
      <w:r w:rsidR="00E73BDA" w:rsidRPr="002E4BFA">
        <w:rPr>
          <w:rFonts w:ascii="Arial" w:hAnsi="Arial" w:cs="Arial"/>
          <w:lang w:val="en-GB"/>
        </w:rPr>
        <w:t xml:space="preserve"> 13084</w:t>
      </w:r>
      <w:r w:rsidRPr="002E4BFA">
        <w:rPr>
          <w:rFonts w:ascii="Arial" w:hAnsi="Arial" w:cs="Arial"/>
          <w:lang w:val="en-GB"/>
        </w:rPr>
        <w:t xml:space="preserve">, </w:t>
      </w:r>
      <w:r w:rsidR="00E73BDA" w:rsidRPr="002E4BFA">
        <w:rPr>
          <w:rFonts w:ascii="Arial" w:hAnsi="Arial" w:cs="Arial"/>
        </w:rPr>
        <w:t>15 December 2022</w:t>
      </w:r>
      <w:r w:rsidRPr="002E4BFA">
        <w:rPr>
          <w:rFonts w:ascii="Arial" w:hAnsi="Arial" w:cs="Arial"/>
        </w:rPr>
        <w:t>.</w:t>
      </w:r>
      <w:r w:rsidRPr="002E4BFA">
        <w:rPr>
          <w:rFonts w:ascii="Arial" w:hAnsi="Arial" w:cs="Arial"/>
          <w:lang w:val="en-GB"/>
        </w:rPr>
        <w:t xml:space="preserve"> </w:t>
      </w:r>
      <w:r w:rsidR="003765B6" w:rsidRPr="002E4BFA">
        <w:rPr>
          <w:rFonts w:ascii="Arial" w:hAnsi="Arial" w:cs="Arial"/>
          <w:lang w:val="en-GB"/>
        </w:rPr>
        <w:t>Available at:</w:t>
      </w:r>
      <w:r w:rsidR="001123D3" w:rsidRPr="002E4BFA">
        <w:rPr>
          <w:rFonts w:ascii="Arial" w:hAnsi="Arial" w:cs="Arial"/>
          <w:lang w:val="en-GB"/>
        </w:rPr>
        <w:t xml:space="preserve"> https://agenceurope.eu/en/bulletin/article/13084/22</w:t>
      </w:r>
      <w:r w:rsidR="003765B6" w:rsidRPr="002E4BFA">
        <w:rPr>
          <w:rFonts w:ascii="Arial" w:hAnsi="Arial" w:cs="Arial"/>
          <w:lang w:val="en-GB"/>
        </w:rPr>
        <w:t xml:space="preserve"> (accessed 20 March 2023).</w:t>
      </w:r>
    </w:p>
    <w:p w14:paraId="4544B4F0" w14:textId="32263623" w:rsidR="00CF4858" w:rsidRPr="002E4BFA" w:rsidRDefault="00CF4858"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w:t>
      </w:r>
      <w:r w:rsidR="00A429E6" w:rsidRPr="002E4BFA">
        <w:rPr>
          <w:rFonts w:ascii="Arial" w:hAnsi="Arial" w:cs="Arial"/>
        </w:rPr>
        <w:t>2022c</w:t>
      </w:r>
      <w:r w:rsidRPr="002E4BFA">
        <w:rPr>
          <w:rFonts w:ascii="Arial" w:hAnsi="Arial" w:cs="Arial"/>
        </w:rPr>
        <w:t xml:space="preserve">) </w:t>
      </w:r>
      <w:r w:rsidR="00507F83" w:rsidRPr="002E4BFA">
        <w:rPr>
          <w:rFonts w:ascii="Arial" w:eastAsiaTheme="majorEastAsia" w:hAnsi="Arial" w:cs="Arial"/>
          <w:lang w:val="en-GB"/>
        </w:rPr>
        <w:t>MEPs sharply divided on link between Social Climate Fund and future ‘ETS 2’ system</w:t>
      </w:r>
      <w:r w:rsidRPr="002E4BFA">
        <w:rPr>
          <w:rFonts w:ascii="Arial" w:eastAsiaTheme="majorEastAsia" w:hAnsi="Arial" w:cs="Arial"/>
          <w:lang w:val="en-GB"/>
        </w:rPr>
        <w:t>.</w:t>
      </w:r>
      <w:r w:rsidRPr="002E4BFA">
        <w:rPr>
          <w:rFonts w:ascii="Arial" w:hAnsi="Arial" w:cs="Arial"/>
        </w:rPr>
        <w:t xml:space="preserve"> </w:t>
      </w:r>
      <w:r w:rsidRPr="002E4BFA">
        <w:rPr>
          <w:rFonts w:ascii="Arial" w:hAnsi="Arial" w:cs="Arial"/>
          <w:i/>
          <w:iCs/>
        </w:rPr>
        <w:t>Europe Daily Bulletin</w:t>
      </w:r>
      <w:r w:rsidR="004A24AA" w:rsidRPr="002E4BFA">
        <w:rPr>
          <w:rFonts w:ascii="Arial" w:hAnsi="Arial" w:cs="Arial"/>
        </w:rPr>
        <w:t>,</w:t>
      </w:r>
      <w:r w:rsidRPr="002E4BFA">
        <w:rPr>
          <w:rFonts w:ascii="Arial" w:hAnsi="Arial" w:cs="Arial"/>
        </w:rPr>
        <w:t xml:space="preserve"> No.</w:t>
      </w:r>
      <w:r w:rsidR="004A24AA" w:rsidRPr="002E4BFA">
        <w:rPr>
          <w:rFonts w:ascii="Arial" w:hAnsi="Arial" w:cs="Arial"/>
        </w:rPr>
        <w:t xml:space="preserve"> 12913</w:t>
      </w:r>
      <w:r w:rsidRPr="002E4BFA">
        <w:rPr>
          <w:rFonts w:ascii="Arial" w:hAnsi="Arial" w:cs="Arial"/>
        </w:rPr>
        <w:t xml:space="preserve">, </w:t>
      </w:r>
      <w:r w:rsidR="004A24AA" w:rsidRPr="002E4BFA">
        <w:rPr>
          <w:rFonts w:ascii="Arial" w:hAnsi="Arial" w:cs="Arial"/>
        </w:rPr>
        <w:t>18 March 2022</w:t>
      </w:r>
      <w:r w:rsidRPr="002E4BFA">
        <w:rPr>
          <w:rFonts w:ascii="Arial" w:hAnsi="Arial" w:cs="Arial"/>
        </w:rPr>
        <w:t xml:space="preserve">. </w:t>
      </w:r>
      <w:r w:rsidR="003765B6" w:rsidRPr="002E4BFA">
        <w:rPr>
          <w:rFonts w:ascii="Arial" w:hAnsi="Arial" w:cs="Arial"/>
          <w:lang w:val="en-GB"/>
        </w:rPr>
        <w:t>Available at:</w:t>
      </w:r>
      <w:r w:rsidR="001123D3" w:rsidRPr="002E4BFA">
        <w:rPr>
          <w:rFonts w:ascii="Arial" w:hAnsi="Arial" w:cs="Arial"/>
          <w:lang w:val="en-GB"/>
        </w:rPr>
        <w:t xml:space="preserve"> </w:t>
      </w:r>
      <w:hyperlink r:id="rId8" w:history="1">
        <w:r w:rsidR="001123D3" w:rsidRPr="002E4BFA">
          <w:rPr>
            <w:rStyle w:val="Hyperlink"/>
            <w:rFonts w:ascii="Arial" w:hAnsi="Arial" w:cs="Arial"/>
            <w:lang w:val="en-GB"/>
          </w:rPr>
          <w:t>https://agenceurope.eu/en/bulletin/article/12913/29</w:t>
        </w:r>
      </w:hyperlink>
      <w:r w:rsidR="003765B6" w:rsidRPr="002E4BFA">
        <w:rPr>
          <w:rFonts w:ascii="Arial" w:hAnsi="Arial" w:cs="Arial"/>
          <w:lang w:val="en-GB"/>
        </w:rPr>
        <w:t xml:space="preserve"> (accessed 20 March 2023).</w:t>
      </w:r>
    </w:p>
    <w:p w14:paraId="61A94C9F" w14:textId="530E1A59" w:rsidR="004A769D" w:rsidRPr="002E4BFA" w:rsidRDefault="0098110A" w:rsidP="00C6263F">
      <w:pPr>
        <w:spacing w:line="360" w:lineRule="auto"/>
        <w:ind w:left="284" w:hanging="284"/>
        <w:jc w:val="left"/>
        <w:rPr>
          <w:rFonts w:ascii="Arial" w:hAnsi="Arial" w:cs="Arial"/>
          <w:lang w:val="en-GB"/>
        </w:rPr>
      </w:pPr>
      <w:proofErr w:type="spellStart"/>
      <w:r w:rsidRPr="002E4BFA">
        <w:rPr>
          <w:rFonts w:ascii="Arial" w:hAnsi="Arial" w:cs="Arial"/>
        </w:rPr>
        <w:t>Agence</w:t>
      </w:r>
      <w:proofErr w:type="spellEnd"/>
      <w:r w:rsidRPr="002E4BFA">
        <w:rPr>
          <w:rFonts w:ascii="Arial" w:hAnsi="Arial" w:cs="Arial"/>
        </w:rPr>
        <w:t xml:space="preserve"> Europe </w:t>
      </w:r>
      <w:r w:rsidRPr="002E4BFA">
        <w:rPr>
          <w:rFonts w:ascii="Arial" w:hAnsi="Arial" w:cs="Arial"/>
          <w:lang w:val="en-GB"/>
        </w:rPr>
        <w:t xml:space="preserve">(2022d) </w:t>
      </w:r>
      <w:r w:rsidR="00D75D94" w:rsidRPr="002E4BFA">
        <w:rPr>
          <w:rFonts w:ascii="Arial" w:eastAsiaTheme="majorEastAsia" w:hAnsi="Arial" w:cs="Arial"/>
          <w:lang w:val="en-GB"/>
        </w:rPr>
        <w:t>Deep divisions in EU Council on nature and financing of future Social Climate Fund</w:t>
      </w:r>
      <w:r w:rsidRPr="002E4BFA">
        <w:rPr>
          <w:rFonts w:ascii="Arial" w:eastAsiaTheme="majorEastAsia" w:hAnsi="Arial" w:cs="Arial"/>
          <w:lang w:val="en-GB"/>
        </w:rPr>
        <w:t>.</w:t>
      </w:r>
      <w:r w:rsidRPr="002E4BFA">
        <w:rPr>
          <w:rFonts w:ascii="Arial" w:hAnsi="Arial" w:cs="Arial"/>
          <w:lang w:val="en-GB"/>
        </w:rPr>
        <w:t xml:space="preserve"> </w:t>
      </w:r>
      <w:r w:rsidRPr="002E4BFA">
        <w:rPr>
          <w:rFonts w:ascii="Arial" w:hAnsi="Arial" w:cs="Arial"/>
          <w:i/>
          <w:iCs/>
          <w:lang w:val="en-GB"/>
        </w:rPr>
        <w:t>Europe Daily Bulletin</w:t>
      </w:r>
      <w:r w:rsidR="006E1AF2" w:rsidRPr="002E4BFA">
        <w:rPr>
          <w:rFonts w:ascii="Arial" w:hAnsi="Arial" w:cs="Arial"/>
          <w:lang w:val="en-GB"/>
        </w:rPr>
        <w:t>,</w:t>
      </w:r>
      <w:r w:rsidRPr="002E4BFA">
        <w:rPr>
          <w:rFonts w:ascii="Arial" w:hAnsi="Arial" w:cs="Arial"/>
          <w:lang w:val="en-GB"/>
        </w:rPr>
        <w:t xml:space="preserve"> No.</w:t>
      </w:r>
      <w:r w:rsidR="003C0F40" w:rsidRPr="002E4BFA">
        <w:rPr>
          <w:rFonts w:ascii="Arial" w:hAnsi="Arial" w:cs="Arial"/>
          <w:lang w:val="en-GB"/>
        </w:rPr>
        <w:t xml:space="preserve"> </w:t>
      </w:r>
      <w:r w:rsidR="003C0F40" w:rsidRPr="002E4BFA">
        <w:rPr>
          <w:rFonts w:ascii="Arial" w:hAnsi="Arial" w:cs="Arial"/>
        </w:rPr>
        <w:t>12914</w:t>
      </w:r>
      <w:r w:rsidRPr="002E4BFA">
        <w:rPr>
          <w:rFonts w:ascii="Arial" w:hAnsi="Arial" w:cs="Arial"/>
          <w:lang w:val="en-GB"/>
        </w:rPr>
        <w:t xml:space="preserve">, </w:t>
      </w:r>
      <w:r w:rsidR="003C0F40" w:rsidRPr="002E4BFA">
        <w:rPr>
          <w:rFonts w:ascii="Arial" w:eastAsiaTheme="majorEastAsia" w:hAnsi="Arial" w:cs="Arial"/>
        </w:rPr>
        <w:t>19 March 2022.</w:t>
      </w:r>
      <w:r w:rsidR="003765B6" w:rsidRPr="002E4BFA">
        <w:rPr>
          <w:rFonts w:ascii="Arial" w:eastAsiaTheme="majorEastAsia" w:hAnsi="Arial" w:cs="Arial"/>
        </w:rPr>
        <w:t xml:space="preserve"> </w:t>
      </w:r>
      <w:r w:rsidR="003765B6" w:rsidRPr="002E4BFA">
        <w:rPr>
          <w:rFonts w:ascii="Arial" w:hAnsi="Arial" w:cs="Arial"/>
          <w:lang w:val="en-GB"/>
        </w:rPr>
        <w:t>Available at:</w:t>
      </w:r>
      <w:r w:rsidR="001123D3" w:rsidRPr="002E4BFA">
        <w:rPr>
          <w:rFonts w:ascii="Arial" w:hAnsi="Arial" w:cs="Arial"/>
          <w:lang w:val="en-GB"/>
        </w:rPr>
        <w:t xml:space="preserve"> https://agenceurope.eu/en/bulletin/article/12914/11</w:t>
      </w:r>
      <w:r w:rsidR="003765B6" w:rsidRPr="002E4BFA">
        <w:rPr>
          <w:rFonts w:ascii="Arial" w:hAnsi="Arial" w:cs="Arial"/>
          <w:lang w:val="en-GB"/>
        </w:rPr>
        <w:t xml:space="preserve"> (accessed 20 March 2023).</w:t>
      </w:r>
    </w:p>
    <w:p w14:paraId="751DE716" w14:textId="520B3DAE" w:rsidR="00EC3FA7" w:rsidRPr="002E4BFA" w:rsidRDefault="00D17284" w:rsidP="00C6263F">
      <w:pPr>
        <w:spacing w:line="360" w:lineRule="auto"/>
        <w:ind w:left="284" w:hanging="284"/>
        <w:jc w:val="left"/>
        <w:rPr>
          <w:rFonts w:ascii="Arial" w:eastAsia="Times New Roman" w:hAnsi="Arial" w:cs="Arial"/>
          <w:shd w:val="clear" w:color="auto" w:fill="FFFFFF"/>
          <w:lang w:val="en-GB" w:eastAsia="en-GB"/>
        </w:rPr>
      </w:pPr>
      <w:proofErr w:type="spellStart"/>
      <w:r w:rsidRPr="002E4BFA">
        <w:rPr>
          <w:rFonts w:ascii="Arial" w:hAnsi="Arial" w:cs="Arial"/>
        </w:rPr>
        <w:t>Akgüç</w:t>
      </w:r>
      <w:proofErr w:type="spellEnd"/>
      <w:r w:rsidRPr="002E4BFA">
        <w:rPr>
          <w:rFonts w:ascii="Arial" w:hAnsi="Arial" w:cs="Arial"/>
        </w:rPr>
        <w:t xml:space="preserve"> M, </w:t>
      </w:r>
      <w:proofErr w:type="spellStart"/>
      <w:r w:rsidRPr="002E4BFA">
        <w:rPr>
          <w:rFonts w:ascii="Arial" w:hAnsi="Arial" w:cs="Arial"/>
        </w:rPr>
        <w:t>Arabadjieva</w:t>
      </w:r>
      <w:proofErr w:type="spellEnd"/>
      <w:r w:rsidRPr="002E4BFA">
        <w:rPr>
          <w:rFonts w:ascii="Arial" w:hAnsi="Arial" w:cs="Arial"/>
        </w:rPr>
        <w:t xml:space="preserve"> K and </w:t>
      </w:r>
      <w:proofErr w:type="spellStart"/>
      <w:r w:rsidRPr="002E4BFA">
        <w:rPr>
          <w:rFonts w:ascii="Arial" w:hAnsi="Arial" w:cs="Arial"/>
        </w:rPr>
        <w:t>Galgóczi</w:t>
      </w:r>
      <w:proofErr w:type="spellEnd"/>
      <w:r w:rsidRPr="002E4BFA">
        <w:rPr>
          <w:rFonts w:ascii="Arial" w:hAnsi="Arial" w:cs="Arial"/>
        </w:rPr>
        <w:t xml:space="preserve"> B (2022) Why the EU’s patchy ‘just transition’ framework is not up to meeting its climate ambitions. ETUI Policy Brief 2022.06. Brussels: ETUI</w:t>
      </w:r>
      <w:r w:rsidR="00EC3FA7" w:rsidRPr="002E4BFA">
        <w:rPr>
          <w:rFonts w:ascii="Arial" w:eastAsia="Times New Roman" w:hAnsi="Arial" w:cs="Arial"/>
          <w:shd w:val="clear" w:color="auto" w:fill="FFFFFF"/>
          <w:lang w:val="en-GB" w:eastAsia="en-GB"/>
        </w:rPr>
        <w:t>, p</w:t>
      </w:r>
      <w:r w:rsidRPr="002E4BFA">
        <w:rPr>
          <w:rFonts w:ascii="Arial" w:eastAsia="Times New Roman" w:hAnsi="Arial" w:cs="Arial"/>
          <w:shd w:val="clear" w:color="auto" w:fill="FFFFFF"/>
          <w:lang w:val="en-GB" w:eastAsia="en-GB"/>
        </w:rPr>
        <w:t>.</w:t>
      </w:r>
      <w:r w:rsidR="00EC3FA7" w:rsidRPr="002E4BFA">
        <w:rPr>
          <w:rFonts w:ascii="Arial" w:eastAsia="Times New Roman" w:hAnsi="Arial" w:cs="Arial"/>
          <w:shd w:val="clear" w:color="auto" w:fill="FFFFFF"/>
          <w:lang w:val="en-GB" w:eastAsia="en-GB"/>
        </w:rPr>
        <w:t xml:space="preserve"> 8.</w:t>
      </w:r>
    </w:p>
    <w:p w14:paraId="173722BE" w14:textId="3F92859B" w:rsidR="00EC3FA7" w:rsidRPr="002E4BFA" w:rsidRDefault="00EC3FA7" w:rsidP="00C6263F">
      <w:pPr>
        <w:spacing w:line="360" w:lineRule="auto"/>
        <w:ind w:left="284" w:hanging="284"/>
        <w:jc w:val="left"/>
        <w:rPr>
          <w:rFonts w:ascii="Arial" w:hAnsi="Arial" w:cs="Arial"/>
          <w:lang w:val="en-GB"/>
        </w:rPr>
      </w:pPr>
      <w:proofErr w:type="spellStart"/>
      <w:r w:rsidRPr="002E4BFA">
        <w:rPr>
          <w:rFonts w:ascii="Arial" w:hAnsi="Arial" w:cs="Arial"/>
          <w:lang w:val="en-GB"/>
        </w:rPr>
        <w:t>Alcidi</w:t>
      </w:r>
      <w:proofErr w:type="spellEnd"/>
      <w:r w:rsidRPr="002E4BFA">
        <w:rPr>
          <w:rFonts w:ascii="Arial" w:hAnsi="Arial" w:cs="Arial"/>
          <w:lang w:val="en-GB"/>
        </w:rPr>
        <w:t xml:space="preserve"> C, Corti F, Gros D</w:t>
      </w:r>
      <w:r w:rsidR="00AD5282" w:rsidRPr="002E4BFA">
        <w:rPr>
          <w:rFonts w:ascii="Arial" w:hAnsi="Arial" w:cs="Arial"/>
          <w:lang w:val="en-GB"/>
        </w:rPr>
        <w:t xml:space="preserve"> and</w:t>
      </w:r>
      <w:r w:rsidRPr="002E4BFA">
        <w:rPr>
          <w:rFonts w:ascii="Arial" w:hAnsi="Arial" w:cs="Arial"/>
          <w:lang w:val="en-GB"/>
        </w:rPr>
        <w:t xml:space="preserve"> </w:t>
      </w:r>
      <w:proofErr w:type="spellStart"/>
      <w:r w:rsidRPr="002E4BFA">
        <w:rPr>
          <w:rFonts w:ascii="Arial" w:hAnsi="Arial" w:cs="Arial"/>
          <w:lang w:val="en-GB"/>
        </w:rPr>
        <w:t>Liscai</w:t>
      </w:r>
      <w:proofErr w:type="spellEnd"/>
      <w:r w:rsidRPr="002E4BFA">
        <w:rPr>
          <w:rFonts w:ascii="Arial" w:hAnsi="Arial" w:cs="Arial"/>
          <w:lang w:val="en-GB"/>
        </w:rPr>
        <w:t xml:space="preserve"> A (2022) Towards a socially just green transition: The role of welfare states and public finances. In</w:t>
      </w:r>
      <w:r w:rsidR="00AD5282" w:rsidRPr="002E4BFA">
        <w:rPr>
          <w:rFonts w:ascii="Arial" w:hAnsi="Arial" w:cs="Arial"/>
          <w:lang w:val="en-GB"/>
        </w:rPr>
        <w:t>:</w:t>
      </w:r>
      <w:r w:rsidRPr="002E4BFA">
        <w:rPr>
          <w:rFonts w:ascii="Arial" w:hAnsi="Arial" w:cs="Arial"/>
          <w:lang w:val="en-GB"/>
        </w:rPr>
        <w:t xml:space="preserve"> </w:t>
      </w:r>
      <w:proofErr w:type="spellStart"/>
      <w:r w:rsidRPr="002E4BFA">
        <w:rPr>
          <w:rFonts w:ascii="Arial" w:hAnsi="Arial" w:cs="Arial"/>
          <w:lang w:val="en-GB"/>
        </w:rPr>
        <w:t>Saraceno</w:t>
      </w:r>
      <w:proofErr w:type="spellEnd"/>
      <w:r w:rsidRPr="002E4BFA">
        <w:rPr>
          <w:rFonts w:ascii="Arial" w:hAnsi="Arial" w:cs="Arial"/>
          <w:lang w:val="en-GB"/>
        </w:rPr>
        <w:t xml:space="preserve"> F</w:t>
      </w:r>
      <w:r w:rsidR="00A34585" w:rsidRPr="002E4BFA">
        <w:rPr>
          <w:rFonts w:ascii="Arial" w:hAnsi="Arial" w:cs="Arial"/>
          <w:lang w:val="en-GB"/>
        </w:rPr>
        <w:t xml:space="preserve"> and </w:t>
      </w:r>
      <w:proofErr w:type="spellStart"/>
      <w:r w:rsidRPr="002E4BFA">
        <w:rPr>
          <w:rFonts w:ascii="Arial" w:hAnsi="Arial" w:cs="Arial"/>
          <w:lang w:val="en-GB"/>
        </w:rPr>
        <w:t>Cerniglia</w:t>
      </w:r>
      <w:proofErr w:type="spellEnd"/>
      <w:r w:rsidRPr="002E4BFA">
        <w:rPr>
          <w:rFonts w:ascii="Arial" w:hAnsi="Arial" w:cs="Arial"/>
          <w:lang w:val="en-GB"/>
        </w:rPr>
        <w:t xml:space="preserve"> F (eds) </w:t>
      </w:r>
      <w:r w:rsidRPr="002E4BFA">
        <w:rPr>
          <w:rFonts w:ascii="Arial" w:hAnsi="Arial" w:cs="Arial"/>
          <w:i/>
          <w:iCs/>
          <w:lang w:val="en-GB"/>
        </w:rPr>
        <w:t>Greening Europe: 2022 European Public Investment Outlook</w:t>
      </w:r>
      <w:r w:rsidRPr="002E4BFA">
        <w:rPr>
          <w:rFonts w:ascii="Arial" w:hAnsi="Arial" w:cs="Arial"/>
          <w:lang w:val="en-GB"/>
        </w:rPr>
        <w:t>. </w:t>
      </w:r>
      <w:r w:rsidR="00E35974" w:rsidRPr="002E4BFA">
        <w:rPr>
          <w:rFonts w:ascii="Arial" w:hAnsi="Arial" w:cs="Arial"/>
          <w:lang w:val="en-GB"/>
        </w:rPr>
        <w:t>Cambridge:</w:t>
      </w:r>
      <w:r w:rsidR="00AD5282" w:rsidRPr="002E4BFA">
        <w:rPr>
          <w:rFonts w:ascii="Arial" w:hAnsi="Arial" w:cs="Arial"/>
          <w:lang w:val="en-GB"/>
        </w:rPr>
        <w:t xml:space="preserve"> </w:t>
      </w:r>
      <w:r w:rsidRPr="002E4BFA">
        <w:rPr>
          <w:rFonts w:ascii="Arial" w:hAnsi="Arial" w:cs="Arial"/>
          <w:lang w:val="en-GB"/>
        </w:rPr>
        <w:t>Open Book Publishers</w:t>
      </w:r>
      <w:r w:rsidR="00601FC6" w:rsidRPr="002E4BFA">
        <w:rPr>
          <w:rFonts w:ascii="Arial" w:hAnsi="Arial" w:cs="Arial"/>
          <w:lang w:val="en-GB"/>
        </w:rPr>
        <w:t>, pp.</w:t>
      </w:r>
      <w:r w:rsidR="0071681E" w:rsidRPr="002E4BFA">
        <w:rPr>
          <w:rFonts w:ascii="Arial" w:hAnsi="Arial" w:cs="Arial"/>
          <w:lang w:val="en-GB"/>
        </w:rPr>
        <w:t xml:space="preserve"> 187-199</w:t>
      </w:r>
      <w:r w:rsidRPr="002E4BFA">
        <w:rPr>
          <w:rFonts w:ascii="Arial" w:hAnsi="Arial" w:cs="Arial"/>
          <w:lang w:val="en-GB"/>
        </w:rPr>
        <w:t>.</w:t>
      </w:r>
    </w:p>
    <w:p w14:paraId="393C8E4B" w14:textId="38BC1557" w:rsidR="00EC3FA7" w:rsidRPr="002E4BFA" w:rsidRDefault="00EC3FA7" w:rsidP="004003E3">
      <w:pPr>
        <w:spacing w:line="360" w:lineRule="auto"/>
        <w:ind w:left="284" w:hanging="284"/>
        <w:jc w:val="left"/>
        <w:rPr>
          <w:rFonts w:ascii="Arial" w:hAnsi="Arial" w:cs="Arial"/>
          <w:lang w:val="en-GB"/>
        </w:rPr>
      </w:pPr>
      <w:r w:rsidRPr="002E4BFA">
        <w:rPr>
          <w:rFonts w:ascii="Arial" w:hAnsi="Arial" w:cs="Arial"/>
          <w:lang w:val="en-GB"/>
        </w:rPr>
        <w:t>Boasson EL</w:t>
      </w:r>
      <w:r w:rsidR="00580ECC" w:rsidRPr="002E4BFA">
        <w:rPr>
          <w:rFonts w:ascii="Arial" w:hAnsi="Arial" w:cs="Arial"/>
          <w:lang w:val="en-GB"/>
        </w:rPr>
        <w:t xml:space="preserve"> and</w:t>
      </w:r>
      <w:r w:rsidRPr="002E4BFA">
        <w:rPr>
          <w:rFonts w:ascii="Arial" w:hAnsi="Arial" w:cs="Arial"/>
          <w:lang w:val="en-GB"/>
        </w:rPr>
        <w:t xml:space="preserve"> Tatham M (2022) Climate policy: from complexity to consensus? </w:t>
      </w:r>
      <w:r w:rsidRPr="002E4BFA">
        <w:rPr>
          <w:rFonts w:ascii="Arial" w:hAnsi="Arial" w:cs="Arial"/>
          <w:i/>
          <w:iCs/>
          <w:lang w:val="en-GB"/>
        </w:rPr>
        <w:t>Journal of European Public Policy</w:t>
      </w:r>
      <w:r w:rsidR="00635188" w:rsidRPr="002E4BFA">
        <w:rPr>
          <w:rFonts w:ascii="Arial" w:hAnsi="Arial" w:cs="Arial"/>
          <w:lang w:val="en-GB"/>
        </w:rPr>
        <w:t xml:space="preserve"> 30(3): </w:t>
      </w:r>
      <w:r w:rsidR="00D87135" w:rsidRPr="002E4BFA">
        <w:rPr>
          <w:rFonts w:ascii="Arial" w:hAnsi="Arial" w:cs="Arial"/>
          <w:lang w:val="en-GB"/>
        </w:rPr>
        <w:t>401</w:t>
      </w:r>
      <w:r w:rsidR="00D87135" w:rsidRPr="002E4BFA">
        <w:rPr>
          <w:rFonts w:ascii="Arial" w:hAnsi="Arial" w:cs="Arial"/>
        </w:rPr>
        <w:t>–</w:t>
      </w:r>
      <w:r w:rsidR="00D87135" w:rsidRPr="002E4BFA">
        <w:rPr>
          <w:rFonts w:ascii="Arial" w:hAnsi="Arial" w:cs="Arial"/>
          <w:lang w:val="en-GB"/>
        </w:rPr>
        <w:t>424.</w:t>
      </w:r>
    </w:p>
    <w:p w14:paraId="632BA0B8" w14:textId="5113E761" w:rsidR="00EC3FA7" w:rsidRPr="002E4BFA" w:rsidRDefault="00EC3FA7" w:rsidP="004003E3">
      <w:pPr>
        <w:spacing w:line="360" w:lineRule="auto"/>
        <w:ind w:left="284" w:hanging="284"/>
        <w:jc w:val="left"/>
        <w:rPr>
          <w:rFonts w:ascii="Arial" w:eastAsia="Times New Roman" w:hAnsi="Arial" w:cs="Arial"/>
          <w:shd w:val="clear" w:color="auto" w:fill="FFFFFF"/>
          <w:lang w:val="en-GB" w:eastAsia="en-GB"/>
        </w:rPr>
      </w:pPr>
      <w:r w:rsidRPr="002E4BFA">
        <w:rPr>
          <w:rFonts w:ascii="Arial" w:eastAsia="Times New Roman" w:hAnsi="Arial" w:cs="Arial"/>
          <w:shd w:val="clear" w:color="auto" w:fill="FFFFFF"/>
          <w:lang w:val="en-GB" w:eastAsia="en-GB"/>
        </w:rPr>
        <w:t xml:space="preserve">Copeland P (2019) </w:t>
      </w:r>
      <w:r w:rsidRPr="002E4BFA">
        <w:rPr>
          <w:rFonts w:ascii="Arial" w:eastAsia="Times New Roman" w:hAnsi="Arial" w:cs="Arial"/>
          <w:i/>
          <w:iCs/>
          <w:shd w:val="clear" w:color="auto" w:fill="FFFFFF"/>
          <w:lang w:val="en-GB" w:eastAsia="en-GB"/>
        </w:rPr>
        <w:t>Governance and the European Social Dimension: Politics, Power and the Social Deficit in a Post-2010 EU</w:t>
      </w:r>
      <w:r w:rsidRPr="002E4BFA">
        <w:rPr>
          <w:rFonts w:ascii="Arial" w:eastAsia="Times New Roman" w:hAnsi="Arial" w:cs="Arial"/>
          <w:shd w:val="clear" w:color="auto" w:fill="FFFFFF"/>
          <w:lang w:val="en-GB" w:eastAsia="en-GB"/>
        </w:rPr>
        <w:t xml:space="preserve">. </w:t>
      </w:r>
      <w:proofErr w:type="spellStart"/>
      <w:proofErr w:type="gramStart"/>
      <w:r w:rsidRPr="002E4BFA">
        <w:rPr>
          <w:rFonts w:ascii="Arial" w:eastAsia="Times New Roman" w:hAnsi="Arial" w:cs="Arial"/>
          <w:shd w:val="clear" w:color="auto" w:fill="FFFFFF"/>
          <w:lang w:val="en-GB" w:eastAsia="en-GB"/>
        </w:rPr>
        <w:t>Abingdon</w:t>
      </w:r>
      <w:r w:rsidR="00601FC6" w:rsidRPr="002E4BFA">
        <w:rPr>
          <w:rFonts w:ascii="Arial" w:eastAsia="Times New Roman" w:hAnsi="Arial" w:cs="Arial"/>
          <w:shd w:val="clear" w:color="auto" w:fill="FFFFFF"/>
          <w:lang w:val="en-GB" w:eastAsia="en-GB"/>
        </w:rPr>
        <w:t>;</w:t>
      </w:r>
      <w:r w:rsidRPr="002E4BFA">
        <w:rPr>
          <w:rFonts w:ascii="Arial" w:eastAsia="Times New Roman" w:hAnsi="Arial" w:cs="Arial"/>
          <w:shd w:val="clear" w:color="auto" w:fill="FFFFFF"/>
          <w:lang w:val="en-GB" w:eastAsia="en-GB"/>
        </w:rPr>
        <w:t>New</w:t>
      </w:r>
      <w:proofErr w:type="spellEnd"/>
      <w:proofErr w:type="gramEnd"/>
      <w:r w:rsidRPr="002E4BFA">
        <w:rPr>
          <w:rFonts w:ascii="Arial" w:eastAsia="Times New Roman" w:hAnsi="Arial" w:cs="Arial"/>
          <w:shd w:val="clear" w:color="auto" w:fill="FFFFFF"/>
          <w:lang w:val="en-GB" w:eastAsia="en-GB"/>
        </w:rPr>
        <w:t xml:space="preserve"> York: Routledge.</w:t>
      </w:r>
    </w:p>
    <w:p w14:paraId="5421635C" w14:textId="5B84E7AF" w:rsidR="00152E14" w:rsidRPr="002E4BFA" w:rsidRDefault="00EC3FA7" w:rsidP="00C6263F">
      <w:pPr>
        <w:shd w:val="clear" w:color="auto" w:fill="FFFFFF"/>
        <w:spacing w:line="360" w:lineRule="auto"/>
        <w:ind w:left="284" w:hanging="284"/>
        <w:jc w:val="left"/>
        <w:rPr>
          <w:rFonts w:ascii="Open Sans" w:hAnsi="Open Sans" w:cs="Open Sans"/>
          <w:color w:val="767676"/>
        </w:rPr>
      </w:pPr>
      <w:r w:rsidRPr="002E4BFA">
        <w:rPr>
          <w:rFonts w:ascii="Arial" w:hAnsi="Arial" w:cs="Arial"/>
          <w:lang w:val="en-GB"/>
        </w:rPr>
        <w:t>Corti F</w:t>
      </w:r>
      <w:r w:rsidR="00A645B5" w:rsidRPr="002E4BFA">
        <w:rPr>
          <w:rFonts w:ascii="Arial" w:hAnsi="Arial" w:cs="Arial"/>
          <w:lang w:val="en-GB"/>
        </w:rPr>
        <w:t xml:space="preserve"> and</w:t>
      </w:r>
      <w:r w:rsidRPr="002E4BFA">
        <w:rPr>
          <w:rFonts w:ascii="Arial" w:hAnsi="Arial" w:cs="Arial"/>
          <w:lang w:val="en-GB"/>
        </w:rPr>
        <w:t xml:space="preserve"> </w:t>
      </w:r>
      <w:proofErr w:type="spellStart"/>
      <w:r w:rsidRPr="002E4BFA">
        <w:rPr>
          <w:rFonts w:ascii="Arial" w:hAnsi="Arial" w:cs="Arial"/>
          <w:lang w:val="en-GB"/>
        </w:rPr>
        <w:t>Vesan</w:t>
      </w:r>
      <w:proofErr w:type="spellEnd"/>
      <w:r w:rsidRPr="002E4BFA">
        <w:rPr>
          <w:rFonts w:ascii="Arial" w:hAnsi="Arial" w:cs="Arial"/>
          <w:lang w:val="en-GB"/>
        </w:rPr>
        <w:t xml:space="preserve"> P (</w:t>
      </w:r>
      <w:r w:rsidR="00E330A0" w:rsidRPr="002E4BFA">
        <w:rPr>
          <w:rFonts w:ascii="Arial" w:hAnsi="Arial" w:cs="Arial"/>
          <w:lang w:val="en-GB"/>
        </w:rPr>
        <w:t>20</w:t>
      </w:r>
      <w:r w:rsidR="00FD1FD8" w:rsidRPr="002E4BFA">
        <w:rPr>
          <w:rFonts w:ascii="Arial" w:hAnsi="Arial" w:cs="Arial"/>
          <w:lang w:val="en-GB"/>
        </w:rPr>
        <w:t>23</w:t>
      </w:r>
      <w:r w:rsidRPr="002E4BFA">
        <w:rPr>
          <w:rFonts w:ascii="Arial" w:hAnsi="Arial" w:cs="Arial"/>
          <w:lang w:val="en-GB"/>
        </w:rPr>
        <w:t xml:space="preserve">) From austerity-conditionality to a social inclusive post pandemic recovery: Social Europe after Next Generation EU. </w:t>
      </w:r>
      <w:r w:rsidRPr="002E4BFA">
        <w:rPr>
          <w:rFonts w:ascii="Arial" w:hAnsi="Arial" w:cs="Arial"/>
          <w:i/>
          <w:iCs/>
          <w:lang w:val="en-GB"/>
        </w:rPr>
        <w:t>Social Policy and Administration</w:t>
      </w:r>
      <w:r w:rsidRPr="002E4BFA">
        <w:rPr>
          <w:rFonts w:ascii="Arial" w:hAnsi="Arial" w:cs="Arial"/>
          <w:lang w:val="en-GB"/>
        </w:rPr>
        <w:t>.</w:t>
      </w:r>
      <w:r w:rsidR="00861DEA" w:rsidRPr="002E4BFA">
        <w:rPr>
          <w:rFonts w:ascii="Arial" w:hAnsi="Arial" w:cs="Arial"/>
          <w:lang w:val="en-GB"/>
        </w:rPr>
        <w:t xml:space="preserve"> </w:t>
      </w:r>
      <w:proofErr w:type="spellStart"/>
      <w:r w:rsidR="00BF245E" w:rsidRPr="002E4BFA">
        <w:rPr>
          <w:rFonts w:ascii="Arial" w:hAnsi="Arial" w:cs="Arial"/>
          <w:lang w:val="en-GB"/>
        </w:rPr>
        <w:t>Epub</w:t>
      </w:r>
      <w:proofErr w:type="spellEnd"/>
      <w:r w:rsidR="00BF245E" w:rsidRPr="002E4BFA">
        <w:rPr>
          <w:rFonts w:ascii="Arial" w:hAnsi="Arial" w:cs="Arial"/>
          <w:lang w:val="en-GB"/>
        </w:rPr>
        <w:t xml:space="preserve"> ahead of print DOI: </w:t>
      </w:r>
      <w:r w:rsidR="00152E14" w:rsidRPr="002E4BFA">
        <w:rPr>
          <w:rFonts w:ascii="Arial" w:hAnsi="Arial" w:cs="Arial"/>
          <w:lang w:val="en-GB"/>
        </w:rPr>
        <w:t xml:space="preserve">20 February 2023. </w:t>
      </w:r>
      <w:r w:rsidR="001C060D" w:rsidRPr="002E4BFA">
        <w:rPr>
          <w:rFonts w:ascii="Arial" w:hAnsi="Arial" w:cs="Arial"/>
          <w:lang w:val="en-GB"/>
        </w:rPr>
        <w:t xml:space="preserve">DOI: </w:t>
      </w:r>
      <w:hyperlink r:id="rId9" w:history="1">
        <w:r w:rsidR="00152E14" w:rsidRPr="002E4BFA">
          <w:rPr>
            <w:rFonts w:ascii="Arial" w:hAnsi="Arial" w:cs="Arial"/>
            <w:lang w:val="en-GB"/>
          </w:rPr>
          <w:t>https://doi.org/10.1111/spol.12906</w:t>
        </w:r>
      </w:hyperlink>
      <w:r w:rsidR="001C060D" w:rsidRPr="002E4BFA">
        <w:rPr>
          <w:rFonts w:ascii="Arial" w:hAnsi="Arial" w:cs="Arial"/>
          <w:lang w:val="en-GB"/>
        </w:rPr>
        <w:t>.</w:t>
      </w:r>
    </w:p>
    <w:p w14:paraId="76331B92" w14:textId="554282A5" w:rsidR="00EC3FA7" w:rsidRPr="002E4BFA" w:rsidRDefault="00EC3FA7">
      <w:pPr>
        <w:spacing w:line="360" w:lineRule="auto"/>
        <w:ind w:left="284" w:hanging="284"/>
        <w:jc w:val="left"/>
        <w:rPr>
          <w:rFonts w:ascii="Arial" w:hAnsi="Arial" w:cs="Arial"/>
          <w:iCs/>
          <w:lang w:val="en-GB"/>
        </w:rPr>
      </w:pPr>
      <w:r w:rsidRPr="002E4BFA">
        <w:rPr>
          <w:rFonts w:ascii="Arial" w:hAnsi="Arial" w:cs="Arial"/>
          <w:iCs/>
          <w:lang w:val="en-GB"/>
        </w:rPr>
        <w:t xml:space="preserve">Council of the European Union (2022) Council Recommendation 2022/C 243/04 of 16 June 2022 on ensuring a fair transition towards climate neutrality, 27 June 2022, Brussels. Available at: </w:t>
      </w:r>
      <w:hyperlink r:id="rId10" w:history="1">
        <w:r w:rsidRPr="002E4BFA">
          <w:rPr>
            <w:rStyle w:val="Hyperlink"/>
            <w:rFonts w:ascii="Arial" w:hAnsi="Arial" w:cs="Arial"/>
            <w:iCs/>
            <w:color w:val="auto"/>
            <w:lang w:val="en-GB"/>
          </w:rPr>
          <w:t>https://eur-lex.europa.eu/legal-</w:t>
        </w:r>
        <w:r w:rsidRPr="002E4BFA">
          <w:rPr>
            <w:rStyle w:val="Hyperlink"/>
            <w:rFonts w:ascii="Arial" w:hAnsi="Arial" w:cs="Arial"/>
            <w:iCs/>
            <w:color w:val="auto"/>
            <w:lang w:val="en-GB"/>
          </w:rPr>
          <w:lastRenderedPageBreak/>
          <w:t>content/EN/TXT/PDF/?uri=CELEX:32022H0627(04)&amp;qid=1665488641862&amp;from=EN</w:t>
        </w:r>
      </w:hyperlink>
      <w:r w:rsidRPr="002E4BFA">
        <w:rPr>
          <w:rFonts w:ascii="Arial" w:hAnsi="Arial" w:cs="Arial"/>
          <w:iCs/>
          <w:lang w:val="en-GB"/>
        </w:rPr>
        <w:t xml:space="preserve"> (</w:t>
      </w:r>
      <w:r w:rsidR="009D008A" w:rsidRPr="002E4BFA">
        <w:rPr>
          <w:rFonts w:ascii="Arial" w:hAnsi="Arial" w:cs="Arial"/>
          <w:iCs/>
          <w:lang w:val="en-GB"/>
        </w:rPr>
        <w:t>accessed</w:t>
      </w:r>
      <w:r w:rsidRPr="002E4BFA">
        <w:rPr>
          <w:rFonts w:ascii="Arial" w:hAnsi="Arial" w:cs="Arial"/>
          <w:iCs/>
          <w:lang w:val="en-GB"/>
        </w:rPr>
        <w:t xml:space="preserve"> 6 October 2022)</w:t>
      </w:r>
      <w:r w:rsidR="009D008A" w:rsidRPr="002E4BFA">
        <w:rPr>
          <w:rFonts w:ascii="Arial" w:hAnsi="Arial" w:cs="Arial"/>
          <w:iCs/>
          <w:lang w:val="en-GB"/>
        </w:rPr>
        <w:t>.</w:t>
      </w:r>
    </w:p>
    <w:p w14:paraId="7FD77CF7" w14:textId="77777777" w:rsidR="00FD1FD8" w:rsidRPr="002E4BFA" w:rsidRDefault="00FD1FD8" w:rsidP="00FD1FD8">
      <w:pPr>
        <w:spacing w:line="360" w:lineRule="auto"/>
        <w:ind w:left="284" w:hanging="284"/>
        <w:jc w:val="left"/>
        <w:rPr>
          <w:rFonts w:ascii="Arial" w:hAnsi="Arial" w:cs="Arial"/>
          <w:i/>
          <w:lang w:val="en-GB"/>
        </w:rPr>
      </w:pPr>
      <w:proofErr w:type="spellStart"/>
      <w:r w:rsidRPr="002E4BFA">
        <w:rPr>
          <w:rFonts w:ascii="Arial" w:hAnsi="Arial" w:cs="Arial"/>
          <w:lang w:val="en-GB"/>
        </w:rPr>
        <w:t>Crespy</w:t>
      </w:r>
      <w:proofErr w:type="spellEnd"/>
      <w:r w:rsidRPr="002E4BFA">
        <w:rPr>
          <w:rFonts w:ascii="Arial" w:hAnsi="Arial" w:cs="Arial"/>
          <w:lang w:val="en-GB"/>
        </w:rPr>
        <w:t xml:space="preserve"> A (2022) </w:t>
      </w:r>
      <w:r w:rsidRPr="002E4BFA">
        <w:rPr>
          <w:rFonts w:ascii="Arial" w:hAnsi="Arial" w:cs="Arial"/>
          <w:i/>
          <w:iCs/>
          <w:lang w:val="en-GB"/>
        </w:rPr>
        <w:t>The European Social Question. Tackling Key Controversies</w:t>
      </w:r>
      <w:r w:rsidRPr="002E4BFA">
        <w:rPr>
          <w:rFonts w:ascii="Arial" w:hAnsi="Arial" w:cs="Arial"/>
          <w:lang w:val="en-GB"/>
        </w:rPr>
        <w:t xml:space="preserve">. Newcastle: </w:t>
      </w:r>
      <w:r w:rsidRPr="002E4BFA">
        <w:rPr>
          <w:rFonts w:ascii="Arial" w:hAnsi="Arial" w:cs="Arial"/>
          <w:iCs/>
          <w:lang w:val="en-GB"/>
        </w:rPr>
        <w:t>Agenda</w:t>
      </w:r>
      <w:r w:rsidRPr="002E4BFA">
        <w:rPr>
          <w:rFonts w:ascii="Arial" w:hAnsi="Arial" w:cs="Arial"/>
          <w:i/>
          <w:lang w:val="en-GB"/>
        </w:rPr>
        <w:t>.</w:t>
      </w:r>
    </w:p>
    <w:p w14:paraId="21B5A7DA" w14:textId="09D129FC" w:rsidR="00EC3FA7" w:rsidRPr="002E4BFA" w:rsidRDefault="00EC3FA7" w:rsidP="004003E3">
      <w:pPr>
        <w:spacing w:line="360" w:lineRule="auto"/>
        <w:ind w:left="284" w:hanging="284"/>
        <w:jc w:val="left"/>
        <w:rPr>
          <w:rFonts w:ascii="Arial" w:hAnsi="Arial" w:cs="Arial"/>
          <w:lang w:val="en-GB"/>
        </w:rPr>
      </w:pPr>
      <w:proofErr w:type="spellStart"/>
      <w:r w:rsidRPr="002E4BFA">
        <w:rPr>
          <w:rFonts w:ascii="Arial" w:hAnsi="Arial" w:cs="Arial"/>
          <w:lang w:val="en-GB"/>
        </w:rPr>
        <w:t>Defard</w:t>
      </w:r>
      <w:proofErr w:type="spellEnd"/>
      <w:r w:rsidRPr="002E4BFA">
        <w:rPr>
          <w:rFonts w:ascii="Arial" w:hAnsi="Arial" w:cs="Arial"/>
          <w:lang w:val="en-GB"/>
        </w:rPr>
        <w:t xml:space="preserve"> C (2021) Putting the Cart before the Horse? Perspectives on a potential ETS on residential buildings. </w:t>
      </w:r>
      <w:r w:rsidR="00CB1EED" w:rsidRPr="002E4BFA">
        <w:rPr>
          <w:rFonts w:ascii="Arial" w:hAnsi="Arial" w:cs="Arial"/>
          <w:lang w:val="en-GB"/>
        </w:rPr>
        <w:t xml:space="preserve">Policy Paper 268, </w:t>
      </w:r>
      <w:r w:rsidRPr="002E4BFA">
        <w:rPr>
          <w:rFonts w:ascii="Arial" w:hAnsi="Arial" w:cs="Arial"/>
          <w:i/>
          <w:lang w:val="en-GB"/>
        </w:rPr>
        <w:t>Notre Europe</w:t>
      </w:r>
      <w:r w:rsidRPr="002E4BFA">
        <w:rPr>
          <w:rFonts w:ascii="Arial" w:hAnsi="Arial" w:cs="Arial"/>
          <w:lang w:val="en-GB"/>
        </w:rPr>
        <w:t xml:space="preserve">, June 2021. Available at: </w:t>
      </w:r>
      <w:hyperlink r:id="rId11" w:history="1">
        <w:r w:rsidRPr="002E4BFA">
          <w:rPr>
            <w:rStyle w:val="Hyperlink"/>
            <w:rFonts w:ascii="Arial" w:hAnsi="Arial" w:cs="Arial"/>
            <w:color w:val="auto"/>
            <w:lang w:val="en-GB"/>
          </w:rPr>
          <w:t>https://institutdelors.eu/wp-content/uploads/2021/07/PP268_Putting-the-cart-before-the-horse_Defard.pdf</w:t>
        </w:r>
      </w:hyperlink>
      <w:r w:rsidRPr="002E4BFA">
        <w:rPr>
          <w:rFonts w:ascii="Arial" w:hAnsi="Arial" w:cs="Arial"/>
          <w:lang w:val="en-GB"/>
        </w:rPr>
        <w:t xml:space="preserve"> (</w:t>
      </w:r>
      <w:r w:rsidR="000F75A3" w:rsidRPr="002E4BFA">
        <w:rPr>
          <w:rFonts w:ascii="Arial" w:hAnsi="Arial" w:cs="Arial"/>
          <w:lang w:val="en-GB"/>
        </w:rPr>
        <w:t>accessed</w:t>
      </w:r>
      <w:r w:rsidRPr="002E4BFA">
        <w:rPr>
          <w:rFonts w:ascii="Arial" w:hAnsi="Arial" w:cs="Arial"/>
          <w:lang w:val="en-GB"/>
        </w:rPr>
        <w:t xml:space="preserve"> 6 October 2022)</w:t>
      </w:r>
      <w:r w:rsidR="000F75A3" w:rsidRPr="002E4BFA">
        <w:rPr>
          <w:rFonts w:ascii="Arial" w:hAnsi="Arial" w:cs="Arial"/>
          <w:lang w:val="en-GB"/>
        </w:rPr>
        <w:t>.</w:t>
      </w:r>
    </w:p>
    <w:p w14:paraId="50F51AC1" w14:textId="6E498E71" w:rsidR="00EC3FA7" w:rsidRPr="002E4BFA" w:rsidRDefault="00EC3FA7" w:rsidP="004003E3">
      <w:pPr>
        <w:spacing w:line="360" w:lineRule="auto"/>
        <w:ind w:left="284" w:hanging="284"/>
        <w:jc w:val="left"/>
        <w:rPr>
          <w:rFonts w:ascii="Arial" w:hAnsi="Arial" w:cs="Arial"/>
          <w:lang w:val="en-GB"/>
        </w:rPr>
      </w:pPr>
      <w:proofErr w:type="spellStart"/>
      <w:r w:rsidRPr="002E4BFA">
        <w:rPr>
          <w:rFonts w:ascii="Arial" w:hAnsi="Arial" w:cs="Arial"/>
          <w:lang w:val="en-GB"/>
        </w:rPr>
        <w:t>Defard</w:t>
      </w:r>
      <w:proofErr w:type="spellEnd"/>
      <w:r w:rsidRPr="002E4BFA">
        <w:rPr>
          <w:rFonts w:ascii="Arial" w:hAnsi="Arial" w:cs="Arial"/>
          <w:lang w:val="en-GB"/>
        </w:rPr>
        <w:t xml:space="preserve"> C (2022) The need for a socially just European Green Deal. Lessons from the Yellow Vests Movement. </w:t>
      </w:r>
      <w:r w:rsidR="00CB1EED" w:rsidRPr="002E4BFA">
        <w:rPr>
          <w:rFonts w:ascii="Arial" w:hAnsi="Arial" w:cs="Arial"/>
          <w:lang w:val="en-GB"/>
        </w:rPr>
        <w:t xml:space="preserve">Policy Paper 277, </w:t>
      </w:r>
      <w:r w:rsidRPr="002E4BFA">
        <w:rPr>
          <w:rFonts w:ascii="Arial" w:hAnsi="Arial" w:cs="Arial"/>
          <w:i/>
          <w:iCs/>
          <w:lang w:val="en-GB"/>
        </w:rPr>
        <w:t>Notre Europe</w:t>
      </w:r>
      <w:r w:rsidRPr="002E4BFA">
        <w:rPr>
          <w:rFonts w:ascii="Arial" w:hAnsi="Arial" w:cs="Arial"/>
          <w:lang w:val="en-GB"/>
        </w:rPr>
        <w:t xml:space="preserve">, June 2022. Available at: </w:t>
      </w:r>
      <w:hyperlink r:id="rId12" w:history="1">
        <w:r w:rsidRPr="002E4BFA">
          <w:rPr>
            <w:rStyle w:val="Hyperlink"/>
            <w:rFonts w:ascii="Arial" w:hAnsi="Arial" w:cs="Arial"/>
            <w:color w:val="auto"/>
            <w:lang w:val="en-GB"/>
          </w:rPr>
          <w:t>https://institutdelors.eu/wp-content/uploads/2022/06/PP277_The-need-for-a-socially-just-European-Green-Deal_Defard_EN.pdf</w:t>
        </w:r>
      </w:hyperlink>
      <w:r w:rsidRPr="002E4BFA">
        <w:rPr>
          <w:rFonts w:ascii="Arial" w:hAnsi="Arial" w:cs="Arial"/>
          <w:lang w:val="en-GB"/>
        </w:rPr>
        <w:t xml:space="preserve"> (</w:t>
      </w:r>
      <w:r w:rsidR="002D61DB" w:rsidRPr="002E4BFA">
        <w:rPr>
          <w:rFonts w:ascii="Arial" w:hAnsi="Arial" w:cs="Arial"/>
          <w:lang w:val="en-GB"/>
        </w:rPr>
        <w:t>accessed</w:t>
      </w:r>
      <w:r w:rsidRPr="002E4BFA">
        <w:rPr>
          <w:rFonts w:ascii="Arial" w:hAnsi="Arial" w:cs="Arial"/>
          <w:lang w:val="en-GB"/>
        </w:rPr>
        <w:t xml:space="preserve"> 6 October 2022)</w:t>
      </w:r>
    </w:p>
    <w:p w14:paraId="66103FAB" w14:textId="77777777" w:rsidR="00EC3FA7" w:rsidRPr="002E4BFA" w:rsidRDefault="00EC3FA7" w:rsidP="004003E3">
      <w:pPr>
        <w:spacing w:line="360" w:lineRule="auto"/>
        <w:ind w:left="284" w:hanging="284"/>
        <w:jc w:val="left"/>
        <w:rPr>
          <w:rFonts w:ascii="Arial" w:eastAsia="Times New Roman" w:hAnsi="Arial" w:cs="Arial"/>
          <w:lang w:val="en-GB" w:eastAsia="en-GB"/>
        </w:rPr>
      </w:pPr>
      <w:proofErr w:type="spellStart"/>
      <w:r w:rsidRPr="002E4BFA">
        <w:rPr>
          <w:rFonts w:ascii="Arial" w:eastAsia="Times New Roman" w:hAnsi="Arial" w:cs="Arial"/>
          <w:shd w:val="clear" w:color="auto" w:fill="FFFFFF"/>
          <w:lang w:val="en-GB" w:eastAsia="en-GB"/>
        </w:rPr>
        <w:t>Dryzek</w:t>
      </w:r>
      <w:proofErr w:type="spellEnd"/>
      <w:r w:rsidRPr="002E4BFA">
        <w:rPr>
          <w:rFonts w:ascii="Arial" w:eastAsia="Times New Roman" w:hAnsi="Arial" w:cs="Arial"/>
          <w:shd w:val="clear" w:color="auto" w:fill="FFFFFF"/>
          <w:lang w:val="en-GB" w:eastAsia="en-GB"/>
        </w:rPr>
        <w:t xml:space="preserve"> J (2013) </w:t>
      </w:r>
      <w:r w:rsidRPr="002E4BFA">
        <w:rPr>
          <w:rFonts w:ascii="Arial" w:eastAsia="Times New Roman" w:hAnsi="Arial" w:cs="Arial"/>
          <w:i/>
          <w:iCs/>
          <w:shd w:val="clear" w:color="auto" w:fill="FFFFFF"/>
          <w:lang w:val="en-GB" w:eastAsia="en-GB"/>
        </w:rPr>
        <w:t>The Politics of the Earth. Environmental Discourses</w:t>
      </w:r>
      <w:r w:rsidRPr="002E4BFA">
        <w:rPr>
          <w:rFonts w:ascii="Arial" w:eastAsia="Times New Roman" w:hAnsi="Arial" w:cs="Arial"/>
          <w:shd w:val="clear" w:color="auto" w:fill="FFFFFF"/>
          <w:lang w:val="en-GB" w:eastAsia="en-GB"/>
        </w:rPr>
        <w:t xml:space="preserve">. 3rd </w:t>
      </w:r>
      <w:proofErr w:type="spellStart"/>
      <w:r w:rsidRPr="002E4BFA">
        <w:rPr>
          <w:rFonts w:ascii="Arial" w:eastAsia="Times New Roman" w:hAnsi="Arial" w:cs="Arial"/>
          <w:shd w:val="clear" w:color="auto" w:fill="FFFFFF"/>
          <w:lang w:val="en-GB" w:eastAsia="en-GB"/>
        </w:rPr>
        <w:t>edn</w:t>
      </w:r>
      <w:proofErr w:type="spellEnd"/>
      <w:r w:rsidRPr="002E4BFA">
        <w:rPr>
          <w:rFonts w:ascii="Arial" w:eastAsia="Times New Roman" w:hAnsi="Arial" w:cs="Arial"/>
          <w:shd w:val="clear" w:color="auto" w:fill="FFFFFF"/>
          <w:lang w:val="en-GB" w:eastAsia="en-GB"/>
        </w:rPr>
        <w:t>. Oxford: Oxford University Press.</w:t>
      </w:r>
    </w:p>
    <w:p w14:paraId="18676FFF" w14:textId="66306BFD" w:rsidR="00EC3FA7" w:rsidRPr="002E4BFA" w:rsidRDefault="00EC3FA7" w:rsidP="004003E3">
      <w:pPr>
        <w:spacing w:line="360" w:lineRule="auto"/>
        <w:ind w:left="284" w:hanging="284"/>
        <w:jc w:val="left"/>
        <w:rPr>
          <w:rFonts w:ascii="Arial" w:hAnsi="Arial" w:cs="Arial"/>
          <w:lang w:val="en-GB"/>
        </w:rPr>
      </w:pPr>
      <w:r w:rsidRPr="002E4BFA">
        <w:rPr>
          <w:rFonts w:ascii="Arial" w:hAnsi="Arial" w:cs="Arial"/>
          <w:lang w:val="en-GB"/>
        </w:rPr>
        <w:t>Dupont C</w:t>
      </w:r>
      <w:r w:rsidR="001C04BB" w:rsidRPr="002E4BFA">
        <w:rPr>
          <w:rFonts w:ascii="Arial" w:hAnsi="Arial" w:cs="Arial"/>
          <w:lang w:val="en-GB"/>
        </w:rPr>
        <w:t xml:space="preserve"> and</w:t>
      </w:r>
      <w:r w:rsidRPr="002E4BFA">
        <w:rPr>
          <w:rFonts w:ascii="Arial" w:hAnsi="Arial" w:cs="Arial"/>
          <w:lang w:val="en-GB"/>
        </w:rPr>
        <w:t xml:space="preserve"> Jordan A (2021) Policy Integration. In: Jordan A</w:t>
      </w:r>
      <w:r w:rsidR="00CB1EED" w:rsidRPr="002E4BFA">
        <w:rPr>
          <w:rFonts w:ascii="Arial" w:hAnsi="Arial" w:cs="Arial"/>
          <w:lang w:val="en-GB"/>
        </w:rPr>
        <w:t xml:space="preserve"> and</w:t>
      </w:r>
      <w:r w:rsidRPr="002E4BFA">
        <w:rPr>
          <w:rFonts w:ascii="Arial" w:hAnsi="Arial" w:cs="Arial"/>
          <w:lang w:val="en-GB"/>
        </w:rPr>
        <w:t xml:space="preserve"> </w:t>
      </w:r>
      <w:proofErr w:type="spellStart"/>
      <w:r w:rsidRPr="002E4BFA">
        <w:rPr>
          <w:rFonts w:ascii="Arial" w:hAnsi="Arial" w:cs="Arial"/>
          <w:lang w:val="en-GB"/>
        </w:rPr>
        <w:t>Gravey</w:t>
      </w:r>
      <w:proofErr w:type="spellEnd"/>
      <w:r w:rsidRPr="002E4BFA">
        <w:rPr>
          <w:rFonts w:ascii="Arial" w:hAnsi="Arial" w:cs="Arial"/>
          <w:lang w:val="en-GB"/>
        </w:rPr>
        <w:t xml:space="preserve"> V (eds) </w:t>
      </w:r>
      <w:r w:rsidRPr="002E4BFA">
        <w:rPr>
          <w:rFonts w:ascii="Arial" w:hAnsi="Arial" w:cs="Arial"/>
          <w:i/>
          <w:iCs/>
          <w:lang w:val="en-GB"/>
        </w:rPr>
        <w:t>Environmental Policy in the EU. Actors, Institutions and Processes</w:t>
      </w:r>
      <w:r w:rsidRPr="002E4BFA">
        <w:rPr>
          <w:rFonts w:ascii="Arial" w:hAnsi="Arial" w:cs="Arial"/>
          <w:lang w:val="en-GB"/>
        </w:rPr>
        <w:t xml:space="preserve">. 4th </w:t>
      </w:r>
      <w:proofErr w:type="spellStart"/>
      <w:r w:rsidRPr="002E4BFA">
        <w:rPr>
          <w:rFonts w:ascii="Arial" w:hAnsi="Arial" w:cs="Arial"/>
          <w:lang w:val="en-GB"/>
        </w:rPr>
        <w:t>edn</w:t>
      </w:r>
      <w:proofErr w:type="spellEnd"/>
      <w:r w:rsidRPr="002E4BFA">
        <w:rPr>
          <w:rFonts w:ascii="Arial" w:hAnsi="Arial" w:cs="Arial"/>
          <w:lang w:val="en-GB"/>
        </w:rPr>
        <w:t>. Abingdon</w:t>
      </w:r>
      <w:r w:rsidR="00CB1EED" w:rsidRPr="002E4BFA">
        <w:rPr>
          <w:rFonts w:ascii="Arial" w:hAnsi="Arial" w:cs="Arial"/>
          <w:lang w:val="en-GB"/>
        </w:rPr>
        <w:t>;</w:t>
      </w:r>
      <w:r w:rsidRPr="002E4BFA">
        <w:rPr>
          <w:rFonts w:ascii="Arial" w:hAnsi="Arial" w:cs="Arial"/>
          <w:lang w:val="en-GB"/>
        </w:rPr>
        <w:t xml:space="preserve"> New York: Routledge, pp. 203</w:t>
      </w:r>
      <w:r w:rsidR="004029A5" w:rsidRPr="002E4BFA">
        <w:rPr>
          <w:rFonts w:ascii="Arial" w:hAnsi="Arial" w:cs="Arial"/>
        </w:rPr>
        <w:t>–</w:t>
      </w:r>
      <w:r w:rsidRPr="002E4BFA">
        <w:rPr>
          <w:rFonts w:ascii="Arial" w:hAnsi="Arial" w:cs="Arial"/>
          <w:lang w:val="en-GB"/>
        </w:rPr>
        <w:t>219.</w:t>
      </w:r>
    </w:p>
    <w:p w14:paraId="53403A30" w14:textId="11B2A949" w:rsidR="00EC3FA7" w:rsidRPr="002E4BFA" w:rsidRDefault="00EC3FA7" w:rsidP="004003E3">
      <w:pPr>
        <w:spacing w:line="360" w:lineRule="auto"/>
        <w:ind w:left="284" w:hanging="284"/>
        <w:jc w:val="left"/>
        <w:rPr>
          <w:rFonts w:ascii="Arial" w:hAnsi="Arial" w:cs="Arial"/>
          <w:lang w:val="en-GB"/>
        </w:rPr>
      </w:pPr>
      <w:r w:rsidRPr="002E4BFA">
        <w:rPr>
          <w:rFonts w:ascii="Arial" w:hAnsi="Arial" w:cs="Arial"/>
          <w:lang w:val="en-GB"/>
        </w:rPr>
        <w:t xml:space="preserve">Dupont C, </w:t>
      </w:r>
      <w:proofErr w:type="spellStart"/>
      <w:r w:rsidRPr="002E4BFA">
        <w:rPr>
          <w:rFonts w:ascii="Arial" w:hAnsi="Arial" w:cs="Arial"/>
          <w:lang w:val="en-GB"/>
        </w:rPr>
        <w:t>Oberthür</w:t>
      </w:r>
      <w:proofErr w:type="spellEnd"/>
      <w:r w:rsidRPr="002E4BFA">
        <w:rPr>
          <w:rFonts w:ascii="Arial" w:hAnsi="Arial" w:cs="Arial"/>
          <w:lang w:val="en-GB"/>
        </w:rPr>
        <w:t xml:space="preserve"> </w:t>
      </w:r>
      <w:proofErr w:type="gramStart"/>
      <w:r w:rsidRPr="002E4BFA">
        <w:rPr>
          <w:rFonts w:ascii="Arial" w:hAnsi="Arial" w:cs="Arial"/>
          <w:lang w:val="en-GB"/>
        </w:rPr>
        <w:t>S</w:t>
      </w:r>
      <w:proofErr w:type="gramEnd"/>
      <w:r w:rsidR="00CB1EED" w:rsidRPr="002E4BFA">
        <w:rPr>
          <w:rFonts w:ascii="Arial" w:hAnsi="Arial" w:cs="Arial"/>
          <w:lang w:val="en-GB"/>
        </w:rPr>
        <w:t xml:space="preserve"> and</w:t>
      </w:r>
      <w:r w:rsidRPr="002E4BFA">
        <w:rPr>
          <w:rFonts w:ascii="Arial" w:hAnsi="Arial" w:cs="Arial"/>
          <w:lang w:val="en-GB"/>
        </w:rPr>
        <w:t xml:space="preserve"> von </w:t>
      </w:r>
      <w:proofErr w:type="spellStart"/>
      <w:r w:rsidRPr="002E4BFA">
        <w:rPr>
          <w:rFonts w:ascii="Arial" w:hAnsi="Arial" w:cs="Arial"/>
          <w:lang w:val="en-GB"/>
        </w:rPr>
        <w:t>Homeyer</w:t>
      </w:r>
      <w:proofErr w:type="spellEnd"/>
      <w:r w:rsidRPr="002E4BFA">
        <w:rPr>
          <w:rFonts w:ascii="Arial" w:hAnsi="Arial" w:cs="Arial"/>
          <w:lang w:val="en-GB"/>
        </w:rPr>
        <w:t xml:space="preserve"> I (2020) The Covid-19 crisis: a critical juncture for EU climate policy development? </w:t>
      </w:r>
      <w:r w:rsidRPr="002E4BFA">
        <w:rPr>
          <w:rFonts w:ascii="Arial" w:hAnsi="Arial" w:cs="Arial"/>
          <w:i/>
          <w:iCs/>
          <w:lang w:val="en-GB"/>
        </w:rPr>
        <w:t>Journal of European Integration</w:t>
      </w:r>
      <w:r w:rsidRPr="002E4BFA">
        <w:rPr>
          <w:rFonts w:ascii="Arial" w:hAnsi="Arial" w:cs="Arial"/>
          <w:lang w:val="en-GB"/>
        </w:rPr>
        <w:t xml:space="preserve"> 42(8): 1095</w:t>
      </w:r>
      <w:r w:rsidR="004029A5" w:rsidRPr="002E4BFA">
        <w:rPr>
          <w:rFonts w:ascii="Arial" w:hAnsi="Arial" w:cs="Arial"/>
        </w:rPr>
        <w:t>–</w:t>
      </w:r>
      <w:r w:rsidRPr="002E4BFA">
        <w:rPr>
          <w:rFonts w:ascii="Arial" w:hAnsi="Arial" w:cs="Arial"/>
          <w:lang w:val="en-GB"/>
        </w:rPr>
        <w:t>1110</w:t>
      </w:r>
      <w:r w:rsidR="004029A5" w:rsidRPr="002E4BFA">
        <w:rPr>
          <w:rFonts w:ascii="Arial" w:hAnsi="Arial" w:cs="Arial"/>
          <w:lang w:val="en-GB"/>
        </w:rPr>
        <w:t>.</w:t>
      </w:r>
    </w:p>
    <w:p w14:paraId="2420A3EB" w14:textId="24C6DF17" w:rsidR="00340261" w:rsidRPr="002E4BFA" w:rsidRDefault="00340261" w:rsidP="00340261">
      <w:pPr>
        <w:spacing w:line="360" w:lineRule="auto"/>
        <w:ind w:left="284" w:hanging="284"/>
        <w:jc w:val="left"/>
        <w:rPr>
          <w:rFonts w:ascii="Arial" w:hAnsi="Arial" w:cs="Arial"/>
          <w:bCs/>
          <w:lang w:val="en-GB"/>
        </w:rPr>
      </w:pPr>
      <w:r w:rsidRPr="002E4BFA">
        <w:rPr>
          <w:rFonts w:ascii="Arial" w:hAnsi="Arial" w:cs="Arial"/>
          <w:lang w:val="en-GB"/>
        </w:rPr>
        <w:t>European Commission (2019</w:t>
      </w:r>
      <w:r w:rsidR="00D8637C" w:rsidRPr="002E4BFA">
        <w:rPr>
          <w:rFonts w:ascii="Arial" w:hAnsi="Arial" w:cs="Arial"/>
          <w:lang w:val="en-GB"/>
        </w:rPr>
        <w:t>a</w:t>
      </w:r>
      <w:r w:rsidRPr="002E4BFA">
        <w:rPr>
          <w:rFonts w:ascii="Arial" w:hAnsi="Arial" w:cs="Arial"/>
          <w:lang w:val="en-GB"/>
        </w:rPr>
        <w:t xml:space="preserve">) </w:t>
      </w:r>
      <w:r w:rsidRPr="002E4BFA">
        <w:rPr>
          <w:rFonts w:ascii="Arial" w:hAnsi="Arial" w:cs="Arial"/>
          <w:bCs/>
          <w:lang w:val="en-GB"/>
        </w:rPr>
        <w:t xml:space="preserve">Statement by European Commission President Ursula von der Leyen during the ceremony at the House of European History to mark the 10th anniversary of the Treaty of Lisbon and the start of the mandate of the new College of Commissioners. Available at: </w:t>
      </w:r>
      <w:hyperlink r:id="rId13" w:history="1">
        <w:r w:rsidRPr="002E4BFA">
          <w:rPr>
            <w:rStyle w:val="Hyperlink"/>
            <w:rFonts w:ascii="Arial" w:hAnsi="Arial" w:cs="Arial"/>
            <w:bCs/>
            <w:color w:val="auto"/>
            <w:lang w:val="en-GB"/>
          </w:rPr>
          <w:t>https://ec.europa.eu/commission/presscorner/detail/en/speech_19_6629</w:t>
        </w:r>
      </w:hyperlink>
      <w:r w:rsidRPr="002E4BFA">
        <w:rPr>
          <w:rFonts w:ascii="Arial" w:hAnsi="Arial" w:cs="Arial"/>
          <w:bCs/>
          <w:lang w:val="en-GB"/>
        </w:rPr>
        <w:t xml:space="preserve"> (accessed 29 September 2022).</w:t>
      </w:r>
    </w:p>
    <w:p w14:paraId="6CADBC28" w14:textId="77777777" w:rsidR="00D8637C" w:rsidRPr="002E4BFA" w:rsidRDefault="00D8637C" w:rsidP="00D8637C">
      <w:pPr>
        <w:spacing w:line="360" w:lineRule="auto"/>
        <w:ind w:left="284" w:hanging="284"/>
        <w:jc w:val="left"/>
        <w:rPr>
          <w:rFonts w:ascii="Arial" w:eastAsia="Times New Roman" w:hAnsi="Arial" w:cs="Arial"/>
          <w:shd w:val="clear" w:color="auto" w:fill="FFFFFF"/>
          <w:lang w:val="en-GB" w:eastAsia="en-GB"/>
        </w:rPr>
      </w:pPr>
      <w:r w:rsidRPr="002E4BFA">
        <w:rPr>
          <w:rFonts w:ascii="Arial" w:eastAsia="Times New Roman" w:hAnsi="Arial" w:cs="Arial"/>
          <w:shd w:val="clear" w:color="auto" w:fill="FFFFFF"/>
          <w:lang w:val="en-GB" w:eastAsia="en-GB"/>
        </w:rPr>
        <w:t>European Commission (2019b) </w:t>
      </w:r>
      <w:r w:rsidRPr="002E4BFA">
        <w:rPr>
          <w:rFonts w:ascii="Arial" w:eastAsia="Times New Roman" w:hAnsi="Arial" w:cs="Arial"/>
          <w:i/>
          <w:iCs/>
          <w:shd w:val="clear" w:color="auto" w:fill="FFFFFF"/>
          <w:lang w:val="en-GB" w:eastAsia="en-GB"/>
        </w:rPr>
        <w:t>The European Green Deal</w:t>
      </w:r>
      <w:r w:rsidRPr="002E4BFA">
        <w:rPr>
          <w:rFonts w:ascii="Arial" w:eastAsia="Times New Roman" w:hAnsi="Arial" w:cs="Arial"/>
          <w:shd w:val="clear" w:color="auto" w:fill="FFFFFF"/>
          <w:lang w:val="en-GB" w:eastAsia="en-GB"/>
        </w:rPr>
        <w:t xml:space="preserve">. Communication from the Commission to the European Parliament, the European Council, the Council, the European Economic and Social Committee and the Committee of the Regions, </w:t>
      </w:r>
      <w:proofErr w:type="gramStart"/>
      <w:r w:rsidRPr="002E4BFA">
        <w:rPr>
          <w:rFonts w:ascii="Arial" w:eastAsia="Times New Roman" w:hAnsi="Arial" w:cs="Arial"/>
          <w:shd w:val="clear" w:color="auto" w:fill="FFFFFF"/>
          <w:lang w:val="en-GB" w:eastAsia="en-GB"/>
        </w:rPr>
        <w:t>COM(</w:t>
      </w:r>
      <w:proofErr w:type="gramEnd"/>
      <w:r w:rsidRPr="002E4BFA">
        <w:rPr>
          <w:rFonts w:ascii="Arial" w:eastAsia="Times New Roman" w:hAnsi="Arial" w:cs="Arial"/>
          <w:shd w:val="clear" w:color="auto" w:fill="FFFFFF"/>
          <w:lang w:val="en-GB" w:eastAsia="en-GB"/>
        </w:rPr>
        <w:t xml:space="preserve">2019) 640 final, 11 December 2019, Brussels. Available at: </w:t>
      </w:r>
      <w:hyperlink r:id="rId14" w:history="1">
        <w:r w:rsidRPr="002E4BFA">
          <w:rPr>
            <w:rFonts w:ascii="Arial" w:hAnsi="Arial" w:cs="Arial"/>
            <w:lang w:val="en-GB" w:eastAsia="en-GB"/>
          </w:rPr>
          <w:t>https://eur-</w:t>
        </w:r>
        <w:r w:rsidRPr="002E4BFA">
          <w:rPr>
            <w:rFonts w:ascii="Arial" w:hAnsi="Arial" w:cs="Arial"/>
            <w:lang w:val="en-GB" w:eastAsia="en-GB"/>
          </w:rPr>
          <w:lastRenderedPageBreak/>
          <w:t>lex.europa.eu/resource.html?uri=cellar:b828d165-1c22-11ea-8c1f-01aa75ed71a1.0002.02/DOC_1&amp;format=PDF</w:t>
        </w:r>
      </w:hyperlink>
      <w:r w:rsidRPr="002E4BFA">
        <w:rPr>
          <w:rFonts w:ascii="Arial" w:eastAsia="Times New Roman" w:hAnsi="Arial" w:cs="Arial"/>
          <w:shd w:val="clear" w:color="auto" w:fill="FFFFFF"/>
          <w:lang w:val="en-GB" w:eastAsia="en-GB"/>
        </w:rPr>
        <w:t xml:space="preserve"> (accessed 15 August 2022).</w:t>
      </w:r>
    </w:p>
    <w:p w14:paraId="6073DD42" w14:textId="4C6FDAA9" w:rsidR="00EC3FA7" w:rsidRPr="002E4BFA" w:rsidRDefault="00EC3FA7">
      <w:pPr>
        <w:spacing w:line="360" w:lineRule="auto"/>
        <w:ind w:left="284" w:hanging="284"/>
        <w:jc w:val="left"/>
        <w:rPr>
          <w:rFonts w:ascii="Arial" w:hAnsi="Arial" w:cs="Arial"/>
          <w:lang w:val="en-GB"/>
        </w:rPr>
      </w:pPr>
      <w:r w:rsidRPr="002E4BFA">
        <w:rPr>
          <w:rFonts w:ascii="Arial" w:hAnsi="Arial" w:cs="Arial"/>
          <w:lang w:val="en-GB"/>
        </w:rPr>
        <w:t xml:space="preserve">European Commission (2020) Commission Implementing Regulation (EU) 2020/1001 of 9 July 2020 laying down detailed rules for the application of Directive 2003/87/EC of the European Parliament and of the Council as regards the operation of the Modernisation Fund supporting investments to modernise the energy systems and to improve energy efficiency of certain Member States. </w:t>
      </w:r>
      <w:r w:rsidRPr="002E4BFA">
        <w:rPr>
          <w:rFonts w:ascii="Arial" w:hAnsi="Arial" w:cs="Arial"/>
          <w:i/>
          <w:iCs/>
          <w:lang w:val="en-GB"/>
        </w:rPr>
        <w:t>Official Journal of the European Union</w:t>
      </w:r>
      <w:r w:rsidRPr="002E4BFA">
        <w:rPr>
          <w:rFonts w:ascii="Arial" w:hAnsi="Arial" w:cs="Arial"/>
          <w:lang w:val="en-GB"/>
        </w:rPr>
        <w:t xml:space="preserve">, L 221/107, </w:t>
      </w:r>
      <w:r w:rsidR="00CA7C09" w:rsidRPr="002E4BFA">
        <w:rPr>
          <w:rFonts w:ascii="Arial" w:hAnsi="Arial" w:cs="Arial"/>
          <w:lang w:val="en-GB"/>
        </w:rPr>
        <w:t>10.7.</w:t>
      </w:r>
      <w:r w:rsidRPr="002E4BFA">
        <w:rPr>
          <w:rFonts w:ascii="Arial" w:hAnsi="Arial" w:cs="Arial"/>
          <w:lang w:val="en-GB"/>
        </w:rPr>
        <w:t xml:space="preserve">2020. Available at: </w:t>
      </w:r>
      <w:hyperlink r:id="rId15" w:history="1">
        <w:r w:rsidRPr="002E4BFA">
          <w:rPr>
            <w:rFonts w:ascii="Arial" w:hAnsi="Arial" w:cs="Arial"/>
            <w:lang w:val="en-GB"/>
          </w:rPr>
          <w:t>https://eur-lex.europa.eu/legal-content/EN/TXT/PDF/?uri=CELEX:32020R1001&amp;from=EN</w:t>
        </w:r>
      </w:hyperlink>
      <w:r w:rsidRPr="002E4BFA">
        <w:rPr>
          <w:rFonts w:ascii="Arial" w:hAnsi="Arial" w:cs="Arial"/>
          <w:lang w:val="en-GB"/>
        </w:rPr>
        <w:t xml:space="preserve"> (</w:t>
      </w:r>
      <w:r w:rsidR="00FB555E" w:rsidRPr="002E4BFA">
        <w:rPr>
          <w:rFonts w:ascii="Arial" w:hAnsi="Arial" w:cs="Arial"/>
          <w:lang w:val="en-GB"/>
        </w:rPr>
        <w:t>accessed</w:t>
      </w:r>
      <w:r w:rsidRPr="002E4BFA">
        <w:rPr>
          <w:rFonts w:ascii="Arial" w:hAnsi="Arial" w:cs="Arial"/>
          <w:lang w:val="en-GB"/>
        </w:rPr>
        <w:t xml:space="preserve"> 6 October 2022)</w:t>
      </w:r>
      <w:r w:rsidR="00FB555E" w:rsidRPr="002E4BFA">
        <w:rPr>
          <w:rFonts w:ascii="Arial" w:hAnsi="Arial" w:cs="Arial"/>
          <w:lang w:val="en-GB"/>
        </w:rPr>
        <w:t>.</w:t>
      </w:r>
    </w:p>
    <w:p w14:paraId="44D4C748" w14:textId="7B6AADB5" w:rsidR="00C70929" w:rsidRPr="002E4BFA" w:rsidRDefault="00C70929" w:rsidP="004003E3">
      <w:pPr>
        <w:spacing w:line="360" w:lineRule="auto"/>
        <w:ind w:left="284" w:hanging="284"/>
        <w:jc w:val="left"/>
        <w:rPr>
          <w:rFonts w:ascii="Arial" w:hAnsi="Arial" w:cs="Arial"/>
          <w:lang w:val="en-GB"/>
        </w:rPr>
      </w:pPr>
      <w:r w:rsidRPr="002E4BFA">
        <w:rPr>
          <w:rFonts w:ascii="Arial" w:hAnsi="Arial" w:cs="Arial"/>
          <w:lang w:val="en-GB"/>
        </w:rPr>
        <w:t xml:space="preserve">European Commission (2021) </w:t>
      </w:r>
      <w:r w:rsidR="00EC377C" w:rsidRPr="002E4BFA">
        <w:rPr>
          <w:rFonts w:ascii="Arial" w:hAnsi="Arial" w:cs="Arial"/>
          <w:lang w:val="en-GB"/>
        </w:rPr>
        <w:t>Proposal for a</w:t>
      </w:r>
      <w:r w:rsidRPr="002E4BFA">
        <w:rPr>
          <w:rFonts w:ascii="Arial" w:hAnsi="Arial" w:cs="Arial"/>
          <w:lang w:val="en-GB"/>
        </w:rPr>
        <w:t xml:space="preserve"> Regulation of the European Parliament and of the Council establishing a Social Climate Fund</w:t>
      </w:r>
      <w:r w:rsidR="00EC377C" w:rsidRPr="002E4BFA">
        <w:rPr>
          <w:rFonts w:ascii="Arial" w:hAnsi="Arial" w:cs="Arial"/>
          <w:lang w:val="en-GB"/>
        </w:rPr>
        <w:t xml:space="preserve">. Annexes. </w:t>
      </w:r>
      <w:proofErr w:type="gramStart"/>
      <w:r w:rsidR="00EC377C" w:rsidRPr="002E4BFA">
        <w:rPr>
          <w:rFonts w:ascii="Arial" w:hAnsi="Arial" w:cs="Arial"/>
          <w:lang w:val="en-GB"/>
        </w:rPr>
        <w:t>COM(</w:t>
      </w:r>
      <w:proofErr w:type="gramEnd"/>
      <w:r w:rsidR="00EC377C" w:rsidRPr="002E4BFA">
        <w:rPr>
          <w:rFonts w:ascii="Arial" w:hAnsi="Arial" w:cs="Arial"/>
          <w:lang w:val="en-GB"/>
        </w:rPr>
        <w:t>2021) 568 final, 14 July 2021, Brussels</w:t>
      </w:r>
      <w:r w:rsidR="00601FC6" w:rsidRPr="002E4BFA">
        <w:rPr>
          <w:rFonts w:ascii="Arial" w:hAnsi="Arial" w:cs="Arial"/>
          <w:lang w:val="en-GB"/>
        </w:rPr>
        <w:t>.</w:t>
      </w:r>
      <w:r w:rsidR="00EC377C" w:rsidRPr="002E4BFA">
        <w:rPr>
          <w:rFonts w:ascii="Arial" w:hAnsi="Arial" w:cs="Arial"/>
          <w:lang w:val="en-GB"/>
        </w:rPr>
        <w:t xml:space="preserve"> </w:t>
      </w:r>
      <w:r w:rsidRPr="002E4BFA">
        <w:rPr>
          <w:rFonts w:ascii="Arial" w:hAnsi="Arial" w:cs="Arial"/>
          <w:lang w:val="en-GB"/>
        </w:rPr>
        <w:t>Available at: https://eur-lex.europa.eu/legal-content/EN/TXT/PDF/?uri=CELEX:52021PC0568&amp;from=en (accessed 19 March 2023).</w:t>
      </w:r>
    </w:p>
    <w:p w14:paraId="57FC0F0E" w14:textId="5FADBFA4" w:rsidR="00EC3FA7" w:rsidRPr="002E4BFA" w:rsidRDefault="00EC3FA7" w:rsidP="004003E3">
      <w:pPr>
        <w:spacing w:line="360" w:lineRule="auto"/>
        <w:ind w:left="284" w:hanging="284"/>
        <w:jc w:val="left"/>
        <w:rPr>
          <w:rFonts w:ascii="Arial" w:hAnsi="Arial" w:cs="Arial"/>
          <w:lang w:val="en-GB"/>
        </w:rPr>
      </w:pPr>
      <w:r w:rsidRPr="002E4BFA">
        <w:rPr>
          <w:rFonts w:ascii="Arial" w:hAnsi="Arial" w:cs="Arial"/>
          <w:lang w:val="en-GB"/>
        </w:rPr>
        <w:t>European Court of Auditors (2020) Tracking climate spending in the EU budget</w:t>
      </w:r>
      <w:r w:rsidR="00BA00BB" w:rsidRPr="002E4BFA">
        <w:rPr>
          <w:rFonts w:ascii="Arial" w:hAnsi="Arial" w:cs="Arial"/>
          <w:lang w:val="en-GB"/>
        </w:rPr>
        <w:t xml:space="preserve">. </w:t>
      </w:r>
      <w:r w:rsidRPr="002E4BFA">
        <w:rPr>
          <w:rFonts w:ascii="Arial" w:hAnsi="Arial" w:cs="Arial"/>
          <w:lang w:val="en-GB"/>
        </w:rPr>
        <w:t xml:space="preserve">Available at: </w:t>
      </w:r>
      <w:hyperlink r:id="rId16" w:history="1">
        <w:r w:rsidRPr="002E4BFA">
          <w:rPr>
            <w:rStyle w:val="Hyperlink"/>
            <w:rFonts w:ascii="Arial" w:hAnsi="Arial" w:cs="Arial"/>
            <w:color w:val="auto"/>
            <w:lang w:val="en-GB"/>
          </w:rPr>
          <w:t>www.eca.europa.eu/en/Pages/DocItem.aspx?did=54194</w:t>
        </w:r>
      </w:hyperlink>
      <w:r w:rsidRPr="002E4BFA">
        <w:rPr>
          <w:rFonts w:ascii="Arial" w:hAnsi="Arial" w:cs="Arial"/>
          <w:lang w:val="en-GB"/>
        </w:rPr>
        <w:t xml:space="preserve"> (</w:t>
      </w:r>
      <w:r w:rsidR="003E61B1" w:rsidRPr="002E4BFA">
        <w:rPr>
          <w:rFonts w:ascii="Arial" w:hAnsi="Arial" w:cs="Arial"/>
          <w:lang w:val="en-GB"/>
        </w:rPr>
        <w:t>accessed</w:t>
      </w:r>
      <w:r w:rsidRPr="002E4BFA">
        <w:rPr>
          <w:rFonts w:ascii="Arial" w:hAnsi="Arial" w:cs="Arial"/>
          <w:lang w:val="en-GB"/>
        </w:rPr>
        <w:t xml:space="preserve"> 6 October 2022)</w:t>
      </w:r>
      <w:r w:rsidR="003E61B1" w:rsidRPr="002E4BFA">
        <w:rPr>
          <w:rFonts w:ascii="Arial" w:hAnsi="Arial" w:cs="Arial"/>
          <w:lang w:val="en-GB"/>
        </w:rPr>
        <w:t>.</w:t>
      </w:r>
    </w:p>
    <w:p w14:paraId="7BDA835E" w14:textId="715650BB" w:rsidR="00EC3FA7" w:rsidRPr="002E4BFA" w:rsidRDefault="00EC3FA7" w:rsidP="00C6263F">
      <w:pPr>
        <w:spacing w:line="360" w:lineRule="auto"/>
        <w:ind w:left="284" w:hanging="284"/>
        <w:jc w:val="left"/>
        <w:rPr>
          <w:rFonts w:ascii="Arial" w:hAnsi="Arial" w:cs="Arial"/>
          <w:lang w:val="en-GB"/>
        </w:rPr>
      </w:pPr>
      <w:r w:rsidRPr="002E4BFA">
        <w:rPr>
          <w:rFonts w:ascii="Arial" w:hAnsi="Arial" w:cs="Arial"/>
          <w:lang w:val="en-GB"/>
        </w:rPr>
        <w:t xml:space="preserve">European Parliament (2022) Fact Sheets on the European Union, Just Transition Fund. Available at: </w:t>
      </w:r>
      <w:hyperlink r:id="rId17" w:history="1">
        <w:r w:rsidRPr="002E4BFA">
          <w:rPr>
            <w:rStyle w:val="Hyperlink"/>
            <w:rFonts w:ascii="Arial" w:hAnsi="Arial" w:cs="Arial"/>
            <w:color w:val="auto"/>
            <w:lang w:val="en-GB"/>
          </w:rPr>
          <w:t>https://www.europarl.europa.eu/factsheets/en/sheet/214/just-transition-fund</w:t>
        </w:r>
      </w:hyperlink>
      <w:r w:rsidRPr="002E4BFA">
        <w:rPr>
          <w:rFonts w:ascii="Arial" w:hAnsi="Arial" w:cs="Arial"/>
          <w:lang w:val="en-GB"/>
        </w:rPr>
        <w:t xml:space="preserve"> (</w:t>
      </w:r>
      <w:r w:rsidR="00F03C82" w:rsidRPr="002E4BFA">
        <w:rPr>
          <w:rFonts w:ascii="Arial" w:hAnsi="Arial" w:cs="Arial"/>
          <w:lang w:val="en-GB"/>
        </w:rPr>
        <w:t>accessed</w:t>
      </w:r>
      <w:r w:rsidRPr="002E4BFA">
        <w:rPr>
          <w:rFonts w:ascii="Arial" w:hAnsi="Arial" w:cs="Arial"/>
          <w:lang w:val="en-GB"/>
        </w:rPr>
        <w:t xml:space="preserve"> October 2022)</w:t>
      </w:r>
      <w:r w:rsidR="00F03C82" w:rsidRPr="002E4BFA">
        <w:rPr>
          <w:rFonts w:ascii="Arial" w:hAnsi="Arial" w:cs="Arial"/>
          <w:lang w:val="en-GB"/>
        </w:rPr>
        <w:t>.</w:t>
      </w:r>
    </w:p>
    <w:p w14:paraId="487A1C10" w14:textId="4197EB6D" w:rsidR="00EC3FA7" w:rsidRPr="002E4BFA" w:rsidRDefault="00EC3FA7" w:rsidP="00C6263F">
      <w:pPr>
        <w:spacing w:line="360" w:lineRule="auto"/>
        <w:ind w:left="284" w:hanging="284"/>
        <w:jc w:val="left"/>
        <w:rPr>
          <w:rFonts w:ascii="Arial" w:hAnsi="Arial" w:cs="Arial"/>
          <w:lang w:val="en-GB"/>
        </w:rPr>
      </w:pPr>
      <w:r w:rsidRPr="002E4BFA">
        <w:rPr>
          <w:rFonts w:ascii="Arial" w:hAnsi="Arial" w:cs="Arial"/>
          <w:lang w:val="en-GB"/>
        </w:rPr>
        <w:t xml:space="preserve">European Union (2021) Regulation (EU) 2021/1056 of the European Parliament and of the Council of 24 June 2021 establishing the Just Transition Fund. </w:t>
      </w:r>
      <w:r w:rsidRPr="002E4BFA">
        <w:rPr>
          <w:rFonts w:ascii="Arial" w:hAnsi="Arial" w:cs="Arial"/>
          <w:i/>
          <w:iCs/>
          <w:lang w:val="en-GB"/>
        </w:rPr>
        <w:t>Official Journal of the European Union</w:t>
      </w:r>
      <w:r w:rsidRPr="002E4BFA">
        <w:rPr>
          <w:rFonts w:ascii="Arial" w:hAnsi="Arial" w:cs="Arial"/>
          <w:lang w:val="en-GB"/>
        </w:rPr>
        <w:t>, L 232/1, 30</w:t>
      </w:r>
      <w:r w:rsidR="00295D41" w:rsidRPr="002E4BFA">
        <w:rPr>
          <w:rFonts w:ascii="Arial" w:hAnsi="Arial" w:cs="Arial"/>
          <w:lang w:val="en-GB"/>
        </w:rPr>
        <w:t>.</w:t>
      </w:r>
      <w:r w:rsidR="002404FE" w:rsidRPr="002E4BFA">
        <w:rPr>
          <w:rFonts w:ascii="Arial" w:hAnsi="Arial" w:cs="Arial"/>
          <w:lang w:val="en-GB"/>
        </w:rPr>
        <w:t xml:space="preserve"> </w:t>
      </w:r>
      <w:r w:rsidR="00295D41" w:rsidRPr="002E4BFA">
        <w:rPr>
          <w:rFonts w:ascii="Arial" w:hAnsi="Arial" w:cs="Arial"/>
          <w:lang w:val="en-GB"/>
        </w:rPr>
        <w:t>6.</w:t>
      </w:r>
      <w:r w:rsidRPr="002E4BFA">
        <w:rPr>
          <w:rFonts w:ascii="Arial" w:hAnsi="Arial" w:cs="Arial"/>
          <w:lang w:val="en-GB"/>
        </w:rPr>
        <w:t xml:space="preserve">2021. Available at: </w:t>
      </w:r>
      <w:hyperlink r:id="rId18" w:history="1">
        <w:r w:rsidRPr="002E4BFA">
          <w:rPr>
            <w:rFonts w:ascii="Arial" w:hAnsi="Arial" w:cs="Arial"/>
            <w:lang w:val="en-GB"/>
          </w:rPr>
          <w:t>https://eur-lex.europa.eu/legal-content/EN/TXT/PDF/?uri=CELEX:32021R1056&amp;from=EN</w:t>
        </w:r>
      </w:hyperlink>
      <w:r w:rsidRPr="002E4BFA">
        <w:rPr>
          <w:rFonts w:ascii="Arial" w:hAnsi="Arial" w:cs="Arial"/>
          <w:lang w:val="en-GB"/>
        </w:rPr>
        <w:t xml:space="preserve"> (</w:t>
      </w:r>
      <w:r w:rsidR="00295D41" w:rsidRPr="002E4BFA">
        <w:rPr>
          <w:rFonts w:ascii="Arial" w:hAnsi="Arial" w:cs="Arial"/>
          <w:lang w:val="en-GB"/>
        </w:rPr>
        <w:t>accessed</w:t>
      </w:r>
      <w:r w:rsidRPr="002E4BFA">
        <w:rPr>
          <w:rFonts w:ascii="Arial" w:hAnsi="Arial" w:cs="Arial"/>
          <w:lang w:val="en-GB"/>
        </w:rPr>
        <w:t xml:space="preserve"> 6 October 2022)</w:t>
      </w:r>
      <w:r w:rsidR="00295D41" w:rsidRPr="002E4BFA">
        <w:rPr>
          <w:rFonts w:ascii="Arial" w:hAnsi="Arial" w:cs="Arial"/>
          <w:lang w:val="en-GB"/>
        </w:rPr>
        <w:t>.</w:t>
      </w:r>
    </w:p>
    <w:p w14:paraId="0F9360CA" w14:textId="7AFB0063" w:rsidR="00EC3FA7" w:rsidRPr="002E4BFA" w:rsidRDefault="00840D2A">
      <w:pPr>
        <w:spacing w:line="360" w:lineRule="auto"/>
        <w:ind w:left="284" w:hanging="284"/>
        <w:jc w:val="left"/>
        <w:rPr>
          <w:rFonts w:ascii="Arial" w:hAnsi="Arial" w:cs="Arial"/>
          <w:lang w:val="en-GB"/>
        </w:rPr>
      </w:pPr>
      <w:proofErr w:type="spellStart"/>
      <w:r w:rsidRPr="002E4BFA">
        <w:rPr>
          <w:rFonts w:ascii="Arial" w:hAnsi="Arial" w:cs="Arial"/>
        </w:rPr>
        <w:t>Galgóczi</w:t>
      </w:r>
      <w:proofErr w:type="spellEnd"/>
      <w:r w:rsidRPr="002E4BFA">
        <w:rPr>
          <w:rFonts w:ascii="Arial" w:hAnsi="Arial" w:cs="Arial"/>
        </w:rPr>
        <w:t xml:space="preserve"> B (2022) From a ‘just transition for us’ to a ‘just transition for all’. </w:t>
      </w:r>
      <w:r w:rsidRPr="002E4BFA">
        <w:rPr>
          <w:rFonts w:ascii="Arial" w:hAnsi="Arial" w:cs="Arial"/>
          <w:i/>
          <w:iCs/>
        </w:rPr>
        <w:t xml:space="preserve">Transfer: European Review of </w:t>
      </w:r>
      <w:proofErr w:type="spellStart"/>
      <w:r w:rsidRPr="002E4BFA">
        <w:rPr>
          <w:rFonts w:ascii="Arial" w:hAnsi="Arial" w:cs="Arial"/>
          <w:i/>
          <w:iCs/>
        </w:rPr>
        <w:t>Labour</w:t>
      </w:r>
      <w:proofErr w:type="spellEnd"/>
      <w:r w:rsidRPr="002E4BFA">
        <w:rPr>
          <w:rFonts w:ascii="Arial" w:hAnsi="Arial" w:cs="Arial"/>
          <w:i/>
          <w:iCs/>
        </w:rPr>
        <w:t xml:space="preserve"> and Research</w:t>
      </w:r>
      <w:r w:rsidRPr="002E4BFA">
        <w:rPr>
          <w:rFonts w:ascii="Arial" w:hAnsi="Arial" w:cs="Arial"/>
        </w:rPr>
        <w:t xml:space="preserve"> 28(3): 349–366</w:t>
      </w:r>
      <w:r w:rsidR="00EC3FA7" w:rsidRPr="002E4BFA">
        <w:rPr>
          <w:rFonts w:ascii="Arial" w:hAnsi="Arial" w:cs="Arial"/>
          <w:lang w:val="en-GB"/>
        </w:rPr>
        <w:t>.</w:t>
      </w:r>
    </w:p>
    <w:p w14:paraId="1D220DF8" w14:textId="08E51DE8" w:rsidR="00644395" w:rsidRPr="002E4BFA" w:rsidRDefault="00644395" w:rsidP="004003E3">
      <w:pPr>
        <w:spacing w:line="360" w:lineRule="auto"/>
        <w:ind w:left="284" w:hanging="284"/>
        <w:jc w:val="left"/>
        <w:rPr>
          <w:rFonts w:ascii="Arial" w:hAnsi="Arial" w:cs="Arial"/>
          <w:lang w:val="en-GB"/>
        </w:rPr>
      </w:pPr>
      <w:r w:rsidRPr="002E4BFA">
        <w:rPr>
          <w:rFonts w:ascii="Arial" w:hAnsi="Arial" w:cs="Arial"/>
        </w:rPr>
        <w:t xml:space="preserve">Green F and Healy N (2022) How inequality fuels climate change: the case for a Green New Deal. </w:t>
      </w:r>
      <w:r w:rsidRPr="002E4BFA">
        <w:rPr>
          <w:rFonts w:ascii="Arial" w:hAnsi="Arial" w:cs="Arial"/>
          <w:i/>
        </w:rPr>
        <w:t>One Earth</w:t>
      </w:r>
      <w:r w:rsidRPr="002E4BFA">
        <w:rPr>
          <w:rFonts w:ascii="Arial" w:hAnsi="Arial" w:cs="Arial"/>
        </w:rPr>
        <w:t xml:space="preserve"> 5(6): 635–649.</w:t>
      </w:r>
    </w:p>
    <w:p w14:paraId="05C563DA" w14:textId="74DE97BE" w:rsidR="00EC3FA7" w:rsidRPr="002E4BFA" w:rsidRDefault="00EC3FA7" w:rsidP="00C6263F">
      <w:pPr>
        <w:spacing w:line="360" w:lineRule="auto"/>
        <w:ind w:left="284" w:hanging="284"/>
        <w:jc w:val="left"/>
        <w:rPr>
          <w:rFonts w:ascii="Arial" w:hAnsi="Arial" w:cs="Arial"/>
          <w:bCs/>
          <w:lang w:val="en-GB"/>
        </w:rPr>
      </w:pPr>
      <w:proofErr w:type="spellStart"/>
      <w:r w:rsidRPr="002E4BFA">
        <w:rPr>
          <w:rFonts w:ascii="Arial" w:hAnsi="Arial" w:cs="Arial"/>
          <w:bCs/>
          <w:lang w:val="en-GB"/>
        </w:rPr>
        <w:lastRenderedPageBreak/>
        <w:t>Holemans</w:t>
      </w:r>
      <w:proofErr w:type="spellEnd"/>
      <w:r w:rsidRPr="002E4BFA">
        <w:rPr>
          <w:rFonts w:ascii="Arial" w:hAnsi="Arial" w:cs="Arial"/>
          <w:bCs/>
          <w:lang w:val="en-GB"/>
        </w:rPr>
        <w:t xml:space="preserve"> D</w:t>
      </w:r>
      <w:r w:rsidR="00522BC7" w:rsidRPr="002E4BFA">
        <w:rPr>
          <w:rFonts w:ascii="Arial" w:hAnsi="Arial" w:cs="Arial"/>
          <w:bCs/>
          <w:lang w:val="en-GB"/>
        </w:rPr>
        <w:t xml:space="preserve"> and</w:t>
      </w:r>
      <w:r w:rsidRPr="002E4BFA">
        <w:rPr>
          <w:rFonts w:ascii="Arial" w:hAnsi="Arial" w:cs="Arial"/>
          <w:bCs/>
          <w:lang w:val="en-GB"/>
        </w:rPr>
        <w:t xml:space="preserve"> </w:t>
      </w:r>
      <w:proofErr w:type="spellStart"/>
      <w:r w:rsidRPr="002E4BFA">
        <w:rPr>
          <w:rFonts w:ascii="Arial" w:hAnsi="Arial" w:cs="Arial"/>
          <w:bCs/>
          <w:lang w:val="en-GB"/>
        </w:rPr>
        <w:t>Volo</w:t>
      </w:r>
      <w:r w:rsidR="00AC0CA2" w:rsidRPr="002E4BFA">
        <w:rPr>
          <w:rFonts w:ascii="Arial" w:hAnsi="Arial" w:cs="Arial"/>
          <w:bCs/>
          <w:lang w:val="en-GB"/>
        </w:rPr>
        <w:t>d</w:t>
      </w:r>
      <w:r w:rsidRPr="002E4BFA">
        <w:rPr>
          <w:rFonts w:ascii="Arial" w:hAnsi="Arial" w:cs="Arial"/>
          <w:bCs/>
          <w:lang w:val="en-GB"/>
        </w:rPr>
        <w:t>chenko</w:t>
      </w:r>
      <w:proofErr w:type="spellEnd"/>
      <w:r w:rsidRPr="002E4BFA">
        <w:rPr>
          <w:rFonts w:ascii="Arial" w:hAnsi="Arial" w:cs="Arial"/>
          <w:bCs/>
          <w:lang w:val="en-GB"/>
        </w:rPr>
        <w:t xml:space="preserve"> E (2022) Different perspectives on a just transition: from decent jobs in a greener society to a good life for all within planetary boundaries. In: </w:t>
      </w:r>
      <w:proofErr w:type="spellStart"/>
      <w:r w:rsidRPr="002E4BFA">
        <w:rPr>
          <w:rFonts w:ascii="Arial" w:hAnsi="Arial" w:cs="Arial"/>
          <w:bCs/>
          <w:lang w:val="en-GB"/>
        </w:rPr>
        <w:t>Holemans</w:t>
      </w:r>
      <w:proofErr w:type="spellEnd"/>
      <w:r w:rsidRPr="002E4BFA">
        <w:rPr>
          <w:rFonts w:ascii="Arial" w:hAnsi="Arial" w:cs="Arial"/>
          <w:bCs/>
          <w:lang w:val="en-GB"/>
        </w:rPr>
        <w:t xml:space="preserve"> D (ed</w:t>
      </w:r>
      <w:r w:rsidR="00522BC7" w:rsidRPr="002E4BFA">
        <w:rPr>
          <w:rFonts w:ascii="Arial" w:hAnsi="Arial" w:cs="Arial"/>
          <w:bCs/>
          <w:lang w:val="en-GB"/>
        </w:rPr>
        <w:t>.</w:t>
      </w:r>
      <w:r w:rsidRPr="002E4BFA">
        <w:rPr>
          <w:rFonts w:ascii="Arial" w:hAnsi="Arial" w:cs="Arial"/>
          <w:bCs/>
          <w:lang w:val="en-GB"/>
        </w:rPr>
        <w:t xml:space="preserve">) </w:t>
      </w:r>
      <w:r w:rsidRPr="002E4BFA">
        <w:rPr>
          <w:rFonts w:ascii="Arial" w:hAnsi="Arial" w:cs="Arial"/>
          <w:bCs/>
          <w:i/>
          <w:lang w:val="en-GB"/>
        </w:rPr>
        <w:t xml:space="preserve">A European Just Transition for a Better World. </w:t>
      </w:r>
      <w:r w:rsidRPr="002E4BFA">
        <w:rPr>
          <w:rFonts w:ascii="Arial" w:hAnsi="Arial" w:cs="Arial"/>
          <w:bCs/>
          <w:iCs/>
          <w:lang w:val="en-GB"/>
        </w:rPr>
        <w:t>Brussels:</w:t>
      </w:r>
      <w:r w:rsidRPr="002E4BFA">
        <w:rPr>
          <w:rFonts w:ascii="Arial" w:hAnsi="Arial" w:cs="Arial"/>
          <w:bCs/>
          <w:i/>
          <w:lang w:val="en-GB"/>
        </w:rPr>
        <w:t xml:space="preserve"> </w:t>
      </w:r>
      <w:r w:rsidRPr="002E4BFA">
        <w:rPr>
          <w:rFonts w:ascii="Arial" w:hAnsi="Arial" w:cs="Arial"/>
          <w:bCs/>
          <w:lang w:val="en-GB"/>
        </w:rPr>
        <w:t>Green European Foundation, pp. 27</w:t>
      </w:r>
      <w:r w:rsidR="004029A5" w:rsidRPr="002E4BFA">
        <w:rPr>
          <w:rFonts w:ascii="Arial" w:hAnsi="Arial" w:cs="Arial"/>
        </w:rPr>
        <w:t>–</w:t>
      </w:r>
      <w:r w:rsidRPr="002E4BFA">
        <w:rPr>
          <w:rFonts w:ascii="Arial" w:hAnsi="Arial" w:cs="Arial"/>
          <w:bCs/>
          <w:lang w:val="en-GB"/>
        </w:rPr>
        <w:t xml:space="preserve">56. </w:t>
      </w:r>
    </w:p>
    <w:p w14:paraId="00946077" w14:textId="77777777" w:rsidR="00EC3FA7" w:rsidRPr="002E4BFA" w:rsidRDefault="00EC3FA7" w:rsidP="00C6263F">
      <w:pPr>
        <w:spacing w:line="360" w:lineRule="auto"/>
        <w:ind w:left="284" w:hanging="284"/>
        <w:jc w:val="left"/>
        <w:rPr>
          <w:rFonts w:ascii="Arial" w:hAnsi="Arial" w:cs="Arial"/>
          <w:lang w:val="en-GB"/>
        </w:rPr>
      </w:pPr>
      <w:r w:rsidRPr="002E4BFA">
        <w:rPr>
          <w:rFonts w:ascii="Arial" w:hAnsi="Arial" w:cs="Arial"/>
          <w:lang w:val="en-GB"/>
        </w:rPr>
        <w:t>Kenner D (2019)</w:t>
      </w:r>
      <w:r w:rsidRPr="002E4BFA">
        <w:rPr>
          <w:rFonts w:ascii="Arial" w:eastAsia="Times New Roman" w:hAnsi="Arial" w:cs="Arial"/>
          <w:b/>
          <w:bCs/>
          <w:kern w:val="36"/>
          <w:lang w:val="en-GB" w:eastAsia="fr-BE"/>
        </w:rPr>
        <w:t xml:space="preserve"> </w:t>
      </w:r>
      <w:r w:rsidRPr="002E4BFA">
        <w:rPr>
          <w:rFonts w:ascii="Arial" w:hAnsi="Arial" w:cs="Arial"/>
          <w:bCs/>
          <w:i/>
          <w:iCs/>
          <w:lang w:val="en-GB"/>
        </w:rPr>
        <w:t>Carbon Inequality: The Role of the Richest in Climate Change</w:t>
      </w:r>
      <w:r w:rsidRPr="002E4BFA">
        <w:rPr>
          <w:rFonts w:ascii="Arial" w:hAnsi="Arial" w:cs="Arial"/>
          <w:bCs/>
          <w:lang w:val="en-GB"/>
        </w:rPr>
        <w:t>. London: Routledge.</w:t>
      </w:r>
      <w:r w:rsidRPr="002E4BFA">
        <w:rPr>
          <w:rFonts w:ascii="Arial" w:hAnsi="Arial" w:cs="Arial"/>
          <w:lang w:val="en-GB"/>
        </w:rPr>
        <w:t xml:space="preserve"> </w:t>
      </w:r>
    </w:p>
    <w:p w14:paraId="57456688" w14:textId="43B0BC29" w:rsidR="00EC3FA7" w:rsidRPr="002E4BFA" w:rsidRDefault="00EC3FA7">
      <w:pPr>
        <w:spacing w:line="360" w:lineRule="auto"/>
        <w:ind w:left="284" w:hanging="284"/>
        <w:jc w:val="left"/>
        <w:rPr>
          <w:rFonts w:ascii="Arial" w:hAnsi="Arial" w:cs="Arial"/>
          <w:lang w:val="en-GB"/>
        </w:rPr>
      </w:pPr>
      <w:proofErr w:type="spellStart"/>
      <w:r w:rsidRPr="002E4BFA">
        <w:rPr>
          <w:rFonts w:ascii="Arial" w:hAnsi="Arial" w:cs="Arial"/>
          <w:lang w:val="en-GB"/>
        </w:rPr>
        <w:t>Kyriazi</w:t>
      </w:r>
      <w:proofErr w:type="spellEnd"/>
      <w:r w:rsidRPr="002E4BFA">
        <w:rPr>
          <w:rFonts w:ascii="Arial" w:hAnsi="Arial" w:cs="Arial"/>
          <w:lang w:val="en-GB"/>
        </w:rPr>
        <w:t xml:space="preserve"> A</w:t>
      </w:r>
      <w:r w:rsidR="00522BC7" w:rsidRPr="002E4BFA">
        <w:rPr>
          <w:rFonts w:ascii="Arial" w:hAnsi="Arial" w:cs="Arial"/>
          <w:lang w:val="en-GB"/>
        </w:rPr>
        <w:t xml:space="preserve"> and</w:t>
      </w:r>
      <w:r w:rsidRPr="002E4BFA">
        <w:rPr>
          <w:rFonts w:ascii="Arial" w:hAnsi="Arial" w:cs="Arial"/>
          <w:lang w:val="en-GB"/>
        </w:rPr>
        <w:t xml:space="preserve"> Miró J (2022) Towards a socially fair green transition in the EU? An analysis of the Just Transition Fund using the Multiple Streams Framework. </w:t>
      </w:r>
      <w:r w:rsidRPr="002E4BFA">
        <w:rPr>
          <w:rFonts w:ascii="Arial" w:hAnsi="Arial" w:cs="Arial"/>
          <w:i/>
          <w:iCs/>
          <w:lang w:val="en-GB"/>
        </w:rPr>
        <w:t>Comparative European Politics</w:t>
      </w:r>
      <w:r w:rsidR="00075868" w:rsidRPr="002E4BFA">
        <w:rPr>
          <w:rFonts w:ascii="Arial" w:hAnsi="Arial" w:cs="Arial"/>
          <w:lang w:val="en-GB"/>
        </w:rPr>
        <w:t xml:space="preserve"> 21(2023): 112-132</w:t>
      </w:r>
      <w:r w:rsidR="001325C2" w:rsidRPr="002E4BFA">
        <w:rPr>
          <w:rFonts w:ascii="Arial" w:hAnsi="Arial" w:cs="Arial"/>
          <w:lang w:val="en-GB"/>
        </w:rPr>
        <w:t>.</w:t>
      </w:r>
    </w:p>
    <w:p w14:paraId="43B2709F" w14:textId="08C67BEB" w:rsidR="00EC3FA7" w:rsidRPr="002E4BFA" w:rsidRDefault="00EC3FA7">
      <w:pPr>
        <w:spacing w:line="360" w:lineRule="auto"/>
        <w:ind w:left="284" w:hanging="284"/>
        <w:jc w:val="left"/>
        <w:rPr>
          <w:rFonts w:ascii="Arial" w:hAnsi="Arial" w:cs="Arial"/>
          <w:lang w:val="en-GB"/>
        </w:rPr>
      </w:pPr>
      <w:r w:rsidRPr="002E4BFA">
        <w:rPr>
          <w:rFonts w:ascii="Arial" w:hAnsi="Arial" w:cs="Arial"/>
          <w:lang w:val="en-GB"/>
        </w:rPr>
        <w:t>Laurent É (2021</w:t>
      </w:r>
      <w:r w:rsidR="007A26BE" w:rsidRPr="002E4BFA">
        <w:rPr>
          <w:rFonts w:ascii="Arial" w:hAnsi="Arial" w:cs="Arial"/>
          <w:lang w:val="en-GB"/>
        </w:rPr>
        <w:t>a</w:t>
      </w:r>
      <w:r w:rsidRPr="002E4BFA">
        <w:rPr>
          <w:rFonts w:ascii="Arial" w:hAnsi="Arial" w:cs="Arial"/>
          <w:lang w:val="en-GB"/>
        </w:rPr>
        <w:t>) From welfare to farewell: the European social-ecological state beyond economic growth</w:t>
      </w:r>
      <w:r w:rsidR="00A647E1" w:rsidRPr="002E4BFA">
        <w:rPr>
          <w:rFonts w:ascii="Arial" w:hAnsi="Arial" w:cs="Arial"/>
          <w:lang w:val="en-GB"/>
        </w:rPr>
        <w:t>.</w:t>
      </w:r>
      <w:r w:rsidRPr="002E4BFA">
        <w:rPr>
          <w:rFonts w:ascii="Arial" w:hAnsi="Arial" w:cs="Arial"/>
          <w:lang w:val="en-GB"/>
        </w:rPr>
        <w:t xml:space="preserve"> ETUI Working Paper</w:t>
      </w:r>
      <w:r w:rsidR="003559D0" w:rsidRPr="002E4BFA">
        <w:rPr>
          <w:rFonts w:ascii="Arial" w:hAnsi="Arial" w:cs="Arial"/>
          <w:lang w:val="en-GB"/>
        </w:rPr>
        <w:t>.</w:t>
      </w:r>
      <w:r w:rsidRPr="002E4BFA">
        <w:rPr>
          <w:rFonts w:ascii="Arial" w:hAnsi="Arial" w:cs="Arial"/>
          <w:lang w:val="en-GB"/>
        </w:rPr>
        <w:t xml:space="preserve"> 2004.1. Brussels: ETUI.</w:t>
      </w:r>
    </w:p>
    <w:p w14:paraId="79A5B4D7" w14:textId="789FC327" w:rsidR="007A26BE" w:rsidRPr="002E4BFA" w:rsidRDefault="007A26BE" w:rsidP="004003E3">
      <w:pPr>
        <w:spacing w:line="360" w:lineRule="auto"/>
        <w:ind w:left="284" w:hanging="284"/>
        <w:jc w:val="left"/>
        <w:rPr>
          <w:rFonts w:ascii="Arial" w:hAnsi="Arial" w:cs="Arial"/>
          <w:lang w:val="en-GB"/>
        </w:rPr>
      </w:pPr>
      <w:r w:rsidRPr="002E4BFA">
        <w:rPr>
          <w:rFonts w:ascii="Arial" w:hAnsi="Arial" w:cs="Arial"/>
        </w:rPr>
        <w:t xml:space="preserve">Laurent E (2021b) The European Green Deal: From growth strategy to social-ecological transition? In: </w:t>
      </w:r>
      <w:proofErr w:type="spellStart"/>
      <w:r w:rsidRPr="002E4BFA">
        <w:rPr>
          <w:rFonts w:ascii="Arial" w:hAnsi="Arial" w:cs="Arial"/>
        </w:rPr>
        <w:t>Vanhercke</w:t>
      </w:r>
      <w:proofErr w:type="spellEnd"/>
      <w:r w:rsidRPr="002E4BFA">
        <w:rPr>
          <w:rFonts w:ascii="Arial" w:hAnsi="Arial" w:cs="Arial"/>
        </w:rPr>
        <w:t xml:space="preserve"> B, </w:t>
      </w:r>
      <w:proofErr w:type="spellStart"/>
      <w:r w:rsidRPr="002E4BFA">
        <w:rPr>
          <w:rFonts w:ascii="Arial" w:hAnsi="Arial" w:cs="Arial"/>
        </w:rPr>
        <w:t>Spasova</w:t>
      </w:r>
      <w:proofErr w:type="spellEnd"/>
      <w:r w:rsidRPr="002E4BFA">
        <w:rPr>
          <w:rFonts w:ascii="Arial" w:hAnsi="Arial" w:cs="Arial"/>
        </w:rPr>
        <w:t xml:space="preserve"> S and </w:t>
      </w:r>
      <w:proofErr w:type="spellStart"/>
      <w:r w:rsidRPr="002E4BFA">
        <w:rPr>
          <w:rFonts w:ascii="Arial" w:hAnsi="Arial" w:cs="Arial"/>
        </w:rPr>
        <w:t>Fronteddu</w:t>
      </w:r>
      <w:proofErr w:type="spellEnd"/>
      <w:r w:rsidRPr="002E4BFA">
        <w:rPr>
          <w:rFonts w:ascii="Arial" w:hAnsi="Arial" w:cs="Arial"/>
        </w:rPr>
        <w:t xml:space="preserve"> B (eds) </w:t>
      </w:r>
      <w:r w:rsidRPr="002E4BFA">
        <w:rPr>
          <w:rFonts w:ascii="Arial" w:hAnsi="Arial" w:cs="Arial"/>
          <w:i/>
          <w:iCs/>
        </w:rPr>
        <w:t>Social Policy in the European Union: State of Play 2020</w:t>
      </w:r>
      <w:r w:rsidRPr="002E4BFA">
        <w:rPr>
          <w:rFonts w:ascii="Arial" w:hAnsi="Arial" w:cs="Arial"/>
        </w:rPr>
        <w:t>. Brussels: ETUI, pp. 97–111.</w:t>
      </w:r>
    </w:p>
    <w:p w14:paraId="0CFBE0D2" w14:textId="122328A5" w:rsidR="00206EC2" w:rsidRPr="002E4BFA" w:rsidRDefault="00206EC2" w:rsidP="00C6263F">
      <w:pPr>
        <w:spacing w:line="360" w:lineRule="auto"/>
        <w:ind w:left="284" w:hanging="284"/>
        <w:jc w:val="left"/>
        <w:rPr>
          <w:rFonts w:ascii="Arial" w:hAnsi="Arial" w:cs="Arial"/>
          <w:lang w:val="en-GB"/>
        </w:rPr>
      </w:pPr>
      <w:proofErr w:type="spellStart"/>
      <w:r w:rsidRPr="002E4BFA">
        <w:rPr>
          <w:rFonts w:ascii="Arial" w:hAnsi="Arial" w:cs="Arial"/>
        </w:rPr>
        <w:t>Mandelli</w:t>
      </w:r>
      <w:proofErr w:type="spellEnd"/>
      <w:r w:rsidRPr="002E4BFA">
        <w:rPr>
          <w:rFonts w:ascii="Arial" w:hAnsi="Arial" w:cs="Arial"/>
        </w:rPr>
        <w:t xml:space="preserve"> M (2022) Understanding eco-social policies: A proposed definition and typology. </w:t>
      </w:r>
      <w:r w:rsidRPr="002E4BFA">
        <w:rPr>
          <w:rFonts w:ascii="Arial" w:hAnsi="Arial" w:cs="Arial"/>
          <w:i/>
          <w:iCs/>
        </w:rPr>
        <w:t xml:space="preserve">Transfer: European Review of </w:t>
      </w:r>
      <w:proofErr w:type="spellStart"/>
      <w:r w:rsidRPr="002E4BFA">
        <w:rPr>
          <w:rFonts w:ascii="Arial" w:hAnsi="Arial" w:cs="Arial"/>
          <w:i/>
          <w:iCs/>
        </w:rPr>
        <w:t>Labour</w:t>
      </w:r>
      <w:proofErr w:type="spellEnd"/>
      <w:r w:rsidRPr="002E4BFA">
        <w:rPr>
          <w:rFonts w:ascii="Arial" w:hAnsi="Arial" w:cs="Arial"/>
          <w:i/>
          <w:iCs/>
        </w:rPr>
        <w:t xml:space="preserve"> and Research</w:t>
      </w:r>
      <w:r w:rsidRPr="002E4BFA">
        <w:rPr>
          <w:rFonts w:ascii="Arial" w:hAnsi="Arial" w:cs="Arial"/>
        </w:rPr>
        <w:t xml:space="preserve"> 28(3): 333–348</w:t>
      </w:r>
      <w:r w:rsidR="00CE6057" w:rsidRPr="002E4BFA">
        <w:rPr>
          <w:rFonts w:ascii="Arial" w:hAnsi="Arial" w:cs="Arial"/>
        </w:rPr>
        <w:t>.</w:t>
      </w:r>
    </w:p>
    <w:p w14:paraId="5E1C8109" w14:textId="69DB011B" w:rsidR="00EC3FA7" w:rsidRPr="002E4BFA" w:rsidRDefault="00EC3FA7" w:rsidP="00C6263F">
      <w:pPr>
        <w:spacing w:line="360" w:lineRule="auto"/>
        <w:ind w:left="284" w:hanging="284"/>
        <w:jc w:val="left"/>
        <w:rPr>
          <w:rFonts w:ascii="Arial" w:hAnsi="Arial" w:cs="Arial"/>
          <w:bCs/>
          <w:lang w:val="en-GB"/>
        </w:rPr>
      </w:pPr>
      <w:r w:rsidRPr="002E4BFA">
        <w:rPr>
          <w:rFonts w:ascii="Arial" w:hAnsi="Arial" w:cs="Arial"/>
          <w:lang w:val="en-GB"/>
        </w:rPr>
        <w:t xml:space="preserve">Matthieu S (2022) The European Green Deal as the new social contract. </w:t>
      </w:r>
      <w:r w:rsidRPr="002E4BFA">
        <w:rPr>
          <w:rFonts w:ascii="Arial" w:hAnsi="Arial" w:cs="Arial"/>
          <w:bCs/>
          <w:lang w:val="en-GB"/>
        </w:rPr>
        <w:t xml:space="preserve">In: </w:t>
      </w:r>
      <w:proofErr w:type="spellStart"/>
      <w:r w:rsidRPr="002E4BFA">
        <w:rPr>
          <w:rFonts w:ascii="Arial" w:hAnsi="Arial" w:cs="Arial"/>
          <w:bCs/>
          <w:lang w:val="en-GB"/>
        </w:rPr>
        <w:t>Holemans</w:t>
      </w:r>
      <w:proofErr w:type="spellEnd"/>
      <w:r w:rsidRPr="002E4BFA">
        <w:rPr>
          <w:rFonts w:ascii="Arial" w:hAnsi="Arial" w:cs="Arial"/>
          <w:bCs/>
          <w:lang w:val="en-GB"/>
        </w:rPr>
        <w:t xml:space="preserve"> D</w:t>
      </w:r>
      <w:r w:rsidR="006A5DBC" w:rsidRPr="002E4BFA">
        <w:rPr>
          <w:rFonts w:ascii="Arial" w:hAnsi="Arial" w:cs="Arial"/>
          <w:bCs/>
          <w:lang w:val="en-GB"/>
        </w:rPr>
        <w:t xml:space="preserve"> </w:t>
      </w:r>
      <w:r w:rsidRPr="002E4BFA">
        <w:rPr>
          <w:rFonts w:ascii="Arial" w:hAnsi="Arial" w:cs="Arial"/>
          <w:bCs/>
          <w:lang w:val="en-GB"/>
        </w:rPr>
        <w:t>(ed</w:t>
      </w:r>
      <w:r w:rsidR="006A5DBC" w:rsidRPr="002E4BFA">
        <w:rPr>
          <w:rFonts w:ascii="Arial" w:hAnsi="Arial" w:cs="Arial"/>
          <w:bCs/>
          <w:lang w:val="en-GB"/>
        </w:rPr>
        <w:t>.</w:t>
      </w:r>
      <w:r w:rsidRPr="002E4BFA">
        <w:rPr>
          <w:rFonts w:ascii="Arial" w:hAnsi="Arial" w:cs="Arial"/>
          <w:bCs/>
          <w:lang w:val="en-GB"/>
        </w:rPr>
        <w:t xml:space="preserve">) </w:t>
      </w:r>
      <w:r w:rsidRPr="002E4BFA">
        <w:rPr>
          <w:rFonts w:ascii="Arial" w:hAnsi="Arial" w:cs="Arial"/>
          <w:bCs/>
          <w:i/>
          <w:lang w:val="en-GB"/>
        </w:rPr>
        <w:t xml:space="preserve">A European Just Transition for a Better World. </w:t>
      </w:r>
      <w:r w:rsidRPr="002E4BFA">
        <w:rPr>
          <w:rFonts w:ascii="Arial" w:hAnsi="Arial" w:cs="Arial"/>
          <w:bCs/>
          <w:iCs/>
          <w:lang w:val="en-GB"/>
        </w:rPr>
        <w:t xml:space="preserve">Brussels: </w:t>
      </w:r>
      <w:r w:rsidRPr="002E4BFA">
        <w:rPr>
          <w:rFonts w:ascii="Arial" w:hAnsi="Arial" w:cs="Arial"/>
          <w:bCs/>
          <w:lang w:val="en-GB"/>
        </w:rPr>
        <w:t>Green European Foundation, pp. 151</w:t>
      </w:r>
      <w:r w:rsidR="004029A5" w:rsidRPr="002E4BFA">
        <w:rPr>
          <w:rFonts w:ascii="Arial" w:hAnsi="Arial" w:cs="Arial"/>
        </w:rPr>
        <w:t>–</w:t>
      </w:r>
      <w:r w:rsidRPr="002E4BFA">
        <w:rPr>
          <w:rFonts w:ascii="Arial" w:hAnsi="Arial" w:cs="Arial"/>
          <w:bCs/>
          <w:lang w:val="en-GB"/>
        </w:rPr>
        <w:t xml:space="preserve">164. </w:t>
      </w:r>
    </w:p>
    <w:p w14:paraId="068F2B50" w14:textId="7EACC3D3" w:rsidR="00EC3FA7" w:rsidRPr="002E4BFA" w:rsidRDefault="00EC3FA7" w:rsidP="00C6263F">
      <w:pPr>
        <w:spacing w:line="360" w:lineRule="auto"/>
        <w:ind w:left="284" w:hanging="284"/>
        <w:jc w:val="left"/>
        <w:rPr>
          <w:rFonts w:ascii="Arial" w:hAnsi="Arial" w:cs="Arial"/>
          <w:bCs/>
          <w:lang w:val="en-GB"/>
        </w:rPr>
      </w:pPr>
      <w:r w:rsidRPr="002E4BFA">
        <w:rPr>
          <w:rFonts w:ascii="Arial" w:hAnsi="Arial" w:cs="Arial"/>
          <w:bCs/>
          <w:lang w:val="en-GB"/>
        </w:rPr>
        <w:t xml:space="preserve">Munta M (2020) </w:t>
      </w:r>
      <w:r w:rsidRPr="002E4BFA">
        <w:rPr>
          <w:rFonts w:ascii="Arial" w:hAnsi="Arial" w:cs="Arial"/>
          <w:bCs/>
          <w:i/>
          <w:iCs/>
          <w:lang w:val="en-GB"/>
        </w:rPr>
        <w:t>The European Green Deal: A game changer or simply a buzzword?</w:t>
      </w:r>
      <w:r w:rsidRPr="002E4BFA">
        <w:rPr>
          <w:rFonts w:ascii="Arial" w:hAnsi="Arial" w:cs="Arial"/>
          <w:bCs/>
          <w:lang w:val="en-GB"/>
        </w:rPr>
        <w:t xml:space="preserve"> Zagreb: Friedrich Ebert Foundation. Available at: </w:t>
      </w:r>
      <w:hyperlink r:id="rId19" w:history="1">
        <w:r w:rsidRPr="002E4BFA">
          <w:rPr>
            <w:rFonts w:ascii="Arial" w:hAnsi="Arial" w:cs="Arial"/>
            <w:lang w:val="en-GB"/>
          </w:rPr>
          <w:t>https://croatia.fes.de/publikacije/publikacije-fes-a-u-zagrebu?tx_digbib_digbibpublicationlist%5BpageIndex%5D=3&amp;cHash=17f9e1838d696f421cedc10454042d08</w:t>
        </w:r>
      </w:hyperlink>
      <w:r w:rsidRPr="002E4BFA">
        <w:rPr>
          <w:rFonts w:ascii="Arial" w:hAnsi="Arial" w:cs="Arial"/>
          <w:bCs/>
          <w:lang w:val="en-GB"/>
        </w:rPr>
        <w:t xml:space="preserve"> (</w:t>
      </w:r>
      <w:r w:rsidR="006A5DBC" w:rsidRPr="002E4BFA">
        <w:rPr>
          <w:rFonts w:ascii="Arial" w:hAnsi="Arial" w:cs="Arial"/>
          <w:bCs/>
          <w:lang w:val="en-GB"/>
        </w:rPr>
        <w:t>accessed</w:t>
      </w:r>
      <w:r w:rsidRPr="002E4BFA">
        <w:rPr>
          <w:rFonts w:ascii="Arial" w:hAnsi="Arial" w:cs="Arial"/>
          <w:bCs/>
          <w:lang w:val="en-GB"/>
        </w:rPr>
        <w:t xml:space="preserve"> 6 October 2022)</w:t>
      </w:r>
      <w:r w:rsidR="006A5DBC" w:rsidRPr="002E4BFA">
        <w:rPr>
          <w:rFonts w:ascii="Arial" w:hAnsi="Arial" w:cs="Arial"/>
          <w:bCs/>
          <w:lang w:val="en-GB"/>
        </w:rPr>
        <w:t>.</w:t>
      </w:r>
    </w:p>
    <w:p w14:paraId="3D7D44E6" w14:textId="44E17E52" w:rsidR="00EC3FA7" w:rsidRPr="002E4BFA" w:rsidRDefault="00EC3FA7">
      <w:pPr>
        <w:spacing w:line="360" w:lineRule="auto"/>
        <w:ind w:left="284" w:hanging="284"/>
        <w:jc w:val="left"/>
        <w:rPr>
          <w:rFonts w:ascii="Arial" w:hAnsi="Arial" w:cs="Arial"/>
          <w:lang w:val="en-GB"/>
        </w:rPr>
      </w:pPr>
      <w:r w:rsidRPr="002E4BFA">
        <w:rPr>
          <w:rFonts w:ascii="Arial" w:hAnsi="Arial" w:cs="Arial"/>
          <w:lang w:val="en-GB"/>
        </w:rPr>
        <w:t>Paavola J (2017) Health impacts of climate change and health and social inequalities in the UK. </w:t>
      </w:r>
      <w:r w:rsidRPr="002E4BFA">
        <w:rPr>
          <w:rFonts w:ascii="Arial" w:hAnsi="Arial" w:cs="Arial"/>
          <w:i/>
          <w:iCs/>
          <w:lang w:val="en-GB"/>
        </w:rPr>
        <w:t>Environ Health</w:t>
      </w:r>
      <w:r w:rsidRPr="002E4BFA">
        <w:rPr>
          <w:rFonts w:ascii="Arial" w:hAnsi="Arial" w:cs="Arial"/>
          <w:lang w:val="en-GB"/>
        </w:rPr>
        <w:t> 16(Suppl. 1):</w:t>
      </w:r>
      <w:r w:rsidR="004029A5" w:rsidRPr="002E4BFA">
        <w:rPr>
          <w:rFonts w:ascii="Arial" w:hAnsi="Arial" w:cs="Arial"/>
          <w:lang w:val="en-GB"/>
        </w:rPr>
        <w:t xml:space="preserve"> </w:t>
      </w:r>
      <w:r w:rsidRPr="002E4BFA">
        <w:rPr>
          <w:rFonts w:ascii="Arial" w:hAnsi="Arial" w:cs="Arial"/>
          <w:lang w:val="en-GB"/>
        </w:rPr>
        <w:t>61</w:t>
      </w:r>
      <w:r w:rsidR="004029A5" w:rsidRPr="002E4BFA">
        <w:rPr>
          <w:rFonts w:ascii="Arial" w:hAnsi="Arial" w:cs="Arial"/>
        </w:rPr>
        <w:t>–</w:t>
      </w:r>
      <w:r w:rsidRPr="002E4BFA">
        <w:rPr>
          <w:rFonts w:ascii="Arial" w:hAnsi="Arial" w:cs="Arial"/>
          <w:lang w:val="en-GB"/>
        </w:rPr>
        <w:t>68.</w:t>
      </w:r>
    </w:p>
    <w:p w14:paraId="453FEFF7" w14:textId="364AD92C" w:rsidR="007A2189" w:rsidRPr="002E4BFA" w:rsidRDefault="007A2189" w:rsidP="00C6263F">
      <w:pPr>
        <w:spacing w:line="360" w:lineRule="auto"/>
        <w:ind w:left="284" w:hanging="284"/>
        <w:jc w:val="left"/>
        <w:rPr>
          <w:rFonts w:ascii="Arial" w:hAnsi="Arial" w:cs="Arial"/>
          <w:lang w:val="en-GB"/>
        </w:rPr>
      </w:pPr>
      <w:proofErr w:type="spellStart"/>
      <w:r w:rsidRPr="002E4BFA">
        <w:rPr>
          <w:rFonts w:ascii="Arial" w:hAnsi="Arial" w:cs="Arial"/>
        </w:rPr>
        <w:t>Parrique</w:t>
      </w:r>
      <w:proofErr w:type="spellEnd"/>
      <w:r w:rsidRPr="002E4BFA">
        <w:rPr>
          <w:rFonts w:ascii="Arial" w:hAnsi="Arial" w:cs="Arial"/>
        </w:rPr>
        <w:t xml:space="preserve"> T, Barth J, </w:t>
      </w:r>
      <w:proofErr w:type="spellStart"/>
      <w:r w:rsidRPr="002E4BFA">
        <w:rPr>
          <w:rFonts w:ascii="Arial" w:hAnsi="Arial" w:cs="Arial"/>
        </w:rPr>
        <w:t>Briens</w:t>
      </w:r>
      <w:proofErr w:type="spellEnd"/>
      <w:r w:rsidRPr="002E4BFA">
        <w:rPr>
          <w:rFonts w:ascii="Arial" w:hAnsi="Arial" w:cs="Arial"/>
        </w:rPr>
        <w:t xml:space="preserve"> F, </w:t>
      </w:r>
      <w:proofErr w:type="spellStart"/>
      <w:r w:rsidRPr="002E4BFA">
        <w:rPr>
          <w:rFonts w:ascii="Arial" w:hAnsi="Arial" w:cs="Arial"/>
        </w:rPr>
        <w:t>Kerschner</w:t>
      </w:r>
      <w:proofErr w:type="spellEnd"/>
      <w:r w:rsidRPr="002E4BFA">
        <w:rPr>
          <w:rFonts w:ascii="Arial" w:hAnsi="Arial" w:cs="Arial"/>
        </w:rPr>
        <w:t xml:space="preserve"> C, Kraus-Polk A, </w:t>
      </w:r>
      <w:proofErr w:type="spellStart"/>
      <w:r w:rsidRPr="002E4BFA">
        <w:rPr>
          <w:rFonts w:ascii="Arial" w:hAnsi="Arial" w:cs="Arial"/>
        </w:rPr>
        <w:t>Kuokkanen</w:t>
      </w:r>
      <w:proofErr w:type="spellEnd"/>
      <w:r w:rsidRPr="002E4BFA">
        <w:rPr>
          <w:rFonts w:ascii="Arial" w:hAnsi="Arial" w:cs="Arial"/>
        </w:rPr>
        <w:t xml:space="preserve"> A and Spangenberg JH (2019) </w:t>
      </w:r>
      <w:r w:rsidRPr="002E4BFA">
        <w:rPr>
          <w:rFonts w:ascii="Arial" w:hAnsi="Arial" w:cs="Arial"/>
          <w:i/>
          <w:iCs/>
          <w:lang w:val="en-GB"/>
        </w:rPr>
        <w:t>Decoupling debunked: Evidence and arguments against green growth as a sole strategy for sustainability</w:t>
      </w:r>
      <w:r w:rsidRPr="002E4BFA">
        <w:rPr>
          <w:rFonts w:ascii="Arial" w:hAnsi="Arial" w:cs="Arial"/>
          <w:lang w:val="en-GB"/>
        </w:rPr>
        <w:t xml:space="preserve">. </w:t>
      </w:r>
      <w:r w:rsidR="002970A9" w:rsidRPr="002E4BFA">
        <w:rPr>
          <w:rFonts w:ascii="Arial" w:hAnsi="Arial" w:cs="Arial"/>
          <w:lang w:val="en-GB"/>
        </w:rPr>
        <w:t>Brussels</w:t>
      </w:r>
      <w:r w:rsidRPr="002E4BFA">
        <w:rPr>
          <w:rFonts w:ascii="Arial" w:hAnsi="Arial" w:cs="Arial"/>
          <w:lang w:val="en-GB"/>
        </w:rPr>
        <w:t xml:space="preserve">: European </w:t>
      </w:r>
      <w:r w:rsidRPr="002E4BFA">
        <w:rPr>
          <w:rFonts w:ascii="Arial" w:hAnsi="Arial" w:cs="Arial"/>
          <w:lang w:val="en-GB"/>
        </w:rPr>
        <w:lastRenderedPageBreak/>
        <w:t>Environmental Bureau. Available at: eeb.org/decoupling-debunked (accessed 19 March 2023)</w:t>
      </w:r>
      <w:r w:rsidR="002970A9" w:rsidRPr="002E4BFA">
        <w:rPr>
          <w:rFonts w:ascii="Arial" w:hAnsi="Arial" w:cs="Arial"/>
          <w:lang w:val="en-GB"/>
        </w:rPr>
        <w:t>.</w:t>
      </w:r>
    </w:p>
    <w:p w14:paraId="09C9052C" w14:textId="707A4BFE" w:rsidR="00EC3FA7" w:rsidRPr="002E4BFA" w:rsidRDefault="00EC3FA7" w:rsidP="00C6263F">
      <w:pPr>
        <w:spacing w:line="360" w:lineRule="auto"/>
        <w:ind w:left="284" w:hanging="284"/>
        <w:jc w:val="left"/>
        <w:rPr>
          <w:rFonts w:ascii="Arial" w:hAnsi="Arial" w:cs="Arial"/>
          <w:lang w:val="en-GB"/>
        </w:rPr>
      </w:pPr>
      <w:proofErr w:type="spellStart"/>
      <w:r w:rsidRPr="002E4BFA">
        <w:rPr>
          <w:rFonts w:ascii="Arial" w:hAnsi="Arial" w:cs="Arial"/>
          <w:lang w:val="en-GB"/>
        </w:rPr>
        <w:t>Petmesidou</w:t>
      </w:r>
      <w:proofErr w:type="spellEnd"/>
      <w:r w:rsidRPr="002E4BFA">
        <w:rPr>
          <w:rFonts w:ascii="Arial" w:hAnsi="Arial" w:cs="Arial"/>
          <w:lang w:val="en-GB"/>
        </w:rPr>
        <w:t xml:space="preserve"> M</w:t>
      </w:r>
      <w:r w:rsidR="006A5DBC" w:rsidRPr="002E4BFA">
        <w:rPr>
          <w:rFonts w:ascii="Arial" w:hAnsi="Arial" w:cs="Arial"/>
          <w:lang w:val="en-GB"/>
        </w:rPr>
        <w:t xml:space="preserve"> and</w:t>
      </w:r>
      <w:r w:rsidRPr="002E4BFA">
        <w:rPr>
          <w:rFonts w:ascii="Arial" w:hAnsi="Arial" w:cs="Arial"/>
          <w:lang w:val="en-GB"/>
        </w:rPr>
        <w:t xml:space="preserve"> </w:t>
      </w:r>
      <w:proofErr w:type="spellStart"/>
      <w:r w:rsidRPr="002E4BFA">
        <w:rPr>
          <w:rFonts w:ascii="Arial" w:hAnsi="Arial" w:cs="Arial"/>
          <w:lang w:val="en-GB"/>
        </w:rPr>
        <w:t>Guillén</w:t>
      </w:r>
      <w:proofErr w:type="spellEnd"/>
      <w:r w:rsidRPr="002E4BFA">
        <w:rPr>
          <w:rFonts w:ascii="Arial" w:hAnsi="Arial" w:cs="Arial"/>
          <w:lang w:val="en-GB"/>
        </w:rPr>
        <w:t xml:space="preserve"> A (2021) A greener and more social pillar</w:t>
      </w:r>
      <w:r w:rsidR="006A5DBC" w:rsidRPr="002E4BFA">
        <w:rPr>
          <w:rFonts w:ascii="Arial" w:hAnsi="Arial" w:cs="Arial"/>
          <w:lang w:val="en-GB"/>
        </w:rPr>
        <w:t>,</w:t>
      </w:r>
      <w:r w:rsidRPr="002E4BFA">
        <w:rPr>
          <w:rFonts w:ascii="Arial" w:hAnsi="Arial" w:cs="Arial"/>
          <w:lang w:val="en-GB"/>
        </w:rPr>
        <w:t xml:space="preserve"> </w:t>
      </w:r>
      <w:r w:rsidRPr="002E4BFA">
        <w:rPr>
          <w:rFonts w:ascii="Arial" w:hAnsi="Arial" w:cs="Arial"/>
          <w:i/>
          <w:iCs/>
          <w:lang w:val="en-GB"/>
        </w:rPr>
        <w:t>Social Europe</w:t>
      </w:r>
      <w:r w:rsidR="00246817" w:rsidRPr="002E4BFA">
        <w:rPr>
          <w:rFonts w:ascii="Arial" w:hAnsi="Arial" w:cs="Arial"/>
          <w:lang w:val="en-GB"/>
        </w:rPr>
        <w:t xml:space="preserve">, </w:t>
      </w:r>
      <w:r w:rsidR="00F54929" w:rsidRPr="002E4BFA">
        <w:rPr>
          <w:rFonts w:ascii="Arial" w:hAnsi="Arial" w:cs="Arial"/>
          <w:lang w:val="en-GB"/>
        </w:rPr>
        <w:t xml:space="preserve">1 April </w:t>
      </w:r>
      <w:r w:rsidR="00246817" w:rsidRPr="002E4BFA">
        <w:rPr>
          <w:rFonts w:ascii="Arial" w:hAnsi="Arial" w:cs="Arial"/>
          <w:lang w:val="en-GB"/>
        </w:rPr>
        <w:t>2021</w:t>
      </w:r>
      <w:r w:rsidRPr="002E4BFA">
        <w:rPr>
          <w:rFonts w:ascii="Arial" w:hAnsi="Arial" w:cs="Arial"/>
          <w:lang w:val="en-GB"/>
        </w:rPr>
        <w:t xml:space="preserve">. Available at: </w:t>
      </w:r>
      <w:hyperlink r:id="rId20" w:history="1">
        <w:r w:rsidRPr="002E4BFA">
          <w:rPr>
            <w:rFonts w:ascii="Arial" w:hAnsi="Arial" w:cs="Arial"/>
            <w:lang w:val="en-GB"/>
          </w:rPr>
          <w:t>https://socialeurope.eu/a-greener-and-more-social-pillar</w:t>
        </w:r>
      </w:hyperlink>
      <w:r w:rsidRPr="002E4BFA">
        <w:rPr>
          <w:rFonts w:ascii="Arial" w:hAnsi="Arial" w:cs="Arial"/>
          <w:lang w:val="en-GB"/>
        </w:rPr>
        <w:t xml:space="preserve"> (</w:t>
      </w:r>
      <w:r w:rsidR="006A5DBC" w:rsidRPr="002E4BFA">
        <w:rPr>
          <w:rFonts w:ascii="Arial" w:hAnsi="Arial" w:cs="Arial"/>
          <w:lang w:val="en-GB"/>
        </w:rPr>
        <w:t>accessed</w:t>
      </w:r>
      <w:r w:rsidRPr="002E4BFA">
        <w:rPr>
          <w:rFonts w:ascii="Arial" w:hAnsi="Arial" w:cs="Arial"/>
          <w:lang w:val="en-GB"/>
        </w:rPr>
        <w:t xml:space="preserve"> 4 October 2022). </w:t>
      </w:r>
    </w:p>
    <w:p w14:paraId="7FD825BF" w14:textId="1EC23567" w:rsidR="00EC3FA7" w:rsidRPr="002E4BFA" w:rsidRDefault="00EC3FA7" w:rsidP="00C6263F">
      <w:pPr>
        <w:spacing w:line="360" w:lineRule="auto"/>
        <w:ind w:left="284" w:hanging="284"/>
        <w:jc w:val="left"/>
        <w:rPr>
          <w:rFonts w:ascii="Arial" w:hAnsi="Arial" w:cs="Arial"/>
        </w:rPr>
      </w:pPr>
      <w:proofErr w:type="spellStart"/>
      <w:r w:rsidRPr="002E4BFA">
        <w:rPr>
          <w:rFonts w:ascii="Arial" w:hAnsi="Arial" w:cs="Arial"/>
          <w:lang w:val="en-GB"/>
        </w:rPr>
        <w:t>Pistor</w:t>
      </w:r>
      <w:proofErr w:type="spellEnd"/>
      <w:r w:rsidRPr="002E4BFA">
        <w:rPr>
          <w:rFonts w:ascii="Arial" w:hAnsi="Arial" w:cs="Arial"/>
          <w:lang w:val="en-GB"/>
        </w:rPr>
        <w:t xml:space="preserve"> K (202</w:t>
      </w:r>
      <w:r w:rsidR="00B7360C" w:rsidRPr="002E4BFA">
        <w:rPr>
          <w:rFonts w:ascii="Arial" w:hAnsi="Arial" w:cs="Arial"/>
          <w:lang w:val="en-GB"/>
        </w:rPr>
        <w:t>1</w:t>
      </w:r>
      <w:r w:rsidRPr="002E4BFA">
        <w:rPr>
          <w:rFonts w:ascii="Arial" w:hAnsi="Arial" w:cs="Arial"/>
          <w:lang w:val="en-GB"/>
        </w:rPr>
        <w:t>) The myth of green capitalism</w:t>
      </w:r>
      <w:r w:rsidR="006A5DBC" w:rsidRPr="002E4BFA">
        <w:rPr>
          <w:rFonts w:ascii="Arial" w:hAnsi="Arial" w:cs="Arial"/>
          <w:lang w:val="en-GB"/>
        </w:rPr>
        <w:t>.</w:t>
      </w:r>
      <w:r w:rsidRPr="002E4BFA">
        <w:rPr>
          <w:rFonts w:ascii="Arial" w:hAnsi="Arial" w:cs="Arial"/>
          <w:lang w:val="en-GB"/>
        </w:rPr>
        <w:t xml:space="preserve"> </w:t>
      </w:r>
      <w:r w:rsidR="00075868" w:rsidRPr="002E4BFA">
        <w:rPr>
          <w:rFonts w:ascii="Arial" w:hAnsi="Arial" w:cs="Arial"/>
          <w:i/>
          <w:iCs/>
        </w:rPr>
        <w:t>Social Europe</w:t>
      </w:r>
      <w:r w:rsidR="00075868" w:rsidRPr="002E4BFA">
        <w:rPr>
          <w:rFonts w:ascii="Arial" w:hAnsi="Arial" w:cs="Arial"/>
        </w:rPr>
        <w:t>, 2</w:t>
      </w:r>
      <w:r w:rsidR="00246817" w:rsidRPr="002E4BFA">
        <w:rPr>
          <w:rFonts w:ascii="Arial" w:hAnsi="Arial" w:cs="Arial"/>
        </w:rPr>
        <w:t>7</w:t>
      </w:r>
      <w:r w:rsidR="00F54929" w:rsidRPr="002E4BFA">
        <w:rPr>
          <w:rFonts w:ascii="Arial" w:hAnsi="Arial" w:cs="Arial"/>
        </w:rPr>
        <w:t xml:space="preserve"> December</w:t>
      </w:r>
      <w:r w:rsidR="00075868" w:rsidRPr="002E4BFA">
        <w:rPr>
          <w:rFonts w:ascii="Arial" w:hAnsi="Arial" w:cs="Arial"/>
        </w:rPr>
        <w:t xml:space="preserve"> 2021</w:t>
      </w:r>
      <w:r w:rsidRPr="002E4BFA">
        <w:rPr>
          <w:rFonts w:ascii="Arial" w:hAnsi="Arial" w:cs="Arial"/>
        </w:rPr>
        <w:t>.</w:t>
      </w:r>
      <w:r w:rsidR="00246817" w:rsidRPr="002E4BFA">
        <w:rPr>
          <w:rFonts w:ascii="Arial" w:hAnsi="Arial" w:cs="Arial"/>
        </w:rPr>
        <w:t xml:space="preserve"> Available </w:t>
      </w:r>
      <w:proofErr w:type="gramStart"/>
      <w:r w:rsidR="00246817" w:rsidRPr="002E4BFA">
        <w:rPr>
          <w:rFonts w:ascii="Arial" w:hAnsi="Arial" w:cs="Arial"/>
        </w:rPr>
        <w:t>at :</w:t>
      </w:r>
      <w:proofErr w:type="gramEnd"/>
      <w:r w:rsidR="00246817" w:rsidRPr="002E4BFA">
        <w:rPr>
          <w:rFonts w:ascii="Arial" w:hAnsi="Arial" w:cs="Arial"/>
        </w:rPr>
        <w:t xml:space="preserve"> </w:t>
      </w:r>
      <w:hyperlink r:id="rId21" w:history="1">
        <w:r w:rsidR="00246817" w:rsidRPr="002E4BFA">
          <w:rPr>
            <w:rStyle w:val="Hyperlink"/>
            <w:rFonts w:ascii="Arial" w:hAnsi="Arial" w:cs="Arial"/>
          </w:rPr>
          <w:t>https://www.socialeurope.eu/the-myth-of-green-capitalism</w:t>
        </w:r>
      </w:hyperlink>
      <w:r w:rsidR="00246817" w:rsidRPr="002E4BFA">
        <w:rPr>
          <w:rFonts w:ascii="Arial" w:hAnsi="Arial" w:cs="Arial"/>
        </w:rPr>
        <w:t xml:space="preserve"> (accessed 19 March 2023).</w:t>
      </w:r>
      <w:r w:rsidRPr="002E4BFA">
        <w:rPr>
          <w:rFonts w:ascii="Arial" w:hAnsi="Arial" w:cs="Arial"/>
        </w:rPr>
        <w:t> </w:t>
      </w:r>
    </w:p>
    <w:p w14:paraId="222D1C81" w14:textId="01394D76" w:rsidR="00EC3FA7" w:rsidRPr="002E4BFA" w:rsidRDefault="00EC3FA7" w:rsidP="00C6263F">
      <w:pPr>
        <w:pStyle w:val="Reference"/>
        <w:spacing w:line="360" w:lineRule="auto"/>
        <w:ind w:left="284" w:hanging="284"/>
        <w:rPr>
          <w:rFonts w:ascii="Arial" w:hAnsi="Arial" w:cs="Arial"/>
          <w:lang w:val="fr-BE"/>
        </w:rPr>
      </w:pPr>
      <w:proofErr w:type="spellStart"/>
      <w:r w:rsidRPr="002E4BFA">
        <w:rPr>
          <w:rFonts w:ascii="Arial" w:eastAsiaTheme="minorHAnsi" w:hAnsi="Arial" w:cs="Arial"/>
          <w:lang w:val="fr-BE"/>
        </w:rPr>
        <w:t>Pochet</w:t>
      </w:r>
      <w:bookmarkStart w:id="0" w:name="CBML_BIB_000_0290"/>
      <w:proofErr w:type="spellEnd"/>
      <w:r w:rsidRPr="002E4BFA">
        <w:rPr>
          <w:rFonts w:ascii="Arial" w:eastAsiaTheme="minorHAnsi" w:hAnsi="Arial" w:cs="Arial"/>
          <w:lang w:val="fr-BE"/>
        </w:rPr>
        <w:t xml:space="preserve"> P (2019)</w:t>
      </w:r>
      <w:r w:rsidRPr="002E4BFA">
        <w:rPr>
          <w:rFonts w:ascii="Arial" w:hAnsi="Arial" w:cs="Arial"/>
          <w:lang w:val="fr-BE"/>
        </w:rPr>
        <w:t xml:space="preserve"> </w:t>
      </w:r>
      <w:r w:rsidR="00261E48" w:rsidRPr="002E4BFA">
        <w:rPr>
          <w:rStyle w:val="reftitleBook"/>
          <w:rFonts w:ascii="Arial" w:hAnsi="Arial" w:cs="Arial"/>
          <w:i/>
          <w:color w:val="auto"/>
          <w:lang w:val="fr-BE"/>
        </w:rPr>
        <w:t xml:space="preserve">A </w:t>
      </w:r>
      <w:r w:rsidRPr="002E4BFA">
        <w:rPr>
          <w:rStyle w:val="reftitleBook"/>
          <w:rFonts w:ascii="Arial" w:hAnsi="Arial" w:cs="Arial"/>
          <w:i/>
          <w:color w:val="auto"/>
          <w:lang w:val="fr-BE"/>
        </w:rPr>
        <w:t>la recherche de l’Europe sociale</w:t>
      </w:r>
      <w:r w:rsidRPr="002E4BFA">
        <w:rPr>
          <w:rFonts w:ascii="Arial" w:hAnsi="Arial" w:cs="Arial"/>
          <w:lang w:val="fr-BE"/>
        </w:rPr>
        <w:t xml:space="preserve">. </w:t>
      </w:r>
      <w:proofErr w:type="gramStart"/>
      <w:r w:rsidRPr="002E4BFA">
        <w:rPr>
          <w:rStyle w:val="refpublisherLocation"/>
          <w:rFonts w:ascii="Arial" w:hAnsi="Arial" w:cs="Arial"/>
          <w:color w:val="auto"/>
          <w:lang w:val="fr-BE"/>
        </w:rPr>
        <w:t>Paris</w:t>
      </w:r>
      <w:r w:rsidRPr="002E4BFA">
        <w:rPr>
          <w:rFonts w:ascii="Arial" w:hAnsi="Arial" w:cs="Arial"/>
          <w:lang w:val="fr-BE"/>
        </w:rPr>
        <w:t>:</w:t>
      </w:r>
      <w:proofErr w:type="gramEnd"/>
      <w:r w:rsidRPr="002E4BFA">
        <w:rPr>
          <w:rFonts w:ascii="Arial" w:hAnsi="Arial" w:cs="Arial"/>
          <w:lang w:val="fr-BE"/>
        </w:rPr>
        <w:t xml:space="preserve"> </w:t>
      </w:r>
      <w:r w:rsidRPr="002E4BFA">
        <w:rPr>
          <w:rStyle w:val="refpublisherName"/>
          <w:rFonts w:ascii="Arial" w:hAnsi="Arial" w:cs="Arial"/>
          <w:color w:val="auto"/>
          <w:lang w:val="fr-BE"/>
        </w:rPr>
        <w:t>Presses universitaires de France</w:t>
      </w:r>
      <w:r w:rsidRPr="002E4BFA">
        <w:rPr>
          <w:rFonts w:ascii="Arial" w:hAnsi="Arial" w:cs="Arial"/>
          <w:lang w:val="fr-BE"/>
        </w:rPr>
        <w:t>.</w:t>
      </w:r>
      <w:bookmarkEnd w:id="0"/>
    </w:p>
    <w:p w14:paraId="37AB4E1D" w14:textId="7DA7C126" w:rsidR="00EC3FA7" w:rsidRPr="002E4BFA" w:rsidRDefault="00EC3FA7" w:rsidP="00C6263F">
      <w:pPr>
        <w:spacing w:line="360" w:lineRule="auto"/>
        <w:ind w:left="284" w:hanging="284"/>
        <w:jc w:val="left"/>
        <w:rPr>
          <w:rFonts w:ascii="Arial" w:hAnsi="Arial" w:cs="Arial"/>
          <w:lang w:val="en-GB"/>
        </w:rPr>
      </w:pPr>
      <w:r w:rsidRPr="002E4BFA">
        <w:rPr>
          <w:rFonts w:ascii="Arial" w:hAnsi="Arial" w:cs="Arial"/>
          <w:lang w:val="en-GB"/>
        </w:rPr>
        <w:t>Sabato S</w:t>
      </w:r>
      <w:r w:rsidR="00E42ECD" w:rsidRPr="002E4BFA">
        <w:rPr>
          <w:rFonts w:ascii="Arial" w:hAnsi="Arial" w:cs="Arial"/>
          <w:lang w:val="en-GB"/>
        </w:rPr>
        <w:t xml:space="preserve"> and</w:t>
      </w:r>
      <w:r w:rsidRPr="002E4BFA">
        <w:rPr>
          <w:rFonts w:ascii="Arial" w:hAnsi="Arial" w:cs="Arial"/>
          <w:lang w:val="en-GB"/>
        </w:rPr>
        <w:t xml:space="preserve"> </w:t>
      </w:r>
      <w:proofErr w:type="spellStart"/>
      <w:r w:rsidRPr="002E4BFA">
        <w:rPr>
          <w:rFonts w:ascii="Arial" w:hAnsi="Arial" w:cs="Arial"/>
          <w:lang w:val="en-GB"/>
        </w:rPr>
        <w:t>Fronteddu</w:t>
      </w:r>
      <w:proofErr w:type="spellEnd"/>
      <w:r w:rsidRPr="002E4BFA">
        <w:rPr>
          <w:rFonts w:ascii="Arial" w:hAnsi="Arial" w:cs="Arial"/>
          <w:lang w:val="en-GB"/>
        </w:rPr>
        <w:t xml:space="preserve"> B (2020) A socially just transition through the European Green Deal? Working Paper 2020.08. Brussels: </w:t>
      </w:r>
      <w:r w:rsidR="00E42ECD" w:rsidRPr="002E4BFA">
        <w:rPr>
          <w:rFonts w:ascii="Arial" w:hAnsi="Arial" w:cs="Arial"/>
          <w:lang w:val="en-GB"/>
        </w:rPr>
        <w:t>ETUI.</w:t>
      </w:r>
    </w:p>
    <w:p w14:paraId="41E092CA" w14:textId="27A9C32C" w:rsidR="00EC3FA7" w:rsidRPr="002E4BFA" w:rsidRDefault="00EC3FA7" w:rsidP="00C6263F">
      <w:pPr>
        <w:spacing w:line="360" w:lineRule="auto"/>
        <w:ind w:left="284" w:hanging="284"/>
        <w:jc w:val="left"/>
        <w:rPr>
          <w:rFonts w:ascii="Arial" w:hAnsi="Arial" w:cs="Arial"/>
          <w:lang w:val="en-GB"/>
        </w:rPr>
      </w:pPr>
      <w:r w:rsidRPr="002E4BFA">
        <w:rPr>
          <w:rFonts w:ascii="Arial" w:hAnsi="Arial" w:cs="Arial"/>
          <w:lang w:val="en-GB"/>
        </w:rPr>
        <w:t xml:space="preserve">Sabato S, </w:t>
      </w:r>
      <w:proofErr w:type="spellStart"/>
      <w:r w:rsidRPr="002E4BFA">
        <w:rPr>
          <w:rFonts w:ascii="Arial" w:hAnsi="Arial" w:cs="Arial"/>
          <w:lang w:val="en-GB"/>
        </w:rPr>
        <w:t>Mandelli</w:t>
      </w:r>
      <w:proofErr w:type="spellEnd"/>
      <w:r w:rsidRPr="002E4BFA">
        <w:rPr>
          <w:rFonts w:ascii="Arial" w:hAnsi="Arial" w:cs="Arial"/>
          <w:lang w:val="en-GB"/>
        </w:rPr>
        <w:t xml:space="preserve"> M</w:t>
      </w:r>
      <w:r w:rsidR="006A5DBC" w:rsidRPr="002E4BFA">
        <w:rPr>
          <w:rFonts w:ascii="Arial" w:hAnsi="Arial" w:cs="Arial"/>
          <w:lang w:val="en-GB"/>
        </w:rPr>
        <w:t xml:space="preserve"> and</w:t>
      </w:r>
      <w:r w:rsidRPr="002E4BFA">
        <w:rPr>
          <w:rFonts w:ascii="Arial" w:hAnsi="Arial" w:cs="Arial"/>
          <w:lang w:val="en-GB"/>
        </w:rPr>
        <w:t xml:space="preserve"> </w:t>
      </w:r>
      <w:proofErr w:type="spellStart"/>
      <w:r w:rsidRPr="002E4BFA">
        <w:rPr>
          <w:rFonts w:ascii="Arial" w:hAnsi="Arial" w:cs="Arial"/>
          <w:lang w:val="en-GB"/>
        </w:rPr>
        <w:t>Vanhercke</w:t>
      </w:r>
      <w:proofErr w:type="spellEnd"/>
      <w:r w:rsidRPr="002E4BFA">
        <w:rPr>
          <w:rFonts w:ascii="Arial" w:hAnsi="Arial" w:cs="Arial"/>
          <w:lang w:val="en-GB"/>
        </w:rPr>
        <w:t xml:space="preserve"> B (2021) </w:t>
      </w:r>
      <w:r w:rsidRPr="002E4BFA">
        <w:rPr>
          <w:rFonts w:ascii="Arial" w:hAnsi="Arial" w:cs="Arial"/>
          <w:i/>
          <w:iCs/>
          <w:lang w:val="en-GB"/>
        </w:rPr>
        <w:t>The Socio-Ecological Dimension of the EU Recovery. From the European Green Deal to the Recovery and Resilience Facility</w:t>
      </w:r>
      <w:r w:rsidRPr="002E4BFA">
        <w:rPr>
          <w:rFonts w:ascii="Arial" w:hAnsi="Arial" w:cs="Arial"/>
          <w:lang w:val="en-GB"/>
        </w:rPr>
        <w:t xml:space="preserve">. Madrid: </w:t>
      </w:r>
      <w:proofErr w:type="spellStart"/>
      <w:r w:rsidRPr="002E4BFA">
        <w:rPr>
          <w:rFonts w:ascii="Arial" w:hAnsi="Arial" w:cs="Arial"/>
          <w:lang w:val="en-GB"/>
        </w:rPr>
        <w:t>EUROsociAL</w:t>
      </w:r>
      <w:proofErr w:type="spellEnd"/>
      <w:r w:rsidRPr="002E4BFA">
        <w:rPr>
          <w:rFonts w:ascii="Arial" w:hAnsi="Arial" w:cs="Arial"/>
          <w:lang w:val="en-GB"/>
        </w:rPr>
        <w:t xml:space="preserve"> Programme, </w:t>
      </w:r>
      <w:proofErr w:type="spellStart"/>
      <w:r w:rsidRPr="002E4BFA">
        <w:rPr>
          <w:rFonts w:ascii="Arial" w:hAnsi="Arial" w:cs="Arial"/>
          <w:lang w:val="en-GB"/>
        </w:rPr>
        <w:t>EUROsociAL</w:t>
      </w:r>
      <w:proofErr w:type="spellEnd"/>
      <w:r w:rsidRPr="002E4BFA">
        <w:rPr>
          <w:rFonts w:ascii="Arial" w:hAnsi="Arial" w:cs="Arial"/>
          <w:lang w:val="en-GB"/>
        </w:rPr>
        <w:t xml:space="preserve"> Collection No 24. </w:t>
      </w:r>
    </w:p>
    <w:p w14:paraId="5F6C2A92" w14:textId="1B877A13" w:rsidR="00EC3FA7" w:rsidRPr="002E4BFA" w:rsidRDefault="00EC3FA7" w:rsidP="00C6263F">
      <w:pPr>
        <w:spacing w:line="360" w:lineRule="auto"/>
        <w:ind w:left="284" w:hanging="284"/>
        <w:jc w:val="left"/>
        <w:rPr>
          <w:rFonts w:ascii="Arial" w:hAnsi="Arial" w:cs="Arial"/>
          <w:lang w:val="en-GB"/>
        </w:rPr>
      </w:pPr>
      <w:proofErr w:type="spellStart"/>
      <w:r w:rsidRPr="002E4BFA">
        <w:rPr>
          <w:rFonts w:ascii="Arial" w:hAnsi="Arial" w:cs="Arial"/>
          <w:lang w:val="en-GB"/>
        </w:rPr>
        <w:t>Theodoropolou</w:t>
      </w:r>
      <w:proofErr w:type="spellEnd"/>
      <w:r w:rsidRPr="002E4BFA">
        <w:rPr>
          <w:rFonts w:ascii="Arial" w:hAnsi="Arial" w:cs="Arial"/>
          <w:lang w:val="en-GB"/>
        </w:rPr>
        <w:t xml:space="preserve"> S, </w:t>
      </w:r>
      <w:proofErr w:type="spellStart"/>
      <w:r w:rsidRPr="002E4BFA">
        <w:rPr>
          <w:rFonts w:ascii="Arial" w:hAnsi="Arial" w:cs="Arial"/>
          <w:lang w:val="en-GB"/>
        </w:rPr>
        <w:t>Akgüç</w:t>
      </w:r>
      <w:proofErr w:type="spellEnd"/>
      <w:r w:rsidRPr="002E4BFA">
        <w:rPr>
          <w:rFonts w:ascii="Arial" w:hAnsi="Arial" w:cs="Arial"/>
          <w:lang w:val="en-GB"/>
        </w:rPr>
        <w:t xml:space="preserve"> M</w:t>
      </w:r>
      <w:r w:rsidR="00DA691C" w:rsidRPr="002E4BFA">
        <w:rPr>
          <w:rFonts w:ascii="Arial" w:hAnsi="Arial" w:cs="Arial"/>
          <w:lang w:val="en-GB"/>
        </w:rPr>
        <w:t xml:space="preserve"> and</w:t>
      </w:r>
      <w:r w:rsidRPr="002E4BFA">
        <w:rPr>
          <w:rFonts w:ascii="Arial" w:hAnsi="Arial" w:cs="Arial"/>
          <w:lang w:val="en-GB"/>
        </w:rPr>
        <w:t xml:space="preserve"> Wall J (2022) Balancing objectives? Just transition in national recovery and resilience plans. Working </w:t>
      </w:r>
      <w:r w:rsidR="00601FC6" w:rsidRPr="002E4BFA">
        <w:rPr>
          <w:rFonts w:ascii="Arial" w:hAnsi="Arial" w:cs="Arial"/>
          <w:lang w:val="en-GB"/>
        </w:rPr>
        <w:t xml:space="preserve">Paper </w:t>
      </w:r>
      <w:r w:rsidRPr="002E4BFA">
        <w:rPr>
          <w:rFonts w:ascii="Arial" w:hAnsi="Arial" w:cs="Arial"/>
          <w:lang w:val="en-GB"/>
        </w:rPr>
        <w:t xml:space="preserve">2022.11. Brussels: </w:t>
      </w:r>
      <w:r w:rsidR="00DA691C" w:rsidRPr="002E4BFA">
        <w:rPr>
          <w:rFonts w:ascii="Arial" w:hAnsi="Arial" w:cs="Arial"/>
          <w:lang w:val="en-GB"/>
        </w:rPr>
        <w:t>ETUI</w:t>
      </w:r>
      <w:r w:rsidRPr="002E4BFA">
        <w:rPr>
          <w:rFonts w:ascii="Arial" w:hAnsi="Arial" w:cs="Arial"/>
          <w:lang w:val="en-GB"/>
        </w:rPr>
        <w:t>.</w:t>
      </w:r>
    </w:p>
    <w:p w14:paraId="3869DD10" w14:textId="620AC07E" w:rsidR="00A53F0C" w:rsidRPr="002E4BFA" w:rsidRDefault="00EC3FA7" w:rsidP="00C6263F">
      <w:pPr>
        <w:spacing w:line="360" w:lineRule="auto"/>
        <w:ind w:left="284" w:hanging="284"/>
        <w:jc w:val="left"/>
        <w:rPr>
          <w:rFonts w:ascii="Arial" w:hAnsi="Arial" w:cs="Arial"/>
          <w:lang w:val="en-GB"/>
        </w:rPr>
      </w:pPr>
      <w:proofErr w:type="spellStart"/>
      <w:r w:rsidRPr="002E4BFA">
        <w:rPr>
          <w:rFonts w:ascii="Arial" w:hAnsi="Arial" w:cs="Arial"/>
          <w:lang w:val="en-GB"/>
        </w:rPr>
        <w:t>Vesan</w:t>
      </w:r>
      <w:proofErr w:type="spellEnd"/>
      <w:r w:rsidRPr="002E4BFA">
        <w:rPr>
          <w:rFonts w:ascii="Arial" w:hAnsi="Arial" w:cs="Arial"/>
          <w:lang w:val="en-GB"/>
        </w:rPr>
        <w:t xml:space="preserve"> P, Corti F</w:t>
      </w:r>
      <w:r w:rsidR="001C65D7" w:rsidRPr="002E4BFA">
        <w:rPr>
          <w:rFonts w:ascii="Arial" w:hAnsi="Arial" w:cs="Arial"/>
          <w:lang w:val="en-GB"/>
        </w:rPr>
        <w:t xml:space="preserve"> </w:t>
      </w:r>
      <w:r w:rsidR="00002734" w:rsidRPr="002E4BFA">
        <w:rPr>
          <w:rFonts w:ascii="Arial" w:hAnsi="Arial" w:cs="Arial"/>
          <w:lang w:val="en-GB"/>
        </w:rPr>
        <w:t>and</w:t>
      </w:r>
      <w:r w:rsidRPr="002E4BFA">
        <w:rPr>
          <w:rFonts w:ascii="Arial" w:hAnsi="Arial" w:cs="Arial"/>
          <w:lang w:val="en-GB"/>
        </w:rPr>
        <w:t xml:space="preserve"> Sabato S (2021) The European Commission’s entrepreneurship and the social dimension of the European Semester: from the European Pillar of Social Rights to the Covid-19 pandemic. </w:t>
      </w:r>
      <w:r w:rsidRPr="002E4BFA">
        <w:rPr>
          <w:rFonts w:ascii="Arial" w:hAnsi="Arial" w:cs="Arial"/>
          <w:i/>
          <w:iCs/>
          <w:lang w:val="en-GB"/>
        </w:rPr>
        <w:t>Comparative European Politics</w:t>
      </w:r>
      <w:r w:rsidRPr="002E4BFA">
        <w:rPr>
          <w:rFonts w:ascii="Arial" w:hAnsi="Arial" w:cs="Arial"/>
          <w:lang w:val="en-GB"/>
        </w:rPr>
        <w:t xml:space="preserve"> 19(3): 277–295.</w:t>
      </w:r>
    </w:p>
    <w:p w14:paraId="47F14C1C" w14:textId="77777777" w:rsidR="006B2D80" w:rsidRPr="002E4BFA" w:rsidRDefault="006B2D80" w:rsidP="00C6263F">
      <w:pPr>
        <w:spacing w:line="360" w:lineRule="auto"/>
        <w:ind w:left="284" w:hanging="284"/>
        <w:jc w:val="left"/>
        <w:rPr>
          <w:rFonts w:ascii="Arial" w:hAnsi="Arial" w:cs="Arial"/>
          <w:lang w:val="en-GB"/>
        </w:rPr>
      </w:pPr>
    </w:p>
    <w:sectPr w:rsidR="006B2D80" w:rsidRPr="002E4BFA">
      <w:footerReference w:type="default" r:id="rId22"/>
      <w:footnotePr>
        <w:pos w:val="beneathText"/>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CDE9" w14:textId="77777777" w:rsidR="007C1676" w:rsidRDefault="007C1676" w:rsidP="00EC3FA7">
      <w:pPr>
        <w:spacing w:after="0" w:line="240" w:lineRule="auto"/>
      </w:pPr>
      <w:r>
        <w:separator/>
      </w:r>
    </w:p>
  </w:endnote>
  <w:endnote w:type="continuationSeparator" w:id="0">
    <w:p w14:paraId="4CD8AAAD" w14:textId="77777777" w:rsidR="007C1676" w:rsidRDefault="007C1676" w:rsidP="00EC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X">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016627"/>
      <w:docPartObj>
        <w:docPartGallery w:val="Page Numbers (Bottom of Page)"/>
        <w:docPartUnique/>
      </w:docPartObj>
    </w:sdtPr>
    <w:sdtEndPr>
      <w:rPr>
        <w:noProof/>
      </w:rPr>
    </w:sdtEndPr>
    <w:sdtContent>
      <w:p w14:paraId="7CB7DFFA" w14:textId="77777777" w:rsidR="005D75EF" w:rsidRDefault="00850E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186F16" w14:textId="77777777" w:rsidR="005D75E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A116" w14:textId="77777777" w:rsidR="007C1676" w:rsidRDefault="007C1676" w:rsidP="00EC3FA7">
      <w:pPr>
        <w:spacing w:after="0" w:line="240" w:lineRule="auto"/>
      </w:pPr>
      <w:r>
        <w:separator/>
      </w:r>
    </w:p>
  </w:footnote>
  <w:footnote w:type="continuationSeparator" w:id="0">
    <w:p w14:paraId="6F335AFC" w14:textId="77777777" w:rsidR="007C1676" w:rsidRDefault="007C1676" w:rsidP="00EC3FA7">
      <w:pPr>
        <w:spacing w:after="0" w:line="240" w:lineRule="auto"/>
      </w:pPr>
      <w:r>
        <w:continuationSeparator/>
      </w:r>
    </w:p>
  </w:footnote>
  <w:footnote w:id="1">
    <w:p w14:paraId="7F13223B" w14:textId="6A57D586" w:rsidR="002E4BFA" w:rsidRPr="002E4BFA" w:rsidRDefault="002E4BFA" w:rsidP="002E4BFA">
      <w:pPr>
        <w:spacing w:line="360" w:lineRule="auto"/>
        <w:jc w:val="left"/>
        <w:rPr>
          <w:rFonts w:ascii="Arial" w:hAnsi="Arial" w:cs="Arial"/>
          <w:sz w:val="20"/>
          <w:szCs w:val="20"/>
          <w:lang w:val="fr-BE"/>
        </w:rPr>
      </w:pPr>
      <w:r w:rsidRPr="002E4BFA">
        <w:rPr>
          <w:rStyle w:val="FootnoteReference"/>
          <w:sz w:val="20"/>
          <w:szCs w:val="20"/>
        </w:rPr>
        <w:footnoteRef/>
      </w:r>
      <w:r w:rsidRPr="002E4BFA">
        <w:rPr>
          <w:sz w:val="20"/>
          <w:szCs w:val="20"/>
        </w:rPr>
        <w:t xml:space="preserve"> </w:t>
      </w:r>
      <w:proofErr w:type="spellStart"/>
      <w:r w:rsidRPr="002E4BFA">
        <w:rPr>
          <w:rFonts w:ascii="Arial" w:hAnsi="Arial" w:cs="Arial"/>
          <w:b/>
          <w:bCs/>
          <w:iCs/>
          <w:sz w:val="20"/>
          <w:szCs w:val="20"/>
          <w:lang w:val="fr-BE"/>
        </w:rPr>
        <w:t>Corresponding</w:t>
      </w:r>
      <w:proofErr w:type="spellEnd"/>
      <w:r w:rsidRPr="002E4BFA">
        <w:rPr>
          <w:rFonts w:ascii="Arial" w:hAnsi="Arial" w:cs="Arial"/>
          <w:b/>
          <w:bCs/>
          <w:iCs/>
          <w:sz w:val="20"/>
          <w:szCs w:val="20"/>
          <w:lang w:val="fr-BE"/>
        </w:rPr>
        <w:t xml:space="preserve"> </w:t>
      </w:r>
      <w:proofErr w:type="spellStart"/>
      <w:proofErr w:type="gramStart"/>
      <w:r w:rsidRPr="002E4BFA">
        <w:rPr>
          <w:rFonts w:ascii="Arial" w:hAnsi="Arial" w:cs="Arial"/>
          <w:b/>
          <w:bCs/>
          <w:iCs/>
          <w:sz w:val="20"/>
          <w:szCs w:val="20"/>
          <w:lang w:val="fr-BE"/>
        </w:rPr>
        <w:t>author</w:t>
      </w:r>
      <w:proofErr w:type="spellEnd"/>
      <w:r w:rsidRPr="002E4BFA">
        <w:rPr>
          <w:rFonts w:ascii="Arial" w:hAnsi="Arial" w:cs="Arial"/>
          <w:b/>
          <w:bCs/>
          <w:iCs/>
          <w:sz w:val="20"/>
          <w:szCs w:val="20"/>
          <w:lang w:val="fr-BE"/>
        </w:rPr>
        <w:t>:</w:t>
      </w:r>
      <w:proofErr w:type="gramEnd"/>
      <w:r w:rsidRPr="002E4BFA">
        <w:rPr>
          <w:rFonts w:ascii="Arial" w:hAnsi="Arial" w:cs="Arial"/>
          <w:b/>
          <w:bCs/>
          <w:iCs/>
          <w:sz w:val="20"/>
          <w:szCs w:val="20"/>
          <w:lang w:val="fr-BE"/>
        </w:rPr>
        <w:t xml:space="preserve"> </w:t>
      </w:r>
      <w:r w:rsidRPr="002E4BFA">
        <w:rPr>
          <w:rFonts w:ascii="Arial" w:hAnsi="Arial" w:cs="Arial"/>
          <w:sz w:val="20"/>
          <w:szCs w:val="20"/>
          <w:lang w:val="fr-BE"/>
        </w:rPr>
        <w:t>Amandine Crespy,</w:t>
      </w:r>
      <w:r w:rsidRPr="002E4BFA">
        <w:rPr>
          <w:rFonts w:ascii="Arial" w:hAnsi="Arial" w:cs="Arial"/>
          <w:b/>
          <w:bCs/>
          <w:sz w:val="20"/>
          <w:szCs w:val="20"/>
          <w:lang w:val="fr-BE"/>
        </w:rPr>
        <w:t xml:space="preserve"> </w:t>
      </w:r>
      <w:r w:rsidRPr="002E4BFA">
        <w:rPr>
          <w:rFonts w:ascii="Arial" w:hAnsi="Arial" w:cs="Arial"/>
          <w:sz w:val="20"/>
          <w:szCs w:val="20"/>
          <w:lang w:val="fr-BE"/>
        </w:rPr>
        <w:t xml:space="preserve">Université Libre de Bruxelles, </w:t>
      </w:r>
      <w:proofErr w:type="spellStart"/>
      <w:r w:rsidRPr="002E4BFA">
        <w:rPr>
          <w:rFonts w:ascii="Arial" w:hAnsi="Arial" w:cs="Arial"/>
          <w:sz w:val="20"/>
          <w:szCs w:val="20"/>
          <w:lang w:val="fr-BE"/>
        </w:rPr>
        <w:t>Cevipol</w:t>
      </w:r>
      <w:proofErr w:type="spellEnd"/>
      <w:r w:rsidRPr="002E4BFA">
        <w:rPr>
          <w:rFonts w:ascii="Arial" w:hAnsi="Arial" w:cs="Arial"/>
          <w:sz w:val="20"/>
          <w:szCs w:val="20"/>
          <w:lang w:val="fr-BE"/>
        </w:rPr>
        <w:t>/Institut d'Etudes Européennes</w:t>
      </w:r>
      <w:r w:rsidRPr="002E4BFA">
        <w:rPr>
          <w:rFonts w:ascii="Arial" w:hAnsi="Arial" w:cs="Arial"/>
          <w:sz w:val="20"/>
          <w:szCs w:val="20"/>
          <w:lang w:val="hr-HR"/>
        </w:rPr>
        <w:t>,</w:t>
      </w:r>
      <w:r w:rsidRPr="002E4BFA">
        <w:rPr>
          <w:rFonts w:ascii="Arial" w:hAnsi="Arial" w:cs="Arial"/>
          <w:sz w:val="20"/>
          <w:szCs w:val="20"/>
          <w:lang w:val="fr-BE"/>
        </w:rPr>
        <w:t xml:space="preserve"> Avenue F.D. Roosevelt 50, 1050 Brussels, </w:t>
      </w:r>
      <w:proofErr w:type="spellStart"/>
      <w:r w:rsidRPr="002E4BFA">
        <w:rPr>
          <w:rFonts w:ascii="Arial" w:hAnsi="Arial" w:cs="Arial"/>
          <w:sz w:val="20"/>
          <w:szCs w:val="20"/>
          <w:lang w:val="fr-BE"/>
        </w:rPr>
        <w:t>Belgium</w:t>
      </w:r>
      <w:proofErr w:type="spellEnd"/>
      <w:r w:rsidRPr="002E4BFA">
        <w:rPr>
          <w:rFonts w:ascii="Arial" w:hAnsi="Arial" w:cs="Arial"/>
          <w:sz w:val="20"/>
          <w:szCs w:val="20"/>
          <w:lang w:val="fr-BE"/>
        </w:rPr>
        <w:t>.</w:t>
      </w:r>
      <w:r>
        <w:rPr>
          <w:rFonts w:ascii="Arial" w:hAnsi="Arial" w:cs="Arial"/>
          <w:sz w:val="20"/>
          <w:szCs w:val="20"/>
          <w:lang w:val="fr-BE"/>
        </w:rPr>
        <w:t xml:space="preserve"> </w:t>
      </w:r>
      <w:r w:rsidRPr="002E4BFA">
        <w:rPr>
          <w:rFonts w:ascii="Arial" w:hAnsi="Arial" w:cs="Arial"/>
          <w:sz w:val="20"/>
          <w:szCs w:val="20"/>
          <w:lang w:val="hr-HR"/>
        </w:rPr>
        <w:t>Email: amandine.crespy@ulb.be.</w:t>
      </w:r>
    </w:p>
    <w:p w14:paraId="4BDC2D0C" w14:textId="1C151C22" w:rsidR="002E4BFA" w:rsidRDefault="002E4BFA">
      <w:pPr>
        <w:pStyle w:val="FootnoteText"/>
      </w:pPr>
    </w:p>
  </w:footnote>
  <w:footnote w:id="2">
    <w:p w14:paraId="2E409C79" w14:textId="5187813B" w:rsidR="00EA61C1" w:rsidRPr="005D6267" w:rsidRDefault="00EA61C1" w:rsidP="00EC3FA7">
      <w:pPr>
        <w:pStyle w:val="FootnoteText"/>
      </w:pPr>
      <w:r>
        <w:rPr>
          <w:rStyle w:val="FootnoteReference"/>
        </w:rPr>
        <w:footnoteRef/>
      </w:r>
      <w:r>
        <w:t xml:space="preserve"> </w:t>
      </w:r>
      <w:r w:rsidRPr="00823CED">
        <w:t>This refers to setting a mandatory threshold of public expenditure</w:t>
      </w:r>
      <w:r>
        <w:t xml:space="preserve"> directed towards social investment policy</w:t>
      </w:r>
      <w:r w:rsidRPr="00823CED">
        <w:t xml:space="preserve">, measured </w:t>
      </w:r>
      <w:r>
        <w:t>as a</w:t>
      </w:r>
      <w:r w:rsidRPr="00823CED">
        <w:t xml:space="preserve"> percentage of </w:t>
      </w:r>
      <w:r>
        <w:t>GDP.</w:t>
      </w:r>
    </w:p>
  </w:footnote>
  <w:footnote w:id="3">
    <w:p w14:paraId="7FBFA685" w14:textId="77777777" w:rsidR="00EA61C1" w:rsidRPr="00670C88" w:rsidRDefault="00EA61C1" w:rsidP="00EC3FA7">
      <w:pPr>
        <w:pStyle w:val="FootnoteText"/>
      </w:pPr>
      <w:r>
        <w:rPr>
          <w:rStyle w:val="FootnoteReference"/>
        </w:rPr>
        <w:footnoteRef/>
      </w:r>
      <w:r w:rsidRPr="00C9319C">
        <w:t xml:space="preserve"> </w:t>
      </w:r>
      <w:r>
        <w:t xml:space="preserve">Including the </w:t>
      </w:r>
      <w:proofErr w:type="spellStart"/>
      <w:r>
        <w:t>Frugals</w:t>
      </w:r>
      <w:proofErr w:type="spellEnd"/>
      <w:r>
        <w:t xml:space="preserve">, Belgium, </w:t>
      </w:r>
      <w:proofErr w:type="gramStart"/>
      <w:r>
        <w:t>Luxembourg</w:t>
      </w:r>
      <w:proofErr w:type="gramEnd"/>
      <w:r>
        <w:t xml:space="preserve"> and Spain.</w:t>
      </w:r>
    </w:p>
  </w:footnote>
  <w:footnote w:id="4">
    <w:p w14:paraId="766430FA" w14:textId="793B89F1" w:rsidR="00EA61C1" w:rsidRPr="00004BD2" w:rsidRDefault="00EA61C1" w:rsidP="00EC3FA7">
      <w:pPr>
        <w:pStyle w:val="FootnoteText"/>
      </w:pPr>
      <w:r>
        <w:rPr>
          <w:rStyle w:val="FootnoteReference"/>
        </w:rPr>
        <w:footnoteRef/>
      </w:r>
      <w:r w:rsidRPr="00004BD2">
        <w:t xml:space="preserve"> The failure to adopt the package was caused by the rejection of a compromise amendment on the phasing out of free carbon allowances for the industry foreseen </w:t>
      </w:r>
      <w:r>
        <w:t>in</w:t>
      </w:r>
      <w:r w:rsidRPr="00004BD2">
        <w:t xml:space="preserve"> the revis</w:t>
      </w:r>
      <w:r>
        <w:t xml:space="preserve">ed </w:t>
      </w:r>
      <w:r w:rsidRPr="00004BD2">
        <w:t>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384"/>
    <w:multiLevelType w:val="hybridMultilevel"/>
    <w:tmpl w:val="7A08130E"/>
    <w:lvl w:ilvl="0" w:tplc="EA9ACB1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62E7"/>
    <w:multiLevelType w:val="hybridMultilevel"/>
    <w:tmpl w:val="BC047D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CF56BB"/>
    <w:multiLevelType w:val="hybridMultilevel"/>
    <w:tmpl w:val="02B421C8"/>
    <w:lvl w:ilvl="0" w:tplc="FFFFFFFF">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DE5296"/>
    <w:multiLevelType w:val="multilevel"/>
    <w:tmpl w:val="1B22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45294"/>
    <w:multiLevelType w:val="hybridMultilevel"/>
    <w:tmpl w:val="5F827546"/>
    <w:lvl w:ilvl="0" w:tplc="FE92AB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00FCF"/>
    <w:multiLevelType w:val="hybridMultilevel"/>
    <w:tmpl w:val="6EE0E12C"/>
    <w:lvl w:ilvl="0" w:tplc="9DEE40C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04D95"/>
    <w:multiLevelType w:val="hybridMultilevel"/>
    <w:tmpl w:val="7D189542"/>
    <w:lvl w:ilvl="0" w:tplc="8F6EF67A">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51263406">
    <w:abstractNumId w:val="6"/>
  </w:num>
  <w:num w:numId="2" w16cid:durableId="1639526659">
    <w:abstractNumId w:val="2"/>
  </w:num>
  <w:num w:numId="3" w16cid:durableId="34236349">
    <w:abstractNumId w:val="4"/>
  </w:num>
  <w:num w:numId="4" w16cid:durableId="93282633">
    <w:abstractNumId w:val="1"/>
  </w:num>
  <w:num w:numId="5" w16cid:durableId="1762992357">
    <w:abstractNumId w:val="5"/>
  </w:num>
  <w:num w:numId="6" w16cid:durableId="842279302">
    <w:abstractNumId w:val="0"/>
  </w:num>
  <w:num w:numId="7" w16cid:durableId="662196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A7"/>
    <w:rsid w:val="00002734"/>
    <w:rsid w:val="00007377"/>
    <w:rsid w:val="0002164E"/>
    <w:rsid w:val="000255DE"/>
    <w:rsid w:val="000278EE"/>
    <w:rsid w:val="00027BFF"/>
    <w:rsid w:val="000473A2"/>
    <w:rsid w:val="00051EAD"/>
    <w:rsid w:val="00054E3E"/>
    <w:rsid w:val="00055869"/>
    <w:rsid w:val="00072532"/>
    <w:rsid w:val="00075868"/>
    <w:rsid w:val="000A49CA"/>
    <w:rsid w:val="000C52D0"/>
    <w:rsid w:val="000C6085"/>
    <w:rsid w:val="000D37DB"/>
    <w:rsid w:val="000D3E63"/>
    <w:rsid w:val="000F2C33"/>
    <w:rsid w:val="000F75A3"/>
    <w:rsid w:val="00107307"/>
    <w:rsid w:val="00111B41"/>
    <w:rsid w:val="001123D3"/>
    <w:rsid w:val="00124C31"/>
    <w:rsid w:val="001325C2"/>
    <w:rsid w:val="00140668"/>
    <w:rsid w:val="00150485"/>
    <w:rsid w:val="00152E14"/>
    <w:rsid w:val="00160BDA"/>
    <w:rsid w:val="00164B38"/>
    <w:rsid w:val="00170B27"/>
    <w:rsid w:val="00177B13"/>
    <w:rsid w:val="00184BEE"/>
    <w:rsid w:val="00186030"/>
    <w:rsid w:val="00186DF2"/>
    <w:rsid w:val="001979B8"/>
    <w:rsid w:val="001B0989"/>
    <w:rsid w:val="001B5DFF"/>
    <w:rsid w:val="001C04BB"/>
    <w:rsid w:val="001C060D"/>
    <w:rsid w:val="001C639A"/>
    <w:rsid w:val="001C65D7"/>
    <w:rsid w:val="001E56E7"/>
    <w:rsid w:val="001E589F"/>
    <w:rsid w:val="00203136"/>
    <w:rsid w:val="00204600"/>
    <w:rsid w:val="00206EC2"/>
    <w:rsid w:val="002074CE"/>
    <w:rsid w:val="002115D9"/>
    <w:rsid w:val="00216EAE"/>
    <w:rsid w:val="00221BD5"/>
    <w:rsid w:val="00225847"/>
    <w:rsid w:val="00227AC6"/>
    <w:rsid w:val="0023087D"/>
    <w:rsid w:val="00230DD1"/>
    <w:rsid w:val="0023780E"/>
    <w:rsid w:val="002404FE"/>
    <w:rsid w:val="0024539C"/>
    <w:rsid w:val="00246817"/>
    <w:rsid w:val="00261E48"/>
    <w:rsid w:val="00262DBC"/>
    <w:rsid w:val="002638E5"/>
    <w:rsid w:val="002673B4"/>
    <w:rsid w:val="0027784C"/>
    <w:rsid w:val="00285C7F"/>
    <w:rsid w:val="00293552"/>
    <w:rsid w:val="00295C14"/>
    <w:rsid w:val="00295D41"/>
    <w:rsid w:val="002970A9"/>
    <w:rsid w:val="002B3AC0"/>
    <w:rsid w:val="002D38DE"/>
    <w:rsid w:val="002D61DB"/>
    <w:rsid w:val="002D67DC"/>
    <w:rsid w:val="002E4BFA"/>
    <w:rsid w:val="002E7E7D"/>
    <w:rsid w:val="002F2BB6"/>
    <w:rsid w:val="00302E68"/>
    <w:rsid w:val="003049D2"/>
    <w:rsid w:val="00306C9E"/>
    <w:rsid w:val="003113BC"/>
    <w:rsid w:val="00314ACC"/>
    <w:rsid w:val="003158D0"/>
    <w:rsid w:val="00321755"/>
    <w:rsid w:val="003243D4"/>
    <w:rsid w:val="00332F4D"/>
    <w:rsid w:val="00340261"/>
    <w:rsid w:val="003559D0"/>
    <w:rsid w:val="00356392"/>
    <w:rsid w:val="00365D4C"/>
    <w:rsid w:val="00367A4B"/>
    <w:rsid w:val="003765B6"/>
    <w:rsid w:val="00391174"/>
    <w:rsid w:val="00392934"/>
    <w:rsid w:val="00392E10"/>
    <w:rsid w:val="00395F60"/>
    <w:rsid w:val="003A0737"/>
    <w:rsid w:val="003A52D0"/>
    <w:rsid w:val="003B02DD"/>
    <w:rsid w:val="003B4DB8"/>
    <w:rsid w:val="003C0F40"/>
    <w:rsid w:val="003D10CB"/>
    <w:rsid w:val="003E61B1"/>
    <w:rsid w:val="004003E3"/>
    <w:rsid w:val="004029A5"/>
    <w:rsid w:val="00402E88"/>
    <w:rsid w:val="00414041"/>
    <w:rsid w:val="0041424A"/>
    <w:rsid w:val="004356E4"/>
    <w:rsid w:val="004509CE"/>
    <w:rsid w:val="00452BFB"/>
    <w:rsid w:val="004575BF"/>
    <w:rsid w:val="00466CEB"/>
    <w:rsid w:val="004A24AA"/>
    <w:rsid w:val="004A769D"/>
    <w:rsid w:val="004C781C"/>
    <w:rsid w:val="004E344B"/>
    <w:rsid w:val="005070A9"/>
    <w:rsid w:val="00507F83"/>
    <w:rsid w:val="00515235"/>
    <w:rsid w:val="00517EB0"/>
    <w:rsid w:val="00522BC7"/>
    <w:rsid w:val="0053123A"/>
    <w:rsid w:val="00531F22"/>
    <w:rsid w:val="0053429D"/>
    <w:rsid w:val="00545833"/>
    <w:rsid w:val="00546BC7"/>
    <w:rsid w:val="00550165"/>
    <w:rsid w:val="00557486"/>
    <w:rsid w:val="005725B9"/>
    <w:rsid w:val="005766BA"/>
    <w:rsid w:val="00580ECC"/>
    <w:rsid w:val="00587C0E"/>
    <w:rsid w:val="005914C1"/>
    <w:rsid w:val="00594236"/>
    <w:rsid w:val="005A2E09"/>
    <w:rsid w:val="005C0041"/>
    <w:rsid w:val="005C28BD"/>
    <w:rsid w:val="005C62F6"/>
    <w:rsid w:val="005F0FC5"/>
    <w:rsid w:val="005F3413"/>
    <w:rsid w:val="00600229"/>
    <w:rsid w:val="00601FC6"/>
    <w:rsid w:val="00603017"/>
    <w:rsid w:val="00610C8D"/>
    <w:rsid w:val="006120E4"/>
    <w:rsid w:val="00624221"/>
    <w:rsid w:val="00631993"/>
    <w:rsid w:val="00635188"/>
    <w:rsid w:val="006369B8"/>
    <w:rsid w:val="00644395"/>
    <w:rsid w:val="0064470B"/>
    <w:rsid w:val="006535CB"/>
    <w:rsid w:val="006674B6"/>
    <w:rsid w:val="0067198B"/>
    <w:rsid w:val="00680BFC"/>
    <w:rsid w:val="00682257"/>
    <w:rsid w:val="00697E33"/>
    <w:rsid w:val="006A5DBC"/>
    <w:rsid w:val="006A7298"/>
    <w:rsid w:val="006B0F38"/>
    <w:rsid w:val="006B2D80"/>
    <w:rsid w:val="006D273A"/>
    <w:rsid w:val="006E0356"/>
    <w:rsid w:val="006E1AF2"/>
    <w:rsid w:val="006E5BD2"/>
    <w:rsid w:val="00703050"/>
    <w:rsid w:val="0071681E"/>
    <w:rsid w:val="007213FF"/>
    <w:rsid w:val="00721AEA"/>
    <w:rsid w:val="007228E0"/>
    <w:rsid w:val="00745E43"/>
    <w:rsid w:val="00747133"/>
    <w:rsid w:val="007548F9"/>
    <w:rsid w:val="0076746F"/>
    <w:rsid w:val="00786F2F"/>
    <w:rsid w:val="00796B3A"/>
    <w:rsid w:val="007A2189"/>
    <w:rsid w:val="007A26BE"/>
    <w:rsid w:val="007C072D"/>
    <w:rsid w:val="007C1676"/>
    <w:rsid w:val="007D0FE7"/>
    <w:rsid w:val="007E2AA1"/>
    <w:rsid w:val="00800753"/>
    <w:rsid w:val="008158FA"/>
    <w:rsid w:val="00816160"/>
    <w:rsid w:val="008215B6"/>
    <w:rsid w:val="00840D2A"/>
    <w:rsid w:val="0084325D"/>
    <w:rsid w:val="00850E03"/>
    <w:rsid w:val="00852D9F"/>
    <w:rsid w:val="00856493"/>
    <w:rsid w:val="00861DEA"/>
    <w:rsid w:val="008630C6"/>
    <w:rsid w:val="00864DDA"/>
    <w:rsid w:val="008B2CCE"/>
    <w:rsid w:val="008B343B"/>
    <w:rsid w:val="008C11B3"/>
    <w:rsid w:val="008C72CA"/>
    <w:rsid w:val="008D54BC"/>
    <w:rsid w:val="008E64EB"/>
    <w:rsid w:val="008F17D4"/>
    <w:rsid w:val="008F3919"/>
    <w:rsid w:val="008F5781"/>
    <w:rsid w:val="0090393E"/>
    <w:rsid w:val="009124CC"/>
    <w:rsid w:val="00913E3A"/>
    <w:rsid w:val="00921BCC"/>
    <w:rsid w:val="009224E1"/>
    <w:rsid w:val="00927E28"/>
    <w:rsid w:val="00940E60"/>
    <w:rsid w:val="00945AF9"/>
    <w:rsid w:val="0096410F"/>
    <w:rsid w:val="009756F1"/>
    <w:rsid w:val="009770A6"/>
    <w:rsid w:val="0098110A"/>
    <w:rsid w:val="0098348C"/>
    <w:rsid w:val="00987D94"/>
    <w:rsid w:val="009A3ADE"/>
    <w:rsid w:val="009B115E"/>
    <w:rsid w:val="009B54B6"/>
    <w:rsid w:val="009D008A"/>
    <w:rsid w:val="009D2E4D"/>
    <w:rsid w:val="009D43EB"/>
    <w:rsid w:val="009F782C"/>
    <w:rsid w:val="00A118E7"/>
    <w:rsid w:val="00A32956"/>
    <w:rsid w:val="00A34585"/>
    <w:rsid w:val="00A360E5"/>
    <w:rsid w:val="00A371DB"/>
    <w:rsid w:val="00A40A4C"/>
    <w:rsid w:val="00A429E6"/>
    <w:rsid w:val="00A47485"/>
    <w:rsid w:val="00A53F0C"/>
    <w:rsid w:val="00A56382"/>
    <w:rsid w:val="00A645B5"/>
    <w:rsid w:val="00A647E1"/>
    <w:rsid w:val="00A72442"/>
    <w:rsid w:val="00A728F4"/>
    <w:rsid w:val="00A83408"/>
    <w:rsid w:val="00A97BF0"/>
    <w:rsid w:val="00AA25DC"/>
    <w:rsid w:val="00AB3EA5"/>
    <w:rsid w:val="00AB6202"/>
    <w:rsid w:val="00AC0CA2"/>
    <w:rsid w:val="00AD5282"/>
    <w:rsid w:val="00AD53E0"/>
    <w:rsid w:val="00AE0039"/>
    <w:rsid w:val="00AE2E03"/>
    <w:rsid w:val="00AE4938"/>
    <w:rsid w:val="00AF40C1"/>
    <w:rsid w:val="00B144EB"/>
    <w:rsid w:val="00B14F72"/>
    <w:rsid w:val="00B53717"/>
    <w:rsid w:val="00B7360C"/>
    <w:rsid w:val="00B84AC8"/>
    <w:rsid w:val="00B873C3"/>
    <w:rsid w:val="00B96A4F"/>
    <w:rsid w:val="00BA00BB"/>
    <w:rsid w:val="00BB3C40"/>
    <w:rsid w:val="00BB665C"/>
    <w:rsid w:val="00BC0718"/>
    <w:rsid w:val="00BC3A6A"/>
    <w:rsid w:val="00BD0E8B"/>
    <w:rsid w:val="00BF245E"/>
    <w:rsid w:val="00C01BC7"/>
    <w:rsid w:val="00C33A8A"/>
    <w:rsid w:val="00C404A5"/>
    <w:rsid w:val="00C43A59"/>
    <w:rsid w:val="00C47582"/>
    <w:rsid w:val="00C477AB"/>
    <w:rsid w:val="00C56796"/>
    <w:rsid w:val="00C61F2D"/>
    <w:rsid w:val="00C6263F"/>
    <w:rsid w:val="00C65BF4"/>
    <w:rsid w:val="00C66B04"/>
    <w:rsid w:val="00C70929"/>
    <w:rsid w:val="00C80A3D"/>
    <w:rsid w:val="00CA7C09"/>
    <w:rsid w:val="00CB1328"/>
    <w:rsid w:val="00CB1EED"/>
    <w:rsid w:val="00CD00F0"/>
    <w:rsid w:val="00CD47B0"/>
    <w:rsid w:val="00CE2CBB"/>
    <w:rsid w:val="00CE6057"/>
    <w:rsid w:val="00CE7237"/>
    <w:rsid w:val="00CF4858"/>
    <w:rsid w:val="00D04EE8"/>
    <w:rsid w:val="00D055AA"/>
    <w:rsid w:val="00D05978"/>
    <w:rsid w:val="00D05F3F"/>
    <w:rsid w:val="00D17284"/>
    <w:rsid w:val="00D22A42"/>
    <w:rsid w:val="00D24F7D"/>
    <w:rsid w:val="00D25155"/>
    <w:rsid w:val="00D27B27"/>
    <w:rsid w:val="00D32A4E"/>
    <w:rsid w:val="00D42243"/>
    <w:rsid w:val="00D44E01"/>
    <w:rsid w:val="00D7139D"/>
    <w:rsid w:val="00D75D94"/>
    <w:rsid w:val="00D82143"/>
    <w:rsid w:val="00D8239F"/>
    <w:rsid w:val="00D84375"/>
    <w:rsid w:val="00D8637C"/>
    <w:rsid w:val="00D87135"/>
    <w:rsid w:val="00D94B37"/>
    <w:rsid w:val="00D960D2"/>
    <w:rsid w:val="00D96C46"/>
    <w:rsid w:val="00DA691C"/>
    <w:rsid w:val="00DB1914"/>
    <w:rsid w:val="00DB1EDC"/>
    <w:rsid w:val="00DC3AA1"/>
    <w:rsid w:val="00DD18FA"/>
    <w:rsid w:val="00DD2480"/>
    <w:rsid w:val="00DD4A1C"/>
    <w:rsid w:val="00DD619E"/>
    <w:rsid w:val="00DE6040"/>
    <w:rsid w:val="00DF3172"/>
    <w:rsid w:val="00E07187"/>
    <w:rsid w:val="00E077FF"/>
    <w:rsid w:val="00E169BF"/>
    <w:rsid w:val="00E2206C"/>
    <w:rsid w:val="00E330A0"/>
    <w:rsid w:val="00E341B7"/>
    <w:rsid w:val="00E35974"/>
    <w:rsid w:val="00E42D11"/>
    <w:rsid w:val="00E42ECD"/>
    <w:rsid w:val="00E61CE1"/>
    <w:rsid w:val="00E71C86"/>
    <w:rsid w:val="00E71DB8"/>
    <w:rsid w:val="00E73BDA"/>
    <w:rsid w:val="00E83E47"/>
    <w:rsid w:val="00E8715C"/>
    <w:rsid w:val="00E94F24"/>
    <w:rsid w:val="00E95C77"/>
    <w:rsid w:val="00EA18E4"/>
    <w:rsid w:val="00EA5EB6"/>
    <w:rsid w:val="00EA61C1"/>
    <w:rsid w:val="00EB0EC1"/>
    <w:rsid w:val="00EB6E25"/>
    <w:rsid w:val="00EC0E16"/>
    <w:rsid w:val="00EC377C"/>
    <w:rsid w:val="00EC3FA7"/>
    <w:rsid w:val="00ED2BC2"/>
    <w:rsid w:val="00ED62A2"/>
    <w:rsid w:val="00EE7BFA"/>
    <w:rsid w:val="00EF0EA7"/>
    <w:rsid w:val="00EF6B02"/>
    <w:rsid w:val="00F03C82"/>
    <w:rsid w:val="00F34E76"/>
    <w:rsid w:val="00F53170"/>
    <w:rsid w:val="00F53850"/>
    <w:rsid w:val="00F54929"/>
    <w:rsid w:val="00F55415"/>
    <w:rsid w:val="00F56701"/>
    <w:rsid w:val="00F84861"/>
    <w:rsid w:val="00F871B0"/>
    <w:rsid w:val="00F9027D"/>
    <w:rsid w:val="00F907A2"/>
    <w:rsid w:val="00F942FC"/>
    <w:rsid w:val="00FB555E"/>
    <w:rsid w:val="00FC343A"/>
    <w:rsid w:val="00FC3A7C"/>
    <w:rsid w:val="00FD1FD8"/>
    <w:rsid w:val="00FE1CD0"/>
    <w:rsid w:val="00FF03FC"/>
    <w:rsid w:val="00FF2340"/>
    <w:rsid w:val="00FF2494"/>
    <w:rsid w:val="00FF31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6394"/>
  <w15:chartTrackingRefBased/>
  <w15:docId w15:val="{FB846583-489B-474F-8E5E-4B675120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A7"/>
    <w:pPr>
      <w:spacing w:line="276" w:lineRule="auto"/>
      <w:jc w:val="both"/>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4E34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3123A"/>
    <w:pPr>
      <w:spacing w:before="100" w:beforeAutospacing="1" w:after="100" w:afterAutospacing="1" w:line="240" w:lineRule="auto"/>
      <w:jc w:val="left"/>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A7"/>
    <w:pPr>
      <w:ind w:left="720"/>
      <w:contextualSpacing/>
    </w:pPr>
  </w:style>
  <w:style w:type="character" w:customStyle="1" w:styleId="A4">
    <w:name w:val="A4"/>
    <w:uiPriority w:val="99"/>
    <w:rsid w:val="00EC3FA7"/>
    <w:rPr>
      <w:rFonts w:cs="FrutigerX"/>
      <w:color w:val="000000"/>
      <w:sz w:val="18"/>
      <w:szCs w:val="18"/>
    </w:rPr>
  </w:style>
  <w:style w:type="paragraph" w:styleId="EndnoteText">
    <w:name w:val="endnote text"/>
    <w:basedOn w:val="Normal"/>
    <w:link w:val="EndnoteTextChar"/>
    <w:uiPriority w:val="99"/>
    <w:semiHidden/>
    <w:unhideWhenUsed/>
    <w:rsid w:val="00EC3F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3FA7"/>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EC3FA7"/>
    <w:rPr>
      <w:vertAlign w:val="superscript"/>
    </w:rPr>
  </w:style>
  <w:style w:type="table" w:styleId="TableGrid">
    <w:name w:val="Table Grid"/>
    <w:basedOn w:val="TableNormal"/>
    <w:uiPriority w:val="39"/>
    <w:rsid w:val="00EC3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FA7"/>
    <w:rPr>
      <w:color w:val="0563C1" w:themeColor="hyperlink"/>
      <w:u w:val="single"/>
    </w:rPr>
  </w:style>
  <w:style w:type="character" w:customStyle="1" w:styleId="reftitleBook">
    <w:name w:val="‡ref_titleBook"/>
    <w:rsid w:val="00EC3FA7"/>
    <w:rPr>
      <w:color w:val="3366FF"/>
    </w:rPr>
  </w:style>
  <w:style w:type="character" w:customStyle="1" w:styleId="refpublisherName">
    <w:name w:val="‡ref_publisherName"/>
    <w:rsid w:val="00EC3FA7"/>
    <w:rPr>
      <w:color w:val="2D7864"/>
    </w:rPr>
  </w:style>
  <w:style w:type="character" w:customStyle="1" w:styleId="refpublisherLocation">
    <w:name w:val="‡ref_publisherLocation"/>
    <w:rsid w:val="00EC3FA7"/>
    <w:rPr>
      <w:color w:val="FF9900"/>
    </w:rPr>
  </w:style>
  <w:style w:type="character" w:customStyle="1" w:styleId="refpubdateYear">
    <w:name w:val="‡ref_pubdateYear"/>
    <w:rsid w:val="00EC3FA7"/>
    <w:rPr>
      <w:color w:val="FF99CC"/>
    </w:rPr>
  </w:style>
  <w:style w:type="character" w:customStyle="1" w:styleId="refauSurname">
    <w:name w:val="‡ref_auSurname"/>
    <w:rsid w:val="00EC3FA7"/>
    <w:rPr>
      <w:color w:val="008000"/>
      <w:bdr w:val="none" w:sz="0" w:space="0" w:color="auto"/>
      <w:shd w:val="clear" w:color="auto" w:fill="auto"/>
    </w:rPr>
  </w:style>
  <w:style w:type="character" w:customStyle="1" w:styleId="refauGivenName">
    <w:name w:val="‡ref_auGivenName"/>
    <w:rsid w:val="00EC3FA7"/>
    <w:rPr>
      <w:color w:val="993300"/>
      <w:bdr w:val="none" w:sz="0" w:space="0" w:color="auto"/>
      <w:shd w:val="clear" w:color="auto" w:fill="auto"/>
    </w:rPr>
  </w:style>
  <w:style w:type="paragraph" w:customStyle="1" w:styleId="Reference">
    <w:name w:val="†Reference"/>
    <w:rsid w:val="00EC3FA7"/>
    <w:pPr>
      <w:spacing w:after="0" w:line="480" w:lineRule="auto"/>
      <w:ind w:left="720" w:hanging="72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C3FA7"/>
    <w:rPr>
      <w:sz w:val="16"/>
      <w:szCs w:val="16"/>
    </w:rPr>
  </w:style>
  <w:style w:type="paragraph" w:styleId="CommentText">
    <w:name w:val="annotation text"/>
    <w:basedOn w:val="Normal"/>
    <w:link w:val="CommentTextChar"/>
    <w:uiPriority w:val="99"/>
    <w:unhideWhenUsed/>
    <w:rsid w:val="00EC3FA7"/>
    <w:pPr>
      <w:spacing w:line="240" w:lineRule="auto"/>
    </w:pPr>
    <w:rPr>
      <w:sz w:val="20"/>
      <w:szCs w:val="20"/>
    </w:rPr>
  </w:style>
  <w:style w:type="character" w:customStyle="1" w:styleId="CommentTextChar">
    <w:name w:val="Comment Text Char"/>
    <w:basedOn w:val="DefaultParagraphFont"/>
    <w:link w:val="CommentText"/>
    <w:uiPriority w:val="99"/>
    <w:rsid w:val="00EC3FA7"/>
    <w:rPr>
      <w:rFonts w:ascii="Times New Roman" w:hAnsi="Times New Roman" w:cs="Times New Roman"/>
      <w:sz w:val="20"/>
      <w:szCs w:val="20"/>
      <w:lang w:val="en-US"/>
    </w:rPr>
  </w:style>
  <w:style w:type="paragraph" w:styleId="Footer">
    <w:name w:val="footer"/>
    <w:basedOn w:val="Normal"/>
    <w:link w:val="FooterChar"/>
    <w:uiPriority w:val="99"/>
    <w:unhideWhenUsed/>
    <w:rsid w:val="00EC3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FA7"/>
    <w:rPr>
      <w:rFonts w:ascii="Times New Roman" w:hAnsi="Times New Roman" w:cs="Times New Roman"/>
      <w:sz w:val="24"/>
      <w:szCs w:val="24"/>
      <w:lang w:val="en-US"/>
    </w:rPr>
  </w:style>
  <w:style w:type="paragraph" w:styleId="Revision">
    <w:name w:val="Revision"/>
    <w:hidden/>
    <w:uiPriority w:val="99"/>
    <w:semiHidden/>
    <w:rsid w:val="00E71DB8"/>
    <w:pPr>
      <w:spacing w:after="0" w:line="240" w:lineRule="auto"/>
    </w:pPr>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F53850"/>
    <w:rPr>
      <w:b/>
      <w:bCs/>
    </w:rPr>
  </w:style>
  <w:style w:type="character" w:customStyle="1" w:styleId="CommentSubjectChar">
    <w:name w:val="Comment Subject Char"/>
    <w:basedOn w:val="CommentTextChar"/>
    <w:link w:val="CommentSubject"/>
    <w:uiPriority w:val="99"/>
    <w:semiHidden/>
    <w:rsid w:val="00F53850"/>
    <w:rPr>
      <w:rFonts w:ascii="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41424A"/>
    <w:rPr>
      <w:color w:val="954F72" w:themeColor="followedHyperlink"/>
      <w:u w:val="single"/>
    </w:rPr>
  </w:style>
  <w:style w:type="character" w:customStyle="1" w:styleId="epub-date">
    <w:name w:val="epub-date"/>
    <w:basedOn w:val="DefaultParagraphFont"/>
    <w:rsid w:val="00152E14"/>
  </w:style>
  <w:style w:type="character" w:customStyle="1" w:styleId="Heading3Char">
    <w:name w:val="Heading 3 Char"/>
    <w:basedOn w:val="DefaultParagraphFont"/>
    <w:link w:val="Heading3"/>
    <w:uiPriority w:val="9"/>
    <w:rsid w:val="0053123A"/>
    <w:rPr>
      <w:rFonts w:ascii="Times New Roman" w:eastAsia="Times New Roman" w:hAnsi="Times New Roman" w:cs="Times New Roman"/>
      <w:b/>
      <w:bCs/>
      <w:sz w:val="27"/>
      <w:szCs w:val="27"/>
      <w:lang w:val="en-GB" w:eastAsia="en-GB"/>
    </w:rPr>
  </w:style>
  <w:style w:type="paragraph" w:customStyle="1" w:styleId="c-bibliographic-informationcitation">
    <w:name w:val="c-bibliographic-information__citation"/>
    <w:basedOn w:val="Normal"/>
    <w:rsid w:val="0053123A"/>
    <w:pPr>
      <w:spacing w:before="100" w:beforeAutospacing="1" w:after="100" w:afterAutospacing="1" w:line="240" w:lineRule="auto"/>
      <w:jc w:val="left"/>
    </w:pPr>
    <w:rPr>
      <w:rFonts w:eastAsia="Times New Roman"/>
      <w:lang w:val="en-GB" w:eastAsia="en-GB"/>
    </w:rPr>
  </w:style>
  <w:style w:type="paragraph" w:customStyle="1" w:styleId="c-bibliographic-informationdownload-citation">
    <w:name w:val="c-bibliographic-information__download-citation"/>
    <w:basedOn w:val="Normal"/>
    <w:rsid w:val="0053123A"/>
    <w:pPr>
      <w:spacing w:before="100" w:beforeAutospacing="1" w:after="100" w:afterAutospacing="1" w:line="240" w:lineRule="auto"/>
      <w:jc w:val="left"/>
    </w:pPr>
    <w:rPr>
      <w:rFonts w:eastAsia="Times New Roman"/>
      <w:lang w:val="en-GB" w:eastAsia="en-GB"/>
    </w:rPr>
  </w:style>
  <w:style w:type="paragraph" w:styleId="NormalWeb">
    <w:name w:val="Normal (Web)"/>
    <w:basedOn w:val="Normal"/>
    <w:uiPriority w:val="99"/>
    <w:semiHidden/>
    <w:unhideWhenUsed/>
    <w:rsid w:val="0053123A"/>
    <w:pPr>
      <w:spacing w:before="100" w:beforeAutospacing="1" w:after="100" w:afterAutospacing="1" w:line="240" w:lineRule="auto"/>
      <w:jc w:val="left"/>
    </w:pPr>
    <w:rPr>
      <w:rFonts w:eastAsia="Times New Roman"/>
      <w:lang w:val="en-GB" w:eastAsia="en-GB"/>
    </w:rPr>
  </w:style>
  <w:style w:type="character" w:customStyle="1" w:styleId="c-bibliographic-informationvalue">
    <w:name w:val="c-bibliographic-information__value"/>
    <w:basedOn w:val="DefaultParagraphFont"/>
    <w:rsid w:val="0053123A"/>
  </w:style>
  <w:style w:type="paragraph" w:styleId="FootnoteText">
    <w:name w:val="footnote text"/>
    <w:basedOn w:val="Normal"/>
    <w:link w:val="FootnoteTextChar"/>
    <w:uiPriority w:val="99"/>
    <w:semiHidden/>
    <w:unhideWhenUsed/>
    <w:rsid w:val="00EA61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1C1"/>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EA61C1"/>
    <w:rPr>
      <w:vertAlign w:val="superscript"/>
    </w:rPr>
  </w:style>
  <w:style w:type="character" w:customStyle="1" w:styleId="contentpasted3">
    <w:name w:val="contentpasted3"/>
    <w:basedOn w:val="DefaultParagraphFont"/>
    <w:rsid w:val="00262DBC"/>
  </w:style>
  <w:style w:type="character" w:customStyle="1" w:styleId="Heading2Char">
    <w:name w:val="Heading 2 Char"/>
    <w:basedOn w:val="DefaultParagraphFont"/>
    <w:link w:val="Heading2"/>
    <w:uiPriority w:val="9"/>
    <w:rsid w:val="004E344B"/>
    <w:rPr>
      <w:rFonts w:asciiTheme="majorHAnsi" w:eastAsiaTheme="majorEastAsia" w:hAnsiTheme="majorHAnsi" w:cstheme="majorBidi"/>
      <w:color w:val="2F5496" w:themeColor="accent1" w:themeShade="BF"/>
      <w:sz w:val="26"/>
      <w:szCs w:val="26"/>
      <w:lang w:val="en-US"/>
    </w:rPr>
  </w:style>
  <w:style w:type="character" w:customStyle="1" w:styleId="arrow-pubnav">
    <w:name w:val="arrow-pubnav"/>
    <w:basedOn w:val="DefaultParagraphFont"/>
    <w:rsid w:val="00CF4858"/>
  </w:style>
  <w:style w:type="character" w:customStyle="1" w:styleId="pull-right">
    <w:name w:val="pull-right"/>
    <w:basedOn w:val="DefaultParagraphFont"/>
    <w:rsid w:val="00CF4858"/>
  </w:style>
  <w:style w:type="character" w:customStyle="1" w:styleId="current">
    <w:name w:val="current"/>
    <w:basedOn w:val="DefaultParagraphFont"/>
    <w:rsid w:val="00CF4858"/>
  </w:style>
  <w:style w:type="character" w:customStyle="1" w:styleId="sommairemotcle">
    <w:name w:val="sommairemotcle"/>
    <w:basedOn w:val="DefaultParagraphFont"/>
    <w:rsid w:val="00C47582"/>
  </w:style>
  <w:style w:type="character" w:customStyle="1" w:styleId="detailtitlearticle">
    <w:name w:val="detailtitlearticle"/>
    <w:basedOn w:val="DefaultParagraphFont"/>
    <w:rsid w:val="00C47582"/>
  </w:style>
  <w:style w:type="character" w:styleId="Emphasis">
    <w:name w:val="Emphasis"/>
    <w:basedOn w:val="DefaultParagraphFont"/>
    <w:uiPriority w:val="20"/>
    <w:qFormat/>
    <w:rsid w:val="00C47582"/>
    <w:rPr>
      <w:i/>
      <w:iCs/>
    </w:rPr>
  </w:style>
  <w:style w:type="character" w:styleId="UnresolvedMention">
    <w:name w:val="Unresolved Mention"/>
    <w:basedOn w:val="DefaultParagraphFont"/>
    <w:uiPriority w:val="99"/>
    <w:semiHidden/>
    <w:unhideWhenUsed/>
    <w:rsid w:val="0024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21">
      <w:bodyDiv w:val="1"/>
      <w:marLeft w:val="0"/>
      <w:marRight w:val="0"/>
      <w:marTop w:val="0"/>
      <w:marBottom w:val="0"/>
      <w:divBdr>
        <w:top w:val="none" w:sz="0" w:space="0" w:color="auto"/>
        <w:left w:val="none" w:sz="0" w:space="0" w:color="auto"/>
        <w:bottom w:val="none" w:sz="0" w:space="0" w:color="auto"/>
        <w:right w:val="none" w:sz="0" w:space="0" w:color="auto"/>
      </w:divBdr>
    </w:div>
    <w:div w:id="27683005">
      <w:bodyDiv w:val="1"/>
      <w:marLeft w:val="0"/>
      <w:marRight w:val="0"/>
      <w:marTop w:val="0"/>
      <w:marBottom w:val="0"/>
      <w:divBdr>
        <w:top w:val="none" w:sz="0" w:space="0" w:color="auto"/>
        <w:left w:val="none" w:sz="0" w:space="0" w:color="auto"/>
        <w:bottom w:val="none" w:sz="0" w:space="0" w:color="auto"/>
        <w:right w:val="none" w:sz="0" w:space="0" w:color="auto"/>
      </w:divBdr>
    </w:div>
    <w:div w:id="57242588">
      <w:bodyDiv w:val="1"/>
      <w:marLeft w:val="0"/>
      <w:marRight w:val="0"/>
      <w:marTop w:val="0"/>
      <w:marBottom w:val="0"/>
      <w:divBdr>
        <w:top w:val="none" w:sz="0" w:space="0" w:color="auto"/>
        <w:left w:val="none" w:sz="0" w:space="0" w:color="auto"/>
        <w:bottom w:val="none" w:sz="0" w:space="0" w:color="auto"/>
        <w:right w:val="none" w:sz="0" w:space="0" w:color="auto"/>
      </w:divBdr>
    </w:div>
    <w:div w:id="238565552">
      <w:bodyDiv w:val="1"/>
      <w:marLeft w:val="0"/>
      <w:marRight w:val="0"/>
      <w:marTop w:val="0"/>
      <w:marBottom w:val="0"/>
      <w:divBdr>
        <w:top w:val="none" w:sz="0" w:space="0" w:color="auto"/>
        <w:left w:val="none" w:sz="0" w:space="0" w:color="auto"/>
        <w:bottom w:val="none" w:sz="0" w:space="0" w:color="auto"/>
        <w:right w:val="none" w:sz="0" w:space="0" w:color="auto"/>
      </w:divBdr>
    </w:div>
    <w:div w:id="270086483">
      <w:bodyDiv w:val="1"/>
      <w:marLeft w:val="0"/>
      <w:marRight w:val="0"/>
      <w:marTop w:val="0"/>
      <w:marBottom w:val="0"/>
      <w:divBdr>
        <w:top w:val="none" w:sz="0" w:space="0" w:color="auto"/>
        <w:left w:val="none" w:sz="0" w:space="0" w:color="auto"/>
        <w:bottom w:val="none" w:sz="0" w:space="0" w:color="auto"/>
        <w:right w:val="none" w:sz="0" w:space="0" w:color="auto"/>
      </w:divBdr>
    </w:div>
    <w:div w:id="530459629">
      <w:bodyDiv w:val="1"/>
      <w:marLeft w:val="0"/>
      <w:marRight w:val="0"/>
      <w:marTop w:val="0"/>
      <w:marBottom w:val="0"/>
      <w:divBdr>
        <w:top w:val="none" w:sz="0" w:space="0" w:color="auto"/>
        <w:left w:val="none" w:sz="0" w:space="0" w:color="auto"/>
        <w:bottom w:val="none" w:sz="0" w:space="0" w:color="auto"/>
        <w:right w:val="none" w:sz="0" w:space="0" w:color="auto"/>
      </w:divBdr>
    </w:div>
    <w:div w:id="630014448">
      <w:bodyDiv w:val="1"/>
      <w:marLeft w:val="0"/>
      <w:marRight w:val="0"/>
      <w:marTop w:val="0"/>
      <w:marBottom w:val="0"/>
      <w:divBdr>
        <w:top w:val="none" w:sz="0" w:space="0" w:color="auto"/>
        <w:left w:val="none" w:sz="0" w:space="0" w:color="auto"/>
        <w:bottom w:val="none" w:sz="0" w:space="0" w:color="auto"/>
        <w:right w:val="none" w:sz="0" w:space="0" w:color="auto"/>
      </w:divBdr>
    </w:div>
    <w:div w:id="658729016">
      <w:bodyDiv w:val="1"/>
      <w:marLeft w:val="0"/>
      <w:marRight w:val="0"/>
      <w:marTop w:val="0"/>
      <w:marBottom w:val="0"/>
      <w:divBdr>
        <w:top w:val="none" w:sz="0" w:space="0" w:color="auto"/>
        <w:left w:val="none" w:sz="0" w:space="0" w:color="auto"/>
        <w:bottom w:val="none" w:sz="0" w:space="0" w:color="auto"/>
        <w:right w:val="none" w:sz="0" w:space="0" w:color="auto"/>
      </w:divBdr>
      <w:divsChild>
        <w:div w:id="954100854">
          <w:marLeft w:val="0"/>
          <w:marRight w:val="0"/>
          <w:marTop w:val="0"/>
          <w:marBottom w:val="300"/>
          <w:divBdr>
            <w:top w:val="none" w:sz="0" w:space="0" w:color="auto"/>
            <w:left w:val="single" w:sz="36" w:space="8" w:color="00ABD6"/>
            <w:bottom w:val="none" w:sz="0" w:space="0" w:color="auto"/>
            <w:right w:val="none" w:sz="0" w:space="0" w:color="auto"/>
          </w:divBdr>
        </w:div>
        <w:div w:id="1225870774">
          <w:marLeft w:val="0"/>
          <w:marRight w:val="0"/>
          <w:marTop w:val="0"/>
          <w:marBottom w:val="0"/>
          <w:divBdr>
            <w:top w:val="none" w:sz="0" w:space="0" w:color="auto"/>
            <w:left w:val="none" w:sz="0" w:space="0" w:color="auto"/>
            <w:bottom w:val="single" w:sz="2" w:space="0" w:color="DDDDDD"/>
            <w:right w:val="none" w:sz="0" w:space="0" w:color="auto"/>
          </w:divBdr>
          <w:divsChild>
            <w:div w:id="590242795">
              <w:marLeft w:val="0"/>
              <w:marRight w:val="0"/>
              <w:marTop w:val="0"/>
              <w:marBottom w:val="0"/>
              <w:divBdr>
                <w:top w:val="none" w:sz="0" w:space="0" w:color="auto"/>
                <w:left w:val="none" w:sz="0" w:space="0" w:color="auto"/>
                <w:bottom w:val="none" w:sz="0" w:space="0" w:color="auto"/>
                <w:right w:val="none" w:sz="0" w:space="0" w:color="auto"/>
              </w:divBdr>
              <w:divsChild>
                <w:div w:id="1463692288">
                  <w:marLeft w:val="0"/>
                  <w:marRight w:val="0"/>
                  <w:marTop w:val="0"/>
                  <w:marBottom w:val="0"/>
                  <w:divBdr>
                    <w:top w:val="none" w:sz="0" w:space="0" w:color="auto"/>
                    <w:left w:val="none" w:sz="0" w:space="0" w:color="auto"/>
                    <w:bottom w:val="none" w:sz="0" w:space="0" w:color="auto"/>
                    <w:right w:val="none" w:sz="0" w:space="0" w:color="auto"/>
                  </w:divBdr>
                  <w:divsChild>
                    <w:div w:id="3974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3346">
          <w:marLeft w:val="0"/>
          <w:marRight w:val="0"/>
          <w:marTop w:val="0"/>
          <w:marBottom w:val="0"/>
          <w:divBdr>
            <w:top w:val="none" w:sz="0" w:space="0" w:color="auto"/>
            <w:left w:val="none" w:sz="0" w:space="0" w:color="auto"/>
            <w:bottom w:val="none" w:sz="0" w:space="0" w:color="auto"/>
            <w:right w:val="none" w:sz="0" w:space="0" w:color="auto"/>
          </w:divBdr>
        </w:div>
      </w:divsChild>
    </w:div>
    <w:div w:id="658777423">
      <w:bodyDiv w:val="1"/>
      <w:marLeft w:val="0"/>
      <w:marRight w:val="0"/>
      <w:marTop w:val="0"/>
      <w:marBottom w:val="0"/>
      <w:divBdr>
        <w:top w:val="none" w:sz="0" w:space="0" w:color="auto"/>
        <w:left w:val="none" w:sz="0" w:space="0" w:color="auto"/>
        <w:bottom w:val="none" w:sz="0" w:space="0" w:color="auto"/>
        <w:right w:val="none" w:sz="0" w:space="0" w:color="auto"/>
      </w:divBdr>
    </w:div>
    <w:div w:id="679509379">
      <w:bodyDiv w:val="1"/>
      <w:marLeft w:val="0"/>
      <w:marRight w:val="0"/>
      <w:marTop w:val="0"/>
      <w:marBottom w:val="0"/>
      <w:divBdr>
        <w:top w:val="none" w:sz="0" w:space="0" w:color="auto"/>
        <w:left w:val="none" w:sz="0" w:space="0" w:color="auto"/>
        <w:bottom w:val="none" w:sz="0" w:space="0" w:color="auto"/>
        <w:right w:val="none" w:sz="0" w:space="0" w:color="auto"/>
      </w:divBdr>
    </w:div>
    <w:div w:id="717971847">
      <w:bodyDiv w:val="1"/>
      <w:marLeft w:val="0"/>
      <w:marRight w:val="0"/>
      <w:marTop w:val="0"/>
      <w:marBottom w:val="0"/>
      <w:divBdr>
        <w:top w:val="none" w:sz="0" w:space="0" w:color="auto"/>
        <w:left w:val="none" w:sz="0" w:space="0" w:color="auto"/>
        <w:bottom w:val="none" w:sz="0" w:space="0" w:color="auto"/>
        <w:right w:val="none" w:sz="0" w:space="0" w:color="auto"/>
      </w:divBdr>
    </w:div>
    <w:div w:id="935748561">
      <w:bodyDiv w:val="1"/>
      <w:marLeft w:val="0"/>
      <w:marRight w:val="0"/>
      <w:marTop w:val="0"/>
      <w:marBottom w:val="0"/>
      <w:divBdr>
        <w:top w:val="none" w:sz="0" w:space="0" w:color="auto"/>
        <w:left w:val="none" w:sz="0" w:space="0" w:color="auto"/>
        <w:bottom w:val="none" w:sz="0" w:space="0" w:color="auto"/>
        <w:right w:val="none" w:sz="0" w:space="0" w:color="auto"/>
      </w:divBdr>
    </w:div>
    <w:div w:id="950018981">
      <w:bodyDiv w:val="1"/>
      <w:marLeft w:val="0"/>
      <w:marRight w:val="0"/>
      <w:marTop w:val="0"/>
      <w:marBottom w:val="0"/>
      <w:divBdr>
        <w:top w:val="none" w:sz="0" w:space="0" w:color="auto"/>
        <w:left w:val="none" w:sz="0" w:space="0" w:color="auto"/>
        <w:bottom w:val="none" w:sz="0" w:space="0" w:color="auto"/>
        <w:right w:val="none" w:sz="0" w:space="0" w:color="auto"/>
      </w:divBdr>
      <w:divsChild>
        <w:div w:id="1553930009">
          <w:marLeft w:val="0"/>
          <w:marRight w:val="0"/>
          <w:marTop w:val="0"/>
          <w:marBottom w:val="0"/>
          <w:divBdr>
            <w:top w:val="none" w:sz="0" w:space="0" w:color="auto"/>
            <w:left w:val="none" w:sz="0" w:space="0" w:color="auto"/>
            <w:bottom w:val="none" w:sz="0" w:space="0" w:color="auto"/>
            <w:right w:val="none" w:sz="0" w:space="0" w:color="auto"/>
          </w:divBdr>
          <w:divsChild>
            <w:div w:id="1728258079">
              <w:marLeft w:val="0"/>
              <w:marRight w:val="0"/>
              <w:marTop w:val="0"/>
              <w:marBottom w:val="0"/>
              <w:divBdr>
                <w:top w:val="none" w:sz="0" w:space="0" w:color="auto"/>
                <w:left w:val="none" w:sz="0" w:space="0" w:color="auto"/>
                <w:bottom w:val="none" w:sz="0" w:space="0" w:color="auto"/>
                <w:right w:val="none" w:sz="0" w:space="0" w:color="auto"/>
              </w:divBdr>
              <w:divsChild>
                <w:div w:id="1771000691">
                  <w:marLeft w:val="0"/>
                  <w:marRight w:val="0"/>
                  <w:marTop w:val="0"/>
                  <w:marBottom w:val="300"/>
                  <w:divBdr>
                    <w:top w:val="none" w:sz="0" w:space="0" w:color="auto"/>
                    <w:left w:val="single" w:sz="36" w:space="8" w:color="00ABD6"/>
                    <w:bottom w:val="none" w:sz="0" w:space="0" w:color="auto"/>
                    <w:right w:val="none" w:sz="0" w:space="0" w:color="auto"/>
                  </w:divBdr>
                </w:div>
                <w:div w:id="1174109302">
                  <w:marLeft w:val="0"/>
                  <w:marRight w:val="0"/>
                  <w:marTop w:val="0"/>
                  <w:marBottom w:val="0"/>
                  <w:divBdr>
                    <w:top w:val="none" w:sz="0" w:space="0" w:color="auto"/>
                    <w:left w:val="none" w:sz="0" w:space="0" w:color="auto"/>
                    <w:bottom w:val="single" w:sz="2" w:space="0" w:color="DDDDDD"/>
                    <w:right w:val="none" w:sz="0" w:space="0" w:color="auto"/>
                  </w:divBdr>
                  <w:divsChild>
                    <w:div w:id="36586888">
                      <w:marLeft w:val="0"/>
                      <w:marRight w:val="0"/>
                      <w:marTop w:val="0"/>
                      <w:marBottom w:val="0"/>
                      <w:divBdr>
                        <w:top w:val="none" w:sz="0" w:space="0" w:color="auto"/>
                        <w:left w:val="none" w:sz="0" w:space="0" w:color="auto"/>
                        <w:bottom w:val="none" w:sz="0" w:space="0" w:color="auto"/>
                        <w:right w:val="none" w:sz="0" w:space="0" w:color="auto"/>
                      </w:divBdr>
                      <w:divsChild>
                        <w:div w:id="659847153">
                          <w:marLeft w:val="0"/>
                          <w:marRight w:val="0"/>
                          <w:marTop w:val="0"/>
                          <w:marBottom w:val="0"/>
                          <w:divBdr>
                            <w:top w:val="none" w:sz="0" w:space="0" w:color="auto"/>
                            <w:left w:val="none" w:sz="0" w:space="0" w:color="auto"/>
                            <w:bottom w:val="none" w:sz="0" w:space="0" w:color="auto"/>
                            <w:right w:val="none" w:sz="0" w:space="0" w:color="auto"/>
                          </w:divBdr>
                          <w:divsChild>
                            <w:div w:id="20284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5394">
      <w:bodyDiv w:val="1"/>
      <w:marLeft w:val="0"/>
      <w:marRight w:val="0"/>
      <w:marTop w:val="0"/>
      <w:marBottom w:val="0"/>
      <w:divBdr>
        <w:top w:val="none" w:sz="0" w:space="0" w:color="auto"/>
        <w:left w:val="none" w:sz="0" w:space="0" w:color="auto"/>
        <w:bottom w:val="none" w:sz="0" w:space="0" w:color="auto"/>
        <w:right w:val="none" w:sz="0" w:space="0" w:color="auto"/>
      </w:divBdr>
      <w:divsChild>
        <w:div w:id="1616865514">
          <w:marLeft w:val="0"/>
          <w:marRight w:val="0"/>
          <w:marTop w:val="0"/>
          <w:marBottom w:val="300"/>
          <w:divBdr>
            <w:top w:val="none" w:sz="0" w:space="0" w:color="auto"/>
            <w:left w:val="single" w:sz="36" w:space="8" w:color="00ABD6"/>
            <w:bottom w:val="none" w:sz="0" w:space="0" w:color="auto"/>
            <w:right w:val="none" w:sz="0" w:space="0" w:color="auto"/>
          </w:divBdr>
        </w:div>
        <w:div w:id="731390512">
          <w:marLeft w:val="0"/>
          <w:marRight w:val="0"/>
          <w:marTop w:val="0"/>
          <w:marBottom w:val="0"/>
          <w:divBdr>
            <w:top w:val="none" w:sz="0" w:space="0" w:color="auto"/>
            <w:left w:val="none" w:sz="0" w:space="0" w:color="auto"/>
            <w:bottom w:val="single" w:sz="2" w:space="0" w:color="DDDDDD"/>
            <w:right w:val="none" w:sz="0" w:space="0" w:color="auto"/>
          </w:divBdr>
          <w:divsChild>
            <w:div w:id="1611278894">
              <w:marLeft w:val="0"/>
              <w:marRight w:val="0"/>
              <w:marTop w:val="0"/>
              <w:marBottom w:val="0"/>
              <w:divBdr>
                <w:top w:val="none" w:sz="0" w:space="0" w:color="auto"/>
                <w:left w:val="none" w:sz="0" w:space="0" w:color="auto"/>
                <w:bottom w:val="none" w:sz="0" w:space="0" w:color="auto"/>
                <w:right w:val="none" w:sz="0" w:space="0" w:color="auto"/>
              </w:divBdr>
              <w:divsChild>
                <w:div w:id="2062753243">
                  <w:marLeft w:val="0"/>
                  <w:marRight w:val="0"/>
                  <w:marTop w:val="0"/>
                  <w:marBottom w:val="0"/>
                  <w:divBdr>
                    <w:top w:val="none" w:sz="0" w:space="0" w:color="auto"/>
                    <w:left w:val="none" w:sz="0" w:space="0" w:color="auto"/>
                    <w:bottom w:val="none" w:sz="0" w:space="0" w:color="auto"/>
                    <w:right w:val="none" w:sz="0" w:space="0" w:color="auto"/>
                  </w:divBdr>
                  <w:divsChild>
                    <w:div w:id="481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2122">
          <w:marLeft w:val="0"/>
          <w:marRight w:val="0"/>
          <w:marTop w:val="0"/>
          <w:marBottom w:val="0"/>
          <w:divBdr>
            <w:top w:val="none" w:sz="0" w:space="0" w:color="auto"/>
            <w:left w:val="none" w:sz="0" w:space="0" w:color="auto"/>
            <w:bottom w:val="none" w:sz="0" w:space="0" w:color="auto"/>
            <w:right w:val="none" w:sz="0" w:space="0" w:color="auto"/>
          </w:divBdr>
        </w:div>
      </w:divsChild>
    </w:div>
    <w:div w:id="1405300593">
      <w:bodyDiv w:val="1"/>
      <w:marLeft w:val="0"/>
      <w:marRight w:val="0"/>
      <w:marTop w:val="0"/>
      <w:marBottom w:val="0"/>
      <w:divBdr>
        <w:top w:val="none" w:sz="0" w:space="0" w:color="auto"/>
        <w:left w:val="none" w:sz="0" w:space="0" w:color="auto"/>
        <w:bottom w:val="none" w:sz="0" w:space="0" w:color="auto"/>
        <w:right w:val="none" w:sz="0" w:space="0" w:color="auto"/>
      </w:divBdr>
    </w:div>
    <w:div w:id="1419643886">
      <w:bodyDiv w:val="1"/>
      <w:marLeft w:val="0"/>
      <w:marRight w:val="0"/>
      <w:marTop w:val="0"/>
      <w:marBottom w:val="0"/>
      <w:divBdr>
        <w:top w:val="none" w:sz="0" w:space="0" w:color="auto"/>
        <w:left w:val="none" w:sz="0" w:space="0" w:color="auto"/>
        <w:bottom w:val="none" w:sz="0" w:space="0" w:color="auto"/>
        <w:right w:val="none" w:sz="0" w:space="0" w:color="auto"/>
      </w:divBdr>
    </w:div>
    <w:div w:id="1437024255">
      <w:bodyDiv w:val="1"/>
      <w:marLeft w:val="0"/>
      <w:marRight w:val="0"/>
      <w:marTop w:val="0"/>
      <w:marBottom w:val="0"/>
      <w:divBdr>
        <w:top w:val="none" w:sz="0" w:space="0" w:color="auto"/>
        <w:left w:val="none" w:sz="0" w:space="0" w:color="auto"/>
        <w:bottom w:val="none" w:sz="0" w:space="0" w:color="auto"/>
        <w:right w:val="none" w:sz="0" w:space="0" w:color="auto"/>
      </w:divBdr>
    </w:div>
    <w:div w:id="1477915817">
      <w:bodyDiv w:val="1"/>
      <w:marLeft w:val="0"/>
      <w:marRight w:val="0"/>
      <w:marTop w:val="0"/>
      <w:marBottom w:val="0"/>
      <w:divBdr>
        <w:top w:val="none" w:sz="0" w:space="0" w:color="auto"/>
        <w:left w:val="none" w:sz="0" w:space="0" w:color="auto"/>
        <w:bottom w:val="none" w:sz="0" w:space="0" w:color="auto"/>
        <w:right w:val="none" w:sz="0" w:space="0" w:color="auto"/>
      </w:divBdr>
      <w:divsChild>
        <w:div w:id="677075169">
          <w:marLeft w:val="0"/>
          <w:marRight w:val="0"/>
          <w:marTop w:val="0"/>
          <w:marBottom w:val="0"/>
          <w:divBdr>
            <w:top w:val="none" w:sz="0" w:space="0" w:color="auto"/>
            <w:left w:val="none" w:sz="0" w:space="0" w:color="auto"/>
            <w:bottom w:val="none" w:sz="0" w:space="0" w:color="auto"/>
            <w:right w:val="none" w:sz="0" w:space="0" w:color="auto"/>
          </w:divBdr>
          <w:divsChild>
            <w:div w:id="1325205636">
              <w:marLeft w:val="0"/>
              <w:marRight w:val="0"/>
              <w:marTop w:val="0"/>
              <w:marBottom w:val="0"/>
              <w:divBdr>
                <w:top w:val="none" w:sz="0" w:space="0" w:color="auto"/>
                <w:left w:val="none" w:sz="0" w:space="0" w:color="auto"/>
                <w:bottom w:val="none" w:sz="0" w:space="0" w:color="auto"/>
                <w:right w:val="none" w:sz="0" w:space="0" w:color="auto"/>
              </w:divBdr>
              <w:divsChild>
                <w:div w:id="1152599923">
                  <w:marLeft w:val="0"/>
                  <w:marRight w:val="0"/>
                  <w:marTop w:val="0"/>
                  <w:marBottom w:val="300"/>
                  <w:divBdr>
                    <w:top w:val="none" w:sz="0" w:space="0" w:color="auto"/>
                    <w:left w:val="single" w:sz="36" w:space="8" w:color="00ABD6"/>
                    <w:bottom w:val="none" w:sz="0" w:space="0" w:color="auto"/>
                    <w:right w:val="none" w:sz="0" w:space="0" w:color="auto"/>
                  </w:divBdr>
                </w:div>
                <w:div w:id="91708231">
                  <w:marLeft w:val="0"/>
                  <w:marRight w:val="0"/>
                  <w:marTop w:val="0"/>
                  <w:marBottom w:val="0"/>
                  <w:divBdr>
                    <w:top w:val="none" w:sz="0" w:space="0" w:color="auto"/>
                    <w:left w:val="none" w:sz="0" w:space="0" w:color="auto"/>
                    <w:bottom w:val="single" w:sz="2" w:space="0" w:color="DDDDDD"/>
                    <w:right w:val="none" w:sz="0" w:space="0" w:color="auto"/>
                  </w:divBdr>
                  <w:divsChild>
                    <w:div w:id="584732801">
                      <w:marLeft w:val="0"/>
                      <w:marRight w:val="0"/>
                      <w:marTop w:val="0"/>
                      <w:marBottom w:val="0"/>
                      <w:divBdr>
                        <w:top w:val="none" w:sz="0" w:space="0" w:color="auto"/>
                        <w:left w:val="none" w:sz="0" w:space="0" w:color="auto"/>
                        <w:bottom w:val="none" w:sz="0" w:space="0" w:color="auto"/>
                        <w:right w:val="none" w:sz="0" w:space="0" w:color="auto"/>
                      </w:divBdr>
                      <w:divsChild>
                        <w:div w:id="1779640287">
                          <w:marLeft w:val="0"/>
                          <w:marRight w:val="0"/>
                          <w:marTop w:val="0"/>
                          <w:marBottom w:val="0"/>
                          <w:divBdr>
                            <w:top w:val="none" w:sz="0" w:space="0" w:color="auto"/>
                            <w:left w:val="none" w:sz="0" w:space="0" w:color="auto"/>
                            <w:bottom w:val="none" w:sz="0" w:space="0" w:color="auto"/>
                            <w:right w:val="none" w:sz="0" w:space="0" w:color="auto"/>
                          </w:divBdr>
                          <w:divsChild>
                            <w:div w:id="7877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255157">
      <w:bodyDiv w:val="1"/>
      <w:marLeft w:val="0"/>
      <w:marRight w:val="0"/>
      <w:marTop w:val="0"/>
      <w:marBottom w:val="0"/>
      <w:divBdr>
        <w:top w:val="none" w:sz="0" w:space="0" w:color="auto"/>
        <w:left w:val="none" w:sz="0" w:space="0" w:color="auto"/>
        <w:bottom w:val="none" w:sz="0" w:space="0" w:color="auto"/>
        <w:right w:val="none" w:sz="0" w:space="0" w:color="auto"/>
      </w:divBdr>
      <w:divsChild>
        <w:div w:id="1678265321">
          <w:marLeft w:val="0"/>
          <w:marRight w:val="0"/>
          <w:marTop w:val="0"/>
          <w:marBottom w:val="0"/>
          <w:divBdr>
            <w:top w:val="none" w:sz="0" w:space="0" w:color="auto"/>
            <w:left w:val="none" w:sz="0" w:space="0" w:color="auto"/>
            <w:bottom w:val="none" w:sz="0" w:space="0" w:color="auto"/>
            <w:right w:val="none" w:sz="0" w:space="0" w:color="auto"/>
          </w:divBdr>
          <w:divsChild>
            <w:div w:id="249585963">
              <w:marLeft w:val="0"/>
              <w:marRight w:val="0"/>
              <w:marTop w:val="0"/>
              <w:marBottom w:val="0"/>
              <w:divBdr>
                <w:top w:val="none" w:sz="0" w:space="0" w:color="auto"/>
                <w:left w:val="none" w:sz="0" w:space="0" w:color="auto"/>
                <w:bottom w:val="none" w:sz="0" w:space="0" w:color="auto"/>
                <w:right w:val="none" w:sz="0" w:space="0" w:color="auto"/>
              </w:divBdr>
              <w:divsChild>
                <w:div w:id="2098747074">
                  <w:marLeft w:val="0"/>
                  <w:marRight w:val="0"/>
                  <w:marTop w:val="0"/>
                  <w:marBottom w:val="300"/>
                  <w:divBdr>
                    <w:top w:val="none" w:sz="0" w:space="0" w:color="auto"/>
                    <w:left w:val="single" w:sz="36" w:space="8" w:color="00ABD6"/>
                    <w:bottom w:val="none" w:sz="0" w:space="0" w:color="auto"/>
                    <w:right w:val="none" w:sz="0" w:space="0" w:color="auto"/>
                  </w:divBdr>
                </w:div>
                <w:div w:id="1080443315">
                  <w:marLeft w:val="0"/>
                  <w:marRight w:val="0"/>
                  <w:marTop w:val="0"/>
                  <w:marBottom w:val="0"/>
                  <w:divBdr>
                    <w:top w:val="none" w:sz="0" w:space="0" w:color="auto"/>
                    <w:left w:val="none" w:sz="0" w:space="0" w:color="auto"/>
                    <w:bottom w:val="single" w:sz="2" w:space="0" w:color="DDDDDD"/>
                    <w:right w:val="none" w:sz="0" w:space="0" w:color="auto"/>
                  </w:divBdr>
                  <w:divsChild>
                    <w:div w:id="329216000">
                      <w:marLeft w:val="0"/>
                      <w:marRight w:val="0"/>
                      <w:marTop w:val="0"/>
                      <w:marBottom w:val="0"/>
                      <w:divBdr>
                        <w:top w:val="none" w:sz="0" w:space="0" w:color="auto"/>
                        <w:left w:val="none" w:sz="0" w:space="0" w:color="auto"/>
                        <w:bottom w:val="none" w:sz="0" w:space="0" w:color="auto"/>
                        <w:right w:val="none" w:sz="0" w:space="0" w:color="auto"/>
                      </w:divBdr>
                      <w:divsChild>
                        <w:div w:id="88933467">
                          <w:marLeft w:val="0"/>
                          <w:marRight w:val="0"/>
                          <w:marTop w:val="0"/>
                          <w:marBottom w:val="0"/>
                          <w:divBdr>
                            <w:top w:val="none" w:sz="0" w:space="0" w:color="auto"/>
                            <w:left w:val="none" w:sz="0" w:space="0" w:color="auto"/>
                            <w:bottom w:val="none" w:sz="0" w:space="0" w:color="auto"/>
                            <w:right w:val="none" w:sz="0" w:space="0" w:color="auto"/>
                          </w:divBdr>
                          <w:divsChild>
                            <w:div w:id="61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309">
      <w:bodyDiv w:val="1"/>
      <w:marLeft w:val="0"/>
      <w:marRight w:val="0"/>
      <w:marTop w:val="0"/>
      <w:marBottom w:val="0"/>
      <w:divBdr>
        <w:top w:val="none" w:sz="0" w:space="0" w:color="auto"/>
        <w:left w:val="none" w:sz="0" w:space="0" w:color="auto"/>
        <w:bottom w:val="none" w:sz="0" w:space="0" w:color="auto"/>
        <w:right w:val="none" w:sz="0" w:space="0" w:color="auto"/>
      </w:divBdr>
      <w:divsChild>
        <w:div w:id="1071004001">
          <w:marLeft w:val="0"/>
          <w:marRight w:val="0"/>
          <w:marTop w:val="0"/>
          <w:marBottom w:val="0"/>
          <w:divBdr>
            <w:top w:val="none" w:sz="0" w:space="0" w:color="auto"/>
            <w:left w:val="none" w:sz="0" w:space="0" w:color="auto"/>
            <w:bottom w:val="none" w:sz="0" w:space="0" w:color="auto"/>
            <w:right w:val="none" w:sz="0" w:space="0" w:color="auto"/>
          </w:divBdr>
          <w:divsChild>
            <w:div w:id="780805127">
              <w:marLeft w:val="0"/>
              <w:marRight w:val="0"/>
              <w:marTop w:val="0"/>
              <w:marBottom w:val="0"/>
              <w:divBdr>
                <w:top w:val="none" w:sz="0" w:space="0" w:color="auto"/>
                <w:left w:val="none" w:sz="0" w:space="0" w:color="auto"/>
                <w:bottom w:val="none" w:sz="0" w:space="0" w:color="auto"/>
                <w:right w:val="none" w:sz="0" w:space="0" w:color="auto"/>
              </w:divBdr>
              <w:divsChild>
                <w:div w:id="984626038">
                  <w:marLeft w:val="0"/>
                  <w:marRight w:val="0"/>
                  <w:marTop w:val="0"/>
                  <w:marBottom w:val="300"/>
                  <w:divBdr>
                    <w:top w:val="none" w:sz="0" w:space="0" w:color="auto"/>
                    <w:left w:val="single" w:sz="36" w:space="8" w:color="00ABD6"/>
                    <w:bottom w:val="none" w:sz="0" w:space="0" w:color="auto"/>
                    <w:right w:val="none" w:sz="0" w:space="0" w:color="auto"/>
                  </w:divBdr>
                </w:div>
                <w:div w:id="1582988761">
                  <w:marLeft w:val="0"/>
                  <w:marRight w:val="0"/>
                  <w:marTop w:val="0"/>
                  <w:marBottom w:val="0"/>
                  <w:divBdr>
                    <w:top w:val="none" w:sz="0" w:space="0" w:color="auto"/>
                    <w:left w:val="none" w:sz="0" w:space="0" w:color="auto"/>
                    <w:bottom w:val="single" w:sz="2" w:space="0" w:color="DDDDDD"/>
                    <w:right w:val="none" w:sz="0" w:space="0" w:color="auto"/>
                  </w:divBdr>
                  <w:divsChild>
                    <w:div w:id="1320815228">
                      <w:marLeft w:val="0"/>
                      <w:marRight w:val="0"/>
                      <w:marTop w:val="0"/>
                      <w:marBottom w:val="0"/>
                      <w:divBdr>
                        <w:top w:val="none" w:sz="0" w:space="0" w:color="auto"/>
                        <w:left w:val="none" w:sz="0" w:space="0" w:color="auto"/>
                        <w:bottom w:val="none" w:sz="0" w:space="0" w:color="auto"/>
                        <w:right w:val="none" w:sz="0" w:space="0" w:color="auto"/>
                      </w:divBdr>
                      <w:divsChild>
                        <w:div w:id="821505226">
                          <w:marLeft w:val="0"/>
                          <w:marRight w:val="0"/>
                          <w:marTop w:val="0"/>
                          <w:marBottom w:val="0"/>
                          <w:divBdr>
                            <w:top w:val="none" w:sz="0" w:space="0" w:color="auto"/>
                            <w:left w:val="none" w:sz="0" w:space="0" w:color="auto"/>
                            <w:bottom w:val="none" w:sz="0" w:space="0" w:color="auto"/>
                            <w:right w:val="none" w:sz="0" w:space="0" w:color="auto"/>
                          </w:divBdr>
                          <w:divsChild>
                            <w:div w:id="14379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3687">
      <w:bodyDiv w:val="1"/>
      <w:marLeft w:val="0"/>
      <w:marRight w:val="0"/>
      <w:marTop w:val="0"/>
      <w:marBottom w:val="0"/>
      <w:divBdr>
        <w:top w:val="none" w:sz="0" w:space="0" w:color="auto"/>
        <w:left w:val="none" w:sz="0" w:space="0" w:color="auto"/>
        <w:bottom w:val="none" w:sz="0" w:space="0" w:color="auto"/>
        <w:right w:val="none" w:sz="0" w:space="0" w:color="auto"/>
      </w:divBdr>
    </w:div>
    <w:div w:id="1648124378">
      <w:bodyDiv w:val="1"/>
      <w:marLeft w:val="0"/>
      <w:marRight w:val="0"/>
      <w:marTop w:val="0"/>
      <w:marBottom w:val="0"/>
      <w:divBdr>
        <w:top w:val="none" w:sz="0" w:space="0" w:color="auto"/>
        <w:left w:val="none" w:sz="0" w:space="0" w:color="auto"/>
        <w:bottom w:val="none" w:sz="0" w:space="0" w:color="auto"/>
        <w:right w:val="none" w:sz="0" w:space="0" w:color="auto"/>
      </w:divBdr>
    </w:div>
    <w:div w:id="17513413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925">
          <w:marLeft w:val="0"/>
          <w:marRight w:val="0"/>
          <w:marTop w:val="0"/>
          <w:marBottom w:val="0"/>
          <w:divBdr>
            <w:top w:val="none" w:sz="0" w:space="0" w:color="auto"/>
            <w:left w:val="none" w:sz="0" w:space="0" w:color="auto"/>
            <w:bottom w:val="none" w:sz="0" w:space="0" w:color="auto"/>
            <w:right w:val="none" w:sz="0" w:space="0" w:color="auto"/>
          </w:divBdr>
          <w:divsChild>
            <w:div w:id="1901086760">
              <w:marLeft w:val="0"/>
              <w:marRight w:val="0"/>
              <w:marTop w:val="0"/>
              <w:marBottom w:val="0"/>
              <w:divBdr>
                <w:top w:val="none" w:sz="0" w:space="0" w:color="auto"/>
                <w:left w:val="none" w:sz="0" w:space="0" w:color="auto"/>
                <w:bottom w:val="none" w:sz="0" w:space="0" w:color="auto"/>
                <w:right w:val="none" w:sz="0" w:space="0" w:color="auto"/>
              </w:divBdr>
              <w:divsChild>
                <w:div w:id="1678263167">
                  <w:marLeft w:val="0"/>
                  <w:marRight w:val="0"/>
                  <w:marTop w:val="0"/>
                  <w:marBottom w:val="300"/>
                  <w:divBdr>
                    <w:top w:val="none" w:sz="0" w:space="0" w:color="auto"/>
                    <w:left w:val="single" w:sz="36" w:space="8" w:color="00ABD6"/>
                    <w:bottom w:val="none" w:sz="0" w:space="0" w:color="auto"/>
                    <w:right w:val="none" w:sz="0" w:space="0" w:color="auto"/>
                  </w:divBdr>
                </w:div>
                <w:div w:id="946891860">
                  <w:marLeft w:val="0"/>
                  <w:marRight w:val="0"/>
                  <w:marTop w:val="0"/>
                  <w:marBottom w:val="0"/>
                  <w:divBdr>
                    <w:top w:val="none" w:sz="0" w:space="0" w:color="auto"/>
                    <w:left w:val="none" w:sz="0" w:space="0" w:color="auto"/>
                    <w:bottom w:val="single" w:sz="2" w:space="0" w:color="DDDDDD"/>
                    <w:right w:val="none" w:sz="0" w:space="0" w:color="auto"/>
                  </w:divBdr>
                  <w:divsChild>
                    <w:div w:id="1121150156">
                      <w:marLeft w:val="0"/>
                      <w:marRight w:val="0"/>
                      <w:marTop w:val="0"/>
                      <w:marBottom w:val="0"/>
                      <w:divBdr>
                        <w:top w:val="none" w:sz="0" w:space="0" w:color="auto"/>
                        <w:left w:val="none" w:sz="0" w:space="0" w:color="auto"/>
                        <w:bottom w:val="none" w:sz="0" w:space="0" w:color="auto"/>
                        <w:right w:val="none" w:sz="0" w:space="0" w:color="auto"/>
                      </w:divBdr>
                      <w:divsChild>
                        <w:div w:id="215242409">
                          <w:marLeft w:val="0"/>
                          <w:marRight w:val="0"/>
                          <w:marTop w:val="0"/>
                          <w:marBottom w:val="0"/>
                          <w:divBdr>
                            <w:top w:val="none" w:sz="0" w:space="0" w:color="auto"/>
                            <w:left w:val="none" w:sz="0" w:space="0" w:color="auto"/>
                            <w:bottom w:val="none" w:sz="0" w:space="0" w:color="auto"/>
                            <w:right w:val="none" w:sz="0" w:space="0" w:color="auto"/>
                          </w:divBdr>
                          <w:divsChild>
                            <w:div w:id="17624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94600">
      <w:bodyDiv w:val="1"/>
      <w:marLeft w:val="0"/>
      <w:marRight w:val="0"/>
      <w:marTop w:val="0"/>
      <w:marBottom w:val="0"/>
      <w:divBdr>
        <w:top w:val="none" w:sz="0" w:space="0" w:color="auto"/>
        <w:left w:val="none" w:sz="0" w:space="0" w:color="auto"/>
        <w:bottom w:val="none" w:sz="0" w:space="0" w:color="auto"/>
        <w:right w:val="none" w:sz="0" w:space="0" w:color="auto"/>
      </w:divBdr>
    </w:div>
    <w:div w:id="1917938130">
      <w:bodyDiv w:val="1"/>
      <w:marLeft w:val="0"/>
      <w:marRight w:val="0"/>
      <w:marTop w:val="0"/>
      <w:marBottom w:val="0"/>
      <w:divBdr>
        <w:top w:val="none" w:sz="0" w:space="0" w:color="auto"/>
        <w:left w:val="none" w:sz="0" w:space="0" w:color="auto"/>
        <w:bottom w:val="none" w:sz="0" w:space="0" w:color="auto"/>
        <w:right w:val="none" w:sz="0" w:space="0" w:color="auto"/>
      </w:divBdr>
      <w:divsChild>
        <w:div w:id="40251187">
          <w:marLeft w:val="0"/>
          <w:marRight w:val="0"/>
          <w:marTop w:val="0"/>
          <w:marBottom w:val="0"/>
          <w:divBdr>
            <w:top w:val="none" w:sz="0" w:space="0" w:color="auto"/>
            <w:left w:val="none" w:sz="0" w:space="0" w:color="auto"/>
            <w:bottom w:val="none" w:sz="0" w:space="0" w:color="auto"/>
            <w:right w:val="none" w:sz="0" w:space="0" w:color="auto"/>
          </w:divBdr>
        </w:div>
        <w:div w:id="1101412048">
          <w:marLeft w:val="0"/>
          <w:marRight w:val="0"/>
          <w:marTop w:val="0"/>
          <w:marBottom w:val="0"/>
          <w:divBdr>
            <w:top w:val="none" w:sz="0" w:space="0" w:color="auto"/>
            <w:left w:val="none" w:sz="0" w:space="0" w:color="auto"/>
            <w:bottom w:val="none" w:sz="0" w:space="0" w:color="auto"/>
            <w:right w:val="none" w:sz="0" w:space="0" w:color="auto"/>
          </w:divBdr>
        </w:div>
        <w:div w:id="1878542521">
          <w:marLeft w:val="0"/>
          <w:marRight w:val="0"/>
          <w:marTop w:val="0"/>
          <w:marBottom w:val="0"/>
          <w:divBdr>
            <w:top w:val="none" w:sz="0" w:space="0" w:color="auto"/>
            <w:left w:val="none" w:sz="0" w:space="0" w:color="auto"/>
            <w:bottom w:val="none" w:sz="0" w:space="0" w:color="auto"/>
            <w:right w:val="none" w:sz="0" w:space="0" w:color="auto"/>
          </w:divBdr>
        </w:div>
        <w:div w:id="152071807">
          <w:marLeft w:val="0"/>
          <w:marRight w:val="0"/>
          <w:marTop w:val="0"/>
          <w:marBottom w:val="0"/>
          <w:divBdr>
            <w:top w:val="none" w:sz="0" w:space="0" w:color="auto"/>
            <w:left w:val="none" w:sz="0" w:space="0" w:color="auto"/>
            <w:bottom w:val="none" w:sz="0" w:space="0" w:color="auto"/>
            <w:right w:val="none" w:sz="0" w:space="0" w:color="auto"/>
          </w:divBdr>
        </w:div>
        <w:div w:id="404644983">
          <w:marLeft w:val="0"/>
          <w:marRight w:val="0"/>
          <w:marTop w:val="0"/>
          <w:marBottom w:val="0"/>
          <w:divBdr>
            <w:top w:val="none" w:sz="0" w:space="0" w:color="auto"/>
            <w:left w:val="none" w:sz="0" w:space="0" w:color="auto"/>
            <w:bottom w:val="none" w:sz="0" w:space="0" w:color="auto"/>
            <w:right w:val="none" w:sz="0" w:space="0" w:color="auto"/>
          </w:divBdr>
        </w:div>
        <w:div w:id="237447170">
          <w:marLeft w:val="0"/>
          <w:marRight w:val="0"/>
          <w:marTop w:val="0"/>
          <w:marBottom w:val="0"/>
          <w:divBdr>
            <w:top w:val="none" w:sz="0" w:space="0" w:color="auto"/>
            <w:left w:val="none" w:sz="0" w:space="0" w:color="auto"/>
            <w:bottom w:val="none" w:sz="0" w:space="0" w:color="auto"/>
            <w:right w:val="none" w:sz="0" w:space="0" w:color="auto"/>
          </w:divBdr>
          <w:divsChild>
            <w:div w:id="1436974460">
              <w:marLeft w:val="0"/>
              <w:marRight w:val="0"/>
              <w:marTop w:val="0"/>
              <w:marBottom w:val="0"/>
              <w:divBdr>
                <w:top w:val="none" w:sz="0" w:space="0" w:color="auto"/>
                <w:left w:val="none" w:sz="0" w:space="0" w:color="auto"/>
                <w:bottom w:val="none" w:sz="0" w:space="0" w:color="auto"/>
                <w:right w:val="none" w:sz="0" w:space="0" w:color="auto"/>
              </w:divBdr>
            </w:div>
            <w:div w:id="1002051362">
              <w:marLeft w:val="0"/>
              <w:marRight w:val="0"/>
              <w:marTop w:val="0"/>
              <w:marBottom w:val="0"/>
              <w:divBdr>
                <w:top w:val="none" w:sz="0" w:space="0" w:color="auto"/>
                <w:left w:val="none" w:sz="0" w:space="0" w:color="auto"/>
                <w:bottom w:val="none" w:sz="0" w:space="0" w:color="auto"/>
                <w:right w:val="none" w:sz="0" w:space="0" w:color="auto"/>
              </w:divBdr>
              <w:divsChild>
                <w:div w:id="254023890">
                  <w:marLeft w:val="0"/>
                  <w:marRight w:val="0"/>
                  <w:marTop w:val="0"/>
                  <w:marBottom w:val="0"/>
                  <w:divBdr>
                    <w:top w:val="none" w:sz="0" w:space="0" w:color="auto"/>
                    <w:left w:val="none" w:sz="0" w:space="0" w:color="auto"/>
                    <w:bottom w:val="none" w:sz="0" w:space="0" w:color="auto"/>
                    <w:right w:val="none" w:sz="0" w:space="0" w:color="auto"/>
                  </w:divBdr>
                  <w:divsChild>
                    <w:div w:id="5640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69908">
      <w:bodyDiv w:val="1"/>
      <w:marLeft w:val="0"/>
      <w:marRight w:val="0"/>
      <w:marTop w:val="0"/>
      <w:marBottom w:val="0"/>
      <w:divBdr>
        <w:top w:val="none" w:sz="0" w:space="0" w:color="auto"/>
        <w:left w:val="none" w:sz="0" w:space="0" w:color="auto"/>
        <w:bottom w:val="none" w:sz="0" w:space="0" w:color="auto"/>
        <w:right w:val="none" w:sz="0" w:space="0" w:color="auto"/>
      </w:divBdr>
      <w:divsChild>
        <w:div w:id="796948346">
          <w:marLeft w:val="0"/>
          <w:marRight w:val="0"/>
          <w:marTop w:val="0"/>
          <w:marBottom w:val="0"/>
          <w:divBdr>
            <w:top w:val="none" w:sz="0" w:space="0" w:color="auto"/>
            <w:left w:val="none" w:sz="0" w:space="0" w:color="auto"/>
            <w:bottom w:val="none" w:sz="0" w:space="0" w:color="auto"/>
            <w:right w:val="none" w:sz="0" w:space="0" w:color="auto"/>
          </w:divBdr>
        </w:div>
        <w:div w:id="570847196">
          <w:marLeft w:val="0"/>
          <w:marRight w:val="0"/>
          <w:marTop w:val="0"/>
          <w:marBottom w:val="0"/>
          <w:divBdr>
            <w:top w:val="none" w:sz="0" w:space="0" w:color="auto"/>
            <w:left w:val="none" w:sz="0" w:space="0" w:color="auto"/>
            <w:bottom w:val="none" w:sz="0" w:space="0" w:color="auto"/>
            <w:right w:val="none" w:sz="0" w:space="0" w:color="auto"/>
          </w:divBdr>
        </w:div>
      </w:divsChild>
    </w:div>
    <w:div w:id="2024622445">
      <w:bodyDiv w:val="1"/>
      <w:marLeft w:val="0"/>
      <w:marRight w:val="0"/>
      <w:marTop w:val="0"/>
      <w:marBottom w:val="0"/>
      <w:divBdr>
        <w:top w:val="none" w:sz="0" w:space="0" w:color="auto"/>
        <w:left w:val="none" w:sz="0" w:space="0" w:color="auto"/>
        <w:bottom w:val="none" w:sz="0" w:space="0" w:color="auto"/>
        <w:right w:val="none" w:sz="0" w:space="0" w:color="auto"/>
      </w:divBdr>
    </w:div>
    <w:div w:id="2032758171">
      <w:bodyDiv w:val="1"/>
      <w:marLeft w:val="0"/>
      <w:marRight w:val="0"/>
      <w:marTop w:val="0"/>
      <w:marBottom w:val="0"/>
      <w:divBdr>
        <w:top w:val="none" w:sz="0" w:space="0" w:color="auto"/>
        <w:left w:val="none" w:sz="0" w:space="0" w:color="auto"/>
        <w:bottom w:val="none" w:sz="0" w:space="0" w:color="auto"/>
        <w:right w:val="none" w:sz="0" w:space="0" w:color="auto"/>
      </w:divBdr>
    </w:div>
    <w:div w:id="2111386295">
      <w:bodyDiv w:val="1"/>
      <w:marLeft w:val="0"/>
      <w:marRight w:val="0"/>
      <w:marTop w:val="0"/>
      <w:marBottom w:val="0"/>
      <w:divBdr>
        <w:top w:val="none" w:sz="0" w:space="0" w:color="auto"/>
        <w:left w:val="none" w:sz="0" w:space="0" w:color="auto"/>
        <w:bottom w:val="none" w:sz="0" w:space="0" w:color="auto"/>
        <w:right w:val="none" w:sz="0" w:space="0" w:color="auto"/>
      </w:divBdr>
      <w:divsChild>
        <w:div w:id="1153108586">
          <w:marLeft w:val="0"/>
          <w:marRight w:val="0"/>
          <w:marTop w:val="0"/>
          <w:marBottom w:val="0"/>
          <w:divBdr>
            <w:top w:val="none" w:sz="0" w:space="0" w:color="auto"/>
            <w:left w:val="none" w:sz="0" w:space="0" w:color="auto"/>
            <w:bottom w:val="none" w:sz="0" w:space="0" w:color="auto"/>
            <w:right w:val="none" w:sz="0" w:space="0" w:color="auto"/>
          </w:divBdr>
          <w:divsChild>
            <w:div w:id="1267929318">
              <w:marLeft w:val="0"/>
              <w:marRight w:val="0"/>
              <w:marTop w:val="0"/>
              <w:marBottom w:val="0"/>
              <w:divBdr>
                <w:top w:val="none" w:sz="0" w:space="0" w:color="auto"/>
                <w:left w:val="none" w:sz="0" w:space="0" w:color="auto"/>
                <w:bottom w:val="none" w:sz="0" w:space="0" w:color="auto"/>
                <w:right w:val="none" w:sz="0" w:space="0" w:color="auto"/>
              </w:divBdr>
              <w:divsChild>
                <w:div w:id="1188564006">
                  <w:marLeft w:val="0"/>
                  <w:marRight w:val="0"/>
                  <w:marTop w:val="0"/>
                  <w:marBottom w:val="300"/>
                  <w:divBdr>
                    <w:top w:val="none" w:sz="0" w:space="0" w:color="auto"/>
                    <w:left w:val="single" w:sz="36" w:space="8" w:color="00ABD6"/>
                    <w:bottom w:val="none" w:sz="0" w:space="0" w:color="auto"/>
                    <w:right w:val="none" w:sz="0" w:space="0" w:color="auto"/>
                  </w:divBdr>
                </w:div>
                <w:div w:id="1790584266">
                  <w:marLeft w:val="0"/>
                  <w:marRight w:val="0"/>
                  <w:marTop w:val="0"/>
                  <w:marBottom w:val="0"/>
                  <w:divBdr>
                    <w:top w:val="none" w:sz="0" w:space="0" w:color="auto"/>
                    <w:left w:val="none" w:sz="0" w:space="0" w:color="auto"/>
                    <w:bottom w:val="single" w:sz="2" w:space="0" w:color="DDDDDD"/>
                    <w:right w:val="none" w:sz="0" w:space="0" w:color="auto"/>
                  </w:divBdr>
                  <w:divsChild>
                    <w:div w:id="945038718">
                      <w:marLeft w:val="0"/>
                      <w:marRight w:val="0"/>
                      <w:marTop w:val="0"/>
                      <w:marBottom w:val="0"/>
                      <w:divBdr>
                        <w:top w:val="none" w:sz="0" w:space="0" w:color="auto"/>
                        <w:left w:val="none" w:sz="0" w:space="0" w:color="auto"/>
                        <w:bottom w:val="none" w:sz="0" w:space="0" w:color="auto"/>
                        <w:right w:val="none" w:sz="0" w:space="0" w:color="auto"/>
                      </w:divBdr>
                      <w:divsChild>
                        <w:div w:id="2092895961">
                          <w:marLeft w:val="0"/>
                          <w:marRight w:val="0"/>
                          <w:marTop w:val="0"/>
                          <w:marBottom w:val="0"/>
                          <w:divBdr>
                            <w:top w:val="none" w:sz="0" w:space="0" w:color="auto"/>
                            <w:left w:val="none" w:sz="0" w:space="0" w:color="auto"/>
                            <w:bottom w:val="none" w:sz="0" w:space="0" w:color="auto"/>
                            <w:right w:val="none" w:sz="0" w:space="0" w:color="auto"/>
                          </w:divBdr>
                          <w:divsChild>
                            <w:div w:id="5198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58417">
      <w:bodyDiv w:val="1"/>
      <w:marLeft w:val="0"/>
      <w:marRight w:val="0"/>
      <w:marTop w:val="0"/>
      <w:marBottom w:val="0"/>
      <w:divBdr>
        <w:top w:val="none" w:sz="0" w:space="0" w:color="auto"/>
        <w:left w:val="none" w:sz="0" w:space="0" w:color="auto"/>
        <w:bottom w:val="none" w:sz="0" w:space="0" w:color="auto"/>
        <w:right w:val="none" w:sz="0" w:space="0" w:color="auto"/>
      </w:divBdr>
    </w:div>
    <w:div w:id="21437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ceurope.eu/en/bulletin/article/12913/29" TargetMode="External"/><Relationship Id="rId13" Type="http://schemas.openxmlformats.org/officeDocument/2006/relationships/hyperlink" Target="https://ec.europa.eu/commission/presscorner/detail/en/speech_19_6629" TargetMode="External"/><Relationship Id="rId18" Type="http://schemas.openxmlformats.org/officeDocument/2006/relationships/hyperlink" Target="https://eur-lex.europa.eu/legal-content/EN/TXT/PDF/?uri=CELEX:32021R1056&amp;from=EN" TargetMode="External"/><Relationship Id="rId3" Type="http://schemas.openxmlformats.org/officeDocument/2006/relationships/styles" Target="styles.xml"/><Relationship Id="rId21" Type="http://schemas.openxmlformats.org/officeDocument/2006/relationships/hyperlink" Target="https://www.socialeurope.eu/the-myth-of-green-capitalism" TargetMode="External"/><Relationship Id="rId7" Type="http://schemas.openxmlformats.org/officeDocument/2006/relationships/endnotes" Target="endnotes.xml"/><Relationship Id="rId12" Type="http://schemas.openxmlformats.org/officeDocument/2006/relationships/hyperlink" Target="https://institutdelors.eu/wp-content/uploads/2022/06/PP277_The-need-for-a-socially-just-European-Green-Deal_Defard_EN.pdf" TargetMode="External"/><Relationship Id="rId17" Type="http://schemas.openxmlformats.org/officeDocument/2006/relationships/hyperlink" Target="https://www.europarl.europa.eu/factsheets/en/sheet/214/just-transition-fund" TargetMode="External"/><Relationship Id="rId2" Type="http://schemas.openxmlformats.org/officeDocument/2006/relationships/numbering" Target="numbering.xml"/><Relationship Id="rId16" Type="http://schemas.openxmlformats.org/officeDocument/2006/relationships/hyperlink" Target="http://www.eca.europa.eu/en/Pages/DocItem.aspx?did=54194" TargetMode="External"/><Relationship Id="rId20" Type="http://schemas.openxmlformats.org/officeDocument/2006/relationships/hyperlink" Target="https://socialeurope.eu/a-greener-and-more-social-pil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titutdelors.eu/wp-content/uploads/2021/07/PP268_Putting-the-cart-before-the-horse_Defard.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EN/TXT/PDF/?uri=CELEX:32020R1001&amp;from=EN" TargetMode="External"/><Relationship Id="rId23" Type="http://schemas.openxmlformats.org/officeDocument/2006/relationships/fontTable" Target="fontTable.xml"/><Relationship Id="rId10" Type="http://schemas.openxmlformats.org/officeDocument/2006/relationships/hyperlink" Target="https://eur-lex.europa.eu/legal-content/EN/TXT/PDF/?uri=CELEX:32022H0627(04)&amp;qid=1665488641862&amp;from=EN" TargetMode="External"/><Relationship Id="rId19" Type="http://schemas.openxmlformats.org/officeDocument/2006/relationships/hyperlink" Target="https://croatia.fes.de/publikacije/publikacije-fes-a-u-zagrebu?tx_digbib_digbibpublicationlist%5BpageIndex%5D=3&amp;cHash=17f9e1838d696f421cedc10454042d08" TargetMode="External"/><Relationship Id="rId4" Type="http://schemas.openxmlformats.org/officeDocument/2006/relationships/settings" Target="settings.xml"/><Relationship Id="rId9" Type="http://schemas.openxmlformats.org/officeDocument/2006/relationships/hyperlink" Target="https://doi.org/10.1111/spol.12906" TargetMode="External"/><Relationship Id="rId14" Type="http://schemas.openxmlformats.org/officeDocument/2006/relationships/hyperlink" Target="https://eur-lex.europa.eu/resource.html?uri=cellar:b828d165-1c22-11ea-8c1f-01aa75ed71a1.0002.02/DOC_1&amp;format=PDF"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2424-6AA7-D546-B6B9-8C35161E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9752</Words>
  <Characters>55587</Characters>
  <Application>Microsoft Office Word</Application>
  <DocSecurity>0</DocSecurity>
  <Lines>463</Lines>
  <Paragraphs>130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CRESPY Amandine</dc:creator>
  <cp:keywords/>
  <dc:description/>
  <cp:lastModifiedBy>MUNTA, Mario (FEL)</cp:lastModifiedBy>
  <cp:revision>4</cp:revision>
  <cp:lastPrinted>2023-03-15T16:13:00Z</cp:lastPrinted>
  <dcterms:created xsi:type="dcterms:W3CDTF">2023-04-21T13:17:00Z</dcterms:created>
  <dcterms:modified xsi:type="dcterms:W3CDTF">2023-04-24T11:19:00Z</dcterms:modified>
</cp:coreProperties>
</file>